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765810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32385</wp:posOffset>
            </wp:positionV>
            <wp:extent cx="1341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ind w:left="880" w:hanging="862"/>
        <w:spacing w:after="0"/>
        <w:tabs>
          <w:tab w:leader="none" w:pos="8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7" w:lineRule="exact"/>
        <w:rPr>
          <w:rFonts w:ascii="MS PGothic" w:cs="MS PGothic" w:eastAsia="MS PGothic" w:hAnsi="MS PGothic"/>
          <w:sz w:val="16"/>
          <w:szCs w:val="16"/>
          <w:color w:val="auto"/>
        </w:rPr>
      </w:pPr>
    </w:p>
    <w:p>
      <w:pPr>
        <w:ind w:left="40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1" w:lineRule="exact"/>
        <w:rPr>
          <w:rFonts w:ascii="MS PGothic" w:cs="MS PGothic" w:eastAsia="MS PGothic" w:hAnsi="MS PGothic"/>
          <w:sz w:val="16"/>
          <w:szCs w:val="16"/>
          <w:color w:val="auto"/>
        </w:rPr>
      </w:pPr>
    </w:p>
    <w:p>
      <w:pPr>
        <w:ind w:left="51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20" w:lineRule="exact"/>
        <w:rPr>
          <w:sz w:val="24"/>
          <w:szCs w:val="24"/>
          <w:color w:val="auto"/>
        </w:rPr>
      </w:pPr>
    </w:p>
    <w:p>
      <w:pPr>
        <w:ind w:left="4120" w:right="1740" w:hanging="4102"/>
        <w:spacing w:after="0" w:line="292" w:lineRule="auto"/>
        <w:tabs>
          <w:tab w:leader="none" w:pos="87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001-36364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Sixth Street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-249555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00" w:type="dxa"/>
            <w:vAlign w:val="bottom"/>
            <w:gridSpan w:val="2"/>
          </w:tcPr>
          <w:p>
            <w:pPr>
              <w:jc w:val="right"/>
              <w:ind w:right="1542"/>
              <w:spacing w:after="0"/>
              <w:rPr>
                <w:sz w:val="20"/>
                <w:szCs w:val="20"/>
                <w:color w:val="auto"/>
              </w:rPr>
            </w:pPr>
            <w:r>
              <w:rPr>
                <w:rFonts w:ascii="Times New Roman" w:cs="Times New Roman" w:eastAsia="Times New Roman" w:hAnsi="Times New Roman"/>
                <w:sz w:val="16"/>
                <w:szCs w:val="16"/>
                <w:b w:val="1"/>
                <w:bCs w:val="1"/>
                <w:color w:val="auto"/>
              </w:rPr>
              <w:t>27-3380000</w:t>
            </w:r>
          </w:p>
        </w:tc>
        <w:tc>
          <w:tcPr>
            <w:tcW w:w="0" w:type="dxa"/>
            <w:vAlign w:val="bottom"/>
          </w:tcPr>
          <w:p>
            <w:pPr>
              <w:spacing w:after="0"/>
              <w:rPr>
                <w:sz w:val="1"/>
                <w:szCs w:val="1"/>
                <w:color w:val="auto"/>
              </w:rPr>
            </w:pPr>
          </w:p>
        </w:tc>
      </w:tr>
      <w:tr>
        <w:trPr>
          <w:trHeight w:val="144"/>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2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c>
          <w:tcPr>
            <w:tcW w:w="0" w:type="dxa"/>
            <w:vAlign w:val="bottom"/>
          </w:tcPr>
          <w:p>
            <w:pPr>
              <w:spacing w:after="0"/>
              <w:rPr>
                <w:sz w:val="1"/>
                <w:szCs w:val="1"/>
                <w:color w:val="auto"/>
              </w:rPr>
            </w:pPr>
          </w:p>
        </w:tc>
      </w:tr>
      <w:tr>
        <w:trPr>
          <w:trHeight w:val="159"/>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c>
          <w:tcPr>
            <w:tcW w:w="0" w:type="dxa"/>
            <w:vAlign w:val="bottom"/>
          </w:tcPr>
          <w:p>
            <w:pPr>
              <w:spacing w:after="0"/>
              <w:rPr>
                <w:sz w:val="1"/>
                <w:szCs w:val="1"/>
                <w:color w:val="auto"/>
              </w:rPr>
            </w:pPr>
          </w:p>
        </w:tc>
      </w:tr>
      <w:tr>
        <w:trPr>
          <w:trHeight w:val="225"/>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7"/>
              </w:rPr>
              <w:t>2100 McKinney Avenue, Suite 1500,</w:t>
            </w:r>
          </w:p>
        </w:tc>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00" w:type="dxa"/>
            <w:vAlign w:val="bottom"/>
            <w:gridSpan w:val="2"/>
          </w:tcPr>
          <w:p>
            <w:pPr>
              <w:jc w:val="right"/>
              <w:ind w:right="1722"/>
              <w:spacing w:after="0"/>
              <w:rPr>
                <w:sz w:val="20"/>
                <w:szCs w:val="20"/>
                <w:color w:val="auto"/>
              </w:rPr>
            </w:pPr>
            <w:r>
              <w:rPr>
                <w:rFonts w:ascii="Times New Roman" w:cs="Times New Roman" w:eastAsia="Times New Roman" w:hAnsi="Times New Roman"/>
                <w:sz w:val="16"/>
                <w:szCs w:val="16"/>
                <w:b w:val="1"/>
                <w:bCs w:val="1"/>
                <w:color w:val="auto"/>
              </w:rPr>
              <w:t>75201</w:t>
            </w:r>
          </w:p>
        </w:tc>
        <w:tc>
          <w:tcPr>
            <w:tcW w:w="0" w:type="dxa"/>
            <w:vAlign w:val="bottom"/>
          </w:tcPr>
          <w:p>
            <w:pPr>
              <w:spacing w:after="0"/>
              <w:rPr>
                <w:sz w:val="1"/>
                <w:szCs w:val="1"/>
                <w:color w:val="auto"/>
              </w:rPr>
            </w:pPr>
          </w:p>
        </w:tc>
      </w:tr>
      <w:tr>
        <w:trPr>
          <w:trHeight w:val="159"/>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2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213"/>
        </w:trPr>
        <w:tc>
          <w:tcPr>
            <w:tcW w:w="8100" w:type="dxa"/>
            <w:vAlign w:val="bottom"/>
            <w:gridSpan w:val="4"/>
          </w:tcPr>
          <w:p>
            <w:pPr>
              <w:jc w:val="center"/>
              <w:ind w:left="2408"/>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 (469) 621-3001</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20" w:type="dxa"/>
            <w:vAlign w:val="bottom"/>
            <w:gridSpan w:val="3"/>
          </w:tcPr>
          <w:p>
            <w:pPr>
              <w:jc w:val="center"/>
              <w:ind w:left="3088"/>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12(b) of the Act:</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tcPr>
          <w:p>
            <w:pPr>
              <w:jc w:val="center"/>
              <w:ind w:right="628"/>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180" w:type="dxa"/>
            <w:vAlign w:val="bottom"/>
            <w:gridSpan w:val="2"/>
          </w:tcPr>
          <w:p>
            <w:pPr>
              <w:jc w:val="center"/>
              <w:ind w:right="982"/>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500" w:type="dxa"/>
            <w:vAlign w:val="bottom"/>
            <w:gridSpan w:val="2"/>
          </w:tcPr>
          <w:p>
            <w:pPr>
              <w:jc w:val="center"/>
              <w:ind w:left="211"/>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237"/>
        </w:trPr>
        <w:tc>
          <w:tcPr>
            <w:tcW w:w="4240" w:type="dxa"/>
            <w:vAlign w:val="bottom"/>
          </w:tcPr>
          <w:p>
            <w:pPr>
              <w:jc w:val="center"/>
              <w:ind w:right="628"/>
              <w:spacing w:after="0"/>
              <w:rPr>
                <w:sz w:val="20"/>
                <w:szCs w:val="20"/>
                <w:color w:val="auto"/>
              </w:rPr>
            </w:pPr>
            <w:r>
              <w:rPr>
                <w:rFonts w:ascii="Times New Roman" w:cs="Times New Roman" w:eastAsia="Times New Roman" w:hAnsi="Times New Roman"/>
                <w:sz w:val="16"/>
                <w:szCs w:val="16"/>
                <w:b w:val="1"/>
                <w:bCs w:val="1"/>
                <w:color w:val="auto"/>
                <w:w w:val="97"/>
              </w:rPr>
              <w:t>Common Stock, par value $0.01 per share</w:t>
            </w:r>
          </w:p>
        </w:tc>
        <w:tc>
          <w:tcPr>
            <w:tcW w:w="3180" w:type="dxa"/>
            <w:vAlign w:val="bottom"/>
            <w:gridSpan w:val="2"/>
          </w:tcPr>
          <w:p>
            <w:pPr>
              <w:jc w:val="center"/>
              <w:ind w:right="1002"/>
              <w:spacing w:after="0"/>
              <w:rPr>
                <w:sz w:val="20"/>
                <w:szCs w:val="20"/>
                <w:color w:val="auto"/>
              </w:rPr>
            </w:pPr>
            <w:r>
              <w:rPr>
                <w:rFonts w:ascii="Times New Roman" w:cs="Times New Roman" w:eastAsia="Times New Roman" w:hAnsi="Times New Roman"/>
                <w:sz w:val="16"/>
                <w:szCs w:val="16"/>
                <w:b w:val="1"/>
                <w:bCs w:val="1"/>
                <w:color w:val="auto"/>
              </w:rPr>
              <w:t>TSLX</w:t>
            </w:r>
          </w:p>
        </w:tc>
        <w:tc>
          <w:tcPr>
            <w:tcW w:w="2500" w:type="dxa"/>
            <w:vAlign w:val="bottom"/>
            <w:gridSpan w:val="2"/>
          </w:tcPr>
          <w:p>
            <w:pPr>
              <w:jc w:val="center"/>
              <w:ind w:left="231"/>
              <w:spacing w:after="0"/>
              <w:rPr>
                <w:sz w:val="20"/>
                <w:szCs w:val="20"/>
                <w:color w:val="auto"/>
              </w:rPr>
            </w:pPr>
            <w:r>
              <w:rPr>
                <w:rFonts w:ascii="Times New Roman" w:cs="Times New Roman" w:eastAsia="Times New Roman" w:hAnsi="Times New Roman"/>
                <w:sz w:val="16"/>
                <w:szCs w:val="16"/>
                <w:b w:val="1"/>
                <w:bCs w:val="1"/>
                <w:color w:val="auto"/>
                <w:w w:val="97"/>
              </w:rPr>
              <w:t>The New York Stock Exchange</w:t>
            </w:r>
          </w:p>
        </w:tc>
        <w:tc>
          <w:tcPr>
            <w:tcW w:w="0" w:type="dxa"/>
            <w:vAlign w:val="bottom"/>
          </w:tcPr>
          <w:p>
            <w:pPr>
              <w:spacing w:after="0"/>
              <w:rPr>
                <w:sz w:val="1"/>
                <w:szCs w:val="1"/>
                <w:color w:val="auto"/>
              </w:rPr>
            </w:pPr>
          </w:p>
        </w:tc>
      </w:tr>
      <w:tr>
        <w:trPr>
          <w:trHeight w:val="204"/>
        </w:trPr>
        <w:tc>
          <w:tcPr>
            <w:tcW w:w="7420" w:type="dxa"/>
            <w:vAlign w:val="bottom"/>
            <w:gridSpan w:val="3"/>
          </w:tcPr>
          <w:p>
            <w:pPr>
              <w:jc w:val="center"/>
              <w:ind w:left="3068"/>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12(g) of the Act: None</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40" w:type="dxa"/>
            <w:vAlign w:val="bottom"/>
          </w:tcPr>
          <w:p>
            <w:pPr>
              <w:spacing w:after="0"/>
              <w:rPr>
                <w:sz w:val="17"/>
                <w:szCs w:val="17"/>
                <w:color w:val="auto"/>
              </w:rPr>
            </w:pPr>
          </w:p>
        </w:tc>
        <w:tc>
          <w:tcPr>
            <w:tcW w:w="3180" w:type="dxa"/>
            <w:vAlign w:val="bottom"/>
            <w:gridSpan w:val="2"/>
          </w:tcPr>
          <w:p>
            <w:pPr>
              <w:jc w:val="center"/>
              <w:ind w:right="1002"/>
              <w:spacing w:after="0"/>
              <w:rPr>
                <w:sz w:val="20"/>
                <w:szCs w:val="20"/>
                <w:color w:val="auto"/>
              </w:rPr>
            </w:pPr>
            <w:r>
              <w:rPr>
                <w:rFonts w:ascii="Times New Roman" w:cs="Times New Roman" w:eastAsia="Times New Roman" w:hAnsi="Times New Roman"/>
                <w:sz w:val="16"/>
                <w:szCs w:val="16"/>
                <w:b w:val="1"/>
                <w:bCs w:val="1"/>
                <w:color w:val="auto"/>
                <w:w w:val="97"/>
              </w:rPr>
              <w:t>(Title of class)</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w:t>
            </w:r>
          </w:p>
        </w:tc>
        <w:tc>
          <w:tcPr>
            <w:tcW w:w="2100" w:type="dxa"/>
            <w:vAlign w:val="bottom"/>
            <w:tcBorders>
              <w:bottom w:val="single" w:sz="8" w:color="auto"/>
            </w:tcBorders>
          </w:tcPr>
          <w:p>
            <w:pPr>
              <w:spacing w:after="0"/>
              <w:rPr>
                <w:sz w:val="5"/>
                <w:szCs w:val="5"/>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Securities Act.</w:t>
            </w:r>
          </w:p>
        </w:tc>
        <w:tc>
          <w:tcPr>
            <w:tcW w:w="680" w:type="dxa"/>
            <w:vAlign w:val="bottom"/>
            <w:vMerge w:val="restart"/>
          </w:tcPr>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82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6"/>
                <w:szCs w:val="16"/>
                <w:color w:val="auto"/>
                <w:w w:val="91"/>
              </w:rPr>
              <w:t>issuer, as defined in Rule 405 of the</w:t>
            </w:r>
          </w:p>
        </w:tc>
        <w:tc>
          <w:tcPr>
            <w:tcW w:w="10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810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w w:val="98"/>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8"/>
              </w:rPr>
              <w:t>☐</w:t>
            </w:r>
          </w:p>
        </w:tc>
        <w:tc>
          <w:tcPr>
            <w:tcW w:w="18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100"/>
        <w:spacing w:after="0" w:line="18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500" w:type="dxa"/>
        <w:tblCellMar>
          <w:top w:w="0" w:type="dxa"/>
          <w:left w:w="0" w:type="dxa"/>
          <w:bottom w:w="0" w:type="dxa"/>
          <w:right w:w="0" w:type="dxa"/>
        </w:tblCellMar>
      </w:tblPr>
      <w:tr>
        <w:trPr>
          <w:trHeight w:val="26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2"/>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19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280"/>
        <w:spacing w:after="0" w:line="19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 w:lineRule="exact"/>
        <w:rPr>
          <w:sz w:val="24"/>
          <w:szCs w:val="24"/>
          <w:color w:val="auto"/>
        </w:rPr>
      </w:pPr>
    </w:p>
    <w:p>
      <w:pPr>
        <w:ind w:right="40"/>
        <w:spacing w:after="0" w:line="20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4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580" w:val="left"/>
          <w:tab w:leader="none" w:pos="7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6"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The aggregate market value of the voting stock held by non -affiliates of the registrant on June 28, 2024, based on the closing price on that date of $21.35 on The New York Stock Exchange, was approximately $1,921,778,947. The number of shares of the registrant’s common stock, $.01 par value per share, outstanding at February 13, 2025 was 93,661,436.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39370</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the 2025 annual meeting of stockholders are incorporated by reference in Part III.</w:t>
      </w:r>
    </w:p>
    <w:p>
      <w:pPr>
        <w:spacing w:after="0" w:line="8" w:lineRule="exact"/>
        <w:rPr>
          <w:sz w:val="24"/>
          <w:szCs w:val="24"/>
          <w:color w:val="auto"/>
        </w:rPr>
      </w:pPr>
    </w:p>
    <w:p>
      <w:pPr>
        <w:spacing w:after="0"/>
        <w:tabs>
          <w:tab w:leader="none" w:pos="1500" w:val="left"/>
          <w:tab w:leader="none" w:pos="3480" w:val="left"/>
        </w:tabs>
        <w:rPr>
          <w:sz w:val="20"/>
          <w:szCs w:val="20"/>
          <w:color w:val="auto"/>
        </w:rPr>
      </w:pPr>
      <w:r>
        <w:rPr>
          <w:rFonts w:ascii="Times New Roman" w:cs="Times New Roman" w:eastAsia="Times New Roman" w:hAnsi="Times New Roman"/>
          <w:sz w:val="16"/>
          <w:szCs w:val="16"/>
          <w:color w:val="auto"/>
        </w:rPr>
        <w:t>Auditor Firm Id:185</w:t>
        <w:tab/>
        <w:t>Auditor Name: KPMG LLP</w:t>
      </w:r>
      <w:r>
        <w:rPr>
          <w:sz w:val="20"/>
          <w:szCs w:val="20"/>
          <w:color w:val="auto"/>
        </w:rPr>
        <w:tab/>
      </w:r>
      <w:r>
        <w:rPr>
          <w:rFonts w:ascii="Times New Roman" w:cs="Times New Roman" w:eastAsia="Times New Roman" w:hAnsi="Times New Roman"/>
          <w:sz w:val="14"/>
          <w:szCs w:val="14"/>
          <w:color w:val="auto"/>
        </w:rPr>
        <w:t>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565150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13" w:right="68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540" w:type="dxa"/>
            <w:vAlign w:val="bottom"/>
            <w:gridSpan w:val="10"/>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7"/>
              </w:rPr>
              <w:t>SIXTH STREET SPECIALTY LENDING, INC.</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gridSpan w:val="9"/>
          </w:tcPr>
          <w:p>
            <w:pPr>
              <w:jc w:val="center"/>
              <w:ind w:right="12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Index to Annual Report on Form 10-K for</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80" w:type="dxa"/>
            <w:vAlign w:val="bottom"/>
            <w:gridSpan w:val="9"/>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2024</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020" w:type="dxa"/>
            <w:vAlign w:val="bottom"/>
            <w:gridSpan w:val="5"/>
            <w:vMerge w:val="restart"/>
          </w:tcPr>
          <w:p>
            <w:pPr>
              <w:spacing w:after="0"/>
              <w:rPr>
                <w:rFonts w:ascii="Times New Roman" w:cs="Times New Roman" w:eastAsia="Times New Roman" w:hAnsi="Times New Roman"/>
                <w:sz w:val="16"/>
                <w:szCs w:val="16"/>
                <w:b w:val="1"/>
                <w:bCs w:val="1"/>
                <w:color w:val="0000FF"/>
              </w:rPr>
            </w:pPr>
            <w:hyperlink w:anchor="page4">
              <w:r>
                <w:rPr>
                  <w:rFonts w:ascii="Times New Roman" w:cs="Times New Roman" w:eastAsia="Times New Roman" w:hAnsi="Times New Roman"/>
                  <w:sz w:val="16"/>
                  <w:szCs w:val="16"/>
                  <w:b w:val="1"/>
                  <w:bCs w:val="1"/>
                  <w:color w:val="0000FF"/>
                </w:rPr>
                <w:t>PART I</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560" w:type="dxa"/>
            <w:vAlign w:val="bottom"/>
            <w:vMerge w:val="restart"/>
          </w:tcPr>
          <w:p>
            <w:pPr>
              <w:spacing w:after="0"/>
              <w:rPr>
                <w:rFonts w:ascii="Times New Roman" w:cs="Times New Roman" w:eastAsia="Times New Roman" w:hAnsi="Times New Roman"/>
                <w:sz w:val="16"/>
                <w:szCs w:val="16"/>
                <w:color w:val="0000FF"/>
                <w:w w:val="94"/>
              </w:rPr>
            </w:pPr>
            <w:hyperlink w:anchor="page4">
              <w:r>
                <w:rPr>
                  <w:rFonts w:ascii="Times New Roman" w:cs="Times New Roman" w:eastAsia="Times New Roman" w:hAnsi="Times New Roman"/>
                  <w:sz w:val="16"/>
                  <w:szCs w:val="16"/>
                  <w:color w:val="0000FF"/>
                  <w:w w:val="94"/>
                </w:rPr>
                <w:t>Business</w:t>
              </w:r>
            </w:hyperlink>
          </w:p>
        </w:tc>
        <w:tc>
          <w:tcPr>
            <w:tcW w:w="6460" w:type="dxa"/>
            <w:vAlign w:val="bottom"/>
            <w:gridSpan w:val="21"/>
            <w:vMerge w:val="restart"/>
          </w:tcPr>
          <w:p>
            <w:pPr>
              <w:spacing w:after="0"/>
              <w:rPr>
                <w:sz w:val="13"/>
                <w:szCs w:val="13"/>
                <w:color w:val="auto"/>
              </w:rPr>
            </w:pP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520" w:type="dxa"/>
            <w:vAlign w:val="bottom"/>
            <w:tcBorders>
              <w:top w:val="single" w:sz="8" w:color="0000EE"/>
            </w:tcBorders>
          </w:tcPr>
          <w:p>
            <w:pPr>
              <w:spacing w:after="0" w:line="160" w:lineRule="exact"/>
              <w:rPr>
                <w:sz w:val="20"/>
                <w:szCs w:val="20"/>
                <w:color w:val="auto"/>
              </w:rPr>
            </w:pPr>
            <w:r>
              <w:rPr>
                <w:rFonts w:ascii="Times New Roman" w:cs="Times New Roman" w:eastAsia="Times New Roman" w:hAnsi="Times New Roman"/>
                <w:sz w:val="16"/>
                <w:szCs w:val="16"/>
                <w:color w:val="auto"/>
                <w:w w:val="90"/>
              </w:rPr>
              <w:t>ITEM 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bottom w:val="single" w:sz="8" w:color="0000EE"/>
            </w:tcBorders>
            <w:vMerge w:val="continue"/>
          </w:tcPr>
          <w:p>
            <w:pPr>
              <w:spacing w:after="0"/>
              <w:rPr>
                <w:sz w:val="13"/>
                <w:szCs w:val="13"/>
                <w:color w:val="auto"/>
              </w:rPr>
            </w:pPr>
          </w:p>
        </w:tc>
        <w:tc>
          <w:tcPr>
            <w:tcW w:w="6460" w:type="dxa"/>
            <w:vAlign w:val="bottom"/>
            <w:gridSpan w:val="21"/>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1A.</w:t>
            </w:r>
          </w:p>
        </w:tc>
        <w:tc>
          <w:tcPr>
            <w:tcW w:w="7020" w:type="dxa"/>
            <w:vAlign w:val="bottom"/>
            <w:gridSpan w:val="22"/>
          </w:tcPr>
          <w:p>
            <w:pPr>
              <w:spacing w:after="0" w:line="160" w:lineRule="exact"/>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Risk Factors</w:t>
              </w:r>
            </w:hyperlink>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1B.</w:t>
            </w:r>
          </w:p>
        </w:tc>
        <w:tc>
          <w:tcPr>
            <w:tcW w:w="7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Unresolved</w:t>
              </w:r>
            </w:hyperlink>
          </w:p>
        </w:tc>
        <w:tc>
          <w:tcPr>
            <w:tcW w:w="6240" w:type="dxa"/>
            <w:vAlign w:val="bottom"/>
            <w:gridSpan w:val="18"/>
          </w:tcPr>
          <w:p>
            <w:pPr>
              <w:spacing w:after="0" w:line="160" w:lineRule="exact"/>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Staff Comments</w:t>
              </w:r>
            </w:hyperlink>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1C.</w:t>
            </w:r>
          </w:p>
        </w:tc>
        <w:tc>
          <w:tcPr>
            <w:tcW w:w="178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Cybersecurity</w:t>
              </w:r>
            </w:hyperlink>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5"/>
              </w:rPr>
            </w:pPr>
            <w:hyperlink w:anchor="page57">
              <w:r>
                <w:rPr>
                  <w:rFonts w:ascii="Times New Roman" w:cs="Times New Roman" w:eastAsia="Times New Roman" w:hAnsi="Times New Roman"/>
                  <w:sz w:val="16"/>
                  <w:szCs w:val="16"/>
                  <w:color w:val="0000FF"/>
                  <w:w w:val="95"/>
                </w:rPr>
                <w:t>Properties</w:t>
              </w:r>
            </w:hyperlink>
          </w:p>
        </w:tc>
        <w:tc>
          <w:tcPr>
            <w:tcW w:w="240" w:type="dxa"/>
            <w:vAlign w:val="bottom"/>
            <w:tcBorders>
              <w:top w:val="single" w:sz="8" w:color="0000EE"/>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0000FF"/>
                <w:w w:val="96"/>
              </w:rPr>
            </w:pPr>
            <w:hyperlink w:anchor="page57">
              <w:r>
                <w:rPr>
                  <w:rFonts w:ascii="Times New Roman" w:cs="Times New Roman" w:eastAsia="Times New Roman" w:hAnsi="Times New Roman"/>
                  <w:sz w:val="16"/>
                  <w:szCs w:val="16"/>
                  <w:color w:val="0000FF"/>
                  <w:w w:val="96"/>
                </w:rPr>
                <w:t>Legal Proceedings</w:t>
              </w:r>
            </w:hyperlink>
          </w:p>
        </w:tc>
        <w:tc>
          <w:tcPr>
            <w:tcW w:w="5860" w:type="dxa"/>
            <w:vAlign w:val="bottom"/>
            <w:gridSpan w:val="15"/>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154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FF"/>
                <w:w w:val="96"/>
              </w:rPr>
            </w:pPr>
            <w:hyperlink w:anchor="page57">
              <w:r>
                <w:rPr>
                  <w:rFonts w:ascii="Times New Roman" w:cs="Times New Roman" w:eastAsia="Times New Roman" w:hAnsi="Times New Roman"/>
                  <w:sz w:val="16"/>
                  <w:szCs w:val="16"/>
                  <w:color w:val="0000FF"/>
                  <w:w w:val="96"/>
                </w:rPr>
                <w:t>Mine Safety Disclosures</w:t>
              </w:r>
            </w:hyperlink>
          </w:p>
        </w:tc>
        <w:tc>
          <w:tcPr>
            <w:tcW w:w="5480" w:type="dxa"/>
            <w:vAlign w:val="bottom"/>
            <w:gridSpan w:val="13"/>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20" w:type="dxa"/>
            <w:vAlign w:val="bottom"/>
            <w:gridSpan w:val="5"/>
          </w:tcPr>
          <w:p>
            <w:pPr>
              <w:spacing w:after="0"/>
              <w:rPr>
                <w:rFonts w:ascii="Times New Roman" w:cs="Times New Roman" w:eastAsia="Times New Roman" w:hAnsi="Times New Roman"/>
                <w:sz w:val="16"/>
                <w:szCs w:val="16"/>
                <w:b w:val="1"/>
                <w:bCs w:val="1"/>
                <w:color w:val="0000FF"/>
              </w:rPr>
            </w:pPr>
            <w:hyperlink w:anchor="page58">
              <w:r>
                <w:rPr>
                  <w:rFonts w:ascii="Times New Roman" w:cs="Times New Roman" w:eastAsia="Times New Roman" w:hAnsi="Times New Roman"/>
                  <w:sz w:val="16"/>
                  <w:szCs w:val="16"/>
                  <w:b w:val="1"/>
                  <w:bCs w:val="1"/>
                  <w:color w:val="0000FF"/>
                </w:rPr>
                <w:t>PART II</w:t>
              </w:r>
            </w:hyperlink>
          </w:p>
        </w:tc>
        <w:tc>
          <w:tcPr>
            <w:tcW w:w="7020" w:type="dxa"/>
            <w:vAlign w:val="bottom"/>
            <w:gridSpan w:val="22"/>
            <w:vMerge w:val="restart"/>
          </w:tcPr>
          <w:p>
            <w:pPr>
              <w:spacing w:after="0"/>
              <w:rPr>
                <w:rFonts w:ascii="Times New Roman" w:cs="Times New Roman" w:eastAsia="Times New Roman" w:hAnsi="Times New Roman"/>
                <w:sz w:val="16"/>
                <w:szCs w:val="16"/>
                <w:color w:val="0000FF"/>
                <w:w w:val="97"/>
              </w:rPr>
            </w:pPr>
            <w:hyperlink w:anchor="page58">
              <w:r>
                <w:rPr>
                  <w:rFonts w:ascii="Times New Roman" w:cs="Times New Roman" w:eastAsia="Times New Roman" w:hAnsi="Times New Roman"/>
                  <w:sz w:val="16"/>
                  <w:szCs w:val="16"/>
                  <w:color w:val="0000FF"/>
                  <w:w w:val="97"/>
                </w:rPr>
                <w:t>Market for Registrant’s Common Equity, Related Stockholder Matters and Issuer Purchases of Equity Securities</w:t>
              </w:r>
            </w:hyperlink>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580" w:type="dxa"/>
            <w:vAlign w:val="bottom"/>
            <w:tcBorders>
              <w:top w:val="single" w:sz="8" w:color="0000EE"/>
            </w:tcBorders>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20" w:type="dxa"/>
            <w:vAlign w:val="bottom"/>
            <w:tcBorders>
              <w:bottom w:val="single" w:sz="8" w:color="0000EE"/>
            </w:tcBorders>
            <w:gridSpan w:val="22"/>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580" w:type="dxa"/>
            <w:vAlign w:val="bottom"/>
            <w:tcBorders>
              <w:bottom w:val="single" w:sz="8" w:color="0000EE"/>
            </w:tcBorders>
            <w:gridSpan w:val="2"/>
          </w:tcPr>
          <w:p>
            <w:pPr>
              <w:spacing w:after="0" w:line="160" w:lineRule="exact"/>
              <w:rPr>
                <w:rFonts w:ascii="Times New Roman" w:cs="Times New Roman" w:eastAsia="Times New Roman" w:hAnsi="Times New Roman"/>
                <w:sz w:val="16"/>
                <w:szCs w:val="16"/>
                <w:color w:val="0000FF"/>
                <w:w w:val="93"/>
              </w:rPr>
            </w:pPr>
            <w:hyperlink w:anchor="page61">
              <w:r>
                <w:rPr>
                  <w:rFonts w:ascii="Times New Roman" w:cs="Times New Roman" w:eastAsia="Times New Roman" w:hAnsi="Times New Roman"/>
                  <w:sz w:val="16"/>
                  <w:szCs w:val="16"/>
                  <w:color w:val="0000FF"/>
                  <w:w w:val="93"/>
                </w:rPr>
                <w:t>Reserved</w:t>
              </w:r>
            </w:hyperlink>
          </w:p>
        </w:tc>
        <w:tc>
          <w:tcPr>
            <w:tcW w:w="6440" w:type="dxa"/>
            <w:vAlign w:val="bottom"/>
            <w:gridSpan w:val="20"/>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7.</w:t>
            </w:r>
          </w:p>
        </w:tc>
        <w:tc>
          <w:tcPr>
            <w:tcW w:w="7020" w:type="dxa"/>
            <w:vAlign w:val="bottom"/>
            <w:gridSpan w:val="22"/>
          </w:tcPr>
          <w:p>
            <w:pPr>
              <w:spacing w:after="0" w:line="160" w:lineRule="exact"/>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7A.</w:t>
            </w:r>
          </w:p>
        </w:tc>
        <w:tc>
          <w:tcPr>
            <w:tcW w:w="560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w:anchor="page87">
              <w:r>
                <w:rPr>
                  <w:rFonts w:ascii="Times New Roman" w:cs="Times New Roman" w:eastAsia="Times New Roman" w:hAnsi="Times New Roman"/>
                  <w:sz w:val="16"/>
                  <w:szCs w:val="16"/>
                  <w:color w:val="0000FF"/>
                </w:rPr>
                <w:t>Quantitative and Qualitative Disclosures About Market Risk</w:t>
              </w:r>
            </w:hyperlink>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8.</w:t>
            </w:r>
          </w:p>
        </w:tc>
        <w:tc>
          <w:tcPr>
            <w:tcW w:w="37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w:anchor="page89">
              <w:r>
                <w:rPr>
                  <w:rFonts w:ascii="Times New Roman" w:cs="Times New Roman" w:eastAsia="Times New Roman" w:hAnsi="Times New Roman"/>
                  <w:sz w:val="16"/>
                  <w:szCs w:val="16"/>
                  <w:color w:val="0000FF"/>
                  <w:w w:val="97"/>
                </w:rPr>
                <w:t>Consolidated Financial Statements and Supplementary Data</w:t>
              </w:r>
            </w:hyperlink>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9.</w:t>
            </w:r>
          </w:p>
        </w:tc>
        <w:tc>
          <w:tcPr>
            <w:tcW w:w="114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7020" w:type="dxa"/>
            <w:vAlign w:val="bottom"/>
            <w:gridSpan w:val="22"/>
          </w:tcPr>
          <w:p>
            <w:pPr>
              <w:spacing w:after="0" w:line="160" w:lineRule="exact"/>
              <w:rPr>
                <w:rFonts w:ascii="Times New Roman" w:cs="Times New Roman" w:eastAsia="Times New Roman" w:hAnsi="Times New Roman"/>
                <w:sz w:val="16"/>
                <w:szCs w:val="16"/>
                <w:color w:val="0000FF"/>
              </w:rPr>
            </w:pPr>
            <w:hyperlink w:anchor="page144">
              <w:r>
                <w:rPr>
                  <w:rFonts w:ascii="Times New Roman" w:cs="Times New Roman" w:eastAsia="Times New Roman" w:hAnsi="Times New Roman"/>
                  <w:sz w:val="16"/>
                  <w:szCs w:val="16"/>
                  <w:color w:val="0000FF"/>
                </w:rPr>
                <w:t>Changes in and Disagreements with Accountants on Accounting and Financial Disclosure</w:t>
              </w:r>
            </w:hyperlink>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9A.</w:t>
            </w:r>
          </w:p>
        </w:tc>
        <w:tc>
          <w:tcPr>
            <w:tcW w:w="56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w:anchor="page144">
              <w:r>
                <w:rPr>
                  <w:rFonts w:ascii="Times New Roman" w:cs="Times New Roman" w:eastAsia="Times New Roman" w:hAnsi="Times New Roman"/>
                  <w:sz w:val="16"/>
                  <w:szCs w:val="16"/>
                  <w:color w:val="0000FF"/>
                </w:rPr>
                <w:t>Controls and Procedures</w:t>
              </w:r>
            </w:hyperlink>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5"/>
              </w:rPr>
            </w:pPr>
            <w:hyperlink w:anchor="page144">
              <w:r>
                <w:rPr>
                  <w:rFonts w:ascii="Times New Roman" w:cs="Times New Roman" w:eastAsia="Times New Roman" w:hAnsi="Times New Roman"/>
                  <w:sz w:val="16"/>
                  <w:szCs w:val="16"/>
                  <w:color w:val="0000FF"/>
                  <w:w w:val="95"/>
                </w:rPr>
                <w:t>Other Information</w:t>
              </w:r>
            </w:hyperlink>
          </w:p>
        </w:tc>
        <w:tc>
          <w:tcPr>
            <w:tcW w:w="40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gridSpan w:val="3"/>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9C.</w:t>
            </w:r>
          </w:p>
        </w:tc>
        <w:tc>
          <w:tcPr>
            <w:tcW w:w="7020" w:type="dxa"/>
            <w:vAlign w:val="bottom"/>
            <w:gridSpan w:val="22"/>
          </w:tcPr>
          <w:p>
            <w:pPr>
              <w:spacing w:after="0" w:line="160" w:lineRule="exact"/>
              <w:rPr>
                <w:rFonts w:ascii="Times New Roman" w:cs="Times New Roman" w:eastAsia="Times New Roman" w:hAnsi="Times New Roman"/>
                <w:sz w:val="16"/>
                <w:szCs w:val="16"/>
                <w:color w:val="0000FF"/>
              </w:rPr>
            </w:pPr>
            <w:hyperlink w:anchor="page144">
              <w:r>
                <w:rPr>
                  <w:rFonts w:ascii="Times New Roman" w:cs="Times New Roman" w:eastAsia="Times New Roman" w:hAnsi="Times New Roman"/>
                  <w:sz w:val="16"/>
                  <w:szCs w:val="16"/>
                  <w:color w:val="0000FF"/>
                </w:rPr>
                <w:t>Disclosure Regarding Foreign Jurisdictions that Prevent Inspections</w:t>
              </w:r>
            </w:hyperlink>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20" w:type="dxa"/>
            <w:vAlign w:val="bottom"/>
            <w:gridSpan w:val="5"/>
          </w:tcPr>
          <w:p>
            <w:pPr>
              <w:spacing w:after="0"/>
              <w:rPr>
                <w:rFonts w:ascii="Times New Roman" w:cs="Times New Roman" w:eastAsia="Times New Roman" w:hAnsi="Times New Roman"/>
                <w:sz w:val="16"/>
                <w:szCs w:val="16"/>
                <w:b w:val="1"/>
                <w:bCs w:val="1"/>
                <w:color w:val="0000FF"/>
              </w:rPr>
            </w:pPr>
            <w:hyperlink w:anchor="page145">
              <w:r>
                <w:rPr>
                  <w:rFonts w:ascii="Times New Roman" w:cs="Times New Roman" w:eastAsia="Times New Roman" w:hAnsi="Times New Roman"/>
                  <w:sz w:val="16"/>
                  <w:szCs w:val="16"/>
                  <w:b w:val="1"/>
                  <w:bCs w:val="1"/>
                  <w:color w:val="0000FF"/>
                </w:rPr>
                <w:t>PART III</w:t>
              </w:r>
            </w:hyperlink>
          </w:p>
        </w:tc>
        <w:tc>
          <w:tcPr>
            <w:tcW w:w="4240" w:type="dxa"/>
            <w:vAlign w:val="bottom"/>
            <w:tcBorders>
              <w:top w:val="single" w:sz="8" w:color="0000EE"/>
            </w:tcBorders>
            <w:gridSpan w:val="17"/>
            <w:vMerge w:val="restart"/>
          </w:tcPr>
          <w:p>
            <w:pPr>
              <w:spacing w:after="0"/>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Directors, Executive Officers and Corporate Governance</w:t>
              </w:r>
            </w:hyperlink>
          </w:p>
        </w:tc>
        <w:tc>
          <w:tcPr>
            <w:tcW w:w="2780" w:type="dxa"/>
            <w:vAlign w:val="bottom"/>
            <w:gridSpan w:val="5"/>
            <w:vMerge w:val="restart"/>
          </w:tcPr>
          <w:p>
            <w:pPr>
              <w:spacing w:after="0"/>
              <w:rPr>
                <w:sz w:val="24"/>
                <w:szCs w:val="24"/>
                <w:color w:val="auto"/>
              </w:rPr>
            </w:pP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Borders>
              <w:top w:val="single" w:sz="8" w:color="0000EE"/>
            </w:tcBorders>
            <w:gridSpan w:val="4"/>
          </w:tcPr>
          <w:p>
            <w:pPr>
              <w:spacing w:after="0" w:line="160" w:lineRule="exact"/>
              <w:rPr>
                <w:sz w:val="20"/>
                <w:szCs w:val="20"/>
                <w:color w:val="auto"/>
              </w:rPr>
            </w:pPr>
            <w:r>
              <w:rPr>
                <w:rFonts w:ascii="Times New Roman" w:cs="Times New Roman" w:eastAsia="Times New Roman" w:hAnsi="Times New Roman"/>
                <w:sz w:val="16"/>
                <w:szCs w:val="16"/>
                <w:color w:val="auto"/>
              </w:rPr>
              <w:t>ITEM 10.</w:t>
            </w:r>
          </w:p>
        </w:tc>
        <w:tc>
          <w:tcPr>
            <w:tcW w:w="360" w:type="dxa"/>
            <w:vAlign w:val="bottom"/>
          </w:tcPr>
          <w:p>
            <w:pPr>
              <w:spacing w:after="0"/>
              <w:rPr>
                <w:sz w:val="13"/>
                <w:szCs w:val="13"/>
                <w:color w:val="auto"/>
              </w:rPr>
            </w:pPr>
          </w:p>
        </w:tc>
        <w:tc>
          <w:tcPr>
            <w:tcW w:w="4240" w:type="dxa"/>
            <w:vAlign w:val="bottom"/>
            <w:tcBorders>
              <w:top w:val="single" w:sz="8" w:color="0000EE"/>
            </w:tcBorders>
            <w:gridSpan w:val="17"/>
            <w:vMerge w:val="continue"/>
          </w:tcPr>
          <w:p>
            <w:pPr>
              <w:spacing w:after="0"/>
              <w:rPr>
                <w:sz w:val="13"/>
                <w:szCs w:val="13"/>
                <w:color w:val="auto"/>
              </w:rPr>
            </w:pPr>
          </w:p>
        </w:tc>
        <w:tc>
          <w:tcPr>
            <w:tcW w:w="2780" w:type="dxa"/>
            <w:vAlign w:val="bottom"/>
            <w:gridSpan w:val="5"/>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11.</w:t>
            </w:r>
          </w:p>
        </w:tc>
        <w:tc>
          <w:tcPr>
            <w:tcW w:w="356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Executive Compensation</w:t>
              </w:r>
            </w:hyperlink>
          </w:p>
        </w:tc>
        <w:tc>
          <w:tcPr>
            <w:tcW w:w="1160" w:type="dxa"/>
            <w:vAlign w:val="bottom"/>
            <w:gridSpan w:val="4"/>
          </w:tcPr>
          <w:p>
            <w:pPr>
              <w:spacing w:after="0"/>
              <w:rPr>
                <w:sz w:val="13"/>
                <w:szCs w:val="13"/>
                <w:color w:val="auto"/>
              </w:rPr>
            </w:pPr>
          </w:p>
        </w:tc>
        <w:tc>
          <w:tcPr>
            <w:tcW w:w="16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12.</w:t>
            </w:r>
          </w:p>
        </w:tc>
        <w:tc>
          <w:tcPr>
            <w:tcW w:w="156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Security Ownership of</w:t>
              </w:r>
            </w:hyperlink>
          </w:p>
        </w:tc>
        <w:tc>
          <w:tcPr>
            <w:tcW w:w="5460" w:type="dxa"/>
            <w:vAlign w:val="bottom"/>
            <w:gridSpan w:val="12"/>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Certain Beneficial Owners and Management and Related Stockholder Matters</w:t>
              </w:r>
            </w:hyperlink>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13.</w:t>
            </w:r>
          </w:p>
        </w:tc>
        <w:tc>
          <w:tcPr>
            <w:tcW w:w="632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Certain Relationships and Related Transactions, and Director Independence</w:t>
              </w:r>
            </w:hyperlink>
          </w:p>
        </w:tc>
        <w:tc>
          <w:tcPr>
            <w:tcW w:w="700" w:type="dxa"/>
            <w:vAlign w:val="bottom"/>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14.</w:t>
            </w:r>
          </w:p>
        </w:tc>
        <w:tc>
          <w:tcPr>
            <w:tcW w:w="248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FF"/>
                <w:w w:val="96"/>
              </w:rPr>
            </w:pPr>
            <w:hyperlink w:anchor="page145">
              <w:r>
                <w:rPr>
                  <w:rFonts w:ascii="Times New Roman" w:cs="Times New Roman" w:eastAsia="Times New Roman" w:hAnsi="Times New Roman"/>
                  <w:sz w:val="16"/>
                  <w:szCs w:val="16"/>
                  <w:color w:val="0000FF"/>
                  <w:w w:val="96"/>
                </w:rPr>
                <w:t>Principal Accountant Fees and Services</w:t>
              </w:r>
            </w:hyperlink>
          </w:p>
        </w:tc>
        <w:tc>
          <w:tcPr>
            <w:tcW w:w="2240" w:type="dxa"/>
            <w:vAlign w:val="bottom"/>
            <w:tcBorders>
              <w:top w:val="single" w:sz="8" w:color="0000EE"/>
            </w:tcBorders>
            <w:gridSpan w:val="6"/>
          </w:tcPr>
          <w:p>
            <w:pPr>
              <w:spacing w:after="0"/>
              <w:rPr>
                <w:sz w:val="13"/>
                <w:szCs w:val="13"/>
                <w:color w:val="auto"/>
              </w:rPr>
            </w:pPr>
          </w:p>
        </w:tc>
        <w:tc>
          <w:tcPr>
            <w:tcW w:w="2300" w:type="dxa"/>
            <w:vAlign w:val="bottom"/>
            <w:gridSpan w:val="4"/>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20" w:type="dxa"/>
            <w:vAlign w:val="bottom"/>
            <w:gridSpan w:val="5"/>
          </w:tcPr>
          <w:p>
            <w:pPr>
              <w:spacing w:after="0"/>
              <w:rPr>
                <w:rFonts w:ascii="Times New Roman" w:cs="Times New Roman" w:eastAsia="Times New Roman" w:hAnsi="Times New Roman"/>
                <w:sz w:val="16"/>
                <w:szCs w:val="16"/>
                <w:b w:val="1"/>
                <w:bCs w:val="1"/>
                <w:color w:val="0000FF"/>
              </w:rPr>
            </w:pPr>
            <w:hyperlink w:anchor="page146">
              <w:r>
                <w:rPr>
                  <w:rFonts w:ascii="Times New Roman" w:cs="Times New Roman" w:eastAsia="Times New Roman" w:hAnsi="Times New Roman"/>
                  <w:sz w:val="16"/>
                  <w:szCs w:val="16"/>
                  <w:b w:val="1"/>
                  <w:bCs w:val="1"/>
                  <w:color w:val="0000FF"/>
                </w:rPr>
                <w:t>PART IV</w:t>
              </w:r>
            </w:hyperlink>
          </w:p>
        </w:tc>
        <w:tc>
          <w:tcPr>
            <w:tcW w:w="7020" w:type="dxa"/>
            <w:vAlign w:val="bottom"/>
            <w:gridSpan w:val="22"/>
            <w:vMerge w:val="restart"/>
          </w:tcPr>
          <w:p>
            <w:pPr>
              <w:spacing w:after="0"/>
              <w:rPr>
                <w:rFonts w:ascii="Times New Roman" w:cs="Times New Roman" w:eastAsia="Times New Roman" w:hAnsi="Times New Roman"/>
                <w:sz w:val="16"/>
                <w:szCs w:val="16"/>
                <w:color w:val="0000FF"/>
              </w:rPr>
            </w:pPr>
            <w:hyperlink w:anchor="page146">
              <w:r>
                <w:rPr>
                  <w:rFonts w:ascii="Times New Roman" w:cs="Times New Roman" w:eastAsia="Times New Roman" w:hAnsi="Times New Roman"/>
                  <w:sz w:val="16"/>
                  <w:szCs w:val="16"/>
                  <w:color w:val="0000FF"/>
                </w:rPr>
                <w:t>Exhibits and Financial Statement Schedules</w:t>
              </w:r>
            </w:hyperlink>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Borders>
              <w:top w:val="single" w:sz="8" w:color="0000EE"/>
            </w:tcBorders>
            <w:gridSpan w:val="3"/>
          </w:tcPr>
          <w:p>
            <w:pPr>
              <w:spacing w:after="0" w:line="160" w:lineRule="exact"/>
              <w:rPr>
                <w:sz w:val="20"/>
                <w:szCs w:val="20"/>
                <w:color w:val="auto"/>
              </w:rPr>
            </w:pPr>
            <w:r>
              <w:rPr>
                <w:rFonts w:ascii="Times New Roman" w:cs="Times New Roman" w:eastAsia="Times New Roman" w:hAnsi="Times New Roman"/>
                <w:sz w:val="16"/>
                <w:szCs w:val="16"/>
                <w:color w:val="auto"/>
                <w:w w:val="98"/>
              </w:rPr>
              <w:t>ITEM 15.</w:t>
            </w:r>
          </w:p>
        </w:tc>
        <w:tc>
          <w:tcPr>
            <w:tcW w:w="380" w:type="dxa"/>
            <w:vAlign w:val="bottom"/>
            <w:gridSpan w:val="2"/>
          </w:tcPr>
          <w:p>
            <w:pPr>
              <w:spacing w:after="0"/>
              <w:rPr>
                <w:sz w:val="13"/>
                <w:szCs w:val="13"/>
                <w:color w:val="auto"/>
              </w:rPr>
            </w:pPr>
          </w:p>
        </w:tc>
        <w:tc>
          <w:tcPr>
            <w:tcW w:w="7020" w:type="dxa"/>
            <w:vAlign w:val="bottom"/>
            <w:gridSpan w:val="22"/>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16.</w:t>
            </w:r>
          </w:p>
        </w:tc>
        <w:tc>
          <w:tcPr>
            <w:tcW w:w="274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w:anchor="page150">
              <w:r>
                <w:rPr>
                  <w:rFonts w:ascii="Times New Roman" w:cs="Times New Roman" w:eastAsia="Times New Roman" w:hAnsi="Times New Roman"/>
                  <w:sz w:val="16"/>
                  <w:szCs w:val="16"/>
                  <w:color w:val="0000FF"/>
                </w:rPr>
                <w:t>Form 10-K Summary</w:t>
              </w:r>
            </w:hyperlink>
          </w:p>
        </w:tc>
        <w:tc>
          <w:tcPr>
            <w:tcW w:w="4280" w:type="dxa"/>
            <w:vAlign w:val="bottom"/>
            <w:gridSpan w:val="9"/>
          </w:tcPr>
          <w:p>
            <w:pPr>
              <w:spacing w:after="0"/>
              <w:rPr>
                <w:sz w:val="13"/>
                <w:szCs w:val="13"/>
                <w:color w:val="auto"/>
              </w:rPr>
            </w:pPr>
          </w:p>
        </w:tc>
        <w:tc>
          <w:tcPr>
            <w:tcW w:w="2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Borders>
              <w:top w:val="single" w:sz="8" w:color="0000EE"/>
            </w:tcBorders>
            <w:gridSpan w:val="8"/>
          </w:tcPr>
          <w:p>
            <w:pPr>
              <w:spacing w:after="0"/>
              <w:rPr>
                <w:sz w:val="24"/>
                <w:szCs w:val="24"/>
                <w:color w:val="auto"/>
              </w:rPr>
            </w:pPr>
          </w:p>
        </w:tc>
        <w:tc>
          <w:tcPr>
            <w:tcW w:w="3380" w:type="dxa"/>
            <w:vAlign w:val="bottom"/>
            <w:gridSpan w:val="10"/>
          </w:tcPr>
          <w:p>
            <w:pPr>
              <w:jc w:val="center"/>
              <w:ind w:left="2342"/>
              <w:spacing w:after="0"/>
              <w:rPr>
                <w:sz w:val="20"/>
                <w:szCs w:val="20"/>
                <w:color w:val="auto"/>
              </w:rPr>
            </w:pPr>
            <w:r>
              <w:rPr>
                <w:rFonts w:ascii="Times New Roman" w:cs="Times New Roman" w:eastAsia="Times New Roman" w:hAnsi="Times New Roman"/>
                <w:sz w:val="16"/>
                <w:szCs w:val="16"/>
                <w:color w:val="auto"/>
                <w:w w:val="99"/>
              </w:rPr>
              <w:t>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07" w:right="68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90" w:lineRule="exact"/>
        <w:rPr>
          <w:sz w:val="20"/>
          <w:szCs w:val="20"/>
          <w:color w:val="auto"/>
        </w:rPr>
      </w:pPr>
    </w:p>
    <w:p>
      <w:pPr>
        <w:ind w:right="180" w:firstLine="228"/>
        <w:spacing w:after="0" w:line="239"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3" w:lineRule="exact"/>
        <w:rPr>
          <w:sz w:val="20"/>
          <w:szCs w:val="20"/>
          <w:color w:val="auto"/>
        </w:rPr>
      </w:pPr>
    </w:p>
    <w:p>
      <w:pPr>
        <w:jc w:val="both"/>
        <w:ind w:right="500" w:firstLine="228"/>
        <w:spacing w:after="0" w:line="247" w:lineRule="auto"/>
        <w:rPr>
          <w:sz w:val="20"/>
          <w:szCs w:val="20"/>
          <w:color w:val="auto"/>
        </w:rPr>
      </w:pPr>
      <w:r>
        <w:rPr>
          <w:rFonts w:ascii="Times New Roman" w:cs="Times New Roman" w:eastAsia="Times New Roman" w:hAnsi="Times New Roman"/>
          <w:sz w:val="16"/>
          <w:szCs w:val="16"/>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•an economic downturn, could impair our portfolio companies’ abilities to continue to operate, which could lead to the loss of some or all of our investments in those portfolio companies;</w:t>
      </w:r>
    </w:p>
    <w:p>
      <w:pPr>
        <w:spacing w:after="0" w:line="59" w:lineRule="exact"/>
        <w:rPr>
          <w:sz w:val="20"/>
          <w:szCs w:val="20"/>
          <w:color w:val="auto"/>
        </w:rPr>
      </w:pPr>
    </w:p>
    <w:p>
      <w:pPr>
        <w:ind w:left="240" w:right="7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an economic downturn could also impact availability and pricing of our 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inability to access the capital markets could impair our ability to raise capital and our investment activities;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•inflation could negatively impact our business, including our ability to access the debt markets on favorable terms, or could negatively impact our portfolio companies;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risks, uncertainties and other factors we identify in the section entitled “Risk Factors” in this Annual Report and elsewhere in our filings with the SEC.</w:t>
      </w:r>
    </w:p>
    <w:p>
      <w:pPr>
        <w:spacing w:after="0" w:line="188" w:lineRule="exact"/>
        <w:rPr>
          <w:sz w:val="20"/>
          <w:szCs w:val="20"/>
          <w:color w:val="auto"/>
        </w:rPr>
      </w:pPr>
    </w:p>
    <w:p>
      <w:pPr>
        <w:ind w:right="20" w:firstLine="228"/>
        <w:spacing w:after="0" w:line="278"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 looking statements, which apply only as of the date of this Annual Report. We do not undertake any obligation to update or revise any forward-looking statements or any other information contained herein, except as required by applicable law. The safe harbor provisions of Section 21E of the Securities Exchange Act of 1934, as amended (the “Exchange Act”), which preclude civil liability for certain forward-looking statements, do not apply to the forward-looking statements in this Annual Report because we are an investment company.</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“TSLX” and “TAO” marks are marks of Sixth Street.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0"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 this Annual Report, except where the context suggests otherwise, the terms “TSLX,” “we,” “us,” “our,” and “the Company” refer to Sixth Street Specialty Lending, Inc. The term “Adviser” refers to Sixth Street Specialty Lending Advisers, LLC, a Delaware limited liability company. The term “Sixth Street” refers to Sixth Street Partners, LLC.</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are a specialty finance company focused on lending to middle-market companies. Since we began our investment activities in July 2011, through December 31, 2024, we have originated approximately $46.2 billion aggregate principal amount of investments and retained approximately $10.9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73"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2024, our core portfolio companies, which exclude certain investments that fall outside of our typical borrower profile and represent 95.4% of our total investments based on fair value, had weighted average annual revenue of $ 336.0 million and weighted average annual EBITDA of $110.2 million. As of December 31, 2024, our core portfolio companies had a median annual revenue of $146.9 million and a median annual EBITDA of $53.1 million.</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5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55"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20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40" w:firstLine="228"/>
        <w:spacing w:after="0" w:line="280" w:lineRule="auto"/>
        <w:rPr>
          <w:sz w:val="20"/>
          <w:szCs w:val="20"/>
          <w:color w:val="auto"/>
        </w:rPr>
      </w:pPr>
      <w:r>
        <w:rPr>
          <w:rFonts w:ascii="Times New Roman" w:cs="Times New Roman" w:eastAsia="Times New Roman" w:hAnsi="Times New Roman"/>
          <w:sz w:val="14"/>
          <w:szCs w:val="14"/>
          <w:color w:val="auto"/>
        </w:rPr>
        <w:t>As of December 31, 2024, we had investments in 116 portfolio companies (including one structured credit investment, which includes each series of collateralized loan obligation as a separate portfolio company investment), the average investment size in each of our portfolio companies was approximately $30.3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$30.6 million as of December 31, 2024. The companies in which we invest use our capital to support organic growth, acquisitions, market or product expansion and recapitalizations (including restructurings). As of December 31, 2024, the largest single investment based on fair value represented 2.3% of our total investment portfolio.</w:t>
      </w:r>
    </w:p>
    <w:p>
      <w:pPr>
        <w:spacing w:after="0" w:line="145" w:lineRule="exact"/>
        <w:rPr>
          <w:sz w:val="20"/>
          <w:szCs w:val="20"/>
          <w:color w:val="auto"/>
        </w:rPr>
      </w:pPr>
    </w:p>
    <w:p>
      <w:pPr>
        <w:ind w:right="44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our portfolio was invested across 21 different industries. The largest industry in our portfolio as of December 31, 2024 was Internet Services, which represented, as a percentage of our portfolio, 16.4% of the total portfolio based on fair value.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 with our Adviser, and Sixth Street</w:t>
      </w:r>
    </w:p>
    <w:p>
      <w:pPr>
        <w:spacing w:after="0" w:line="94"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Investment Advisers Act of 1940, as amended (the “Advisers Act”). Our</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4" w:name="page5"/>
    <w:bookmarkEnd w:id="4"/>
    <w:p>
      <w:pPr>
        <w:ind w:right="100"/>
        <w:spacing w:after="0" w:line="289" w:lineRule="auto"/>
        <w:rPr>
          <w:sz w:val="20"/>
          <w:szCs w:val="20"/>
          <w:color w:val="auto"/>
        </w:rPr>
      </w:pPr>
      <w:r>
        <w:rPr>
          <w:rFonts w:ascii="Times New Roman" w:cs="Times New Roman" w:eastAsia="Times New Roman" w:hAnsi="Times New Roman"/>
          <w:sz w:val="14"/>
          <w:szCs w:val="14"/>
          <w:color w:val="auto"/>
        </w:rPr>
        <w:t>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37"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Sixth Street is a global investment business with over $100 billion of assets under management as of December 31, 2024. Sixth Street’s direct lending platforms include Sixth Street Specialty Lending and Sixth Street Lending Partners, which are aimed at U.S. upper middle-market loan originations, Sixth Street Specialty Lending Europe, which is aimed at European middle- 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direct lending, including fifty-seven (57) investment professionals.</w:t>
      </w:r>
    </w:p>
    <w:p>
      <w:pPr>
        <w:spacing w:after="0" w:line="17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3" w:lineRule="exact"/>
        <w:rPr>
          <w:sz w:val="20"/>
          <w:szCs w:val="20"/>
          <w:color w:val="auto"/>
        </w:rPr>
      </w:pPr>
    </w:p>
    <w:p>
      <w:pPr>
        <w:ind w:right="160" w:firstLine="228"/>
        <w:spacing w:after="0" w:line="289" w:lineRule="auto"/>
        <w:rPr>
          <w:sz w:val="20"/>
          <w:szCs w:val="20"/>
          <w:color w:val="auto"/>
        </w:rPr>
      </w:pPr>
      <w:r>
        <w:rPr>
          <w:rFonts w:ascii="Times New Roman" w:cs="Times New Roman" w:eastAsia="Times New Roman" w:hAnsi="Times New Roman"/>
          <w:sz w:val="14"/>
          <w:szCs w:val="14"/>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4"/>
          <w:szCs w:val="14"/>
          <w:i w:val="1"/>
          <w:iCs w:val="1"/>
          <w:color w:val="auto"/>
        </w:rPr>
        <w:t>Regulation as a Business Development Company—Transactions with our Affiliates.”</w:t>
      </w:r>
    </w:p>
    <w:p>
      <w:pPr>
        <w:spacing w:after="0" w:line="137"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55"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55"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Under the terms of the Investment Advisory Agreement, the Adviser’s services under the Investment Advisory Agreement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 For a discussion of the Management Fee and Incentive Fee payable by us to the Adviser, see “</w:t>
      </w:r>
      <w:r>
        <w:rPr>
          <w:rFonts w:ascii="Times New Roman" w:cs="Times New Roman" w:eastAsia="Times New Roman" w:hAnsi="Times New Roman"/>
          <w:sz w:val="16"/>
          <w:szCs w:val="16"/>
          <w:i w:val="1"/>
          <w:iCs w:val="1"/>
          <w:color w:val="auto"/>
        </w:rPr>
        <w:t>Management Agreements—Investment Advisory Agreement; Administration Agreement; License Agreement</w:t>
      </w:r>
      <w:r>
        <w:rPr>
          <w:rFonts w:ascii="Times New Roman" w:cs="Times New Roman" w:eastAsia="Times New Roman" w:hAnsi="Times New Roman"/>
          <w:sz w:val="16"/>
          <w:szCs w:val="16"/>
          <w:color w:val="auto"/>
        </w:rPr>
        <w:t>.” Our Board monitors the mix and performance of our investments over time and seeks to satisfy itself that the Adviser is acting in our interests and that our fee structure appropriately incentivizes the Adviser to do so.</w:t>
      </w:r>
    </w:p>
    <w:p>
      <w:pPr>
        <w:spacing w:after="0" w:line="173"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5" w:name="page6"/>
    <w:bookmarkEnd w:id="5"/>
    <w:p>
      <w:pPr>
        <w:spacing w:after="0" w:line="6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55"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In November 2024, our Board renewed the Investment Advisory Agreement and the Administration Agreement. Unless earlier terminated, the Investment Advisory Agreement will remain in effect until November 2025, and may be extended subject to required approvals.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Criteria/Guidelines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Decision Process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approach involves, among other things:</w:t>
      </w:r>
    </w:p>
    <w:p>
      <w:pPr>
        <w:spacing w:after="0" w:line="92" w:lineRule="exact"/>
        <w:rPr>
          <w:sz w:val="20"/>
          <w:szCs w:val="20"/>
          <w:color w:val="auto"/>
        </w:rPr>
      </w:pPr>
    </w:p>
    <w:p>
      <w:pPr>
        <w:ind w:left="240" w:right="1540"/>
        <w:spacing w:after="0" w:line="360" w:lineRule="auto"/>
        <w:rPr>
          <w:sz w:val="20"/>
          <w:szCs w:val="20"/>
          <w:color w:val="auto"/>
        </w:rPr>
      </w:pPr>
      <w:r>
        <w:rPr>
          <w:rFonts w:ascii="Times New Roman" w:cs="Times New Roman" w:eastAsia="Times New Roman" w:hAnsi="Times New Roman"/>
          <w:sz w:val="16"/>
          <w:szCs w:val="16"/>
          <w:color w:val="auto"/>
        </w:rPr>
        <w:t>•an assessment of the markets, overall macroeconomic environment and how the assessment may impact industry and investment selection; •substantial company-specific research and analysis; and</w:t>
      </w:r>
    </w:p>
    <w:p>
      <w:pPr>
        <w:ind w:left="240"/>
        <w:spacing w:after="0"/>
        <w:rPr>
          <w:sz w:val="20"/>
          <w:szCs w:val="20"/>
          <w:color w:val="auto"/>
        </w:rPr>
      </w:pPr>
      <w:r>
        <w:rPr>
          <w:rFonts w:ascii="Times New Roman" w:cs="Times New Roman" w:eastAsia="Times New Roman" w:hAnsi="Times New Roman"/>
          <w:sz w:val="16"/>
          <w:szCs w:val="16"/>
          <w:color w:val="auto"/>
        </w:rPr>
        <w:t>•with respect to each individual company, an emphasis on capital preservation, low volatility and management of downside risk.</w:t>
      </w:r>
    </w:p>
    <w:p>
      <w:pPr>
        <w:spacing w:after="0" w:line="188"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The foundation of our investment philosophy incorporates intensive analysis, a management discipline based on both market technical and fundamental value-oriented research, and consideration of diversification within our portfolio. We follow a rigorous investment process based on:</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comprehensive analysis of issuer creditworthiness, including a quantitative and qualitative assessment of the issuer’s business;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evaluation of management and its economic incentives;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analysis of business strategy and industry trends;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in-depth examination of a prospective portfolio company’s capital structure, financial results and projections.</w:t>
      </w:r>
    </w:p>
    <w:p>
      <w:pPr>
        <w:spacing w:after="0" w:line="188"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We seek to identify those companies exhibiting superior fundamental risk-reward profiles and strong defensible business franchises, while focusing on the absolute and relative value of the investment.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Process 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Origination and Sourcing</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Due Diligence Process</w:t>
      </w:r>
    </w:p>
    <w:p>
      <w:pPr>
        <w:spacing w:after="0" w:line="94"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•understanding the purpose of the capital requirement, the key personnel and variables, as well as the sources and uses of the proceeds;</w:t>
      </w:r>
    </w:p>
    <w:p>
      <w:pPr>
        <w:spacing w:after="0" w:line="92" w:lineRule="exact"/>
        <w:rPr>
          <w:sz w:val="20"/>
          <w:szCs w:val="20"/>
          <w:color w:val="auto"/>
        </w:rPr>
      </w:pPr>
    </w:p>
    <w:p>
      <w:pPr>
        <w:ind w:left="240" w:right="140"/>
        <w:spacing w:after="0" w:line="259" w:lineRule="auto"/>
        <w:rPr>
          <w:sz w:val="20"/>
          <w:szCs w:val="20"/>
          <w:color w:val="auto"/>
        </w:rPr>
      </w:pPr>
      <w:r>
        <w:rPr>
          <w:rFonts w:ascii="Times New Roman" w:cs="Times New Roman" w:eastAsia="Times New Roman" w:hAnsi="Times New Roman"/>
          <w:sz w:val="16"/>
          <w:szCs w:val="16"/>
          <w:color w:val="auto"/>
        </w:rPr>
        <w:t>•meeting the company’s management, including top and middle-level executives, to get an insider’s view of the business, and to probe for potential weaknesses in business prospects;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6" w:name="page7"/>
    <w:bookmarkEnd w:id="6"/>
    <w:p>
      <w:pPr>
        <w:ind w:left="240"/>
        <w:spacing w:after="0"/>
        <w:rPr>
          <w:sz w:val="20"/>
          <w:szCs w:val="20"/>
          <w:color w:val="auto"/>
        </w:rPr>
      </w:pPr>
      <w:r>
        <w:rPr>
          <w:rFonts w:ascii="Times New Roman" w:cs="Times New Roman" w:eastAsia="Times New Roman" w:hAnsi="Times New Roman"/>
          <w:sz w:val="16"/>
          <w:szCs w:val="16"/>
          <w:color w:val="auto"/>
        </w:rPr>
        <w:t>•checking management’s backgrounds and references;</w:t>
      </w:r>
    </w:p>
    <w:p>
      <w:pPr>
        <w:spacing w:after="0" w:line="92" w:lineRule="exact"/>
        <w:rPr>
          <w:sz w:val="20"/>
          <w:szCs w:val="20"/>
          <w:color w:val="auto"/>
        </w:rPr>
      </w:pPr>
    </w:p>
    <w:p>
      <w:pPr>
        <w:ind w:left="240" w:right="920"/>
        <w:spacing w:after="0" w:line="360" w:lineRule="auto"/>
        <w:rPr>
          <w:sz w:val="20"/>
          <w:szCs w:val="20"/>
          <w:color w:val="auto"/>
        </w:rPr>
      </w:pPr>
      <w:r>
        <w:rPr>
          <w:rFonts w:ascii="Times New Roman" w:cs="Times New Roman" w:eastAsia="Times New Roman" w:hAnsi="Times New Roman"/>
          <w:sz w:val="16"/>
          <w:szCs w:val="16"/>
          <w:color w:val="auto"/>
        </w:rPr>
        <w:t>•performing a detailed review of historical financial performance, including performance through various economic cycles, and the quality of earnings; •contacting customers and vendors to assess both business prospects and standard practices;</w:t>
      </w:r>
    </w:p>
    <w:p>
      <w:pPr>
        <w:ind w:left="240" w:right="1080"/>
        <w:spacing w:after="0" w:line="360" w:lineRule="auto"/>
        <w:rPr>
          <w:sz w:val="20"/>
          <w:szCs w:val="20"/>
          <w:color w:val="auto"/>
        </w:rPr>
      </w:pPr>
      <w:r>
        <w:rPr>
          <w:rFonts w:ascii="Times New Roman" w:cs="Times New Roman" w:eastAsia="Times New Roman" w:hAnsi="Times New Roman"/>
          <w:sz w:val="16"/>
          <w:szCs w:val="16"/>
          <w:color w:val="auto"/>
        </w:rPr>
        <w:t>•conducting a competitive analysis, and comparing the company to its main competitors on an operating, financial, market share and valuation basis; •researching the industry for historic growth trends and future prospects as well as to identify future exit alternatives;</w:t>
      </w:r>
    </w:p>
    <w:p>
      <w:pPr>
        <w:ind w:left="240" w:right="3040"/>
        <w:spacing w:after="0" w:line="372" w:lineRule="auto"/>
        <w:rPr>
          <w:sz w:val="20"/>
          <w:szCs w:val="20"/>
          <w:color w:val="auto"/>
        </w:rPr>
      </w:pPr>
      <w:r>
        <w:rPr>
          <w:rFonts w:ascii="Times New Roman" w:cs="Times New Roman" w:eastAsia="Times New Roman" w:hAnsi="Times New Roman"/>
          <w:sz w:val="16"/>
          <w:szCs w:val="16"/>
          <w:color w:val="auto"/>
        </w:rPr>
        <w:t>•assessing asset value and the ability of physical infrastructure and information systems to handle anticipated growth; •leveraging Sixth Street internal resources with institutional knowledge of the company’s business; and •investigating legal and regulatory risks and financial and accounting systems and practices.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Selective Investment Process</w:t>
      </w:r>
    </w:p>
    <w:p>
      <w:pPr>
        <w:spacing w:after="0" w:line="94"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Issuance of Formal Commitment</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Monitoring</w:t>
      </w:r>
    </w:p>
    <w:p>
      <w:pPr>
        <w:spacing w:after="0" w:line="9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Adviser has a number of methods of evaluating and monitoring the performance of our investments, which may include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7" w:name="page8"/>
    <w:bookmarkEnd w:id="7"/>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420"/>
        <w:spacing w:after="0" w:line="243"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65" w:lineRule="exact"/>
        <w:rPr>
          <w:sz w:val="20"/>
          <w:szCs w:val="20"/>
          <w:color w:val="auto"/>
        </w:rPr>
      </w:pPr>
    </w:p>
    <w:p>
      <w:pPr>
        <w:ind w:right="380" w:firstLine="228"/>
        <w:spacing w:after="0" w:line="262" w:lineRule="auto"/>
        <w:rPr>
          <w:sz w:val="20"/>
          <w:szCs w:val="20"/>
          <w:color w:val="auto"/>
        </w:rPr>
      </w:pPr>
      <w:r>
        <w:rPr>
          <w:rFonts w:ascii="Times New Roman" w:cs="Times New Roman" w:eastAsia="Times New Roman" w:hAnsi="Times New Roman"/>
          <w:sz w:val="16"/>
          <w:szCs w:val="16"/>
          <w:color w:val="auto"/>
        </w:rPr>
        <w:t xml:space="preserve">For more information on the investment performance ratings of our portfolio, see </w:t>
      </w:r>
      <w:r>
        <w:rPr>
          <w:rFonts w:ascii="Times New Roman" w:cs="Times New Roman" w:eastAsia="Times New Roman" w:hAnsi="Times New Roman"/>
          <w:sz w:val="16"/>
          <w:szCs w:val="16"/>
          <w:i w:val="1"/>
          <w:iCs w:val="1"/>
          <w:color w:val="auto"/>
        </w:rPr>
        <w:t>“ITEM 7. MANAGEMENT’S DISCUSSION AND ANALYSIS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CONDITION AND RESULTS OF OPERATIONS—Portfolio and Investment Activity.”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Review Committee</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Structure of Investments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Since beginning our investment activities in July 2011, we have sought to generate current income primarily in U.S.-domiciled middle-market companies through direct originations of senior secured loans and, to a lesser extent, originations of mezzanine and unsecured loans and investments in corporate bonds and equity and other investments.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Investments</w:t>
      </w:r>
    </w:p>
    <w:p>
      <w:pPr>
        <w:spacing w:after="0" w:line="94" w:lineRule="exact"/>
        <w:rPr>
          <w:sz w:val="20"/>
          <w:szCs w:val="20"/>
          <w:color w:val="auto"/>
        </w:rPr>
      </w:pPr>
    </w:p>
    <w:p>
      <w:pPr>
        <w:jc w:val="both"/>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6" w:lineRule="exact"/>
        <w:rPr>
          <w:sz w:val="20"/>
          <w:szCs w:val="20"/>
          <w:color w:val="auto"/>
        </w:rPr>
      </w:pPr>
    </w:p>
    <w:p>
      <w:pPr>
        <w:ind w:left="240" w:right="100"/>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First-lien debt.</w:t>
      </w:r>
      <w:r>
        <w:rPr>
          <w:rFonts w:ascii="Times New Roman" w:cs="Times New Roman" w:eastAsia="Times New Roman" w:hAnsi="Times New Roman"/>
          <w:sz w:val="14"/>
          <w:szCs w:val="14"/>
          <w:color w:val="auto"/>
        </w:rPr>
        <w:t xml:space="preserve"> First- 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 lien debt may include stand-alone first-lien loans, “last out” first-lien loans, “unitranche” loans and secured corporate bonds with similar features to these categories of first-lien loans.</w:t>
      </w:r>
    </w:p>
    <w:p>
      <w:pPr>
        <w:spacing w:after="0" w:line="30" w:lineRule="exact"/>
        <w:rPr>
          <w:sz w:val="20"/>
          <w:szCs w:val="20"/>
          <w:color w:val="auto"/>
        </w:rPr>
      </w:pPr>
    </w:p>
    <w:p>
      <w:pPr>
        <w:ind w:left="240" w:right="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Stand-alone first-lien loans.</w:t>
      </w:r>
      <w:r>
        <w:rPr>
          <w:rFonts w:ascii="Times New Roman" w:cs="Times New Roman" w:eastAsia="Times New Roman" w:hAnsi="Times New Roman"/>
          <w:sz w:val="16"/>
          <w:szCs w:val="16"/>
          <w:color w:val="auto"/>
        </w:rPr>
        <w:t xml:space="preserve"> Stand-alone first-lien loans are traditional first-lien loans. All lenders in the facility have equal rights to the collateral that is subject to the first-priority security interest.</w:t>
      </w:r>
    </w:p>
    <w:p>
      <w:pPr>
        <w:spacing w:after="0" w:line="54" w:lineRule="exact"/>
        <w:rPr>
          <w:sz w:val="20"/>
          <w:szCs w:val="20"/>
          <w:color w:val="auto"/>
        </w:rPr>
      </w:pPr>
    </w:p>
    <w:p>
      <w:pPr>
        <w:ind w:left="240" w:right="60"/>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out” first-lien loans.</w:t>
      </w:r>
      <w:r>
        <w:rPr>
          <w:rFonts w:ascii="Times New Roman" w:cs="Times New Roman" w:eastAsia="Times New Roman" w:hAnsi="Times New Roman"/>
          <w:sz w:val="16"/>
          <w:szCs w:val="16"/>
          <w:color w:val="auto"/>
        </w:rPr>
        <w:t xml:space="preserve"> “Last out” first -lien loans have a secondary priority behind super-senior “first out” first-lien loans in 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4" w:lineRule="exact"/>
        <w:rPr>
          <w:sz w:val="20"/>
          <w:szCs w:val="20"/>
          <w:color w:val="auto"/>
        </w:rPr>
      </w:pPr>
    </w:p>
    <w:p>
      <w:pPr>
        <w:jc w:val="both"/>
        <w:ind w:left="240" w:right="36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“Unitranche” loans.</w:t>
      </w:r>
      <w:r>
        <w:rPr>
          <w:rFonts w:ascii="Times New Roman" w:cs="Times New Roman" w:eastAsia="Times New Roman" w:hAnsi="Times New Roman"/>
          <w:sz w:val="16"/>
          <w:szCs w:val="16"/>
          <w:color w:val="auto"/>
        </w:rPr>
        <w:t xml:space="preserve"> Unitranche loans combine features of first-lien, second -lien and mezzanine debt, generally in a first -lien position. In 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8" w:name="page9"/>
    <w:bookmarkEnd w:id="8"/>
    <w:p>
      <w:pPr>
        <w:ind w:left="240" w:right="4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Second-lien debt.</w:t>
      </w:r>
      <w:r>
        <w:rPr>
          <w:rFonts w:ascii="Times New Roman" w:cs="Times New Roman" w:eastAsia="Times New Roman" w:hAnsi="Times New Roman"/>
          <w:sz w:val="16"/>
          <w:szCs w:val="16"/>
          <w:color w:val="auto"/>
        </w:rPr>
        <w:t xml:space="preserve"> Our second-lien debt may include secured loans, and, to a lesser extent, secured corporate bonds, with a secondary priority behind first -lien debt. Second -lien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68" w:lineRule="exact"/>
        <w:rPr>
          <w:sz w:val="20"/>
          <w:szCs w:val="20"/>
          <w:color w:val="auto"/>
        </w:rPr>
      </w:pPr>
    </w:p>
    <w:p>
      <w:pPr>
        <w:ind w:left="240" w:right="20"/>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“Mezzanine” and “Unsecured” debt.</w:t>
      </w:r>
      <w:r>
        <w:rPr>
          <w:rFonts w:ascii="Times New Roman" w:cs="Times New Roman" w:eastAsia="Times New Roman" w:hAnsi="Times New Roman"/>
          <w:sz w:val="16"/>
          <w:szCs w:val="16"/>
          <w:color w:val="auto"/>
        </w:rPr>
        <w:t xml:space="preserve"> Structurally, mezzanine debt usually ranks subordinate in priority of payment to first-lien and second -lien debt and may not have the benefit of financial covenants common in first-lien and second -lien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 -investment or warrants. Due to its higher risk profile and often less restrictive covenants compared to senior secured loans, mezzanine and unsecured debt generally bears a higher stated interest rate than first-lien and second-lien debt.</w:t>
      </w:r>
    </w:p>
    <w:p>
      <w:pPr>
        <w:spacing w:after="0" w:line="175"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•requiring a total return on our investments (including both interest and potential equity appreciation) that compensates us for credit risk; and</w:t>
      </w:r>
    </w:p>
    <w:p>
      <w:pPr>
        <w:spacing w:after="0" w:line="92" w:lineRule="exact"/>
        <w:rPr>
          <w:sz w:val="20"/>
          <w:szCs w:val="20"/>
          <w:color w:val="auto"/>
        </w:rPr>
      </w:pPr>
    </w:p>
    <w:p>
      <w:pPr>
        <w:ind w:left="240" w:right="240"/>
        <w:spacing w:after="0" w:line="243" w:lineRule="auto"/>
        <w:rPr>
          <w:sz w:val="20"/>
          <w:szCs w:val="20"/>
          <w:color w:val="auto"/>
        </w:rPr>
      </w:pPr>
      <w:r>
        <w:rPr>
          <w:rFonts w:ascii="Times New Roman" w:cs="Times New Roman" w:eastAsia="Times New Roman" w:hAnsi="Times New Roman"/>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67" w:lineRule="exact"/>
        <w:rPr>
          <w:sz w:val="20"/>
          <w:szCs w:val="20"/>
          <w:color w:val="auto"/>
        </w:rPr>
      </w:pPr>
    </w:p>
    <w:p>
      <w:pPr>
        <w:jc w:val="both"/>
        <w:ind w:right="160" w:firstLine="228"/>
        <w:spacing w:after="0" w:line="243" w:lineRule="auto"/>
        <w:rPr>
          <w:sz w:val="20"/>
          <w:szCs w:val="20"/>
          <w:color w:val="auto"/>
        </w:rPr>
      </w:pPr>
      <w:r>
        <w:rPr>
          <w:rFonts w:ascii="Times New Roman" w:cs="Times New Roman" w:eastAsia="Times New Roman" w:hAnsi="Times New Roman"/>
          <w:sz w:val="16"/>
          <w:szCs w:val="16"/>
          <w:color w:val="auto"/>
        </w:rPr>
        <w:t>Among the types of first-lien debt in which we invest, we generally are able to obtain higher effective interest rates on our “last out” first -lien loans than on other types of first-lien loans, since our “last -out”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and Other Investments</w:t>
      </w:r>
    </w:p>
    <w:p>
      <w:pPr>
        <w:spacing w:after="0" w:line="94" w:lineRule="exact"/>
        <w:rPr>
          <w:sz w:val="20"/>
          <w:szCs w:val="20"/>
          <w:color w:val="auto"/>
        </w:rPr>
      </w:pPr>
    </w:p>
    <w:p>
      <w:pPr>
        <w:ind w:right="400" w:firstLine="228"/>
        <w:spacing w:after="0" w:line="331" w:lineRule="auto"/>
        <w:rPr>
          <w:sz w:val="20"/>
          <w:szCs w:val="20"/>
          <w:color w:val="auto"/>
        </w:rPr>
      </w:pPr>
      <w:r>
        <w:rPr>
          <w:rFonts w:ascii="Times New Roman" w:cs="Times New Roman" w:eastAsia="Times New Roman" w:hAnsi="Times New Roman"/>
          <w:sz w:val="14"/>
          <w:szCs w:val="14"/>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9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and December 31, 2023, we had made investments with an aggregate fair value of $3,518.4 million and $3,283.1 million, respectively, in 116 and 136 portfolio companies,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consisted of the following at December 31, 2024 and December 31,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20" w:type="dxa"/>
            <w:vAlign w:val="bottom"/>
          </w:tcPr>
          <w:p>
            <w:pPr>
              <w:spacing w:after="0"/>
              <w:rPr>
                <w:sz w:val="15"/>
                <w:szCs w:val="15"/>
                <w:color w:val="auto"/>
              </w:rPr>
            </w:pPr>
          </w:p>
        </w:tc>
        <w:tc>
          <w:tcPr>
            <w:tcW w:w="17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20" w:type="dxa"/>
            <w:vAlign w:val="bottom"/>
          </w:tcPr>
          <w:p>
            <w:pPr>
              <w:spacing w:after="0"/>
              <w:rPr>
                <w:sz w:val="14"/>
                <w:szCs w:val="14"/>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3,298.0</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8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39.1</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80" w:type="dxa"/>
            <w:vAlign w:val="bottom"/>
          </w:tcPr>
          <w:p>
            <w:pPr>
              <w:spacing w:after="0"/>
              <w:rPr>
                <w:sz w:val="15"/>
                <w:szCs w:val="15"/>
                <w:color w:val="auto"/>
              </w:rPr>
            </w:pPr>
          </w:p>
        </w:tc>
        <w:tc>
          <w:tcPr>
            <w:tcW w:w="15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149.4</w:t>
            </w:r>
          </w:p>
        </w:tc>
        <w:tc>
          <w:tcPr>
            <w:tcW w:w="280" w:type="dxa"/>
            <w:vAlign w:val="bottom"/>
          </w:tcPr>
          <w:p>
            <w:pPr>
              <w:spacing w:after="0"/>
              <w:rPr>
                <w:sz w:val="15"/>
                <w:szCs w:val="15"/>
                <w:color w:val="auto"/>
              </w:rPr>
            </w:pPr>
          </w:p>
        </w:tc>
        <w:tc>
          <w:tcPr>
            <w:tcW w:w="15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155.5</w:t>
            </w:r>
          </w:p>
        </w:tc>
        <w:tc>
          <w:tcPr>
            <w:tcW w:w="320" w:type="dxa"/>
            <w:vAlign w:val="bottom"/>
          </w:tcPr>
          <w:p>
            <w:pPr>
              <w:spacing w:after="0"/>
              <w:rPr>
                <w:sz w:val="15"/>
                <w:szCs w:val="15"/>
                <w:color w:val="auto"/>
              </w:rPr>
            </w:pPr>
          </w:p>
        </w:tc>
        <w:tc>
          <w:tcPr>
            <w:tcW w:w="1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80" w:type="dxa"/>
            <w:vAlign w:val="bottom"/>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3,539.2</w:t>
            </w:r>
          </w:p>
        </w:tc>
        <w:tc>
          <w:tcPr>
            <w:tcW w:w="200" w:type="dxa"/>
            <w:vAlign w:val="bottom"/>
          </w:tcPr>
          <w:p>
            <w:pPr>
              <w:spacing w:after="0"/>
              <w:rPr>
                <w:sz w:val="15"/>
                <w:szCs w:val="15"/>
                <w:color w:val="auto"/>
              </w:rPr>
            </w:pPr>
          </w:p>
        </w:tc>
        <w:tc>
          <w:tcPr>
            <w:tcW w:w="28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3,518.4</w:t>
            </w:r>
          </w:p>
        </w:tc>
        <w:tc>
          <w:tcPr>
            <w:tcW w:w="220" w:type="dxa"/>
            <w:vAlign w:val="bottom"/>
          </w:tcPr>
          <w:p>
            <w:pPr>
              <w:spacing w:after="0"/>
              <w:rPr>
                <w:sz w:val="15"/>
                <w:szCs w:val="15"/>
                <w:color w:val="auto"/>
              </w:rPr>
            </w:pPr>
          </w:p>
        </w:tc>
        <w:tc>
          <w:tcPr>
            <w:tcW w:w="320" w:type="dxa"/>
            <w:vAlign w:val="bottom"/>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(20.8</w:t>
            </w:r>
            <w:r>
              <w:rPr>
                <w:rFonts w:ascii="Times New Roman" w:cs="Times New Roman" w:eastAsia="Times New Roman" w:hAnsi="Times New Roman"/>
                <w:sz w:val="18"/>
                <w:szCs w:val="18"/>
                <w:color w:val="auto"/>
                <w:vertAlign w:val="subscript"/>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28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9" w:name="page10"/>
    <w:bookmarkEnd w:id="9"/>
    <w:p>
      <w:pPr>
        <w:ind w:right="120"/>
        <w:spacing w:after="0" w:line="259" w:lineRule="auto"/>
        <w:rPr>
          <w:sz w:val="20"/>
          <w:szCs w:val="20"/>
          <w:color w:val="auto"/>
        </w:rPr>
      </w:pPr>
      <w:r>
        <w:rPr>
          <w:rFonts w:ascii="Times New Roman" w:cs="Times New Roman" w:eastAsia="Times New Roman" w:hAnsi="Times New Roman"/>
          <w:sz w:val="16"/>
          <w:szCs w:val="16"/>
          <w:color w:val="auto"/>
        </w:rPr>
        <w:t>(1)Amortized cost represents the original cost adjusted for the amortization of discounts or premiums, as applicable, on debt investments using the effective interest method.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(2)Amounts round to less than $0.1 million</w:t>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8"/>
              </w:rPr>
              <w:t xml:space="preserve">Amortized Cost </w:t>
            </w:r>
            <w:r>
              <w:rPr>
                <w:rFonts w:ascii="Times New Roman" w:cs="Times New Roman" w:eastAsia="Times New Roman" w:hAnsi="Times New Roman"/>
                <w:sz w:val="16"/>
                <w:szCs w:val="16"/>
                <w:b w:val="1"/>
                <w:bCs w:val="1"/>
                <w:color w:val="auto"/>
                <w:w w:val="98"/>
                <w:vertAlign w:val="superscript"/>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2,956.1</w:t>
            </w:r>
          </w:p>
        </w:tc>
        <w:tc>
          <w:tcPr>
            <w:tcW w:w="400" w:type="dxa"/>
            <w:vAlign w:val="bottom"/>
            <w:gridSpan w:val="2"/>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2,996.2</w:t>
            </w:r>
          </w:p>
        </w:tc>
        <w:tc>
          <w:tcPr>
            <w:tcW w:w="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180"/>
        </w:trPr>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3,251.0</w:t>
            </w:r>
          </w:p>
        </w:tc>
        <w:tc>
          <w:tcPr>
            <w:tcW w:w="40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3,283.1</w:t>
            </w:r>
          </w:p>
        </w:tc>
        <w:tc>
          <w:tcPr>
            <w:tcW w:w="3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(1)Amortized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December 31, 2024 and December 31, 2023 was as follows:</w:t>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Automotive</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1.2 %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1.3 %</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13.3 %</w:t>
            </w:r>
          </w:p>
        </w:tc>
        <w:tc>
          <w:tcPr>
            <w:tcW w:w="1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18.0 %</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Chemicals</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0.9 %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0.8 %</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Communications</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3.5 %</w:t>
            </w:r>
          </w:p>
        </w:tc>
        <w:tc>
          <w:tcPr>
            <w:tcW w:w="1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3.3 %</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Education</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5.0 %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5.3 %</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Electronics</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0.8 %</w:t>
            </w:r>
          </w:p>
        </w:tc>
        <w:tc>
          <w:tcPr>
            <w:tcW w:w="1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Financial Services</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8.6 %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11.1 %</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Healthcare</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7.5 %</w:t>
            </w:r>
          </w:p>
        </w:tc>
        <w:tc>
          <w:tcPr>
            <w:tcW w:w="1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8.9 %</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Hotel, Gaming and Leisure</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7.4 %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3.7 %</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Human Resource Support Services</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10.2 %</w:t>
            </w:r>
          </w:p>
        </w:tc>
        <w:tc>
          <w:tcPr>
            <w:tcW w:w="1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11.2 %</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0.2 %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0.1 %</w:t>
            </w:r>
          </w:p>
        </w:tc>
      </w:tr>
      <w:tr>
        <w:trPr>
          <w:trHeight w:val="204"/>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Internet Services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15.1 %</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Manufacturing</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2.5 %</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Marketing Services</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0.3 %</w:t>
            </w:r>
          </w:p>
        </w:tc>
        <w:tc>
          <w:tcPr>
            <w:tcW w:w="1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0.3 %</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Office Products</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0.4 %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0.5 %</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Oil, Gas and Consumable Fuels</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2.7 %</w:t>
            </w:r>
          </w:p>
        </w:tc>
        <w:tc>
          <w:tcPr>
            <w:tcW w:w="1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4.7 %</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1.9 %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2.9 %</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Pharmaceuticals</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2.9 %</w:t>
            </w:r>
          </w:p>
        </w:tc>
        <w:tc>
          <w:tcPr>
            <w:tcW w:w="1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Real Estate </w:t>
            </w:r>
            <w:r>
              <w:rPr>
                <w:rFonts w:ascii="Times New Roman" w:cs="Times New Roman" w:eastAsia="Times New Roman" w:hAnsi="Times New Roman"/>
                <w:sz w:val="20"/>
                <w:szCs w:val="20"/>
                <w:color w:val="auto"/>
                <w:vertAlign w:val="superscript"/>
              </w:rPr>
              <w:t>(1)</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0.0 %</w:t>
            </w:r>
          </w:p>
        </w:tc>
        <w:tc>
          <w:tcPr>
            <w:tcW w:w="1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Retail and Consumer Products</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9.7 %</w:t>
            </w:r>
          </w:p>
        </w:tc>
        <w:tc>
          <w:tcPr>
            <w:tcW w:w="1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8.2 %</w:t>
            </w: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Transportation</w:t>
            </w:r>
          </w:p>
        </w:tc>
        <w:tc>
          <w:tcPr>
            <w:tcW w:w="15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3.6 %</w:t>
            </w:r>
          </w:p>
        </w:tc>
        <w:tc>
          <w:tcPr>
            <w:tcW w:w="13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2.1 %</w:t>
            </w:r>
          </w:p>
        </w:tc>
      </w:tr>
      <w:tr>
        <w:trPr>
          <w:trHeight w:val="180"/>
        </w:trPr>
        <w:tc>
          <w:tcPr>
            <w:tcW w:w="55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100.0 %</w:t>
            </w:r>
          </w:p>
        </w:tc>
        <w:tc>
          <w:tcPr>
            <w:tcW w:w="13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5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(1) Value sums to less than 0.1%</w:t>
      </w:r>
    </w:p>
    <w:p>
      <w:pPr>
        <w:spacing w:after="0" w:line="163"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We classify the industries of our portfolio companies by end-market (such as Internet Services, and Business Services) and not by the product or services (such as Software) directed to those end-markets.</w:t>
      </w:r>
    </w:p>
    <w:p>
      <w:pPr>
        <w:spacing w:after="0" w:line="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1409" w:right="900" w:bottom="1440" w:gutter="0" w:footer="0" w:header="0"/>
        </w:sectPr>
      </w:pPr>
    </w:p>
    <w:bookmarkStart w:id="10" w:name="page11"/>
    <w:bookmarkEnd w:id="10"/>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December 31, 2024 and December 31, 2023 was as follows:</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5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180"/>
        </w:trPr>
        <w:tc>
          <w:tcPr>
            <w:tcW w:w="55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1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10.7%</w:t>
            </w:r>
          </w:p>
        </w:tc>
      </w:tr>
      <w:tr>
        <w:trPr>
          <w:trHeight w:val="180"/>
        </w:trPr>
        <w:tc>
          <w:tcPr>
            <w:tcW w:w="55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14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14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25.4%</w:t>
            </w:r>
          </w:p>
        </w:tc>
      </w:tr>
      <w:tr>
        <w:trPr>
          <w:trHeight w:val="180"/>
        </w:trPr>
        <w:tc>
          <w:tcPr>
            <w:tcW w:w="55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South</w:t>
            </w:r>
          </w:p>
        </w:tc>
        <w:tc>
          <w:tcPr>
            <w:tcW w:w="1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20.7%</w:t>
            </w:r>
          </w:p>
        </w:tc>
      </w:tr>
      <w:tr>
        <w:trPr>
          <w:trHeight w:val="180"/>
        </w:trPr>
        <w:tc>
          <w:tcPr>
            <w:tcW w:w="55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14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14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32.0%</w:t>
            </w:r>
          </w:p>
        </w:tc>
      </w:tr>
      <w:tr>
        <w:trPr>
          <w:trHeight w:val="180"/>
        </w:trPr>
        <w:tc>
          <w:tcPr>
            <w:tcW w:w="5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1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5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14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4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80"/>
        </w:trPr>
        <w:tc>
          <w:tcPr>
            <w:tcW w:w="556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Finland </w:t>
            </w:r>
            <w:r>
              <w:rPr>
                <w:rFonts w:ascii="Times New Roman" w:cs="Times New Roman" w:eastAsia="Times New Roman" w:hAnsi="Times New Roman"/>
                <w:sz w:val="20"/>
                <w:szCs w:val="20"/>
                <w:color w:val="auto"/>
                <w:vertAlign w:val="superscript"/>
              </w:rPr>
              <w:t>(1)</w:t>
            </w:r>
          </w:p>
        </w:tc>
        <w:tc>
          <w:tcPr>
            <w:tcW w:w="1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5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14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4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1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5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Italy</w:t>
            </w:r>
          </w:p>
        </w:tc>
        <w:tc>
          <w:tcPr>
            <w:tcW w:w="14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4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Luxembourg</w:t>
            </w:r>
          </w:p>
        </w:tc>
        <w:tc>
          <w:tcPr>
            <w:tcW w:w="14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5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14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4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5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1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80"/>
        </w:trPr>
        <w:tc>
          <w:tcPr>
            <w:tcW w:w="5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14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4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200"/>
        </w:trPr>
        <w:tc>
          <w:tcPr>
            <w:tcW w:w="556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48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4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Value sums to less than 0.1%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Commitments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and December 31, 2023, we had the following commitments to fund investments in current portfolio companies:</w:t>
      </w: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40" w:type="dxa"/>
            <w:vAlign w:val="bottom"/>
          </w:tcPr>
          <w:p>
            <w:pPr>
              <w:spacing w:after="0"/>
              <w:rPr>
                <w:sz w:val="14"/>
                <w:szCs w:val="14"/>
                <w:color w:val="auto"/>
              </w:rPr>
            </w:pPr>
          </w:p>
        </w:tc>
        <w:tc>
          <w:tcPr>
            <w:tcW w:w="1660" w:type="dxa"/>
            <w:vAlign w:val="bottom"/>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60" w:type="dxa"/>
            <w:vAlign w:val="bottom"/>
          </w:tcPr>
          <w:p>
            <w:pPr>
              <w:spacing w:after="0"/>
              <w:rPr>
                <w:sz w:val="14"/>
                <w:szCs w:val="14"/>
                <w:color w:val="auto"/>
              </w:rPr>
            </w:pPr>
          </w:p>
        </w:tc>
        <w:tc>
          <w:tcPr>
            <w:tcW w:w="1760" w:type="dxa"/>
            <w:vAlign w:val="bottom"/>
          </w:tcPr>
          <w:p>
            <w:pPr>
              <w:jc w:val="right"/>
              <w:ind w:right="44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80" w:type="dxa"/>
            <w:vAlign w:val="bottom"/>
          </w:tcPr>
          <w:p>
            <w:pPr>
              <w:spacing w:after="0"/>
              <w:rPr>
                <w:sz w:val="14"/>
                <w:szCs w:val="14"/>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3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Alpha Midco, Inc. - Delayed Draw &amp;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American Achievement, Corp. -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ASG II, LLC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Axonify, Inc. - Delayed Draw</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Bayshore Intermediate #2, L.P.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BCTO Ace Purchaser, Inc.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Bear OpCo, LLC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BlueSnap, Inc.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Dye &amp; Durham Corp.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Edge Bidco B.V. - Delayed Draw &amp;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EMS Linq, Inc.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1040" w:type="dxa"/>
            <w:vAlign w:val="bottom"/>
          </w:tcPr>
          <w:p>
            <w:pPr>
              <w:spacing w:after="0"/>
              <w:rPr>
                <w:sz w:val="15"/>
                <w:szCs w:val="15"/>
                <w:color w:val="auto"/>
              </w:rPr>
            </w:pPr>
          </w:p>
        </w:tc>
        <w:tc>
          <w:tcPr>
            <w:tcW w:w="16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1040" w:type="dxa"/>
            <w:vAlign w:val="bottom"/>
          </w:tcPr>
          <w:p>
            <w:pPr>
              <w:spacing w:after="0"/>
              <w:rPr>
                <w:sz w:val="15"/>
                <w:szCs w:val="15"/>
                <w:color w:val="auto"/>
              </w:rPr>
            </w:pPr>
          </w:p>
        </w:tc>
        <w:tc>
          <w:tcPr>
            <w:tcW w:w="16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37.9</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Heritage Environmental Services, Inc. - Delayed Draw &amp;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Hornetsecurity Holding GmbH - Delayed Draw &amp;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Ibis Intermediate Co.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15"/>
                <w:szCs w:val="15"/>
                <w:color w:val="auto"/>
              </w:rPr>
            </w:pPr>
          </w:p>
        </w:tc>
        <w:tc>
          <w:tcPr>
            <w:tcW w:w="1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Kyriba Corp. - Revolver</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Laramie Energy, LLC - Delayed Draw</w:t>
            </w:r>
          </w:p>
        </w:tc>
        <w:tc>
          <w:tcPr>
            <w:tcW w:w="1040" w:type="dxa"/>
            <w:vAlign w:val="bottom"/>
          </w:tcPr>
          <w:p>
            <w:pPr>
              <w:spacing w:after="0"/>
              <w:rPr>
                <w:sz w:val="15"/>
                <w:szCs w:val="15"/>
                <w:color w:val="auto"/>
              </w:rPr>
            </w:pPr>
          </w:p>
        </w:tc>
        <w:tc>
          <w:tcPr>
            <w:tcW w:w="1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LeanTaaS Holdings, Inc. - Delayed Draw</w:t>
            </w:r>
          </w:p>
        </w:tc>
        <w:tc>
          <w:tcPr>
            <w:tcW w:w="104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38.0</w:t>
            </w:r>
          </w:p>
        </w:tc>
        <w:tc>
          <w:tcPr>
            <w:tcW w:w="680" w:type="dxa"/>
            <w:vAlign w:val="bottom"/>
          </w:tcPr>
          <w:p>
            <w:pPr>
              <w:spacing w:after="0"/>
              <w:rPr>
                <w:sz w:val="15"/>
                <w:szCs w:val="15"/>
                <w:color w:val="auto"/>
              </w:rPr>
            </w:pPr>
          </w:p>
        </w:tc>
      </w:tr>
      <w:tr>
        <w:trPr>
          <w:trHeight w:val="286"/>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4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12</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74"/>
        </w:trPr>
        <w:tc>
          <w:tcPr>
            <w:tcW w:w="700" w:type="dxa"/>
            <w:vAlign w:val="bottom"/>
            <w:tcBorders>
              <w:bottom w:val="single" w:sz="8" w:color="EEEEEE"/>
            </w:tcBorders>
          </w:tcPr>
          <w:p>
            <w:pPr>
              <w:spacing w:after="0"/>
              <w:rPr>
                <w:sz w:val="24"/>
                <w:szCs w:val="24"/>
                <w:color w:val="auto"/>
              </w:rPr>
            </w:pPr>
          </w:p>
        </w:tc>
        <w:tc>
          <w:tcPr>
            <w:tcW w:w="43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2" w:name="page13"/>
    <w:bookmarkEnd w:id="12"/>
    <w:tbl>
      <w:tblPr>
        <w:tblLayout w:type="fixed"/>
        <w:tblInd w:w="700" w:type="dxa"/>
        <w:tblCellMar>
          <w:top w:w="0" w:type="dxa"/>
          <w:left w:w="0" w:type="dxa"/>
          <w:bottom w:w="0" w:type="dxa"/>
          <w:right w:w="0" w:type="dxa"/>
        </w:tblCellMar>
      </w:tblPr>
      <w:tr>
        <w:trPr>
          <w:trHeight w:val="19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Lucidworks, Inc. - Delayed Draw</w:t>
            </w:r>
          </w:p>
        </w:tc>
        <w:tc>
          <w:tcPr>
            <w:tcW w:w="7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5"/>
                <w:szCs w:val="15"/>
                <w:color w:val="auto"/>
              </w:rPr>
            </w:pP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Netwrix Corp. - Delayed Draw &amp;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5"/>
                <w:szCs w:val="15"/>
                <w:color w:val="auto"/>
              </w:rPr>
            </w:pP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OutSystems Luxco SARL - Delayed Draw</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Passport Labs, Inc. -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Ping Identity Holding Corp. -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PrimePay Intermediate, LLC - Delayed Draw</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PrimeRevenue, Inc. -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Project44, Inc. - Delayed Draw</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FF0FC"/>
          </w:tcPr>
          <w:p>
            <w:pPr>
              <w:spacing w:after="0"/>
              <w:rPr>
                <w:sz w:val="15"/>
                <w:szCs w:val="15"/>
                <w:color w:val="auto"/>
              </w:rPr>
            </w:pP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ReliaQuest Holdings, LLC - Delayed Draw &amp; Equity</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 Bidco S.p.A. - Delayed Draw</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7.1</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5"/>
                <w:szCs w:val="15"/>
                <w:color w:val="auto"/>
              </w:rPr>
            </w:pP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5"/>
                <w:szCs w:val="15"/>
                <w:color w:val="auto"/>
              </w:rPr>
            </w:pP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TradingScreen, Inc. -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TRP Assets, LLC - Delayed Draw</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7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180"/>
        </w:trPr>
        <w:tc>
          <w:tcPr>
            <w:tcW w:w="516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760" w:type="dxa"/>
            <w:vAlign w:val="bottom"/>
          </w:tcPr>
          <w:p>
            <w:pPr>
              <w:jc w:val="right"/>
              <w:ind w:right="58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356.3</w:t>
            </w:r>
          </w:p>
        </w:tc>
        <w:tc>
          <w:tcPr>
            <w:tcW w:w="104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316.1</w:t>
            </w:r>
          </w:p>
        </w:tc>
      </w:tr>
      <w:tr>
        <w:trPr>
          <w:trHeight w:val="20"/>
        </w:trPr>
        <w:tc>
          <w:tcPr>
            <w:tcW w:w="5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 w:lineRule="exact"/>
        <w:rPr>
          <w:sz w:val="20"/>
          <w:szCs w:val="20"/>
          <w:color w:val="auto"/>
        </w:rPr>
      </w:pPr>
    </w:p>
    <w:p>
      <w:pPr>
        <w:ind w:right="760"/>
        <w:spacing w:after="0" w:line="364" w:lineRule="auto"/>
        <w:rPr>
          <w:sz w:val="20"/>
          <w:szCs w:val="20"/>
          <w:color w:val="auto"/>
        </w:rPr>
      </w:pPr>
      <w:r>
        <w:rPr>
          <w:rFonts w:ascii="Times New Roman" w:cs="Times New Roman" w:eastAsia="Times New Roman" w:hAnsi="Times New Roman"/>
          <w:sz w:val="16"/>
          <w:szCs w:val="16"/>
          <w:color w:val="auto"/>
        </w:rPr>
        <w:t xml:space="preserve">(2)Our estimate of the fair value of the current investments in these portfolio companies includes as analysis of the fair value of any unfunded commitments. </w:t>
      </w:r>
      <w:r>
        <w:rPr>
          <w:rFonts w:ascii="Times New Roman" w:cs="Times New Roman" w:eastAsia="Times New Roman" w:hAnsi="Times New Roman"/>
          <w:sz w:val="16"/>
          <w:szCs w:val="16"/>
          <w:i w:val="1"/>
          <w:iCs w:val="1"/>
          <w:color w:val="auto"/>
        </w:rPr>
        <w:t>Other Commitments and Contingencies</w:t>
      </w: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and December 31, 2023, we did not have any unfunded commitments to fund investments to new borrowers that were not current portfolio companies as of such date.</w:t>
      </w:r>
    </w:p>
    <w:p>
      <w:pPr>
        <w:spacing w:after="0" w:line="155"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From time to time, we may become a party to certain legal proceedings incidental to the normal course of our business. As of December 31, 2024, management is not aware of any material pending or threatened litigation that would require accounting recognition or financial statement disclosure.</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37" w:right="700" w:bottom="1440" w:gutter="0" w:footer="0" w:header="0"/>
        </w:sectPr>
      </w:pPr>
    </w:p>
    <w:bookmarkStart w:id="13" w:name="page14"/>
    <w:bookmarkEnd w:id="13"/>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Business and Structure—We operate in a highly competitive market for investment opportunities.</w:t>
      </w: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Resources and Borrowings</w:t>
      </w:r>
    </w:p>
    <w:p>
      <w:pPr>
        <w:spacing w:after="0" w:line="9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We anticipate generating cash in the future from cash flows from operations, including interest received on our cash and cash equivalents, U.S. government securities and other high-quality debt investments that mature in one year or less, and through issuances of common stock.</w:t>
      </w:r>
    </w:p>
    <w:p>
      <w:pPr>
        <w:spacing w:after="0" w:line="155"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2024 and December 31, 2023, our asset coverage was 182.5% and 181.6%, respectively. See “</w:t>
      </w:r>
      <w:r>
        <w:rPr>
          <w:rFonts w:ascii="Times New Roman" w:cs="Times New Roman" w:eastAsia="Times New Roman" w:hAnsi="Times New Roman"/>
          <w:sz w:val="16"/>
          <w:szCs w:val="16"/>
          <w:i w:val="1"/>
          <w:iCs w:val="1"/>
          <w:color w:val="auto"/>
        </w:rPr>
        <w:t>Regulation as a Business Development Company—Senior Securities</w:t>
      </w:r>
      <w:r>
        <w:rPr>
          <w:rFonts w:ascii="Times New Roman" w:cs="Times New Roman" w:eastAsia="Times New Roman" w:hAnsi="Times New Roman"/>
          <w:sz w:val="16"/>
          <w:szCs w:val="16"/>
          <w:color w:val="auto"/>
        </w:rPr>
        <w:t>” below.</w:t>
      </w:r>
    </w:p>
    <w:p>
      <w:pPr>
        <w:spacing w:after="0" w:line="16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2024 and December 31, 2023:</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40" w:type="dxa"/>
            <w:vAlign w:val="bottom"/>
          </w:tcPr>
          <w:p>
            <w:pPr>
              <w:spacing w:after="0"/>
              <w:rPr>
                <w:sz w:val="12"/>
                <w:szCs w:val="12"/>
                <w:color w:val="auto"/>
              </w:rPr>
            </w:pPr>
          </w:p>
        </w:tc>
        <w:tc>
          <w:tcPr>
            <w:tcW w:w="116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4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5"/>
                <w:szCs w:val="15"/>
                <w:color w:val="auto"/>
              </w:rPr>
            </w:pPr>
          </w:p>
        </w:tc>
        <w:tc>
          <w:tcPr>
            <w:tcW w:w="116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160" w:type="dxa"/>
            <w:vAlign w:val="bottom"/>
          </w:tcPr>
          <w:p>
            <w:pPr>
              <w:spacing w:after="0"/>
              <w:rPr>
                <w:sz w:val="15"/>
                <w:szCs w:val="15"/>
                <w:color w:val="auto"/>
              </w:rPr>
            </w:pPr>
          </w:p>
        </w:tc>
        <w:tc>
          <w:tcPr>
            <w:tcW w:w="980" w:type="dxa"/>
            <w:vAlign w:val="bottom"/>
            <w:gridSpan w:val="2"/>
          </w:tcPr>
          <w:p>
            <w:pPr>
              <w:jc w:val="right"/>
              <w:ind w:right="34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3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1,004.1</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674.2</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988.6</w:t>
            </w:r>
          </w:p>
        </w:tc>
      </w:tr>
      <w:tr>
        <w:trPr>
          <w:trHeight w:val="180"/>
        </w:trPr>
        <w:tc>
          <w:tcPr>
            <w:tcW w:w="3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20" w:type="dxa"/>
            <w:vAlign w:val="bottom"/>
          </w:tcPr>
          <w:p>
            <w:pPr>
              <w:spacing w:after="0"/>
              <w:rPr>
                <w:sz w:val="15"/>
                <w:szCs w:val="15"/>
                <w:color w:val="auto"/>
              </w:rPr>
            </w:pPr>
          </w:p>
        </w:tc>
        <w:tc>
          <w:tcPr>
            <w:tcW w:w="15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tcPr>
          <w:p>
            <w:pPr>
              <w:spacing w:after="0"/>
              <w:rPr>
                <w:sz w:val="15"/>
                <w:szCs w:val="15"/>
                <w:color w:val="auto"/>
              </w:rPr>
            </w:pPr>
          </w:p>
        </w:tc>
        <w:tc>
          <w:tcPr>
            <w:tcW w:w="11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60" w:type="dxa"/>
            <w:vAlign w:val="bottom"/>
          </w:tcPr>
          <w:p>
            <w:pPr>
              <w:spacing w:after="0"/>
              <w:rPr>
                <w:sz w:val="15"/>
                <w:szCs w:val="15"/>
                <w:color w:val="auto"/>
              </w:rPr>
            </w:pPr>
          </w:p>
        </w:tc>
        <w:tc>
          <w:tcPr>
            <w:tcW w:w="11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280.5</w:t>
            </w:r>
          </w:p>
        </w:tc>
      </w:tr>
      <w:tr>
        <w:trPr>
          <w:trHeight w:val="180"/>
        </w:trPr>
        <w:tc>
          <w:tcPr>
            <w:tcW w:w="3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294.1</w:t>
            </w:r>
          </w:p>
        </w:tc>
      </w:tr>
      <w:tr>
        <w:trPr>
          <w:trHeight w:val="180"/>
        </w:trPr>
        <w:tc>
          <w:tcPr>
            <w:tcW w:w="3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0" w:type="dxa"/>
            <w:vAlign w:val="bottom"/>
          </w:tcPr>
          <w:p>
            <w:pPr>
              <w:spacing w:after="0"/>
              <w:rPr>
                <w:sz w:val="15"/>
                <w:szCs w:val="15"/>
                <w:color w:val="auto"/>
              </w:rPr>
            </w:pPr>
          </w:p>
        </w:tc>
        <w:tc>
          <w:tcPr>
            <w:tcW w:w="15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40" w:type="dxa"/>
            <w:vAlign w:val="bottom"/>
          </w:tcPr>
          <w:p>
            <w:pPr>
              <w:spacing w:after="0"/>
              <w:rPr>
                <w:sz w:val="15"/>
                <w:szCs w:val="15"/>
                <w:color w:val="auto"/>
              </w:rPr>
            </w:pPr>
          </w:p>
        </w:tc>
        <w:tc>
          <w:tcPr>
            <w:tcW w:w="11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60" w:type="dxa"/>
            <w:vAlign w:val="bottom"/>
          </w:tcPr>
          <w:p>
            <w:pPr>
              <w:spacing w:after="0"/>
              <w:rPr>
                <w:sz w:val="15"/>
                <w:szCs w:val="15"/>
                <w:color w:val="auto"/>
              </w:rPr>
            </w:pPr>
          </w:p>
        </w:tc>
        <w:tc>
          <w:tcPr>
            <w:tcW w:w="11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337.9</w:t>
            </w:r>
          </w:p>
        </w:tc>
      </w:tr>
      <w:tr>
        <w:trPr>
          <w:trHeight w:val="220"/>
        </w:trPr>
        <w:tc>
          <w:tcPr>
            <w:tcW w:w="3080" w:type="dxa"/>
            <w:vAlign w:val="bottom"/>
            <w:tcBorders>
              <w:bottom w:val="single" w:sz="8" w:color="CFF0FC"/>
            </w:tcBorders>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2,650.0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674.2</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1,901.1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15"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58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and 2029 Notes are presented net of deferred financing costs and original issue discounts totaling $15.4 million, $1.8 million, $4.5 million, and $6.9 million, respectively.</w:t>
      </w:r>
    </w:p>
    <w:p>
      <w:pPr>
        <w:spacing w:after="0" w:line="1"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4"/>
          <w:szCs w:val="14"/>
          <w:color w:val="auto"/>
        </w:rPr>
        <w:t>(3)The carrying value of the 2026 Notes, 2028 Notes, and 2029 Notes are presented inclusive of an incremental $(17.6) million, $ (1.4) million and $(5.2) million, respectively, which represents an adjustment in the carrying values of the 2026 Notes, 2028 Notes and 2029 Notes, each resulting from a hedge accounting relationship.</w:t>
      </w:r>
    </w:p>
    <w:p>
      <w:pPr>
        <w:spacing w:after="0" w:line="150"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ind w:right="185"/>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4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6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5"/>
                <w:szCs w:val="15"/>
                <w:color w:val="auto"/>
              </w:rPr>
            </w:pPr>
          </w:p>
        </w:tc>
        <w:tc>
          <w:tcPr>
            <w:tcW w:w="148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65"/>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Available </w:t>
            </w:r>
            <w:r>
              <w:rPr>
                <w:rFonts w:ascii="Times New Roman" w:cs="Times New Roman" w:eastAsia="Times New Roman" w:hAnsi="Times New Roman"/>
                <w:sz w:val="16"/>
                <w:szCs w:val="16"/>
                <w:b w:val="1"/>
                <w:bCs w:val="1"/>
                <w:color w:val="auto"/>
                <w:w w:val="99"/>
                <w:vertAlign w:val="superscript"/>
              </w:rPr>
              <w:t>(1)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1,710.0</w:t>
            </w:r>
          </w:p>
        </w:tc>
        <w:tc>
          <w:tcPr>
            <w:tcW w:w="34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889.7</w:t>
            </w:r>
          </w:p>
        </w:tc>
        <w:tc>
          <w:tcPr>
            <w:tcW w:w="38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820.2</w:t>
            </w:r>
          </w:p>
        </w:tc>
        <w:tc>
          <w:tcPr>
            <w:tcW w:w="36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874.5</w:t>
            </w:r>
          </w:p>
        </w:tc>
        <w:tc>
          <w:tcPr>
            <w:tcW w:w="100" w:type="dxa"/>
            <w:vAlign w:val="bottom"/>
            <w:shd w:val="clear" w:color="auto" w:fill="CFF0FC"/>
          </w:tcPr>
          <w:p>
            <w:pPr>
              <w:spacing w:after="0"/>
              <w:rPr>
                <w:sz w:val="15"/>
                <w:szCs w:val="15"/>
                <w:color w:val="auto"/>
              </w:rPr>
            </w:pPr>
          </w:p>
        </w:tc>
      </w:tr>
      <w:tr>
        <w:trPr>
          <w:trHeight w:val="180"/>
        </w:trPr>
        <w:tc>
          <w:tcPr>
            <w:tcW w:w="2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335.9</w:t>
            </w:r>
          </w:p>
        </w:tc>
        <w:tc>
          <w:tcPr>
            <w:tcW w:w="100" w:type="dxa"/>
            <w:vAlign w:val="bottom"/>
          </w:tcPr>
          <w:p>
            <w:pPr>
              <w:spacing w:after="0"/>
              <w:rPr>
                <w:sz w:val="15"/>
                <w:szCs w:val="15"/>
                <w:color w:val="auto"/>
              </w:rPr>
            </w:pP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270.9</w:t>
            </w:r>
          </w:p>
        </w:tc>
        <w:tc>
          <w:tcPr>
            <w:tcW w:w="100" w:type="dxa"/>
            <w:vAlign w:val="bottom"/>
            <w:shd w:val="clear" w:color="auto" w:fill="CFF0FC"/>
          </w:tcPr>
          <w:p>
            <w:pPr>
              <w:spacing w:after="0"/>
              <w:rPr>
                <w:sz w:val="15"/>
                <w:szCs w:val="15"/>
                <w:color w:val="auto"/>
              </w:rPr>
            </w:pPr>
          </w:p>
        </w:tc>
      </w:tr>
      <w:tr>
        <w:trPr>
          <w:trHeight w:val="180"/>
        </w:trPr>
        <w:tc>
          <w:tcPr>
            <w:tcW w:w="2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299.0</w:t>
            </w:r>
          </w:p>
        </w:tc>
        <w:tc>
          <w:tcPr>
            <w:tcW w:w="100" w:type="dxa"/>
            <w:vAlign w:val="bottom"/>
          </w:tcPr>
          <w:p>
            <w:pPr>
              <w:spacing w:after="0"/>
              <w:rPr>
                <w:sz w:val="15"/>
                <w:szCs w:val="15"/>
                <w:color w:val="auto"/>
              </w:rPr>
            </w:pPr>
          </w:p>
        </w:tc>
      </w:tr>
      <w:tr>
        <w:trPr>
          <w:trHeight w:val="220"/>
        </w:trPr>
        <w:tc>
          <w:tcPr>
            <w:tcW w:w="2820" w:type="dxa"/>
            <w:vAlign w:val="bottom"/>
            <w:tcBorders>
              <w:bottom w:val="single" w:sz="8" w:color="CFF0FC"/>
            </w:tcBorders>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2,657.5</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1,837.2</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820.2</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1,780.3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1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 w:name="page15"/>
    <w:bookmarkEnd w:id="14"/>
    <w:p>
      <w:pPr>
        <w:ind w:right="500"/>
        <w:spacing w:after="0" w:line="246"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deferred financing costs and original issue discounts totaling $15.2 million, $1.2 million, $3.0 million, and $5.7 million, respectively.</w:t>
      </w:r>
    </w:p>
    <w:p>
      <w:pPr>
        <w:spacing w:after="0" w:line="1"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4"/>
          <w:szCs w:val="14"/>
          <w:color w:val="auto"/>
        </w:rPr>
        <w:t>(3)The carrying value of the 2024 Notes, 2026 Notes, and 2028 Notes are presented inclusive of an incremental $(10.4) million, $ (26.1) million and $4.7 million, respectively, which represents an adjustment in the carrying values of the 2024 Notes, 2026 Notes and 2028 Notes, each resulting from a hedge accounting relationship.</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the components of interest expense were as follows:</w:t>
      </w:r>
    </w:p>
    <w:p>
      <w:pPr>
        <w:spacing w:after="0" w:line="308"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6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105.2</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49.9</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Commitment fees</w:t>
            </w:r>
          </w:p>
        </w:tc>
        <w:tc>
          <w:tcPr>
            <w:tcW w:w="1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1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Swap settlement</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36.5</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w:t>
            </w:r>
          </w:p>
        </w:tc>
        <w:tc>
          <w:tcPr>
            <w:tcW w:w="3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133.7</w:t>
            </w:r>
          </w:p>
        </w:tc>
        <w:tc>
          <w:tcPr>
            <w:tcW w:w="3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Average debt outstanding</w:t>
            </w:r>
          </w:p>
        </w:tc>
        <w:tc>
          <w:tcPr>
            <w:tcW w:w="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1,882.7</w:t>
            </w: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1,705.6</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1,342.0</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60" w:type="dxa"/>
            <w:vAlign w:val="bottom"/>
          </w:tcPr>
          <w:p>
            <w:pPr>
              <w:spacing w:after="0"/>
              <w:rPr>
                <w:sz w:val="22"/>
                <w:szCs w:val="22"/>
                <w:color w:val="auto"/>
              </w:rPr>
            </w:pPr>
          </w:p>
        </w:tc>
        <w:tc>
          <w:tcPr>
            <w:tcW w:w="1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22"/>
                <w:szCs w:val="22"/>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tcPr>
          <w:p>
            <w:pPr>
              <w:spacing w:after="0"/>
              <w:rPr>
                <w:sz w:val="22"/>
                <w:szCs w:val="22"/>
                <w:color w:val="auto"/>
              </w:rPr>
            </w:pPr>
          </w:p>
        </w:tc>
        <w:tc>
          <w:tcPr>
            <w:tcW w:w="1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72"/>
        </w:trPr>
        <w:tc>
          <w:tcPr>
            <w:tcW w:w="3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840" w:firstLine="228"/>
        <w:spacing w:after="0" w:line="262" w:lineRule="auto"/>
        <w:rPr>
          <w:sz w:val="20"/>
          <w:szCs w:val="20"/>
          <w:color w:val="auto"/>
        </w:rPr>
      </w:pPr>
      <w:r>
        <w:rPr>
          <w:rFonts w:ascii="Times New Roman" w:cs="Times New Roman" w:eastAsia="Times New Roman" w:hAnsi="Times New Roman"/>
          <w:sz w:val="16"/>
          <w:szCs w:val="16"/>
          <w:color w:val="auto"/>
        </w:rPr>
        <w:t>For more information on our debt, see “</w:t>
      </w:r>
      <w:r>
        <w:rPr>
          <w:rFonts w:ascii="Times New Roman" w:cs="Times New Roman" w:eastAsia="Times New Roman" w:hAnsi="Times New Roman"/>
          <w:sz w:val="16"/>
          <w:szCs w:val="16"/>
          <w:i w:val="1"/>
          <w:iCs w:val="1"/>
          <w:color w:val="auto"/>
        </w:rPr>
        <w:t>ITEM 7. 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OPERATIONS——Financial Condition, Liquidity and Capital Resources.</w:t>
      </w:r>
      <w:r>
        <w:rPr>
          <w:rFonts w:ascii="Times New Roman" w:cs="Times New Roman" w:eastAsia="Times New Roman" w:hAnsi="Times New Roman"/>
          <w:sz w:val="16"/>
          <w:szCs w:val="16"/>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Policy</w:t>
      </w:r>
    </w:p>
    <w:p>
      <w:pPr>
        <w:spacing w:after="0" w:line="9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 term capital gains over net long -term capital losses, as well as other taxable income, excluding any net capital gains reduced by deductible expenses) and 90% of our net tax- 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and losses, recognized during a calendar year;</w:t>
      </w:r>
    </w:p>
    <w:p>
      <w:pPr>
        <w:spacing w:after="0" w:line="92"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such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40" w:firstLine="228"/>
        <w:spacing w:after="0" w:line="284" w:lineRule="auto"/>
        <w:rPr>
          <w:sz w:val="20"/>
          <w:szCs w:val="20"/>
          <w:color w:val="auto"/>
        </w:rPr>
      </w:pPr>
      <w:r>
        <w:rPr>
          <w:rFonts w:ascii="Times New Roman" w:cs="Times New Roman" w:eastAsia="Times New Roman" w:hAnsi="Times New Roman"/>
          <w:sz w:val="14"/>
          <w:szCs w:val="14"/>
          <w:color w:val="auto"/>
        </w:rPr>
        <w:t xml:space="preserve">We have previously incurred, and can be expected to incur in the future, such excise tax on a portion of our income and gains. While we intend to distribute income and capital gains to minimize exposure to the 4% U.S. federal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14"/>
          <w:szCs w:val="14"/>
          <w:i w:val="1"/>
          <w:iCs w:val="1"/>
          <w:color w:val="auto"/>
        </w:rPr>
        <w:t>See “ITEM 1A. RISK FACTORS—Risks Related to Our Business and Structure—We will be subject to corporate-level income tax if we are unable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maintain our qualification as a RIC under Subchapter M of the Code, including as a result of our failure to satisfy the RIC distribution requirements.”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Reinvestment Plan</w:t>
      </w:r>
    </w:p>
    <w:p>
      <w:pPr>
        <w:spacing w:after="0" w:line="94"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71"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13" w:right="740" w:bottom="1440" w:gutter="0" w:footer="0" w:header="0"/>
        </w:sectPr>
      </w:pPr>
    </w:p>
    <w:bookmarkStart w:id="15" w:name="page16"/>
    <w:bookmarkEnd w:id="15"/>
    <w:p>
      <w:pPr>
        <w:spacing w:after="0" w:line="65"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No action is required on the part of a registered stockholder to have its cash dividend or other distribution reinvested in our common stock. A registered stockholder is able to elect to receive an entire cash dividend or distribution in cash by notifying Equiniti Trust Company, LLC,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69"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0"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 -U.S. stockholders, the number of shares to be issued to the stockholder will be the amount equal to the total dollar amount of the cash dividend or distribution payable, net of applicable withholding taxes.</w:t>
      </w:r>
    </w:p>
    <w:p>
      <w:pPr>
        <w:spacing w:after="0" w:line="169"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Administration</w:t>
      </w:r>
    </w:p>
    <w:p>
      <w:pPr>
        <w:spacing w:after="0" w:line="9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 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6"/>
          <w:szCs w:val="16"/>
          <w:i w:val="1"/>
          <w:iCs w:val="1"/>
          <w:color w:val="auto"/>
        </w:rPr>
        <w:t>Investment Advisory Agreement; Administration Agreement; License Agreement</w:t>
      </w:r>
      <w:r>
        <w:rPr>
          <w:rFonts w:ascii="Times New Roman" w:cs="Times New Roman" w:eastAsia="Times New Roman" w:hAnsi="Times New Roman"/>
          <w:sz w:val="16"/>
          <w:szCs w:val="16"/>
          <w:color w:val="auto"/>
        </w:rPr>
        <w:t>” below.</w:t>
      </w:r>
    </w:p>
    <w:p>
      <w:pPr>
        <w:spacing w:after="0" w:line="77" w:lineRule="exact"/>
        <w:rPr>
          <w:sz w:val="20"/>
          <w:szCs w:val="20"/>
          <w:color w:val="auto"/>
        </w:rPr>
      </w:pPr>
    </w:p>
    <w:p>
      <w:pPr>
        <w:ind w:right="640" w:firstLine="228"/>
        <w:spacing w:after="0" w:line="259" w:lineRule="auto"/>
        <w:rPr>
          <w:sz w:val="20"/>
          <w:szCs w:val="20"/>
          <w:color w:val="auto"/>
        </w:rPr>
      </w:pPr>
      <w:r>
        <w:rPr>
          <w:rFonts w:ascii="Times New Roman" w:cs="Times New Roman" w:eastAsia="Times New Roman" w:hAnsi="Times New Roman"/>
          <w:sz w:val="16"/>
          <w:szCs w:val="16"/>
          <w:color w:val="auto"/>
        </w:rPr>
        <w:t>In addition to our Adviser, Sixth Street has a team of over 650 investment and operating professionals. As of December 31, 2024, seventy-two (72) of these personnel are dedicated to direct lending, including fifty-seven (57) investment professionals.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 Administration Agreement; License Agreement</w:t>
      </w:r>
    </w:p>
    <w:p>
      <w:pPr>
        <w:spacing w:after="0" w:line="94" w:lineRule="exact"/>
        <w:rPr>
          <w:sz w:val="20"/>
          <w:szCs w:val="20"/>
          <w:color w:val="auto"/>
        </w:rPr>
      </w:pPr>
    </w:p>
    <w:p>
      <w:pPr>
        <w:ind w:right="420" w:firstLine="228"/>
        <w:spacing w:after="0" w:line="259" w:lineRule="auto"/>
        <w:rPr>
          <w:sz w:val="20"/>
          <w:szCs w:val="20"/>
          <w:color w:val="auto"/>
        </w:rPr>
      </w:pPr>
      <w:r>
        <w:rPr>
          <w:rFonts w:ascii="Times New Roman" w:cs="Times New Roman" w:eastAsia="Times New Roman" w:hAnsi="Times New Roman"/>
          <w:sz w:val="16"/>
          <w:szCs w:val="16"/>
          <w:color w:val="auto"/>
        </w:rPr>
        <w:t>On April 15, 2011, we entered into the Investment Advisory Agreement with our Adviser. The Investment Advisory Agreement was subsequently amended on December 12, 2011.</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Under the Investment Advisory Agreement, the Adviser:</w:t>
      </w:r>
    </w:p>
    <w:p>
      <w:pPr>
        <w:spacing w:after="0" w:line="92" w:lineRule="exact"/>
        <w:rPr>
          <w:sz w:val="20"/>
          <w:szCs w:val="20"/>
          <w:color w:val="auto"/>
        </w:rPr>
      </w:pPr>
    </w:p>
    <w:p>
      <w:pPr>
        <w:ind w:left="240" w:right="640"/>
        <w:spacing w:after="0" w:line="411" w:lineRule="auto"/>
        <w:rPr>
          <w:sz w:val="20"/>
          <w:szCs w:val="20"/>
          <w:color w:val="auto"/>
        </w:rPr>
      </w:pPr>
      <w:r>
        <w:rPr>
          <w:rFonts w:ascii="Times New Roman" w:cs="Times New Roman" w:eastAsia="Times New Roman" w:hAnsi="Times New Roman"/>
          <w:sz w:val="14"/>
          <w:szCs w:val="14"/>
          <w:color w:val="auto"/>
        </w:rPr>
        <w:t>•determines the composition of our portfolio, the nature and timing of the changes to our portfolio and the manner of implementing those changes; •identifies, evaluates and negotiates the structure of the investments we make (including performing due diligence on our prospective portfolio companies);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 w:name="page17"/>
    <w:bookmarkEnd w:id="16"/>
    <w:p>
      <w:pPr>
        <w:ind w:left="240"/>
        <w:spacing w:after="0"/>
        <w:rPr>
          <w:sz w:val="20"/>
          <w:szCs w:val="20"/>
          <w:color w:val="auto"/>
        </w:rPr>
      </w:pPr>
      <w:r>
        <w:rPr>
          <w:rFonts w:ascii="Times New Roman" w:cs="Times New Roman" w:eastAsia="Times New Roman" w:hAnsi="Times New Roman"/>
          <w:sz w:val="16"/>
          <w:szCs w:val="16"/>
          <w:color w:val="auto"/>
        </w:rPr>
        <w:t>•determines the assets we will originate, purchase, retain or sell;</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•closes, monitors and administers the investments we make, including the exercise of any rights in our capacity as a lender or equity holder; and</w:t>
      </w:r>
    </w:p>
    <w:p>
      <w:pPr>
        <w:spacing w:after="0" w:line="92"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55"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The Adviser’s services under the Investment Advisory Agreement are not exclusive, and the Adviser is free to furnish similar or other services to others so long as its services to us are not impaired.</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Under the terms of the Investment Advisory Agreement, we pay the Adviser a base management fee (the “Management Fee”) and may also pay certain incentive fees (the “Incentive Fees”).</w:t>
      </w:r>
    </w:p>
    <w:p>
      <w:pPr>
        <w:spacing w:after="0" w:line="155" w:lineRule="exact"/>
        <w:rPr>
          <w:sz w:val="20"/>
          <w:szCs w:val="20"/>
          <w:color w:val="auto"/>
        </w:rPr>
      </w:pPr>
    </w:p>
    <w:p>
      <w:pPr>
        <w:ind w:right="30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right="460" w:firstLine="228"/>
        <w:spacing w:after="0" w:line="259" w:lineRule="auto"/>
        <w:rPr>
          <w:sz w:val="20"/>
          <w:szCs w:val="20"/>
          <w:color w:val="auto"/>
        </w:rPr>
      </w:pPr>
      <w:r>
        <w:rPr>
          <w:rFonts w:ascii="Times New Roman" w:cs="Times New Roman" w:eastAsia="Times New Roman" w:hAnsi="Times New Roman"/>
          <w:sz w:val="16"/>
          <w:szCs w:val="16"/>
          <w:color w:val="auto"/>
        </w:rPr>
        <w:t>For each of the years ended December 31, 2024, December 31, 2023, and December 31, 2022, Management Fees (gross of waivers) were $51.8 million, $46.4 million and $39.9 million,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years ended December 31, 2024, December 31, 2023 and December 31, 2022, Management Fees of $1.5 million, $1.2 million and $0.4 million, respectively, have been waived pursuant to the Leverage Waiver.</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100"/>
        <w:spacing w:after="0" w:line="239" w:lineRule="auto"/>
        <w:rPr>
          <w:sz w:val="20"/>
          <w:szCs w:val="20"/>
          <w:color w:val="auto"/>
        </w:rPr>
      </w:pPr>
      <w:r>
        <w:rPr>
          <w:rFonts w:ascii="Times New Roman" w:cs="Times New Roman" w:eastAsia="Times New Roman" w:hAnsi="Times New Roman"/>
          <w:sz w:val="16"/>
          <w:szCs w:val="16"/>
          <w:color w:val="auto"/>
        </w:rPr>
        <w:t>(i)The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4" w:lineRule="exact"/>
        <w:rPr>
          <w:sz w:val="20"/>
          <w:szCs w:val="20"/>
          <w:color w:val="auto"/>
        </w:rPr>
      </w:pPr>
    </w:p>
    <w:p>
      <w:pPr>
        <w:ind w:left="480" w:right="80"/>
        <w:spacing w:after="0" w:line="239" w:lineRule="auto"/>
        <w:rPr>
          <w:sz w:val="20"/>
          <w:szCs w:val="20"/>
          <w:color w:val="auto"/>
        </w:rPr>
      </w:pPr>
      <w:r>
        <w:rPr>
          <w:rFonts w:ascii="Times New Roman" w:cs="Times New Roman" w:eastAsia="Times New Roman" w:hAnsi="Times New Roman"/>
          <w:sz w:val="16"/>
          <w:szCs w:val="16"/>
          <w:color w:val="auto"/>
        </w:rPr>
        <w:t>Pre -Incentive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 kind interest and zero coupon securities), accrued income that we may not have received in cash. Pre-Incentive Fee net investment income does not include any realized capital gains, realized capital losses or unrealized capital gains or losses.</w:t>
      </w:r>
    </w:p>
    <w:p>
      <w:pPr>
        <w:spacing w:after="0" w:line="77" w:lineRule="exact"/>
        <w:rPr>
          <w:sz w:val="20"/>
          <w:szCs w:val="20"/>
          <w:color w:val="auto"/>
        </w:rPr>
      </w:pPr>
    </w:p>
    <w:p>
      <w:pPr>
        <w:ind w:left="240" w:right="120"/>
        <w:spacing w:after="0" w:line="238" w:lineRule="auto"/>
        <w:rPr>
          <w:sz w:val="20"/>
          <w:szCs w:val="20"/>
          <w:color w:val="auto"/>
        </w:rPr>
      </w:pPr>
      <w:r>
        <w:rPr>
          <w:rFonts w:ascii="Times New Roman" w:cs="Times New Roman" w:eastAsia="Times New Roman" w:hAnsi="Times New Roman"/>
          <w:sz w:val="16"/>
          <w:szCs w:val="16"/>
          <w:color w:val="auto"/>
        </w:rPr>
        <w:t>(ii)The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capital gains because a Capital Gains Fee would be owed to the Adviser if we were to sell the relevant investment and realize a capital gain. The weighted percentage is intended to ensure that for each fiscal year following the completion of the initial public offering ("IPO"), the portion of our realized capital gains that accrued prior to March 31, 2014, is subject to an Incentive Fee rate of 15% and the portion of our realized capital gains that accrued beginning April 1, 2014 is subject to an Incentive Fee rate of 17.5%. In the determination of the second component of the Incentive Fee, any unrealized gains or losses specifically related to the foreign currency</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7" w:name="page18"/>
    <w:bookmarkEnd w:id="17"/>
    <w:p>
      <w:pPr>
        <w:ind w:left="240" w:right="140"/>
        <w:spacing w:after="0" w:line="247" w:lineRule="auto"/>
        <w:rPr>
          <w:sz w:val="20"/>
          <w:szCs w:val="20"/>
          <w:color w:val="auto"/>
        </w:rPr>
      </w:pPr>
      <w:r>
        <w:rPr>
          <w:rFonts w:ascii="Times New Roman" w:cs="Times New Roman" w:eastAsia="Times New Roman" w:hAnsi="Times New Roman"/>
          <w:sz w:val="16"/>
          <w:szCs w:val="16"/>
          <w:color w:val="auto"/>
        </w:rPr>
        <w:t>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16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 -Incentive Fee net investment income exceeds the hurdle rate, pre-Incentive Fee net investment income is expressed as a rate of return on the value of our net assets at the end of the immediately preceding calendar quarter.</w:t>
      </w:r>
    </w:p>
    <w:p>
      <w:pPr>
        <w:spacing w:after="0" w:line="155" w:lineRule="exact"/>
        <w:rPr>
          <w:sz w:val="20"/>
          <w:szCs w:val="20"/>
          <w:color w:val="auto"/>
        </w:rPr>
      </w:pPr>
    </w:p>
    <w:p>
      <w:pPr>
        <w:ind w:right="20" w:firstLine="228"/>
        <w:spacing w:after="0" w:line="278" w:lineRule="auto"/>
        <w:rPr>
          <w:sz w:val="20"/>
          <w:szCs w:val="20"/>
          <w:color w:val="auto"/>
        </w:rPr>
      </w:pPr>
      <w:r>
        <w:rPr>
          <w:rFonts w:ascii="Times New Roman" w:cs="Times New Roman" w:eastAsia="Times New Roman" w:hAnsi="Times New Roman"/>
          <w:sz w:val="14"/>
          <w:szCs w:val="14"/>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 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47"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55"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Incentive Fees were $40.2 million, $47.0 million, and $24.5 million, respectively, of which $ 45.5 million, $ 42.6 million, and $33.4 million, respectively, were realized and payable to the Adviser. For the years ended December 31, 2024, December 31, 2023 and December 31, 2022, $(5.4) million, $4.4 million, and $(8.9) million, respectively, of Incentive Fees were accrued related to Capital Gains Fees. As of December 31, 2024, these accrued Incentive Fees are not contractually payable to the Adviser. The Adviser did not waive any Incentive Fees for the years ended December 31, 2024, December 31, 2023 and December 31, 2022.</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88"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5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In November 2024, the Board renewed the Investment Advisory Agreement. Unless earlier terminated as described below, the Investment Advisory Agreement will remain in effect until November 2025,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64"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55"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6"/>
          <w:szCs w:val="16"/>
          <w:i w:val="1"/>
          <w:iCs w:val="1"/>
          <w:color w:val="auto"/>
        </w:rPr>
        <w:t>Payment of Our Expenses</w:t>
      </w:r>
      <w:r>
        <w:rPr>
          <w:rFonts w:ascii="Times New Roman" w:cs="Times New Roman" w:eastAsia="Times New Roman" w:hAnsi="Times New Roman"/>
          <w:sz w:val="16"/>
          <w:szCs w:val="16"/>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2024, December 31, 2023, and December 31, 2022, we incurred expenses of $3.9 million, $ 3.2 million, and $3.1 million, respectively, for administrative services payable under the terms of the Administration Agreement, which are included in Other general and administrative expenses.</w:t>
      </w:r>
    </w:p>
    <w:p>
      <w:pPr>
        <w:spacing w:after="0" w:line="173" w:lineRule="exact"/>
        <w:rPr>
          <w:sz w:val="20"/>
          <w:szCs w:val="20"/>
          <w:color w:val="auto"/>
        </w:rPr>
      </w:pPr>
    </w:p>
    <w:p>
      <w:pPr>
        <w:ind w:right="14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the Adviser may pay amounts owed by us to third- 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09" w:right="620" w:bottom="1440" w:gutter="0" w:footer="0" w:header="0"/>
        </w:sectPr>
      </w:pPr>
    </w:p>
    <w:bookmarkStart w:id="18" w:name="page19"/>
    <w:bookmarkEnd w:id="18"/>
    <w:p>
      <w:pPr>
        <w:spacing w:after="0" w:line="65"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332"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74"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of Our Expenses</w:t>
      </w:r>
    </w:p>
    <w:p>
      <w:pPr>
        <w:spacing w:after="0" w:line="94" w:lineRule="exact"/>
        <w:rPr>
          <w:sz w:val="20"/>
          <w:szCs w:val="20"/>
          <w:color w:val="auto"/>
        </w:rPr>
      </w:pPr>
    </w:p>
    <w:p>
      <w:pPr>
        <w:ind w:right="400" w:firstLine="228"/>
        <w:spacing w:after="0" w:line="331" w:lineRule="auto"/>
        <w:rPr>
          <w:sz w:val="20"/>
          <w:szCs w:val="20"/>
          <w:color w:val="auto"/>
        </w:rPr>
      </w:pPr>
      <w:r>
        <w:rPr>
          <w:rFonts w:ascii="Times New Roman" w:cs="Times New Roman" w:eastAsia="Times New Roman" w:hAnsi="Times New Roman"/>
          <w:sz w:val="14"/>
          <w:szCs w:val="14"/>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48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16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0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w:t>
      </w:r>
    </w:p>
    <w:p>
      <w:pPr>
        <w:jc w:val="center"/>
        <w:ind w:right="-5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9" w:name="page20"/>
    <w:bookmarkEnd w:id="19"/>
    <w:p>
      <w:pPr>
        <w:ind w:left="24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right="4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0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Duration and Termination</w:t>
      </w:r>
    </w:p>
    <w:p>
      <w:pPr>
        <w:spacing w:after="0" w:line="94"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Unless earlier terminated as described below, both the Investment Advisory Agreement and the Administration Agreement will remain in effect until November 2025,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6"/>
          <w:szCs w:val="16"/>
          <w:i w:val="1"/>
          <w:iCs w:val="1"/>
          <w:color w:val="auto"/>
        </w:rPr>
        <w:t>ITEM 1A. RISK FACTORS—Risks Related to Our Business and Structure—We are dependent upon 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personnel of the Adviser, Sixth Street, and their affiliates for our future success</w:t>
      </w: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94"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20" w:name="page21"/>
    <w:bookmarkEnd w:id="20"/>
    <w:p>
      <w:pPr>
        <w:jc w:val="both"/>
        <w:ind w:right="380"/>
        <w:spacing w:after="0" w:line="247" w:lineRule="auto"/>
        <w:rPr>
          <w:sz w:val="20"/>
          <w:szCs w:val="20"/>
          <w:color w:val="auto"/>
        </w:rPr>
      </w:pPr>
      <w:r>
        <w:rPr>
          <w:rFonts w:ascii="Times New Roman" w:cs="Times New Roman" w:eastAsia="Times New Roman" w:hAnsi="Times New Roman"/>
          <w:sz w:val="16"/>
          <w:szCs w:val="16"/>
          <w:color w:val="auto"/>
        </w:rPr>
        <w:t>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Approval of the Investment Advisory Agreement</w:t>
      </w:r>
    </w:p>
    <w:p>
      <w:pPr>
        <w:spacing w:after="0" w:line="94" w:lineRule="exact"/>
        <w:rPr>
          <w:sz w:val="20"/>
          <w:szCs w:val="20"/>
          <w:color w:val="auto"/>
        </w:rPr>
      </w:pPr>
    </w:p>
    <w:p>
      <w:pPr>
        <w:ind w:right="40" w:firstLine="228"/>
        <w:spacing w:after="0" w:line="299" w:lineRule="auto"/>
        <w:rPr>
          <w:sz w:val="20"/>
          <w:szCs w:val="20"/>
          <w:color w:val="auto"/>
        </w:rPr>
      </w:pPr>
      <w:r>
        <w:rPr>
          <w:rFonts w:ascii="Times New Roman" w:cs="Times New Roman" w:eastAsia="Times New Roman" w:hAnsi="Times New Roman"/>
          <w:sz w:val="14"/>
          <w:szCs w:val="14"/>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2024. In its consideration of the Investment Advisory Agreement at the time of approval and renewal, the Board focused on information it had received relating to, among other things:</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nature, quality and extent of the advisory and other services to be provided to us by the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and financial performance on a standalone basis and against a comparative universe of peers;</w:t>
      </w:r>
    </w:p>
    <w:p>
      <w:pPr>
        <w:spacing w:after="0" w:line="92" w:lineRule="exact"/>
        <w:rPr>
          <w:sz w:val="20"/>
          <w:szCs w:val="20"/>
          <w:color w:val="auto"/>
        </w:rPr>
      </w:pPr>
    </w:p>
    <w:p>
      <w:pPr>
        <w:ind w:left="240" w:right="560"/>
        <w:spacing w:after="0" w:line="259" w:lineRule="auto"/>
        <w:rPr>
          <w:sz w:val="20"/>
          <w:szCs w:val="20"/>
          <w:color w:val="auto"/>
        </w:rPr>
      </w:pPr>
      <w:r>
        <w:rPr>
          <w:rFonts w:ascii="Times New Roman" w:cs="Times New Roman" w:eastAsia="Times New Roman" w:hAnsi="Times New Roman"/>
          <w:sz w:val="16"/>
          <w:szCs w:val="16"/>
          <w:color w:val="auto"/>
        </w:rPr>
        <w:t>•the extent to which economies of scale would be realized as we grow, and whether the fees payable under the Investment Advisory Agreement reflect these economies of scale for the benefit of our stockholders;</w:t>
      </w:r>
    </w:p>
    <w:p>
      <w:pPr>
        <w:spacing w:after="0" w:line="59" w:lineRule="exact"/>
        <w:rPr>
          <w:sz w:val="20"/>
          <w:szCs w:val="20"/>
          <w:color w:val="auto"/>
        </w:rPr>
      </w:pPr>
    </w:p>
    <w:p>
      <w:pPr>
        <w:ind w:left="240" w:right="2620"/>
        <w:spacing w:after="0" w:line="360" w:lineRule="auto"/>
        <w:rPr>
          <w:sz w:val="20"/>
          <w:szCs w:val="20"/>
          <w:color w:val="auto"/>
        </w:rPr>
      </w:pPr>
      <w:r>
        <w:rPr>
          <w:rFonts w:ascii="Times New Roman" w:cs="Times New Roman" w:eastAsia="Times New Roman" w:hAnsi="Times New Roman"/>
          <w:sz w:val="16"/>
          <w:szCs w:val="16"/>
          <w:color w:val="auto"/>
        </w:rPr>
        <w:t>•comparative data with respect to advisory fees or similar expenses paid by other BDCs with similar investment objectives; •our expense ratio compared to BDCs with similar investment objectives;</w:t>
      </w:r>
    </w:p>
    <w:p>
      <w:pPr>
        <w:ind w:left="240" w:right="1320"/>
        <w:spacing w:after="0" w:line="360" w:lineRule="auto"/>
        <w:rPr>
          <w:sz w:val="20"/>
          <w:szCs w:val="20"/>
          <w:color w:val="auto"/>
        </w:rPr>
      </w:pPr>
      <w:r>
        <w:rPr>
          <w:rFonts w:ascii="Times New Roman" w:cs="Times New Roman" w:eastAsia="Times New Roman" w:hAnsi="Times New Roman"/>
          <w:sz w:val="16"/>
          <w:szCs w:val="16"/>
          <w:color w:val="auto"/>
        </w:rPr>
        <w:t>•any existing and potential sources of indirect income to the Adviser from its relationships with us and the profitability of those income sources; •information about the services to be performed and the personnel performing those services under the Investment Advisory Agreement; •the organizational and functional capabilities and financial condition of the Adviser and its respective affiliates; and</w:t>
      </w:r>
    </w:p>
    <w:p>
      <w:pPr>
        <w:ind w:left="240"/>
        <w:spacing w:after="0"/>
        <w:rPr>
          <w:sz w:val="20"/>
          <w:szCs w:val="20"/>
          <w:color w:val="auto"/>
        </w:rPr>
      </w:pPr>
      <w:r>
        <w:rPr>
          <w:rFonts w:ascii="Times New Roman" w:cs="Times New Roman" w:eastAsia="Times New Roman" w:hAnsi="Times New Roman"/>
          <w:sz w:val="16"/>
          <w:szCs w:val="16"/>
          <w:color w:val="auto"/>
        </w:rPr>
        <w:t>•the possibility of obtaining similar services from other third-party service providers or through an internally managed structure.</w:t>
      </w:r>
    </w:p>
    <w:p>
      <w:pPr>
        <w:spacing w:after="0" w:line="188"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64"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as a Business Development Company</w:t>
      </w:r>
    </w:p>
    <w:p>
      <w:pPr>
        <w:spacing w:after="0" w:line="94" w:lineRule="exact"/>
        <w:rPr>
          <w:sz w:val="20"/>
          <w:szCs w:val="20"/>
          <w:color w:val="auto"/>
        </w:rPr>
      </w:pPr>
    </w:p>
    <w:p>
      <w:pPr>
        <w:ind w:right="300" w:firstLine="228"/>
        <w:spacing w:after="0" w:line="247" w:lineRule="auto"/>
        <w:rPr>
          <w:sz w:val="20"/>
          <w:szCs w:val="20"/>
          <w:color w:val="auto"/>
        </w:rPr>
      </w:pPr>
      <w:r>
        <w:rPr>
          <w:rFonts w:ascii="Times New Roman" w:cs="Times New Roman" w:eastAsia="Times New Roman" w:hAnsi="Times New Roman"/>
          <w:sz w:val="16"/>
          <w:szCs w:val="16"/>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6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a BDC, we are permitted, under specified conditions, to issue multiple classes of indebtedness and one class of shares senior to our common stock if our asset coverage, as defined in the 1940 Act, is at least equal to 150% immediately after any borrowing or issuance. See “</w:t>
      </w:r>
      <w:r>
        <w:rPr>
          <w:rFonts w:ascii="Times New Roman" w:cs="Times New Roman" w:eastAsia="Times New Roman" w:hAnsi="Times New Roman"/>
          <w:sz w:val="16"/>
          <w:szCs w:val="16"/>
          <w:i w:val="1"/>
          <w:iCs w:val="1"/>
          <w:color w:val="auto"/>
        </w:rPr>
        <w:t>—Senior Securities</w:t>
      </w:r>
      <w:r>
        <w:rPr>
          <w:rFonts w:ascii="Times New Roman" w:cs="Times New Roman" w:eastAsia="Times New Roman" w:hAnsi="Times New Roman"/>
          <w:sz w:val="16"/>
          <w:szCs w:val="16"/>
          <w:color w:val="auto"/>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Business and Structure—We borrow money, which magnifies the potential for gain or loss and increases the risk of investing in 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of December 31, 2024 and December 31, 2023, our asset coverage was 182.5% and 181.6% respectively.</w:t>
      </w:r>
    </w:p>
    <w:p>
      <w:pPr>
        <w:spacing w:after="0" w:line="170"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21" w:name="page22"/>
    <w:bookmarkEnd w:id="21"/>
    <w:p>
      <w:pPr>
        <w:spacing w:after="0" w:line="6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do not anticipate any substantial change in the nature of our business.</w:t>
      </w:r>
    </w:p>
    <w:p>
      <w:pPr>
        <w:spacing w:after="0" w:line="188"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3"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67"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periodic examination by the SEC for compliance with the 1940 Act.</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Compliance with regulations has not had a material effect on our capital expenditure, earnings or competitive position.</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BDC, we are subject to certain risks and uncertainties. See “</w:t>
      </w:r>
      <w:r>
        <w:rPr>
          <w:rFonts w:ascii="Times New Roman" w:cs="Times New Roman" w:eastAsia="Times New Roman" w:hAnsi="Times New Roman"/>
          <w:sz w:val="16"/>
          <w:szCs w:val="16"/>
          <w:i w:val="1"/>
          <w:iCs w:val="1"/>
          <w:color w:val="auto"/>
        </w:rPr>
        <w:t>ITEM 1A. RISK FACTORS—Risks Related to Our Business and Structure.</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Transactions with our Affiliates</w:t>
      </w:r>
    </w:p>
    <w:p>
      <w:pPr>
        <w:spacing w:after="0" w:line="94" w:lineRule="exact"/>
        <w:rPr>
          <w:sz w:val="20"/>
          <w:szCs w:val="20"/>
          <w:color w:val="auto"/>
        </w:rPr>
      </w:pPr>
    </w:p>
    <w:p>
      <w:pPr>
        <w:jc w:val="both"/>
        <w:ind w:right="140" w:firstLine="228"/>
        <w:spacing w:after="0" w:line="299" w:lineRule="auto"/>
        <w:rPr>
          <w:sz w:val="20"/>
          <w:szCs w:val="20"/>
          <w:color w:val="auto"/>
        </w:rPr>
      </w:pPr>
      <w:r>
        <w:rPr>
          <w:rFonts w:ascii="Times New Roman" w:cs="Times New Roman" w:eastAsia="Times New Roman" w:hAnsi="Times New Roman"/>
          <w:sz w:val="14"/>
          <w:szCs w:val="14"/>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31"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 on” investments in companies in which we have already co-invested pursuant to the order and remain invested. On January 16, 2020, we filed a further application for co- investment exemptive relief with the SEC to better align our existing co- investment relief with more recent SEC exemptive orders. Subsequent further applications were also made, most recently as June 29, 2022. On August 3, 2022, the SEC granted the new order in response to our application.</w:t>
      </w:r>
    </w:p>
    <w:p>
      <w:pPr>
        <w:spacing w:after="0" w:line="173" w:lineRule="exact"/>
        <w:rPr>
          <w:sz w:val="20"/>
          <w:szCs w:val="20"/>
          <w:color w:val="auto"/>
        </w:rPr>
      </w:pPr>
    </w:p>
    <w:p>
      <w:pPr>
        <w:ind w:right="400" w:firstLine="228"/>
        <w:spacing w:after="0" w:line="247"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2" w:name="page23"/>
    <w:bookmarkEnd w:id="22"/>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opportunities where we alone could not commit the full amount of required capital or would have to spend additional time to locate unaffiliated co-investors.</w:t>
      </w:r>
    </w:p>
    <w:p>
      <w:pPr>
        <w:spacing w:after="0" w:line="188"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Further, in accordance with the exemptive order, we have undertaken that, in connection with any commitment to a co- investment or follow-on investment, a “required majority” (as defined in Section 57(o) of the 1940 Act) of Independent Directors must make certain conclusions, including that:</w:t>
      </w:r>
    </w:p>
    <w:p>
      <w:pPr>
        <w:spacing w:after="0" w:line="59"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transaction is consistent with the interests of our stockholders and our investment strategies and policies;</w:t>
      </w:r>
    </w:p>
    <w:p>
      <w:pPr>
        <w:spacing w:after="0" w:line="92" w:lineRule="exact"/>
        <w:rPr>
          <w:sz w:val="20"/>
          <w:szCs w:val="20"/>
          <w:color w:val="auto"/>
        </w:rPr>
      </w:pPr>
    </w:p>
    <w:p>
      <w:pPr>
        <w:ind w:left="240" w:right="200"/>
        <w:spacing w:after="0" w:line="384" w:lineRule="auto"/>
        <w:rPr>
          <w:sz w:val="20"/>
          <w:szCs w:val="20"/>
          <w:color w:val="auto"/>
        </w:rPr>
      </w:pPr>
      <w:r>
        <w:rPr>
          <w:rFonts w:ascii="Times New Roman" w:cs="Times New Roman" w:eastAsia="Times New Roman" w:hAnsi="Times New Roman"/>
          <w:sz w:val="16"/>
          <w:szCs w:val="16"/>
          <w:color w:val="auto"/>
        </w:rPr>
        <w:t>•the investment by our affiliate would not disadvantage us, and our participation is not on a basis different from or less advantageous than that of our affiliate; and •our investment will not benefit any affiliate other than the affiliate participating in the investment, and as otherwise permitted by the order.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Qualifying Assets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jc w:val="both"/>
        <w:ind w:left="240" w:right="240"/>
        <w:spacing w:after="0" w:line="299" w:lineRule="auto"/>
        <w:rPr>
          <w:sz w:val="20"/>
          <w:szCs w:val="20"/>
          <w:color w:val="auto"/>
        </w:rPr>
      </w:pPr>
      <w:r>
        <w:rPr>
          <w:rFonts w:ascii="Times New Roman" w:cs="Times New Roman" w:eastAsia="Times New Roman" w:hAnsi="Times New Roman"/>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•is organized under the laws of, and has its principal place of business in, the United States;</w:t>
      </w:r>
    </w:p>
    <w:p>
      <w:pPr>
        <w:spacing w:after="0" w:line="92"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•is not an investment company (other than a small business investment company wholly owned by us) or a company that would be an investment company but for certain exclusions under the 1940 Act;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•satisfies any of the following:</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•has an equity market capitalization of less than $250 million or does not have any class of securities listed on a national securities exchange;</w:t>
      </w:r>
    </w:p>
    <w:p>
      <w:pPr>
        <w:spacing w:after="0" w:line="92" w:lineRule="exact"/>
        <w:rPr>
          <w:sz w:val="20"/>
          <w:szCs w:val="20"/>
          <w:color w:val="auto"/>
        </w:rPr>
      </w:pPr>
    </w:p>
    <w:p>
      <w:pPr>
        <w:ind w:left="960"/>
        <w:spacing w:after="0" w:line="331" w:lineRule="auto"/>
        <w:rPr>
          <w:sz w:val="20"/>
          <w:szCs w:val="20"/>
          <w:color w:val="auto"/>
        </w:rPr>
      </w:pPr>
      <w:r>
        <w:rPr>
          <w:rFonts w:ascii="Times New Roman" w:cs="Times New Roman" w:eastAsia="Times New Roman" w:hAnsi="Times New Roman"/>
          <w:sz w:val="14"/>
          <w:szCs w:val="14"/>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12" w:lineRule="exact"/>
        <w:rPr>
          <w:sz w:val="20"/>
          <w:szCs w:val="20"/>
          <w:color w:val="auto"/>
        </w:rPr>
      </w:pPr>
    </w:p>
    <w:p>
      <w:pPr>
        <w:ind w:left="240" w:right="1460" w:firstLine="720"/>
        <w:spacing w:after="0" w:line="360" w:lineRule="auto"/>
        <w:rPr>
          <w:sz w:val="20"/>
          <w:szCs w:val="20"/>
          <w:color w:val="auto"/>
        </w:rPr>
      </w:pPr>
      <w:r>
        <w:rPr>
          <w:rFonts w:ascii="Times New Roman" w:cs="Times New Roman" w:eastAsia="Times New Roman" w:hAnsi="Times New Roman"/>
          <w:sz w:val="16"/>
          <w:szCs w:val="16"/>
          <w:color w:val="auto"/>
        </w:rPr>
        <w:t>•is a small and solvent company having total assets of not more than $4 million and capital and surplus of not less than $2 million. •Securities of any eligible portfolio company that we control;</w:t>
      </w:r>
    </w:p>
    <w:p>
      <w:pPr>
        <w:ind w:left="240" w:right="140"/>
        <w:spacing w:after="0" w:line="247" w:lineRule="auto"/>
        <w:rPr>
          <w:sz w:val="20"/>
          <w:szCs w:val="20"/>
          <w:color w:val="auto"/>
        </w:rPr>
      </w:pPr>
      <w:r>
        <w:rPr>
          <w:rFonts w:ascii="Times New Roman" w:cs="Times New Roman" w:eastAsia="Times New Roman" w:hAnsi="Times New Roman"/>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8"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9" w:lineRule="exact"/>
        <w:rPr>
          <w:sz w:val="20"/>
          <w:szCs w:val="20"/>
          <w:color w:val="auto"/>
        </w:rPr>
      </w:pPr>
    </w:p>
    <w:p>
      <w:pPr>
        <w:ind w:left="240" w:right="180"/>
        <w:spacing w:after="0" w:line="259" w:lineRule="auto"/>
        <w:rPr>
          <w:sz w:val="20"/>
          <w:szCs w:val="20"/>
          <w:color w:val="auto"/>
        </w:rPr>
      </w:pPr>
      <w:r>
        <w:rPr>
          <w:rFonts w:ascii="Times New Roman" w:cs="Times New Roman" w:eastAsia="Times New Roman" w:hAnsi="Times New Roman"/>
          <w:sz w:val="16"/>
          <w:szCs w:val="16"/>
          <w:color w:val="auto"/>
        </w:rPr>
        <w:t>•Securities received in exchange for or distributed on or with respect to securities described above, or pursuant to the exercise of warrants or rights relating to such securities;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cash equivalents, U.S. Government securities or high-quality debt securities maturing in one year or less from the time of investment.</w:t>
      </w:r>
    </w:p>
    <w:p>
      <w:pPr>
        <w:spacing w:after="0" w:line="18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 w:name="page24"/>
    <w:bookmarkEnd w:id="23"/>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Managerial Assistance to Portfolio Companies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Securities</w:t>
      </w:r>
    </w:p>
    <w:p>
      <w:pPr>
        <w:spacing w:after="0" w:line="94"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150%.</w:t>
      </w:r>
    </w:p>
    <w:p>
      <w:pPr>
        <w:spacing w:after="0" w:line="155" w:lineRule="exact"/>
        <w:rPr>
          <w:sz w:val="20"/>
          <w:szCs w:val="20"/>
          <w:color w:val="auto"/>
        </w:rPr>
      </w:pPr>
    </w:p>
    <w:p>
      <w:pPr>
        <w:jc w:val="both"/>
        <w:ind w:right="160" w:firstLine="228"/>
        <w:spacing w:after="0" w:line="241" w:lineRule="auto"/>
        <w:rPr>
          <w:sz w:val="20"/>
          <w:szCs w:val="20"/>
          <w:color w:val="auto"/>
        </w:rPr>
      </w:pPr>
      <w:r>
        <w:rPr>
          <w:rFonts w:ascii="Times New Roman" w:cs="Times New Roman" w:eastAsia="Times New Roman" w:hAnsi="Times New Roman"/>
          <w:sz w:val="16"/>
          <w:szCs w:val="16"/>
          <w:color w:val="auto"/>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69"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The 1940 Act imposes limitations on a BDC’s issuance of preferred stock, which is considered a “senior security” and thus is subject to the 150% asset coverage requirement described above.</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and December 31, 2023, our asset coverage was 182.5% and 181.6%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Code of Ethics</w:t>
      </w:r>
    </w:p>
    <w:p>
      <w:pPr>
        <w:spacing w:after="0" w:line="94"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As required by the Advisers Act and the 1940 Act, we and the Adviser have adopted codes of ethics which apply to, among others, our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Compliance Policies and Procedures</w:t>
      </w:r>
    </w:p>
    <w:p>
      <w:pPr>
        <w:spacing w:after="0" w:line="9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Proxy Voting Policies and Procedures</w:t>
      </w:r>
    </w:p>
    <w:p>
      <w:pPr>
        <w:spacing w:after="0" w:line="94" w:lineRule="exact"/>
        <w:rPr>
          <w:sz w:val="20"/>
          <w:szCs w:val="20"/>
          <w:color w:val="auto"/>
        </w:rPr>
      </w:pPr>
    </w:p>
    <w:p>
      <w:pPr>
        <w:ind w:right="560" w:firstLine="228"/>
        <w:spacing w:after="0" w:line="259" w:lineRule="auto"/>
        <w:rPr>
          <w:sz w:val="20"/>
          <w:szCs w:val="20"/>
          <w:color w:val="auto"/>
        </w:rPr>
      </w:pPr>
      <w:r>
        <w:rPr>
          <w:rFonts w:ascii="Times New Roman" w:cs="Times New Roman" w:eastAsia="Times New Roman" w:hAnsi="Times New Roman"/>
          <w:sz w:val="16"/>
          <w:szCs w:val="16"/>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5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64" w:lineRule="exact"/>
        <w:rPr>
          <w:sz w:val="20"/>
          <w:szCs w:val="20"/>
          <w:color w:val="auto"/>
        </w:rPr>
      </w:pPr>
    </w:p>
    <w:p>
      <w:pPr>
        <w:ind w:right="280" w:firstLine="228"/>
        <w:spacing w:after="0" w:line="243" w:lineRule="auto"/>
        <w:rPr>
          <w:sz w:val="20"/>
          <w:szCs w:val="20"/>
          <w:color w:val="auto"/>
        </w:rPr>
      </w:pPr>
      <w:r>
        <w:rPr>
          <w:rFonts w:ascii="Times New Roman" w:cs="Times New Roman" w:eastAsia="Times New Roman" w:hAnsi="Times New Roman"/>
          <w:sz w:val="16"/>
          <w:szCs w:val="16"/>
          <w:color w:val="auto"/>
        </w:rPr>
        <w:t>The Adviser will vote all proxies based upon the guiding principle of seeking the maximization of the ultimate long-term economic value of our stockholders’ holdings, and ultimately all votes are cast on a case -by- 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4" w:name="page25"/>
    <w:bookmarkEnd w:id="24"/>
    <w:p>
      <w:pPr>
        <w:spacing w:after="0" w:line="65"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Privacy Principles</w:t>
      </w:r>
    </w:p>
    <w:p>
      <w:pPr>
        <w:spacing w:after="0" w:line="9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6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3"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Reporting Obligations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We make available on our website (www.sixthstreetspecialtylending.com) our proxy statements, our annual reports on Form 10-K, quarterly reports on Form 10-Q and our current reports on Form 8-K that we file with the SEC. Information contained on our website is not incorporated into this Annual Report and you should not consider such information to be part of this Annual Report.</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SEC also maintains a website (www.sec.gov) that contains this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Regulated Investment Company Classification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BDC, we have elected to be treated as a RIC for U.S. federal income tax purposes.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 maintain our status as a RIC, we must, among other things: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•maintain our election under the 1940 Act to be treated as a BDC;</w:t>
      </w:r>
    </w:p>
    <w:p>
      <w:pPr>
        <w:spacing w:after="0" w:line="92" w:lineRule="exact"/>
        <w:rPr>
          <w:sz w:val="20"/>
          <w:szCs w:val="20"/>
          <w:color w:val="auto"/>
        </w:rPr>
      </w:pPr>
    </w:p>
    <w:p>
      <w:pPr>
        <w:ind w:left="240" w:right="520"/>
        <w:spacing w:after="0" w:line="259" w:lineRule="auto"/>
        <w:rPr>
          <w:sz w:val="20"/>
          <w:szCs w:val="20"/>
          <w:color w:val="auto"/>
        </w:rPr>
      </w:pPr>
      <w:r>
        <w:rPr>
          <w:rFonts w:ascii="Times New Roman" w:cs="Times New Roman" w:eastAsia="Times New Roman" w:hAnsi="Times New Roman"/>
          <w:sz w:val="16"/>
          <w:szCs w:val="16"/>
          <w:color w:val="auto"/>
        </w:rPr>
        <w:t>•derive in each taxable year at least 90% of our gross income from dividends, interest, gains from the sale or other disposition of stock or securities and other specified categories of investment income;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•maintain diversified holdings so that, subject to certain exceptions and cure periods, at the end of each quarter of our taxable year:</w:t>
      </w:r>
    </w:p>
    <w:p>
      <w:pPr>
        <w:spacing w:after="0" w:line="92"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 w:name="page26"/>
    <w:bookmarkEnd w:id="25"/>
    <w:p>
      <w:pPr>
        <w:ind w:left="480" w:right="20"/>
        <w:spacing w:after="0" w:line="247" w:lineRule="auto"/>
        <w:rPr>
          <w:sz w:val="20"/>
          <w:szCs w:val="20"/>
          <w:color w:val="auto"/>
        </w:rPr>
      </w:pPr>
      <w:r>
        <w:rPr>
          <w:rFonts w:ascii="Times New Roman" w:cs="Times New Roman" w:eastAsia="Times New Roman" w:hAnsi="Times New Roman"/>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4"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 term capital gains over net long -term capital losses, as well as other taxable income, excluding any net capital gains reduced by deductible expenses) and 90% of our net tax- 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and losses, recognized during a calendar year;</w:t>
      </w:r>
    </w:p>
    <w:p>
      <w:pPr>
        <w:spacing w:after="0" w:line="92"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such calendar year;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6"/>
          <w:szCs w:val="16"/>
          <w:i w:val="1"/>
          <w:iCs w:val="1"/>
          <w:color w:val="auto"/>
        </w:rPr>
        <w:t>Dividend Policy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Dividend Reinvestment Plan</w:t>
      </w:r>
      <w:r>
        <w:rPr>
          <w:rFonts w:ascii="Times New Roman" w:cs="Times New Roman" w:eastAsia="Times New Roman" w:hAnsi="Times New Roman"/>
          <w:sz w:val="16"/>
          <w:szCs w:val="16"/>
          <w:color w:val="auto"/>
        </w:rPr>
        <w:t>” for a description of our dividend policy and obligations. One or more of the considerations described below, however, could result in the deferral of dividend distributions until the end of the fiscal year:</w:t>
      </w:r>
    </w:p>
    <w:p>
      <w:pPr>
        <w:spacing w:after="0" w:line="68" w:lineRule="exact"/>
        <w:rPr>
          <w:sz w:val="20"/>
          <w:szCs w:val="20"/>
          <w:color w:val="auto"/>
        </w:rPr>
      </w:pPr>
    </w:p>
    <w:p>
      <w:pPr>
        <w:ind w:left="240" w:right="60"/>
        <w:spacing w:after="0" w:line="247" w:lineRule="auto"/>
        <w:rPr>
          <w:sz w:val="20"/>
          <w:szCs w:val="20"/>
          <w:color w:val="auto"/>
        </w:rPr>
      </w:pPr>
      <w:r>
        <w:rPr>
          <w:rFonts w:ascii="Times New Roman" w:cs="Times New Roman" w:eastAsia="Times New Roman" w:hAnsi="Times New Roman"/>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8" w:lineRule="exact"/>
        <w:rPr>
          <w:sz w:val="20"/>
          <w:szCs w:val="20"/>
          <w:color w:val="auto"/>
        </w:rPr>
      </w:pPr>
    </w:p>
    <w:p>
      <w:pPr>
        <w:ind w:left="240" w:right="420"/>
        <w:spacing w:after="0" w:line="259" w:lineRule="auto"/>
        <w:rPr>
          <w:sz w:val="20"/>
          <w:szCs w:val="20"/>
          <w:color w:val="auto"/>
        </w:rPr>
      </w:pPr>
      <w:r>
        <w:rPr>
          <w:rFonts w:ascii="Times New Roman" w:cs="Times New Roman" w:eastAsia="Times New Roman" w:hAnsi="Times New Roman"/>
          <w:sz w:val="16"/>
          <w:szCs w:val="16"/>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55"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69"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 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73"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26" w:name="page27"/>
    <w:bookmarkEnd w:id="26"/>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principal risks that could adversely affect our business, operations and financial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Business and Structure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dependent upon management personnel of the Adviser, Sixth Street and their affiliates for our future success.</w:t>
      </w:r>
    </w:p>
    <w:p>
      <w:pPr>
        <w:spacing w:after="0" w:line="92"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•We are subject to significant regulations governing our operation as a BDC, which affect our ability to, and the way in which we, raise additional capital. Changes in regulation could adversely affect our business.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borrow money, which magnifies the potential for gain or loss and increases the risk of investing in us.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operate in a highly competitive market for investment opportunities.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•If we are unable to source investments, access financing or manage future growth effectively, we may be unable to achieve our investment objective.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•Even in the event the value of your investment declines, the Management Fee and, in certain circumstances, the Incentive Fee will still be payable to the Adviser.</w:t>
      </w:r>
    </w:p>
    <w:p>
      <w:pPr>
        <w:spacing w:after="0" w:line="115"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•To the extent that we do not realize income or choose not to retain after-tax realized net capital gains, we will have a greater need for additional capital to fund our investments and operating expenses.</w:t>
      </w:r>
    </w:p>
    <w:p>
      <w:pPr>
        <w:spacing w:after="0" w:line="59" w:lineRule="exact"/>
        <w:rPr>
          <w:sz w:val="20"/>
          <w:szCs w:val="20"/>
          <w:color w:val="auto"/>
        </w:rPr>
      </w:pPr>
    </w:p>
    <w:p>
      <w:pPr>
        <w:ind w:left="360" w:right="140"/>
        <w:spacing w:after="0" w:line="259" w:lineRule="auto"/>
        <w:rPr>
          <w:sz w:val="20"/>
          <w:szCs w:val="20"/>
          <w:color w:val="auto"/>
        </w:rPr>
      </w:pPr>
      <w:r>
        <w:rPr>
          <w:rFonts w:ascii="Times New Roman" w:cs="Times New Roman" w:eastAsia="Times New Roman" w:hAnsi="Times New Roman"/>
          <w:sz w:val="16"/>
          <w:szCs w:val="16"/>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can be expected to retain some income and capital gains in excess of what is permissible for excise tax purposes and such amounts will be subject to 4% U.S.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federal excise tax.</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Adviser and its affiliates, officers and employees may face certain conflicts of interest.</w:t>
      </w:r>
    </w:p>
    <w:p>
      <w:pPr>
        <w:spacing w:after="0" w:line="92"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•Our Adviser can resign on 60 days’ notice. We may not be able to find a suitable replacement within that time, resulting in a disruption in our operations and a loss of the benefits from our relationship with Sixth Street.</w:t>
      </w:r>
    </w:p>
    <w:p>
      <w:pPr>
        <w:spacing w:after="0" w:line="59" w:lineRule="exact"/>
        <w:rPr>
          <w:sz w:val="20"/>
          <w:szCs w:val="20"/>
          <w:color w:val="auto"/>
        </w:rPr>
      </w:pPr>
    </w:p>
    <w:p>
      <w:pPr>
        <w:ind w:left="360" w:right="160"/>
        <w:spacing w:after="0" w:line="259" w:lineRule="auto"/>
        <w:rPr>
          <w:sz w:val="20"/>
          <w:szCs w:val="20"/>
          <w:color w:val="auto"/>
        </w:rPr>
      </w:pPr>
      <w:r>
        <w:rPr>
          <w:rFonts w:ascii="Times New Roman" w:cs="Times New Roman" w:eastAsia="Times New Roman" w:hAnsi="Times New Roman"/>
          <w:sz w:val="16"/>
          <w:szCs w:val="16"/>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failure to maintain our status as a BDC would reduce our operating flexibility.</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incur significant costs as a result of being a publicly traded company.</w:t>
      </w:r>
    </w:p>
    <w:p>
      <w:pPr>
        <w:spacing w:after="0" w:line="92"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•Provisions of the General Corporation Law of the State of Delaware and our certificate of incorporation and bylaws could deter takeover attempts and have an adverse effect on the price of our common stock.</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•Certain investors are limited in their ability to make significant investments in us.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•Cybersecurity risks and cyber incidents may adversely affect our business or those of our portfolio companies.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Board may change our investment objective, operating policies and strategies without prior notice or stockholder approval.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Economic Conditions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current state of the economy and financial markets increases the likelihood of adverse effects on our financial position and results of operations.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•Economic recessions or downturns could impair our portfolio companies and harm our operating results.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color w:val="auto"/>
        </w:rPr>
        <w:t>Risks Related to Our Portfolio Company Investments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investments are very risky and highly speculative.</w:t>
      </w:r>
    </w:p>
    <w:p>
      <w:pPr>
        <w:spacing w:after="0" w:line="92"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lack of liquidity in our investments may adversely affect our business.</w:t>
      </w:r>
    </w:p>
    <w:p>
      <w:pPr>
        <w:spacing w:after="0" w:line="92" w:lineRule="exact"/>
        <w:rPr>
          <w:sz w:val="20"/>
          <w:szCs w:val="20"/>
          <w:color w:val="auto"/>
        </w:rPr>
      </w:pPr>
    </w:p>
    <w:p>
      <w:pPr>
        <w:ind w:left="360" w:right="40"/>
        <w:spacing w:after="0" w:line="259" w:lineRule="auto"/>
        <w:rPr>
          <w:sz w:val="20"/>
          <w:szCs w:val="20"/>
          <w:color w:val="auto"/>
        </w:rPr>
      </w:pPr>
      <w:r>
        <w:rPr>
          <w:rFonts w:ascii="Times New Roman" w:cs="Times New Roman" w:eastAsia="Times New Roman" w:hAnsi="Times New Roman"/>
          <w:sz w:val="16"/>
          <w:szCs w:val="16"/>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securitize certain of our investments, which may subject us to certain structured financing risks.</w:t>
      </w:r>
    </w:p>
    <w:p>
      <w:pPr>
        <w:spacing w:after="0" w:line="92" w:lineRule="exact"/>
        <w:rPr>
          <w:sz w:val="20"/>
          <w:szCs w:val="20"/>
          <w:color w:val="auto"/>
        </w:rPr>
      </w:pPr>
    </w:p>
    <w:p>
      <w:pPr>
        <w:ind w:left="360" w:right="120"/>
        <w:spacing w:after="0" w:line="259" w:lineRule="auto"/>
        <w:rPr>
          <w:sz w:val="20"/>
          <w:szCs w:val="20"/>
          <w:color w:val="auto"/>
        </w:rPr>
      </w:pPr>
      <w:r>
        <w:rPr>
          <w:rFonts w:ascii="Times New Roman" w:cs="Times New Roman" w:eastAsia="Times New Roman" w:hAnsi="Times New Roman"/>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exposed to risks associated with changes in interest rates.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not be able to realize expected returns on our invested capital.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•By originating loans to companies that are experiencing significant financial or business difficulties, we may be exposed to distressed lending risks.</w:t>
      </w:r>
    </w:p>
    <w:p>
      <w:pPr>
        <w:spacing w:after="0" w:line="92" w:lineRule="exact"/>
        <w:rPr>
          <w:sz w:val="20"/>
          <w:szCs w:val="20"/>
          <w:color w:val="auto"/>
        </w:rPr>
      </w:pPr>
    </w:p>
    <w:p>
      <w:pPr>
        <w:ind w:left="360" w:right="80"/>
        <w:spacing w:after="0" w:line="259" w:lineRule="auto"/>
        <w:rPr>
          <w:sz w:val="20"/>
          <w:szCs w:val="20"/>
          <w:color w:val="auto"/>
        </w:rPr>
      </w:pPr>
      <w:r>
        <w:rPr>
          <w:rFonts w:ascii="Times New Roman" w:cs="Times New Roman" w:eastAsia="Times New Roman" w:hAnsi="Times New Roman"/>
          <w:sz w:val="16"/>
          <w:szCs w:val="16"/>
          <w:color w:val="auto"/>
        </w:rPr>
        <w:t>•Our portfolio companies may incur debt or issue equity securities that rank equally with, or senior to, our investments in those companies and we may be exposed to special risks associated with bankruptcy cases.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failure to make follow-on investments in our portfolio companies could impair the value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ability to enter into transactions with our affiliates is restricted.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acquisitions or strategic investments that we pursue are subject to risks and uncertainties.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cannot guarantee that we will be able to obtain various required licenses in U.S. states or in any other jurisdiction where they may be required in the future.</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investments in foreign companies may involve significant risks in addition to the risks inherent in U.S.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expose ourselves to risks when we engage in hedging transactions.</w:t>
      </w:r>
    </w:p>
    <w:p>
      <w:pPr>
        <w:spacing w:after="0" w:line="92" w:lineRule="exact"/>
        <w:rPr>
          <w:sz w:val="20"/>
          <w:szCs w:val="20"/>
          <w:color w:val="auto"/>
        </w:rPr>
      </w:pPr>
    </w:p>
    <w:p>
      <w:pPr>
        <w:ind w:left="360" w:right="320"/>
        <w:spacing w:after="0" w:line="259" w:lineRule="auto"/>
        <w:rPr>
          <w:sz w:val="20"/>
          <w:szCs w:val="20"/>
          <w:color w:val="auto"/>
        </w:rPr>
      </w:pPr>
      <w:r>
        <w:rPr>
          <w:rFonts w:ascii="Times New Roman" w:cs="Times New Roman" w:eastAsia="Times New Roman" w:hAnsi="Times New Roman"/>
          <w:sz w:val="16"/>
          <w:szCs w:val="16"/>
          <w:color w:val="auto"/>
        </w:rPr>
        <w:t>•The market structure applicable to derivatives imposed by the Dodd-Frank Act may affect our ability to use over-the-counter (“OTC”) derivatives for hedging purposes.</w:t>
      </w:r>
    </w:p>
    <w:p>
      <w:pPr>
        <w:spacing w:after="0" w:line="59" w:lineRule="exact"/>
        <w:rPr>
          <w:sz w:val="20"/>
          <w:szCs w:val="20"/>
          <w:color w:val="auto"/>
        </w:rPr>
      </w:pPr>
    </w:p>
    <w:p>
      <w:pPr>
        <w:ind w:left="360" w:right="2440"/>
        <w:spacing w:after="0" w:line="259" w:lineRule="auto"/>
        <w:rPr>
          <w:sz w:val="20"/>
          <w:szCs w:val="20"/>
          <w:color w:val="auto"/>
        </w:rPr>
      </w:pPr>
      <w:r>
        <w:rPr>
          <w:rFonts w:ascii="Times New Roman" w:cs="Times New Roman" w:eastAsia="Times New Roman" w:hAnsi="Times New Roman"/>
          <w:sz w:val="16"/>
          <w:szCs w:val="16"/>
          <w:color w:val="auto"/>
        </w:rPr>
        <w:t>•Our portfolio investments may present special tax issues, and there are certain risks associated with holding debt obligations that have original issue discount or payment-in-kind interest.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Securities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•There is a risk that investors in our common stock may not receive dividends or that our dividends may not grow over time.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•Investing in our securities may involve a high degree of risk and the market price of our common stock may fluctuate significantly and could decline.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stockholders will experience dilution in their ownership percentage if they opt out of our dividend reinvestment plan.</w:t>
      </w:r>
    </w:p>
    <w:p>
      <w:pPr>
        <w:spacing w:after="0" w:line="92"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•Purchases of our common stock by us under the Company 10b5- 1 Plan may result in dilution to our net asset value per share and the price of our common stock being higher than the price that otherwise might exist in the open market.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Risk Factors</w:t>
      </w:r>
    </w:p>
    <w:p>
      <w:pPr>
        <w:spacing w:after="0" w:line="94"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•We are highly dependent on information systems and systems failures could significantly disrupt our business, which may, in turn, negatively affect the market price of our common stock and our ability to pay dividend.</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laws or regulations governing our operations may adversely affect our business.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effect of geopolitical conflicts and global climate change may impact us and our portfolio companies.</w:t>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7" w:right="640" w:bottom="1440" w:gutter="0" w:footer="0" w:header="0"/>
        </w:sectPr>
      </w:pPr>
    </w:p>
    <w:bookmarkStart w:id="28" w:name="page29"/>
    <w:bookmarkEnd w:id="2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Structure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upon management personnel of the Adviser, Sixth Street and their affiliates for our future success.</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69" w:lineRule="exact"/>
        <w:rPr>
          <w:sz w:val="20"/>
          <w:szCs w:val="20"/>
          <w:color w:val="auto"/>
        </w:rPr>
      </w:pPr>
    </w:p>
    <w:p>
      <w:pPr>
        <w:ind w:right="280" w:firstLine="228"/>
        <w:spacing w:after="0" w:line="299" w:lineRule="auto"/>
        <w:rPr>
          <w:sz w:val="20"/>
          <w:szCs w:val="20"/>
          <w:color w:val="auto"/>
        </w:rPr>
      </w:pPr>
      <w:r>
        <w:rPr>
          <w:rFonts w:ascii="Times New Roman" w:cs="Times New Roman" w:eastAsia="Times New Roman" w:hAnsi="Times New Roman"/>
          <w:sz w:val="14"/>
          <w:szCs w:val="14"/>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BDC affect our ability to, and the way in which we, raise additional capital.</w:t>
      </w:r>
    </w:p>
    <w:p>
      <w:pPr>
        <w:spacing w:after="0" w:line="94" w:lineRule="exact"/>
        <w:rPr>
          <w:sz w:val="20"/>
          <w:szCs w:val="20"/>
          <w:color w:val="auto"/>
        </w:rPr>
      </w:pPr>
    </w:p>
    <w:p>
      <w:pPr>
        <w:ind w:right="160" w:firstLine="228"/>
        <w:spacing w:after="0" w:line="244" w:lineRule="auto"/>
        <w:rPr>
          <w:sz w:val="20"/>
          <w:szCs w:val="20"/>
          <w:color w:val="auto"/>
        </w:rPr>
      </w:pPr>
      <w:r>
        <w:rPr>
          <w:rFonts w:ascii="Times New Roman" w:cs="Times New Roman" w:eastAsia="Times New Roman" w:hAnsi="Times New Roman"/>
          <w:sz w:val="16"/>
          <w:szCs w:val="16"/>
          <w:color w:val="auto"/>
        </w:rPr>
        <w:t>The 1940 Act imposes numerous constraints on the operations of BDCs. See “</w:t>
      </w:r>
      <w:r>
        <w:rPr>
          <w:rFonts w:ascii="Times New Roman" w:cs="Times New Roman" w:eastAsia="Times New Roman" w:hAnsi="Times New Roman"/>
          <w:sz w:val="16"/>
          <w:szCs w:val="16"/>
          <w:i w:val="1"/>
          <w:iCs w:val="1"/>
          <w:color w:val="auto"/>
        </w:rPr>
        <w:t>ITEM 1. BUSINESS—Regulation as a Business Development Company</w:t>
      </w:r>
      <w:r>
        <w:rPr>
          <w:rFonts w:ascii="Times New Roman" w:cs="Times New Roman" w:eastAsia="Times New Roman" w:hAnsi="Times New Roman"/>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66"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64"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67"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4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22, 2024, we are currently permitted to sell or otherwise issue shares of our common stock at a price below our then-current net asset value per share, subject to the approval of our</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9" w:name="page30"/>
    <w:bookmarkEnd w:id="29"/>
    <w:p>
      <w:pPr>
        <w:spacing w:after="0" w:line="6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Board and certain other conditions. Such stockholder approval expires on May 22, 2025.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3"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6"/>
          <w:szCs w:val="16"/>
          <w:i w:val="1"/>
          <w:iCs w:val="1"/>
          <w:color w:val="auto"/>
        </w:rPr>
        <w:t>—Risks Related to Our Portfolio Company Investments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may securitize certain of our investments, which may subject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us to certain structured financing risks</w:t>
      </w:r>
      <w:r>
        <w:rPr>
          <w:rFonts w:ascii="Times New Roman" w:cs="Times New Roman" w:eastAsia="Times New Roman" w:hAnsi="Times New Roman"/>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borrow money, which magnifies the potential for gain or loss and increases the risk of investing in us.</w:t>
      </w:r>
    </w:p>
    <w:p>
      <w:pPr>
        <w:spacing w:after="0" w:line="96"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As part of our business strategy, we borrow from, and may in the future issue additional senior debt securities to, banks, insurance companies and other lenders. Holders of these loans or senior securities would have fixed -dollar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6"/>
          <w:szCs w:val="16"/>
          <w:i w:val="1"/>
          <w:iCs w:val="1"/>
          <w:color w:val="auto"/>
        </w:rPr>
        <w:t>—Risks Related to Our Business and Structure—Even in the event the value of your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investment declines, the Management Fee and, in certain circumstances, the Incentive Fee will still be payable to the Adviser</w:t>
      </w:r>
      <w:r>
        <w:rPr>
          <w:rFonts w:ascii="Times New Roman" w:cs="Times New Roman" w:eastAsia="Times New Roman" w:hAnsi="Times New Roman"/>
          <w:sz w:val="16"/>
          <w:szCs w:val="16"/>
          <w:color w:val="auto"/>
        </w:rPr>
        <w:t>.” The amount of leverage that we employ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depend on our Adviser’s and our Board’s assessment of market and other factors at the time of any proposed borrowing. We cannot assure you that we will be able to obtain credit at all or on terms acceptable to us.</w:t>
      </w:r>
    </w:p>
    <w:p>
      <w:pPr>
        <w:spacing w:after="0" w:line="17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0"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2024, we had $1,954.1 million principal amount of outstanding indebtedness, which had an annualized interest cost of 7.5% under the terms of our debt, excluding fees (such as fees on undrawn amounts and amortization of upfront fees) and giving effect to the swap-adjusted interest rates on our 2026 Notes, 2028 Notes and 2029 Notes.</w:t>
      </w:r>
    </w:p>
    <w:p>
      <w:pPr>
        <w:spacing w:after="0" w:line="16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as adjusted to give effect to the interest rate swaps, the interest rate on the 2026 Notes was three-month SOFR plus 2.17%, the interest rate on the 2028 Notes was three-month SOFR plus 2.99%, and the interest rate on the 2029 Notes was three-month SOFR plus 2.44%.</w:t>
      </w:r>
    </w:p>
    <w:p>
      <w:pPr>
        <w:spacing w:after="0" w:line="155"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For us to cover these annualized interest payments on indebtedness, we must achieve annual returns on our investments of at least 3.9%. Since we generally pay interest at a floating rate on our debt, an increase in interest rates will generally increase our borrowing</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 w:name="page31"/>
    <w:bookmarkEnd w:id="30"/>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We expect that our annualized interest cost and returns required to cover interest will increase if we issue additional debt securities.</w:t>
      </w:r>
    </w:p>
    <w:p>
      <w:pPr>
        <w:spacing w:after="0" w:line="188"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Effects of Leverage Based on Actual Amount of Borrowings Incurred by us as of December 31, 2024</w:t>
      </w:r>
    </w:p>
    <w:p>
      <w:pPr>
        <w:spacing w:after="0" w:line="202"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Assumed Return on Our Portfolio</w:t>
      </w:r>
    </w:p>
    <w:p>
      <w:pPr>
        <w:jc w:val="center"/>
        <w:ind w:left="4800"/>
        <w:spacing w:after="0" w:line="232" w:lineRule="auto"/>
        <w:rPr>
          <w:sz w:val="20"/>
          <w:szCs w:val="20"/>
          <w:color w:val="auto"/>
        </w:rPr>
      </w:pPr>
      <w:r>
        <w:rPr>
          <w:rFonts w:ascii="Times New Roman" w:cs="Times New Roman" w:eastAsia="Times New Roman" w:hAnsi="Times New Roman"/>
          <w:sz w:val="13"/>
          <w:szCs w:val="13"/>
          <w:b w:val="1"/>
          <w:bCs w:val="1"/>
          <w:color w:val="auto"/>
        </w:rPr>
        <w:t xml:space="preserve">(net of expenses) </w:t>
      </w:r>
      <w:r>
        <w:rPr>
          <w:rFonts w:ascii="Times New Roman" w:cs="Times New Roman" w:eastAsia="Times New Roman" w:hAnsi="Times New Roman"/>
          <w:sz w:val="16"/>
          <w:szCs w:val="16"/>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00" w:type="dxa"/>
            <w:vAlign w:val="bottom"/>
          </w:tcPr>
          <w:p>
            <w:pPr>
              <w:spacing w:after="0"/>
              <w:rPr>
                <w:sz w:val="13"/>
                <w:szCs w:val="1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-10%</w:t>
            </w:r>
          </w:p>
        </w:tc>
        <w:tc>
          <w:tcPr>
            <w:tcW w:w="1160" w:type="dxa"/>
            <w:vAlign w:val="bottom"/>
            <w:gridSpan w:val="2"/>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-5%</w:t>
            </w:r>
          </w:p>
        </w:tc>
        <w:tc>
          <w:tcPr>
            <w:tcW w:w="116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0%</w:t>
            </w:r>
          </w:p>
        </w:tc>
        <w:tc>
          <w:tcPr>
            <w:tcW w:w="11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5%</w:t>
            </w:r>
          </w:p>
        </w:tc>
        <w:tc>
          <w:tcPr>
            <w:tcW w:w="118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10%</w:t>
            </w:r>
          </w:p>
        </w:tc>
      </w:tr>
      <w:tr>
        <w:trPr>
          <w:trHeight w:val="172"/>
        </w:trPr>
        <w:tc>
          <w:tcPr>
            <w:tcW w:w="48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4"/>
                <w:szCs w:val="14"/>
                <w:color w:val="auto"/>
              </w:rPr>
              <w:t xml:space="preserve">Corresponding return to stockholder </w:t>
            </w:r>
            <w:r>
              <w:rPr>
                <w:rFonts w:ascii="Times New Roman" w:cs="Times New Roman" w:eastAsia="Times New Roman" w:hAnsi="Times New Roman"/>
                <w:sz w:val="19"/>
                <w:szCs w:val="19"/>
                <w:color w:val="auto"/>
                <w:vertAlign w:val="superscript"/>
              </w:rPr>
              <w:t>(2)</w:t>
            </w:r>
          </w:p>
        </w:tc>
        <w:tc>
          <w:tcPr>
            <w:tcW w:w="1080" w:type="dxa"/>
            <w:vAlign w:val="bottom"/>
            <w:tcBorders>
              <w:top w:val="single" w:sz="8" w:color="auto"/>
            </w:tcBorders>
            <w:shd w:val="clear" w:color="auto" w:fill="CCEEFF"/>
          </w:tcPr>
          <w:p>
            <w:pPr>
              <w:jc w:val="right"/>
              <w:ind w:right="208"/>
              <w:spacing w:after="0" w:line="172" w:lineRule="exact"/>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242"/>
              <w:spacing w:after="0" w:line="172"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302"/>
              <w:spacing w:after="0" w:line="172"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262"/>
              <w:spacing w:after="0" w:line="172" w:lineRule="exact"/>
              <w:rPr>
                <w:sz w:val="20"/>
                <w:szCs w:val="20"/>
                <w:color w:val="auto"/>
              </w:rPr>
            </w:pPr>
            <w:r>
              <w:rPr>
                <w:rFonts w:ascii="Times New Roman" w:cs="Times New Roman" w:eastAsia="Times New Roman" w:hAnsi="Times New Roman"/>
                <w:sz w:val="16"/>
                <w:szCs w:val="16"/>
                <w:color w:val="auto"/>
              </w:rPr>
              <w:t>13.7%</w:t>
            </w:r>
          </w:p>
        </w:tc>
      </w:tr>
    </w:tbl>
    <w:p>
      <w:pPr>
        <w:spacing w:after="0" w:line="167"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6"/>
          <w:szCs w:val="16"/>
          <w:color w:val="auto"/>
        </w:rPr>
        <w:t>(1)The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2024. As a result, it has not been updated to take into account any changes in assets or leverage since December 31, 2024.</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(2)In order to compute the “Corresponding return to stockholder,” the “Assumed Return on Our Portfolio” is multiplied by the total value of our assets at December 31, 2024 to obtain an assumed return to us. From this amount, the interest expense (calculated by multiplying the weighted average annualized stated interest rate of 7.5% by the approximately $1,954.1 million of principal debt outstanding) is subtracted to determine the return available to stockholders. The return available to stockholders is then divided by the total value of our net assets as of December 31, 2024 to determine the “Corresponding return to stockholder.”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indebtedness could adversely affect our business, financial condition or results of operations.</w:t>
      </w:r>
    </w:p>
    <w:p>
      <w:pPr>
        <w:spacing w:after="0" w:line="96"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Legislation allows us to incur additional leverage.</w:t>
      </w:r>
    </w:p>
    <w:p>
      <w:pPr>
        <w:spacing w:after="0" w:line="96"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67"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65" w:lineRule="exact"/>
        <w:rPr>
          <w:sz w:val="20"/>
          <w:szCs w:val="20"/>
          <w:color w:val="auto"/>
        </w:rPr>
      </w:pPr>
    </w:p>
    <w:p>
      <w:pPr>
        <w:jc w:val="both"/>
        <w:ind w:right="100" w:firstLine="228"/>
        <w:spacing w:after="0" w:line="248" w:lineRule="auto"/>
        <w:rPr>
          <w:sz w:val="20"/>
          <w:szCs w:val="20"/>
          <w:color w:val="auto"/>
        </w:rPr>
      </w:pPr>
      <w:r>
        <w:rPr>
          <w:rFonts w:ascii="Times New Roman" w:cs="Times New Roman" w:eastAsia="Times New Roman" w:hAnsi="Times New Roman"/>
          <w:sz w:val="16"/>
          <w:szCs w:val="16"/>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operate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 highly competitive environment for investment opportunities</w:t>
      </w:r>
      <w:r>
        <w:rPr>
          <w:rFonts w:ascii="Times New Roman" w:cs="Times New Roman" w:eastAsia="Times New Roman" w:hAnsi="Times New Roman"/>
          <w:sz w:val="16"/>
          <w:szCs w:val="16"/>
          <w:color w:val="auto"/>
        </w:rPr>
        <w:t>.” Any impact on returns or equity or our business associated with additional leverage may not outweigh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additional risk. See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borrow money, which magnifies the potential for gain or loss and increases the risk of investing in us.</w:t>
      </w:r>
      <w:r>
        <w:rPr>
          <w:rFonts w:ascii="Times New Roman" w:cs="Times New Roman" w:eastAsia="Times New Roman" w:hAnsi="Times New Roman"/>
          <w:sz w:val="16"/>
          <w:szCs w:val="16"/>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investment opportunities.</w:t>
      </w:r>
    </w:p>
    <w:p>
      <w:pPr>
        <w:spacing w:after="0" w:line="96"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 w:name="page32"/>
    <w:bookmarkEnd w:id="31"/>
    <w:p>
      <w:pPr>
        <w:ind w:right="40"/>
        <w:spacing w:after="0" w:line="247" w:lineRule="auto"/>
        <w:rPr>
          <w:sz w:val="20"/>
          <w:szCs w:val="20"/>
          <w:color w:val="auto"/>
        </w:rPr>
      </w:pPr>
      <w:r>
        <w:rPr>
          <w:rFonts w:ascii="Times New Roman" w:cs="Times New Roman" w:eastAsia="Times New Roman" w:hAnsi="Times New Roman"/>
          <w:sz w:val="16"/>
          <w:szCs w:val="16"/>
          <w:color w:val="auto"/>
        </w:rPr>
        <w:t>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64"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source investments, access financing or manage future growth effectively, we may be unable to achieve our investment objective.</w:t>
      </w:r>
    </w:p>
    <w:p>
      <w:pPr>
        <w:spacing w:after="0" w:line="9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73"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in the event the value of your investment declines, the Management Fee and, in certain circumstances, the Incentive Fee will still be payable to the Adviser.</w:t>
      </w:r>
    </w:p>
    <w:p>
      <w:pPr>
        <w:spacing w:after="0" w:line="119"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40"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Incentive Fee is calculated as a percentage of pre- 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70"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67"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2" w:name="page33"/>
    <w:bookmarkEnd w:id="32"/>
    <w:p>
      <w:pPr>
        <w:spacing w:after="0" w:line="6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income-producing investments. Such a practice could result in our making more speculative investments than would otherwise be the case, which could result in higher investment losses, particularly during cyclical economic downturns.</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5"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be subject to corporate- level U.S. federal income tax if we are unable to maintain our qualification as a RIC under Subchapter M of the Code, including as a result of our failure to satisfy the RIC distribution requirements.</w:t>
      </w:r>
    </w:p>
    <w:p>
      <w:pPr>
        <w:spacing w:after="0" w:line="55"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must distribute (or be treated as distributing) dividends for tax purposes in each taxable year equal to at least 90% of each of:</w:t>
      </w:r>
    </w:p>
    <w:p>
      <w:pPr>
        <w:spacing w:after="0" w:line="92" w:lineRule="exact"/>
        <w:rPr>
          <w:sz w:val="20"/>
          <w:szCs w:val="20"/>
          <w:color w:val="auto"/>
        </w:rPr>
      </w:pPr>
    </w:p>
    <w:p>
      <w:pPr>
        <w:ind w:left="240" w:right="500"/>
        <w:spacing w:after="0" w:line="259" w:lineRule="auto"/>
        <w:rPr>
          <w:sz w:val="20"/>
          <w:szCs w:val="20"/>
          <w:color w:val="auto"/>
        </w:rPr>
      </w:pPr>
      <w:r>
        <w:rPr>
          <w:rFonts w:ascii="Times New Roman" w:cs="Times New Roman" w:eastAsia="Times New Roman" w:hAnsi="Times New Roman"/>
          <w:sz w:val="16"/>
          <w:szCs w:val="16"/>
          <w:color w:val="auto"/>
        </w:rPr>
        <w:t>•the sum of our net ordinary income and realized net short-term capital gains in excess of realized net long-term capital losses or, investment company taxable income, if any, for that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net tax-exempt income for that taxable year.</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1"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•We must derive at least 90% of our gross income for each taxable year from dividends, interest, gains from the sale of or other disposition of stock or securities or similar sources.</w:t>
      </w:r>
    </w:p>
    <w:p>
      <w:pPr>
        <w:spacing w:after="0" w:line="59" w:lineRule="exact"/>
        <w:rPr>
          <w:sz w:val="20"/>
          <w:szCs w:val="20"/>
          <w:color w:val="auto"/>
        </w:rPr>
      </w:pPr>
    </w:p>
    <w:p>
      <w:pPr>
        <w:ind w:left="240" w:right="40"/>
        <w:spacing w:after="0" w:line="247" w:lineRule="auto"/>
        <w:rPr>
          <w:sz w:val="20"/>
          <w:szCs w:val="20"/>
          <w:color w:val="auto"/>
        </w:rPr>
      </w:pPr>
      <w:r>
        <w:rPr>
          <w:rFonts w:ascii="Times New Roman" w:cs="Times New Roman" w:eastAsia="Times New Roman" w:hAnsi="Times New Roman"/>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33" w:name="page34"/>
    <w:bookmarkEnd w:id="33"/>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 be expected to retain some income and capital gains in excess of what is permissible for excise tax purposes and such amounts will be subject to 4% 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excise tax.</w:t>
      </w:r>
    </w:p>
    <w:p>
      <w:pPr>
        <w:spacing w:after="0" w:line="74" w:lineRule="exact"/>
        <w:rPr>
          <w:sz w:val="20"/>
          <w:szCs w:val="20"/>
          <w:color w:val="auto"/>
        </w:rPr>
      </w:pPr>
    </w:p>
    <w:p>
      <w:pPr>
        <w:ind w:right="120" w:firstLine="228"/>
        <w:spacing w:after="0" w:line="284" w:lineRule="auto"/>
        <w:rPr>
          <w:sz w:val="20"/>
          <w:szCs w:val="20"/>
          <w:color w:val="auto"/>
        </w:rPr>
      </w:pPr>
      <w:r>
        <w:rPr>
          <w:rFonts w:ascii="Times New Roman" w:cs="Times New Roman" w:eastAsia="Times New Roman" w:hAnsi="Times New Roman"/>
          <w:sz w:val="14"/>
          <w:szCs w:val="14"/>
          <w:color w:val="auto"/>
        </w:rPr>
        <w:t>As of December 31, 2024 and December 31, 2023, we elected to retain approximately $ 116.2 million and $91.6 million of taxable income and capital gains, respectively, in order to provide us with additional liquidity and we recorded an expense of $3.8 million and $2.3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4"/>
          <w:szCs w:val="14"/>
          <w:i w:val="1"/>
          <w:iCs w:val="1"/>
          <w:color w:val="auto"/>
        </w:rPr>
        <w:t>ITEM 1. BUSINESS—Regulation as a Business Development Company—Regulated Investment Company Classification</w:t>
      </w:r>
      <w:r>
        <w:rPr>
          <w:rFonts w:ascii="Times New Roman" w:cs="Times New Roman" w:eastAsia="Times New Roman" w:hAnsi="Times New Roman"/>
          <w:sz w:val="14"/>
          <w:szCs w:val="14"/>
          <w:color w:val="auto"/>
        </w:rPr>
        <w:t>” for more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96" w:lineRule="exact"/>
        <w:rPr>
          <w:sz w:val="20"/>
          <w:szCs w:val="20"/>
          <w:color w:val="auto"/>
        </w:rPr>
      </w:pPr>
    </w:p>
    <w:p>
      <w:pPr>
        <w:ind w:right="180" w:firstLine="228"/>
        <w:spacing w:after="0" w:line="280" w:lineRule="auto"/>
        <w:rPr>
          <w:sz w:val="20"/>
          <w:szCs w:val="20"/>
          <w:color w:val="auto"/>
        </w:rPr>
      </w:pPr>
      <w:r>
        <w:rPr>
          <w:rFonts w:ascii="Times New Roman" w:cs="Times New Roman" w:eastAsia="Times New Roman" w:hAnsi="Times New Roman"/>
          <w:sz w:val="14"/>
          <w:szCs w:val="14"/>
          <w:color w:val="auto"/>
        </w:rPr>
        <w:t>The majority of our debt investments are based on floating rates, such as Euro Interbank Offer Rate (“EURIBOR”), Term Secured Overnight Financing Rate (“SOFR”), Sterling Overnight Index Average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4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77"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59"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59" w:lineRule="exact"/>
        <w:rPr>
          <w:sz w:val="20"/>
          <w:szCs w:val="20"/>
          <w:color w:val="auto"/>
        </w:rPr>
      </w:pPr>
    </w:p>
    <w:p>
      <w:pPr>
        <w:ind w:right="20" w:firstLine="228"/>
        <w:spacing w:after="0" w:line="331" w:lineRule="auto"/>
        <w:rPr>
          <w:sz w:val="20"/>
          <w:szCs w:val="20"/>
          <w:color w:val="auto"/>
        </w:rPr>
      </w:pPr>
      <w:r>
        <w:rPr>
          <w:rFonts w:ascii="Times New Roman" w:cs="Times New Roman" w:eastAsia="Times New Roman" w:hAnsi="Times New Roman"/>
          <w:sz w:val="14"/>
          <w:szCs w:val="14"/>
          <w:color w:val="auto"/>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12"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U.S. dollar borrowings under our Revolving Credit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The use of SOFR is relatively new, and there could be unanticipated difficulties or disruptions with the calculation and publication of SOFR. Additionally, any successor rate to SOFR under our revolving credit facility may not have the same characteristics as SOFR. As a result, the amount of interest we may pay on our revolving credit facility is difficult to predict.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Adviser and its affiliates, officers and employees may face certain conflicts of interest.</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3"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 w:name="page35"/>
    <w:bookmarkEnd w:id="34"/>
    <w:p>
      <w:pPr>
        <w:spacing w:after="0" w:line="6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color w:val="auto"/>
        </w:rPr>
        <w:t>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with our affiliates is restricted.</w:t>
      </w:r>
    </w:p>
    <w:p>
      <w:pPr>
        <w:spacing w:after="0" w:line="192"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3"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67"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if certain conditions are met, allows us to co-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 on” investments in issuers in which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 investment transactions in which we are permitted to participate and regarding which the Adviser should be notified. We and our affiliates, including investment funds managed by our affiliates, are only permitted to co-invest in accordance with the terms of the exemptive order or in the limited circumstances otherwise currently permitted by regulatory guidance. We cannot assure you when or whether we will apply for any other exemptive relief in the future and whether such orders will be obtained.</w:t>
      </w:r>
    </w:p>
    <w:p>
      <w:pPr>
        <w:spacing w:after="0" w:line="167" w:lineRule="exact"/>
        <w:rPr>
          <w:sz w:val="20"/>
          <w:szCs w:val="20"/>
          <w:color w:val="auto"/>
        </w:rPr>
      </w:pPr>
    </w:p>
    <w:p>
      <w:pPr>
        <w:ind w:right="160" w:firstLine="22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55"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73" w:lineRule="exact"/>
        <w:rPr>
          <w:sz w:val="20"/>
          <w:szCs w:val="20"/>
          <w:color w:val="auto"/>
        </w:rPr>
      </w:pPr>
    </w:p>
    <w:p>
      <w:pPr>
        <w:ind w:right="760" w:firstLine="228"/>
        <w:spacing w:after="0" w:line="259" w:lineRule="auto"/>
        <w:rPr>
          <w:sz w:val="20"/>
          <w:szCs w:val="20"/>
          <w:color w:val="auto"/>
        </w:rPr>
      </w:pPr>
      <w:r>
        <w:rPr>
          <w:rFonts w:ascii="Times New Roman" w:cs="Times New Roman" w:eastAsia="Times New Roman" w:hAnsi="Times New Roman"/>
          <w:sz w:val="16"/>
          <w:szCs w:val="16"/>
          <w:color w:val="auto"/>
        </w:rPr>
        <w:t>Any new Investment Advisory Agreement would be subject to approval by our stockholders. Even if we are able to enter into comparable management or administrative arrangements, the integration of a new adviser or administrator and their lack of familiarity</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5" w:name="page36"/>
    <w:bookmarkEnd w:id="35"/>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our investment objective may result in additional costs and time delays that may adversely affect our business, financial condition and results of operations.</w:t>
      </w:r>
    </w:p>
    <w:p>
      <w:pPr>
        <w:spacing w:after="0" w:line="188"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4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73" w:lineRule="exact"/>
        <w:rPr>
          <w:sz w:val="20"/>
          <w:szCs w:val="20"/>
          <w:color w:val="auto"/>
        </w:rPr>
      </w:pPr>
    </w:p>
    <w:p>
      <w:pPr>
        <w:ind w:right="60" w:firstLine="228"/>
        <w:spacing w:after="0" w:line="237" w:lineRule="auto"/>
        <w:rPr>
          <w:sz w:val="20"/>
          <w:szCs w:val="20"/>
          <w:color w:val="auto"/>
        </w:rPr>
      </w:pPr>
      <w:r>
        <w:rPr>
          <w:rFonts w:ascii="Times New Roman" w:cs="Times New Roman" w:eastAsia="Times New Roman" w:hAnsi="Times New Roman"/>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76"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failure to maintain our status as a BDC would reduce our operating flexibility.</w:t>
      </w:r>
    </w:p>
    <w:p>
      <w:pPr>
        <w:spacing w:after="0" w:line="96"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If we do not remain a BDC, we might be regulated as a closed -end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being a publicly traded company.</w:t>
      </w:r>
    </w:p>
    <w:p>
      <w:pPr>
        <w:spacing w:after="0" w:line="96"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5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8"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 w:name="page37"/>
    <w:bookmarkEnd w:id="36"/>
    <w:p>
      <w:pPr>
        <w:ind w:right="40"/>
        <w:spacing w:after="0" w:line="239" w:lineRule="auto"/>
        <w:rPr>
          <w:sz w:val="20"/>
          <w:szCs w:val="20"/>
          <w:color w:val="auto"/>
        </w:rPr>
      </w:pPr>
      <w:r>
        <w:rPr>
          <w:rFonts w:ascii="Times New Roman" w:cs="Times New Roman" w:eastAsia="Times New Roman" w:hAnsi="Times New Roman"/>
          <w:sz w:val="16"/>
          <w:szCs w:val="16"/>
          <w:color w:val="auto"/>
        </w:rPr>
        <w:t>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quarterly results.</w:t>
      </w:r>
    </w:p>
    <w:p>
      <w:pPr>
        <w:spacing w:after="0" w:line="96"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59"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5" w:lineRule="exact"/>
        <w:rPr>
          <w:sz w:val="20"/>
          <w:szCs w:val="20"/>
          <w:color w:val="auto"/>
        </w:rPr>
      </w:pPr>
    </w:p>
    <w:p>
      <w:pPr>
        <w:ind w:firstLine="228"/>
        <w:spacing w:after="0" w:line="236" w:lineRule="auto"/>
        <w:rPr>
          <w:sz w:val="20"/>
          <w:szCs w:val="20"/>
          <w:color w:val="auto"/>
        </w:rPr>
      </w:pPr>
      <w:r>
        <w:rPr>
          <w:rFonts w:ascii="Times New Roman" w:cs="Times New Roman" w:eastAsia="Times New Roman" w:hAnsi="Times New Roman"/>
          <w:sz w:val="16"/>
          <w:szCs w:val="16"/>
          <w:color w:val="auto"/>
        </w:rPr>
        <w:t>The General Corporation Law of the State of Delaware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investors are limited in their ability to make significant investments in us.</w:t>
      </w:r>
    </w:p>
    <w:p>
      <w:pPr>
        <w:spacing w:after="0" w:line="96"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6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8"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37" w:name="page38"/>
    <w:bookmarkEnd w:id="37"/>
    <w:p>
      <w:pPr>
        <w:ind w:right="60"/>
        <w:spacing w:after="0" w:line="239" w:lineRule="auto"/>
        <w:rPr>
          <w:sz w:val="20"/>
          <w:szCs w:val="20"/>
          <w:color w:val="auto"/>
        </w:rPr>
      </w:pPr>
      <w:r>
        <w:rPr>
          <w:rFonts w:ascii="Times New Roman" w:cs="Times New Roman" w:eastAsia="Times New Roman" w:hAnsi="Times New Roman"/>
          <w:sz w:val="16"/>
          <w:szCs w:val="16"/>
          <w:color w:val="auto"/>
        </w:rPr>
        <w:t>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 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70"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Additionally, investments of Sixth Street’s funds, including the Company,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69" w:lineRule="exact"/>
        <w:rPr>
          <w:sz w:val="20"/>
          <w:szCs w:val="20"/>
          <w:color w:val="auto"/>
        </w:rPr>
      </w:pPr>
    </w:p>
    <w:p>
      <w:pPr>
        <w:ind w:right="40" w:firstLine="228"/>
        <w:spacing w:after="0" w:line="278" w:lineRule="auto"/>
        <w:rPr>
          <w:sz w:val="20"/>
          <w:szCs w:val="20"/>
          <w:color w:val="auto"/>
        </w:rPr>
      </w:pPr>
      <w:r>
        <w:rPr>
          <w:rFonts w:ascii="Times New Roman" w:cs="Times New Roman" w:eastAsia="Times New Roman" w:hAnsi="Times New Roman"/>
          <w:sz w:val="14"/>
          <w:szCs w:val="14"/>
          <w:color w:val="auto"/>
        </w:rPr>
        <w:t>A cybersecurity breach may cause the Company to lose proprietary information, suffer data corruption or expose information to misuse. Sensitive information which may be breached in the event of a cybersecurity threat includes, without limitation, information regarding the Company’s investment activities and shareholders. Cybersecurity breaches of Sixth Street’s and the Company’s third -party service providers or portfolio investments may also subject the Company to many of the same risks associated with direct cybersecurity breaches. If such events were to materialize, they could, among other things, (i) lead to losses of sensitive information or capabilities essential to Sixth Street’s, the Company’s, and/or the Company’s portfolio company’s operations, (ii) have a material adverse effect on Sixth Street’s, the Company’s and/or the portfolio company’s reputations, financial positions, results of operations or cash flows, (iii) lead to financial losses from remedial actions, loss of business or potential liability, or (iv) lead to the disclosure of Company shareholders’ personal information or other sensitive information.</w:t>
      </w:r>
    </w:p>
    <w:p>
      <w:pPr>
        <w:spacing w:after="0" w:line="147" w:lineRule="exact"/>
        <w:rPr>
          <w:sz w:val="20"/>
          <w:szCs w:val="20"/>
          <w:color w:val="auto"/>
        </w:rPr>
      </w:pPr>
    </w:p>
    <w:p>
      <w:pPr>
        <w:ind w:right="40" w:firstLine="228"/>
        <w:spacing w:after="0" w:line="284" w:lineRule="auto"/>
        <w:rPr>
          <w:sz w:val="20"/>
          <w:szCs w:val="20"/>
          <w:color w:val="auto"/>
        </w:rPr>
      </w:pPr>
      <w:r>
        <w:rPr>
          <w:rFonts w:ascii="Times New Roman" w:cs="Times New Roman" w:eastAsia="Times New Roman" w:hAnsi="Times New Roman"/>
          <w:sz w:val="14"/>
          <w:szCs w:val="14"/>
          <w:color w:val="auto"/>
        </w:rPr>
        <w:t>The failure of these systems and/or of disaster recovery plans for any reason could cause significant interruptions in Sixth Street’s, the Company’s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Company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Board may change our investment objective, operating policies and strategies without prior notice or stockholder approval.</w:t>
      </w:r>
    </w:p>
    <w:p>
      <w:pPr>
        <w:spacing w:after="0" w:line="96"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including the Tax Cuts and Jobs Act and the Inflation Reduction Act may adversely affect our business.</w:t>
      </w:r>
    </w:p>
    <w:p>
      <w:pPr>
        <w:spacing w:after="0" w:line="96" w:lineRule="exact"/>
        <w:rPr>
          <w:sz w:val="20"/>
          <w:szCs w:val="20"/>
          <w:color w:val="auto"/>
        </w:rPr>
      </w:pPr>
    </w:p>
    <w:p>
      <w:pPr>
        <w:ind w:right="60" w:firstLine="228"/>
        <w:spacing w:after="0" w:line="289" w:lineRule="auto"/>
        <w:rPr>
          <w:sz w:val="20"/>
          <w:szCs w:val="20"/>
          <w:color w:val="auto"/>
        </w:rPr>
      </w:pPr>
      <w:r>
        <w:rPr>
          <w:rFonts w:ascii="Times New Roman" w:cs="Times New Roman" w:eastAsia="Times New Roman" w:hAnsi="Times New Roman"/>
          <w:sz w:val="14"/>
          <w:szCs w:val="14"/>
          <w:color w:val="auto"/>
        </w:rPr>
        <w:t>Changes to U.S. tax laws, including the Tax Cuts and Jobs Act enacted on December 22, 2017 (“Tax Reform”), the Coronavirus Aid, Relief, and Economic Security Act enacted on March 27, 2020 (the “CARES Act”) and the Inflation Reduction Act, enacted on August 16, 2022 (the “IRA”)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In addition, the IRA introduced a corporate alternative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8" w:name="page39"/>
    <w:bookmarkEnd w:id="38"/>
    <w:p>
      <w:pPr>
        <w:ind w:right="100"/>
        <w:spacing w:after="0" w:line="239" w:lineRule="auto"/>
        <w:rPr>
          <w:sz w:val="20"/>
          <w:szCs w:val="20"/>
          <w:color w:val="auto"/>
        </w:rPr>
      </w:pPr>
      <w:r>
        <w:rPr>
          <w:rFonts w:ascii="Times New Roman" w:cs="Times New Roman" w:eastAsia="Times New Roman" w:hAnsi="Times New Roman"/>
          <w:sz w:val="16"/>
          <w:szCs w:val="16"/>
          <w:color w:val="auto"/>
        </w:rPr>
        <w:t>minimum tax of 15% of the “adjusted financial statement income” of certain domestic corporations as well as a 1% excise tax on the fair market value of stock repurchases by certain domestic corporations, effective for tax years beginning in 2023. Further changes could be made under the new Presidential administration in the United States. Such changes to the tax laws, including (i) changes to interest deductibility, utility of net operating losses and other provisions of Tax Reform, (ii) the corporate alternative minimum tax, excise tax on stock repurchases and other provisions of the IRA or (iii) changes pursuant to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IRA and other changes in tax laws on the loan market and about the tax consequences of an investment in us.</w:t>
      </w:r>
    </w:p>
    <w:p>
      <w:pPr>
        <w:spacing w:after="0" w:line="262" w:lineRule="exact"/>
        <w:rPr>
          <w:sz w:val="20"/>
          <w:szCs w:val="20"/>
          <w:color w:val="auto"/>
        </w:rPr>
      </w:pPr>
    </w:p>
    <w:p>
      <w:pPr>
        <w:ind w:right="7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artificial intelligence, including the application of various forms of artificial intelligence such as machine learning technology.</w:t>
      </w:r>
    </w:p>
    <w:p>
      <w:pPr>
        <w:spacing w:after="0" w:line="55" w:lineRule="exact"/>
        <w:rPr>
          <w:sz w:val="20"/>
          <w:szCs w:val="20"/>
          <w:color w:val="auto"/>
        </w:rPr>
      </w:pPr>
    </w:p>
    <w:p>
      <w:pPr>
        <w:ind w:right="80" w:firstLine="228"/>
        <w:spacing w:after="0" w:line="280" w:lineRule="auto"/>
        <w:rPr>
          <w:sz w:val="20"/>
          <w:szCs w:val="20"/>
          <w:color w:val="auto"/>
        </w:rPr>
      </w:pPr>
      <w:r>
        <w:rPr>
          <w:rFonts w:ascii="Times New Roman" w:cs="Times New Roman" w:eastAsia="Times New Roman" w:hAnsi="Times New Roman"/>
          <w:sz w:val="14"/>
          <w:szCs w:val="14"/>
          <w:color w:val="auto"/>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 party Machine Learning Technology applications and users. Machine Learning Technology and its applications continue to develop rapidly, and we cannot predict the risks that may arise from such developments.</w:t>
      </w:r>
    </w:p>
    <w:p>
      <w:pPr>
        <w:spacing w:after="0" w:line="49"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37" w:lineRule="exact"/>
        <w:rPr>
          <w:sz w:val="20"/>
          <w:szCs w:val="20"/>
          <w:color w:val="auto"/>
        </w:rPr>
      </w:pPr>
    </w:p>
    <w:p>
      <w:pPr>
        <w:ind w:right="24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or alleged failure to comply with applicable data protection and privacy laws and regulations could subject us to ongoing costs and, in some cases, fines and reputational harm.</w:t>
      </w:r>
    </w:p>
    <w:p>
      <w:pPr>
        <w:spacing w:after="0" w:line="55" w:lineRule="exact"/>
        <w:rPr>
          <w:sz w:val="20"/>
          <w:szCs w:val="20"/>
          <w:color w:val="auto"/>
        </w:rPr>
      </w:pPr>
    </w:p>
    <w:p>
      <w:pPr>
        <w:ind w:right="100" w:firstLine="468"/>
        <w:spacing w:after="0" w:line="237" w:lineRule="auto"/>
        <w:rPr>
          <w:sz w:val="20"/>
          <w:szCs w:val="20"/>
          <w:color w:val="auto"/>
        </w:rPr>
      </w:pPr>
      <w:r>
        <w:rPr>
          <w:rFonts w:ascii="Times New Roman" w:cs="Times New Roman" w:eastAsia="Times New Roman" w:hAnsi="Times New Roman"/>
          <w:sz w:val="16"/>
          <w:szCs w:val="16"/>
          <w:color w:val="auto"/>
        </w:rPr>
        <w:t>We and the Adviser and its affiliates are subject to numerous laws and regulations in various jurisdictions relating to privacy and the storage, sharing, use, processing, disclosure and protection of information that we and our affiliates hold. The EU’s General Data Protection Regulation, the Cayman Islands Data Protection Act (2021 Revision), and the California Consumer Privacy Act of 2018, as amended, are recent examples of such laws, and we anticipate new privacy and data protection laws and regulations will be passed in other jurisdictions in the future. For example, the SEC has adopted changes to Regulation S-P, which requires, among other things, that registered investment advisers notify affected individuals of a breach involving their personal information when there has been an incident that rises to the level of being a reportable breach. In general, these laws and regulations introduce many new obligations on us and create new rights for parties who have given any of us their personal information, such as investors and others. The scope of data protection and privacy laws and regulations is rapidly evolving, and such laws and regulations are subject to differing interpretations. Any inability or perceived inability to adequately address privacy concerns, or comply with applicable laws and regulations, even if unfounded, could result in regulatory and third-party liability, increased costs, disruption to our operations, and reputational damage. Obligations to which we are subject impose compliance costs and risks of penalties, which could increase as such laws and regulations evolve globally. Moreover, as data protection and privacy laws and regulations continue to develop, it could be more difficult and/or more costly for us to collect, store, use, transmit and process personal information.</w:t>
      </w:r>
    </w:p>
    <w:p>
      <w:pPr>
        <w:spacing w:after="0" w:line="76" w:lineRule="exact"/>
        <w:rPr>
          <w:sz w:val="20"/>
          <w:szCs w:val="20"/>
          <w:color w:val="auto"/>
        </w:rPr>
      </w:pPr>
    </w:p>
    <w:p>
      <w:pPr>
        <w:ind w:right="60" w:firstLine="468"/>
        <w:spacing w:after="0" w:line="241" w:lineRule="auto"/>
        <w:rPr>
          <w:sz w:val="20"/>
          <w:szCs w:val="20"/>
          <w:color w:val="auto"/>
        </w:rPr>
      </w:pPr>
      <w:r>
        <w:rPr>
          <w:rFonts w:ascii="Times New Roman" w:cs="Times New Roman" w:eastAsia="Times New Roman" w:hAnsi="Times New Roman"/>
          <w:sz w:val="16"/>
          <w:szCs w:val="16"/>
          <w:color w:val="auto"/>
        </w:rPr>
        <w:t>The costs of monitoring, interpreting and, where applicable, complying with global data protection and privacy laws and regulations could have a material adverse effect on the business, results of the operations and financial condition of us and of our portfolio companies. The continued development of these laws and regulations and their interpretations could increase compliance costs, restrict our ability to offer services in certain locations, require changes to business practices, result in negative publicity or significant costs or penalties associated with litigation and/or regulatory action, all of which could adversely affect our business, financial conditions and results of operations, including affecting investment returns.</w:t>
      </w:r>
    </w:p>
    <w:p>
      <w:pPr>
        <w:spacing w:after="0" w:line="73"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While we, the Advisor and its affiliates take reasonable efforts to comply with data protection and privacy laws and regulations, it is possible that we will not be able to accurately anticipate the ways in which regulators and courts will apply or interpret these laws, and there can be no assurance that we will not be subject to regulatory or individual legal action, including fines, in the event of a security incident, alleged non -compliance with applicable data protection and privacy laws or regulations, or other claim that an individual’s privacy rights have been violated. Many regulators have indicated an intention to take more aggressive enforcement actions regarding data privacy matters, and private litigation resulting from such matters is increasing and resulting in large judgments and settlements.</w:t>
      </w: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39" w:name="page40"/>
    <w:bookmarkEnd w:id="3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Economic Conditions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and global supply chain issues may adversely affect our business.</w:t>
      </w:r>
    </w:p>
    <w:p>
      <w:pPr>
        <w:spacing w:after="0" w:line="96"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73"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Economic activity has continued to accelerate across sectors and regions. Nevertheless, global supply chain issues have, and may in the future, lead to a rise in energy prices. Inflation may continue in the near to medium-term, particularly in the U.S., with the possibility that monetary policy may tighten in response. Persistent inflationary pressures could affect our obligors’ profit margins.</w:t>
      </w:r>
    </w:p>
    <w:p>
      <w:pPr>
        <w:spacing w:after="0" w:line="68" w:lineRule="exact"/>
        <w:rPr>
          <w:sz w:val="20"/>
          <w:szCs w:val="20"/>
          <w:color w:val="auto"/>
        </w:rPr>
      </w:pPr>
    </w:p>
    <w:p>
      <w:pPr>
        <w:ind w:firstLine="228"/>
        <w:spacing w:after="0" w:line="276" w:lineRule="auto"/>
        <w:rPr>
          <w:sz w:val="20"/>
          <w:szCs w:val="20"/>
          <w:color w:val="auto"/>
        </w:rPr>
      </w:pPr>
      <w:r>
        <w:rPr>
          <w:rFonts w:ascii="Times New Roman" w:cs="Times New Roman" w:eastAsia="Times New Roman" w:hAnsi="Times New Roman"/>
          <w:sz w:val="14"/>
          <w:szCs w:val="14"/>
          <w:color w:val="auto"/>
        </w:rPr>
        <w:t>In light of the presidential transition in 2025, global trade disputes may be magnified, including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Company's portfolio investments. For example, existing and any additional supply chain and other laws, regulations, or executive orders by either country that restrict or prohibit transactions or impose requirements or limitations on business could impair the ability of U.S. -based companies (in which the Company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is portfolio investments.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disruption, volatility and uncertainty in the capital markets and in the economy generally.</w:t>
      </w:r>
    </w:p>
    <w:p>
      <w:pPr>
        <w:spacing w:after="0" w:line="192"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U.S. capital markets have experienced extreme volatility and disruption in recent years.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70"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0" w:name="page41"/>
    <w:bookmarkEnd w:id="4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current state of the economy and financial markets increases the likelihood of adverse effects on our financial position and results of operations.</w:t>
      </w:r>
    </w:p>
    <w:p>
      <w:pPr>
        <w:spacing w:after="0" w:line="96"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ongoing conflicts between Russia and Ukraine and in the Middle East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74"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receipt of a reduced level of interest income from our portfolio companies;</w:t>
      </w:r>
    </w:p>
    <w:p>
      <w:pPr>
        <w:spacing w:after="0" w:line="92" w:lineRule="exact"/>
        <w:rPr>
          <w:sz w:val="20"/>
          <w:szCs w:val="20"/>
          <w:color w:val="auto"/>
        </w:rPr>
      </w:pPr>
    </w:p>
    <w:p>
      <w:pPr>
        <w:ind w:left="240" w:right="3560"/>
        <w:spacing w:after="0" w:line="384" w:lineRule="auto"/>
        <w:rPr>
          <w:sz w:val="20"/>
          <w:szCs w:val="20"/>
          <w:color w:val="auto"/>
        </w:rPr>
      </w:pPr>
      <w:r>
        <w:rPr>
          <w:rFonts w:ascii="Times New Roman" w:cs="Times New Roman" w:eastAsia="Times New Roman" w:hAnsi="Times New Roman"/>
          <w:sz w:val="16"/>
          <w:szCs w:val="16"/>
          <w:color w:val="auto"/>
        </w:rPr>
        <w:t>•decreases in the value of collateral securing some of our loans and the value of our equity investments; and •ultimately, losses or charge-offs related to our investments.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Uncertainty about financial stability could have a significant adverse effect on our business, results of operations and financial condition.</w:t>
      </w:r>
    </w:p>
    <w:p>
      <w:pPr>
        <w:spacing w:after="0" w:line="96" w:lineRule="exact"/>
        <w:rPr>
          <w:sz w:val="20"/>
          <w:szCs w:val="20"/>
          <w:color w:val="auto"/>
        </w:rPr>
      </w:pPr>
    </w:p>
    <w:p>
      <w:pPr>
        <w:ind w:right="200" w:firstLine="228"/>
        <w:spacing w:after="0" w:line="239" w:lineRule="auto"/>
        <w:rPr>
          <w:sz w:val="20"/>
          <w:szCs w:val="20"/>
          <w:color w:val="auto"/>
        </w:rPr>
      </w:pPr>
      <w:r>
        <w:rPr>
          <w:rFonts w:ascii="Times New Roman" w:cs="Times New Roman" w:eastAsia="Times New Roman" w:hAnsi="Times New Roman"/>
          <w:sz w:val="16"/>
          <w:szCs w:val="16"/>
          <w:color w:val="auto"/>
        </w:rPr>
        <w:t>Due to federal budget deficit concerns, S&amp;P downgraded the federal government’s credit rating from AAA to AA+ for the first time in history on August 5, 2011. Further, in 2023, Fitch downgraded the federal government’s credit rating from AAA to AA+.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7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After raising the target range for the federal funds rate in 2017 and 2018, the Federal Reserve lowered the target rate three times in 2019 and two times in 2020. Following recent heightened inflation, the Federal Reserve raised the target rate four times in 2023, raising the fed funds rate by about three percentage points in a six month period. However, in 2024, the Federal Reserved lowered the target rate three times. In 2025, it is possible that the Federal Reserve will lower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69"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election of a new U.S. president for a term that commenced in 2025, coupled with a consolidation of party control of both chambers of Congress, has led to new legislative and regulatory initiatives and the roll -back of certain initiatives of the previous presidential administration, which may impact our business and our clients’ businesses in unpredictable ways. Areas subject to potential change or amendment include the Wall Street Reform and Consumer Protection Act, or the Dodd-Frank Act, and the authority of the Federal Reserve and the Financial Stability Oversight Council. Additionally, under the narrowly divided control of the Congress, the likelihood of a failure to increase the debt ceiling and a default by the federal government is increased. The United States may also increase tariffs and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1" w:name="page42"/>
    <w:bookmarkEnd w:id="41"/>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recessions or downturns could impair our portfolio companies and harm our operating results.</w:t>
      </w:r>
    </w:p>
    <w:p>
      <w:pPr>
        <w:spacing w:after="0" w:line="96" w:lineRule="exact"/>
        <w:rPr>
          <w:sz w:val="20"/>
          <w:szCs w:val="20"/>
          <w:color w:val="auto"/>
        </w:rPr>
      </w:pPr>
    </w:p>
    <w:p>
      <w:pPr>
        <w:ind w:right="20" w:firstLine="228"/>
        <w:spacing w:after="0" w:line="280" w:lineRule="auto"/>
        <w:rPr>
          <w:sz w:val="20"/>
          <w:szCs w:val="20"/>
          <w:color w:val="auto"/>
        </w:rPr>
      </w:pPr>
      <w:r>
        <w:rPr>
          <w:rFonts w:ascii="Times New Roman" w:cs="Times New Roman" w:eastAsia="Times New Roman" w:hAnsi="Times New Roman"/>
          <w:sz w:val="14"/>
          <w:szCs w:val="14"/>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4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Portfolio Company Investments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are very risky and highly speculative.</w:t>
      </w:r>
    </w:p>
    <w:p>
      <w:pPr>
        <w:spacing w:after="0" w:line="96"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We primarily invest in first -lien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35"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i w:val="1"/>
          <w:iCs w:val="1"/>
          <w:color w:val="auto"/>
        </w:rPr>
        <w:t>First-Lien Debt</w:t>
      </w:r>
      <w:r>
        <w:rPr>
          <w:rFonts w:ascii="Times New Roman" w:cs="Times New Roman" w:eastAsia="Times New Roman" w:hAnsi="Times New Roman"/>
          <w:sz w:val="16"/>
          <w:szCs w:val="16"/>
          <w:color w:val="auto"/>
        </w:rPr>
        <w:t>. When we make a first- lien loan, we generally take a security interest in the available assets of the portfolio company, including the equity interests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73" w:lineRule="exact"/>
        <w:rPr>
          <w:sz w:val="20"/>
          <w:szCs w:val="20"/>
          <w:color w:val="auto"/>
        </w:rPr>
      </w:pPr>
    </w:p>
    <w:p>
      <w:pPr>
        <w:ind w:right="8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Second-Lien and Mezzanine Debt</w:t>
      </w:r>
      <w:r>
        <w:rPr>
          <w:rFonts w:ascii="Times New Roman" w:cs="Times New Roman" w:eastAsia="Times New Roman" w:hAnsi="Times New Roman"/>
          <w:sz w:val="16"/>
          <w:szCs w:val="16"/>
          <w:color w:val="auto"/>
        </w:rPr>
        <w:t>. Our investments in second-lien and mezzanine debt generally are subordinated to senior loans and will either have junior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or be unsecured. As such, other creditors may rank senior to us in the event of insolvency. This may result in greater risk and loss of principal.</w:t>
      </w:r>
    </w:p>
    <w:p>
      <w:pPr>
        <w:spacing w:after="0" w:line="150"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Equity and Other Investments. </w:t>
      </w:r>
      <w:r>
        <w:rPr>
          <w:rFonts w:ascii="Times New Roman" w:cs="Times New Roman" w:eastAsia="Times New Roman" w:hAnsi="Times New Roman"/>
          <w:sz w:val="16"/>
          <w:szCs w:val="16"/>
          <w:color w:val="auto"/>
        </w:rPr>
        <w:t>When we invest in first-lien debt, second-lien debt or mezzanine debt, we may acquire equity securities, such as warrants, options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 xml:space="preserve">Preferred Stock. </w:t>
      </w:r>
      <w:r>
        <w:rPr>
          <w:rFonts w:ascii="Times New Roman" w:cs="Times New Roman" w:eastAsia="Times New Roman" w:hAnsi="Times New Roman"/>
          <w:sz w:val="16"/>
          <w:szCs w:val="16"/>
          <w:color w:val="auto"/>
        </w:rPr>
        <w:t>To the extent we invest in preferred securities, we may incur particular risks, including:</w:t>
      </w:r>
    </w:p>
    <w:p>
      <w:pPr>
        <w:spacing w:after="0" w:line="94" w:lineRule="exact"/>
        <w:rPr>
          <w:sz w:val="20"/>
          <w:szCs w:val="20"/>
          <w:color w:val="auto"/>
        </w:rPr>
      </w:pPr>
    </w:p>
    <w:p>
      <w:pPr>
        <w:jc w:val="both"/>
        <w:ind w:left="240" w:right="80"/>
        <w:spacing w:after="0" w:line="247" w:lineRule="auto"/>
        <w:rPr>
          <w:sz w:val="20"/>
          <w:szCs w:val="20"/>
          <w:color w:val="auto"/>
        </w:rPr>
      </w:pPr>
      <w:r>
        <w:rPr>
          <w:rFonts w:ascii="Times New Roman" w:cs="Times New Roman" w:eastAsia="Times New Roman" w:hAnsi="Times New Roman"/>
          <w:sz w:val="16"/>
          <w:szCs w:val="16"/>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8"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2" w:name="page43"/>
    <w:bookmarkEnd w:id="42"/>
    <w:p>
      <w:pPr>
        <w:ind w:left="240" w:right="240"/>
        <w:spacing w:after="0" w:line="247" w:lineRule="auto"/>
        <w:rPr>
          <w:sz w:val="20"/>
          <w:szCs w:val="20"/>
          <w:color w:val="auto"/>
        </w:rPr>
      </w:pPr>
      <w:r>
        <w:rPr>
          <w:rFonts w:ascii="Times New Roman" w:cs="Times New Roman" w:eastAsia="Times New Roman" w:hAnsi="Times New Roman"/>
          <w:sz w:val="16"/>
          <w:szCs w:val="16"/>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our investments generally involve a number of significant risks, including:</w:t>
      </w:r>
    </w:p>
    <w:p>
      <w:pPr>
        <w:spacing w:after="0" w:line="92"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8"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9" w:lineRule="exact"/>
        <w:rPr>
          <w:sz w:val="20"/>
          <w:szCs w:val="20"/>
          <w:color w:val="auto"/>
        </w:rPr>
      </w:pPr>
    </w:p>
    <w:p>
      <w:pPr>
        <w:ind w:left="240" w:right="3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12"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9" w:lineRule="exact"/>
        <w:rPr>
          <w:sz w:val="20"/>
          <w:szCs w:val="20"/>
          <w:color w:val="auto"/>
        </w:rPr>
      </w:pPr>
    </w:p>
    <w:p>
      <w:pPr>
        <w:ind w:left="240" w:right="420"/>
        <w:spacing w:after="0" w:line="259" w:lineRule="auto"/>
        <w:rPr>
          <w:sz w:val="20"/>
          <w:szCs w:val="20"/>
          <w:color w:val="auto"/>
        </w:rPr>
      </w:pPr>
      <w:r>
        <w:rPr>
          <w:rFonts w:ascii="Times New Roman" w:cs="Times New Roman" w:eastAsia="Times New Roman" w:hAnsi="Times New Roman"/>
          <w:sz w:val="16"/>
          <w:szCs w:val="16"/>
          <w:color w:val="auto"/>
        </w:rPr>
        <w:t>•our executive officers, directors and Adviser may, in the ordinary course of business, be named as defendants in litigation arising from our investments in the portfolio companies;</w:t>
      </w:r>
    </w:p>
    <w:p>
      <w:pPr>
        <w:spacing w:after="0" w:line="59"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9" w:lineRule="exact"/>
        <w:rPr>
          <w:sz w:val="20"/>
          <w:szCs w:val="20"/>
          <w:color w:val="auto"/>
        </w:rPr>
      </w:pPr>
    </w:p>
    <w:p>
      <w:pPr>
        <w:ind w:left="240" w:right="1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may have difficulty accessing the capital markets to meet future capital needs, which may limit their ability to grow or to repay their outstanding indebtedness upon maturity.</w:t>
      </w:r>
    </w:p>
    <w:p>
      <w:pPr>
        <w:spacing w:after="0" w:line="24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0"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70"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43" w:name="page44"/>
    <w:bookmarkEnd w:id="43"/>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lack of liquidity in our investments may adversely affect our business.</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6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securitize certain of our investments, which may subject us to certain structured financing risks.</w:t>
      </w:r>
    </w:p>
    <w:p>
      <w:pPr>
        <w:spacing w:after="0" w:line="96"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6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73"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69"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6"/>
          <w:szCs w:val="16"/>
          <w:i w:val="1"/>
          <w:iCs w:val="1"/>
          <w:color w:val="auto"/>
        </w:rPr>
        <w:t>ITEM 1. BUSINESS – Regulation as a Business Development Company.”</w:t>
      </w:r>
    </w:p>
    <w:p>
      <w:pPr>
        <w:spacing w:after="0" w:line="24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5"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4" w:name="page45"/>
    <w:bookmarkEnd w:id="44"/>
    <w:p>
      <w:pPr>
        <w:ind w:right="200"/>
        <w:spacing w:after="0" w:line="247" w:lineRule="auto"/>
        <w:rPr>
          <w:sz w:val="20"/>
          <w:szCs w:val="20"/>
          <w:color w:val="auto"/>
        </w:rPr>
      </w:pPr>
      <w:r>
        <w:rPr>
          <w:rFonts w:ascii="Times New Roman" w:cs="Times New Roman" w:eastAsia="Times New Roman" w:hAnsi="Times New Roman"/>
          <w:sz w:val="16"/>
          <w:szCs w:val="16"/>
          <w:color w:val="auto"/>
        </w:rPr>
        <w:t>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96"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The majority of our debt investments are based on floating rates, such as SOFR, EURIBOR,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6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 -paying securities. Market volatility, rising interest rates and/or a return to unfavorable economic conditions could adversely affect our business. See “</w:t>
      </w:r>
      <w:r>
        <w:rPr>
          <w:rFonts w:ascii="Times New Roman" w:cs="Times New Roman" w:eastAsia="Times New Roman" w:hAnsi="Times New Roman"/>
          <w:sz w:val="16"/>
          <w:szCs w:val="16"/>
          <w:i w:val="1"/>
          <w:iCs w:val="1"/>
          <w:color w:val="auto"/>
        </w:rPr>
        <w:t>—Risks Related to Economic Conditions—Uncertainty about financial stability could have a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adverse effect on our business, results of operations and financial condition.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55" w:lineRule="exact"/>
        <w:rPr>
          <w:sz w:val="20"/>
          <w:szCs w:val="20"/>
          <w:color w:val="auto"/>
        </w:rPr>
      </w:pPr>
    </w:p>
    <w:p>
      <w:pPr>
        <w:ind w:right="260" w:firstLine="228"/>
        <w:spacing w:after="0" w:line="247" w:lineRule="auto"/>
        <w:rPr>
          <w:sz w:val="20"/>
          <w:szCs w:val="20"/>
          <w:color w:val="auto"/>
        </w:rPr>
      </w:pPr>
      <w:r>
        <w:rPr>
          <w:rFonts w:ascii="Times New Roman" w:cs="Times New Roman" w:eastAsia="Times New Roman" w:hAnsi="Times New Roman"/>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6"/>
          <w:szCs w:val="16"/>
          <w:i w:val="1"/>
          <w:iCs w:val="1"/>
          <w:color w:val="auto"/>
        </w:rPr>
        <w:t>—Risks Related to Our Portfolio Company Investments—We expose ourselves to risks when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engage in hedging transactions.</w:t>
      </w:r>
      <w:r>
        <w:rPr>
          <w:rFonts w:ascii="Times New Roman" w:cs="Times New Roman" w:eastAsia="Times New Roman" w:hAnsi="Times New Roman"/>
          <w:sz w:val="16"/>
          <w:szCs w:val="16"/>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realize expected returns on our invested capital.</w:t>
      </w:r>
    </w:p>
    <w:p>
      <w:pPr>
        <w:spacing w:after="0" w:line="96" w:lineRule="exact"/>
        <w:rPr>
          <w:sz w:val="20"/>
          <w:szCs w:val="20"/>
          <w:color w:val="auto"/>
        </w:rPr>
      </w:pPr>
    </w:p>
    <w:p>
      <w:pPr>
        <w:jc w:val="both"/>
        <w:ind w:right="140" w:firstLine="228"/>
        <w:spacing w:after="0" w:line="243" w:lineRule="auto"/>
        <w:rPr>
          <w:sz w:val="20"/>
          <w:szCs w:val="20"/>
          <w:color w:val="auto"/>
        </w:rPr>
      </w:pPr>
      <w:r>
        <w:rPr>
          <w:rFonts w:ascii="Times New Roman" w:cs="Times New Roman" w:eastAsia="Times New Roman" w:hAnsi="Times New Roman"/>
          <w:sz w:val="16"/>
          <w:szCs w:val="16"/>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67"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By originating loans to companies that are experiencing significant financial or business difficulties, we may be exposed to distressed lending risks.</w:t>
      </w:r>
    </w:p>
    <w:p>
      <w:pPr>
        <w:spacing w:after="0" w:line="96"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45" w:name="page46"/>
    <w:bookmarkEnd w:id="45"/>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companies may incur debt or issue equity securities that rank equally with, or senior to, our investments in those companies.</w:t>
      </w:r>
    </w:p>
    <w:p>
      <w:pPr>
        <w:spacing w:after="0" w:line="96"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73"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special risks associated with bankruptcy cases.</w:t>
      </w:r>
    </w:p>
    <w:p>
      <w:pPr>
        <w:spacing w:after="0" w:line="9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73"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4"/>
          <w:szCs w:val="14"/>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37"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make follow-on investments in our portfolio companies could impair the value of our 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Following an initial investment in a portfolio company, we may make additional investments in that portfolio company as “follow-on” investments to:</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•increase or maintain in whole or in part our equity ownership percentage;</w:t>
      </w:r>
    </w:p>
    <w:p>
      <w:pPr>
        <w:spacing w:after="0" w:line="92" w:lineRule="exact"/>
        <w:rPr>
          <w:sz w:val="20"/>
          <w:szCs w:val="20"/>
          <w:color w:val="auto"/>
        </w:rPr>
      </w:pPr>
    </w:p>
    <w:p>
      <w:pPr>
        <w:ind w:left="240" w:right="3260"/>
        <w:spacing w:after="0" w:line="384" w:lineRule="auto"/>
        <w:rPr>
          <w:sz w:val="20"/>
          <w:szCs w:val="20"/>
          <w:color w:val="auto"/>
        </w:rPr>
      </w:pPr>
      <w:r>
        <w:rPr>
          <w:rFonts w:ascii="Times New Roman" w:cs="Times New Roman" w:eastAsia="Times New Roman" w:hAnsi="Times New Roman"/>
          <w:sz w:val="16"/>
          <w:szCs w:val="16"/>
          <w:color w:val="auto"/>
        </w:rPr>
        <w:t>•exercise warrants, options or convertible securities that were acquired in the original or subsequent financing; or •attempt to preserve or enhance the value of our investment.</w:t>
      </w:r>
    </w:p>
    <w:p>
      <w:pPr>
        <w:spacing w:after="0" w:line="59" w:lineRule="exact"/>
        <w:rPr>
          <w:sz w:val="20"/>
          <w:szCs w:val="20"/>
          <w:color w:val="auto"/>
        </w:rPr>
      </w:pPr>
    </w:p>
    <w:p>
      <w:pPr>
        <w:jc w:val="both"/>
        <w:ind w:right="80" w:firstLine="228"/>
        <w:spacing w:after="0" w:line="247" w:lineRule="auto"/>
        <w:rPr>
          <w:sz w:val="20"/>
          <w:szCs w:val="20"/>
          <w:color w:val="auto"/>
        </w:rPr>
      </w:pPr>
      <w:r>
        <w:rPr>
          <w:rFonts w:ascii="Times New Roman" w:cs="Times New Roman" w:eastAsia="Times New Roman" w:hAnsi="Times New Roman"/>
          <w:sz w:val="16"/>
          <w:szCs w:val="16"/>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 w:name="page47"/>
    <w:bookmarkEnd w:id="46"/>
    <w:p>
      <w:pPr>
        <w:spacing w:after="0" w:line="65"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 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acquisitions or strategic investments that we pursue are subject to risks and uncertainties.</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73" w:lineRule="exact"/>
        <w:rPr>
          <w:sz w:val="20"/>
          <w:szCs w:val="20"/>
          <w:color w:val="auto"/>
        </w:rPr>
      </w:pPr>
    </w:p>
    <w:p>
      <w:pPr>
        <w:ind w:right="100" w:firstLine="228"/>
        <w:spacing w:after="0" w:line="331" w:lineRule="auto"/>
        <w:rPr>
          <w:sz w:val="20"/>
          <w:szCs w:val="20"/>
          <w:color w:val="auto"/>
        </w:rPr>
      </w:pPr>
      <w:r>
        <w:rPr>
          <w:rFonts w:ascii="Times New Roman" w:cs="Times New Roman" w:eastAsia="Times New Roman" w:hAnsi="Times New Roman"/>
          <w:sz w:val="14"/>
          <w:szCs w:val="14"/>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guarantee that we will be able to obtain various required licenses in U.S. states or in any other jurisdiction where they may be required in the future.</w:t>
      </w:r>
    </w:p>
    <w:p>
      <w:pPr>
        <w:spacing w:after="0" w:line="96" w:lineRule="exact"/>
        <w:rPr>
          <w:sz w:val="20"/>
          <w:szCs w:val="20"/>
          <w:color w:val="auto"/>
        </w:rPr>
      </w:pPr>
    </w:p>
    <w:p>
      <w:pPr>
        <w:ind w:right="20" w:firstLine="228"/>
        <w:spacing w:after="0" w:line="284" w:lineRule="auto"/>
        <w:rPr>
          <w:sz w:val="20"/>
          <w:szCs w:val="20"/>
          <w:color w:val="auto"/>
        </w:rPr>
      </w:pPr>
      <w:r>
        <w:rPr>
          <w:rFonts w:ascii="Times New Roman" w:cs="Times New Roman" w:eastAsia="Times New Roman" w:hAnsi="Times New Roman"/>
          <w:sz w:val="14"/>
          <w:szCs w:val="14"/>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foreign companies may involve significant risks in addition to the risks inherent in U.S. investments.</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Russia’s invasion of Ukraine and conflict in the Middle East, among other current events, could also have negative impacts on the economies of countries in Europe and elsewhere. In addition, interest income derived from loans to foreign companies is not eligible to be distributed to our non-U.S. stockholders free from withholding taxes.</w:t>
      </w:r>
    </w:p>
    <w:p>
      <w:pPr>
        <w:spacing w:after="0" w:line="170" w:lineRule="exact"/>
        <w:rPr>
          <w:sz w:val="20"/>
          <w:szCs w:val="20"/>
          <w:color w:val="auto"/>
        </w:rPr>
      </w:pPr>
    </w:p>
    <w:p>
      <w:pPr>
        <w:ind w:right="160" w:firstLine="228"/>
        <w:spacing w:after="0" w:line="289" w:lineRule="auto"/>
        <w:rPr>
          <w:sz w:val="20"/>
          <w:szCs w:val="20"/>
          <w:color w:val="auto"/>
        </w:rPr>
      </w:pPr>
      <w:r>
        <w:rPr>
          <w:rFonts w:ascii="Times New Roman" w:cs="Times New Roman" w:eastAsia="Times New Roman" w:hAnsi="Times New Roman"/>
          <w:sz w:val="14"/>
          <w:szCs w:val="14"/>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expose ourselves to risks when we engage in hedging transactions.</w:t>
      </w:r>
    </w:p>
    <w:p>
      <w:pPr>
        <w:spacing w:after="0" w:line="96"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69" w:lineRule="exact"/>
        <w:rPr>
          <w:sz w:val="20"/>
          <w:szCs w:val="20"/>
          <w:color w:val="auto"/>
        </w:rPr>
      </w:pPr>
    </w:p>
    <w:p>
      <w:pPr>
        <w:ind w:right="80" w:firstLine="228"/>
        <w:spacing w:after="0" w:line="284" w:lineRule="auto"/>
        <w:rPr>
          <w:sz w:val="20"/>
          <w:szCs w:val="20"/>
          <w:color w:val="auto"/>
        </w:rPr>
      </w:pPr>
      <w:r>
        <w:rPr>
          <w:rFonts w:ascii="Times New Roman" w:cs="Times New Roman" w:eastAsia="Times New Roman" w:hAnsi="Times New Roman"/>
          <w:sz w:val="14"/>
          <w:szCs w:val="14"/>
          <w:color w:val="auto"/>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4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2024 Notes, 2026 Notes, 2028 Notes and 2029 Notes, which bear interest at fixed rates, we entered into fixed-to-floating interest rate swaps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70"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6"/>
          <w:szCs w:val="16"/>
          <w:i w:val="1"/>
          <w:iCs w:val="1"/>
          <w:color w:val="auto"/>
        </w:rPr>
        <w:t>—Risks Related to Our Portfolio Company Investments—The market structure applicable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derivatives imposed by the Dodd-Frank Act may affect our ability to use over-the-counter (“OTC”) derivatives for hedging purposes</w:t>
      </w:r>
      <w:r>
        <w:rPr>
          <w:rFonts w:ascii="Times New Roman" w:cs="Times New Roman" w:eastAsia="Times New Roman" w:hAnsi="Times New Roman"/>
          <w:sz w:val="16"/>
          <w:szCs w:val="16"/>
          <w:color w:val="auto"/>
        </w:rPr>
        <w:t>.” See also “</w:t>
      </w:r>
      <w:r>
        <w:rPr>
          <w:rFonts w:ascii="Times New Roman" w:cs="Times New Roman" w:eastAsia="Times New Roman" w:hAnsi="Times New Roman"/>
          <w:sz w:val="16"/>
          <w:szCs w:val="16"/>
          <w:i w:val="1"/>
          <w:iCs w:val="1"/>
          <w:color w:val="auto"/>
        </w:rPr>
        <w:t>—Risks Related to Our Portfolio Company Investments—We are exposed to risks associated with changes in interest rates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7. MANAGEMENT’S DISCUSSION AND ANALYSIS OF FINANCIAL CONDITION AND RESULTS OF OPERATIONS—Results of Operations—Hedging</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Finally, Rule 18f-4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62"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market structure applicable to derivatives imposed by the Dodd-Frank Act may affect our ability to use over-the-counter (“OTC”) derivatives for hedging purposes.</w:t>
      </w:r>
    </w:p>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 w:name="page49"/>
    <w:bookmarkEnd w:id="48"/>
    <w:p>
      <w:pPr>
        <w:ind w:right="280" w:firstLine="228"/>
        <w:spacing w:after="0" w:line="247" w:lineRule="auto"/>
        <w:rPr>
          <w:sz w:val="20"/>
          <w:szCs w:val="20"/>
          <w:color w:val="auto"/>
        </w:rPr>
      </w:pPr>
      <w:r>
        <w:rPr>
          <w:rFonts w:ascii="Times New Roman" w:cs="Times New Roman" w:eastAsia="Times New Roman" w:hAnsi="Times New Roman"/>
          <w:sz w:val="16"/>
          <w:szCs w:val="16"/>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76"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4"/>
          <w:szCs w:val="14"/>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2026 Notes, 2028 Notes and 2029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332"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-513715</wp:posOffset>
            </wp:positionV>
            <wp:extent cx="22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cease to be eligible for an exemption from regulation as a commodity pool operator, our compliance expenses could increase substantially.</w:t>
      </w:r>
    </w:p>
    <w:p>
      <w:pPr>
        <w:spacing w:after="0" w:line="96"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•continue to be regulated by the SEC as a BDC;</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•confine our trading in CFTC-regulated derivatives within specified thresholds;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•are not marketed to the public as a commodity pool or as a vehicle for trading in CFTC-regulated derivatives.</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investments may present special tax issues.</w:t>
      </w:r>
    </w:p>
    <w:p>
      <w:pPr>
        <w:spacing w:after="0" w:line="96" w:lineRule="exact"/>
        <w:rPr>
          <w:sz w:val="20"/>
          <w:szCs w:val="20"/>
          <w:color w:val="auto"/>
        </w:rPr>
      </w:pPr>
    </w:p>
    <w:p>
      <w:pPr>
        <w:ind w:right="40" w:firstLine="228"/>
        <w:spacing w:after="0" w:line="276" w:lineRule="auto"/>
        <w:rPr>
          <w:sz w:val="20"/>
          <w:szCs w:val="20"/>
          <w:color w:val="auto"/>
        </w:rPr>
      </w:pPr>
      <w:r>
        <w:rPr>
          <w:rFonts w:ascii="Times New Roman" w:cs="Times New Roman" w:eastAsia="Times New Roman" w:hAnsi="Times New Roman"/>
          <w:sz w:val="14"/>
          <w:szCs w:val="14"/>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4"/>
          <w:szCs w:val="14"/>
          <w:i w:val="1"/>
          <w:iCs w:val="1"/>
          <w:color w:val="auto"/>
        </w:rPr>
        <w:t>ITEM 1. BUSINESS—Regulation as a Business Development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Regulated Investment Company Classification</w:t>
      </w:r>
      <w:r>
        <w:rPr>
          <w:rFonts w:ascii="Times New Roman" w:cs="Times New Roman" w:eastAsia="Times New Roman" w:hAnsi="Times New Roman"/>
          <w:sz w:val="14"/>
          <w:szCs w:val="14"/>
          <w:color w:val="auto"/>
        </w:rPr>
        <w:t>” for more information.</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49" w:name="page50"/>
    <w:bookmarkEnd w:id="49"/>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certain risks associated with holding debt obligations that have original issue discount or payment-in-kind interest.</w:t>
      </w:r>
    </w:p>
    <w:p>
      <w:pPr>
        <w:spacing w:after="0" w:line="96"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6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4"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55"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is a risk that investors in our common stock may not receive dividends or that our dividends may not grow over time.</w:t>
      </w:r>
    </w:p>
    <w:p>
      <w:pPr>
        <w:spacing w:after="0" w:line="9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3" w:lineRule="exact"/>
        <w:rPr>
          <w:sz w:val="20"/>
          <w:szCs w:val="20"/>
          <w:color w:val="auto"/>
        </w:rPr>
      </w:pPr>
    </w:p>
    <w:p>
      <w:pPr>
        <w:ind w:right="220" w:firstLine="228"/>
        <w:spacing w:after="0" w:line="289" w:lineRule="auto"/>
        <w:rPr>
          <w:sz w:val="20"/>
          <w:szCs w:val="20"/>
          <w:color w:val="auto"/>
        </w:rPr>
      </w:pPr>
      <w:r>
        <w:rPr>
          <w:rFonts w:ascii="Times New Roman" w:cs="Times New Roman" w:eastAsia="Times New Roman" w:hAnsi="Times New Roman"/>
          <w:sz w:val="14"/>
          <w:szCs w:val="14"/>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4"/>
          <w:szCs w:val="14"/>
          <w:i w:val="1"/>
          <w:iCs w:val="1"/>
          <w:color w:val="auto"/>
        </w:rPr>
        <w:t>—Risks Related to Our Portfolio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Investments—There are certain risks associated with holding debt obligations that have original issue discount or payment-in-kind interest</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69"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6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 w:name="page51"/>
    <w:bookmarkEnd w:id="50"/>
    <w:p>
      <w:pPr>
        <w:spacing w:after="0" w:line="65"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our securities may involve a high degree of risk.</w:t>
      </w:r>
    </w:p>
    <w:p>
      <w:pPr>
        <w:spacing w:after="0" w:line="96"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fluctuate significantly.</w:t>
      </w:r>
    </w:p>
    <w:p>
      <w:pPr>
        <w:spacing w:after="0" w:line="96" w:lineRule="exact"/>
        <w:rPr>
          <w:sz w:val="20"/>
          <w:szCs w:val="20"/>
          <w:color w:val="auto"/>
        </w:rPr>
      </w:pPr>
    </w:p>
    <w:p>
      <w:pPr>
        <w:ind w:right="420" w:firstLine="228"/>
        <w:spacing w:after="0" w:line="259" w:lineRule="auto"/>
        <w:rPr>
          <w:sz w:val="20"/>
          <w:szCs w:val="20"/>
          <w:color w:val="auto"/>
        </w:rPr>
      </w:pPr>
      <w:r>
        <w:rPr>
          <w:rFonts w:ascii="Times New Roman" w:cs="Times New Roman" w:eastAsia="Times New Roman" w:hAnsi="Times New Roman"/>
          <w:sz w:val="16"/>
          <w:szCs w:val="16"/>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•significant volatility in the market price and trading volume of securities of BDCs or other companies in our sector, which is not necessarily related to the operating performance of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regulatory policies or tax guidelines, particularly with respect to RICs or BDCs;</w:t>
      </w:r>
    </w:p>
    <w:p>
      <w:pPr>
        <w:spacing w:after="0" w:line="92" w:lineRule="exact"/>
        <w:rPr>
          <w:sz w:val="20"/>
          <w:szCs w:val="20"/>
          <w:color w:val="auto"/>
        </w:rPr>
      </w:pPr>
    </w:p>
    <w:p>
      <w:pPr>
        <w:ind w:left="240" w:right="340"/>
        <w:spacing w:after="0" w:line="259" w:lineRule="auto"/>
        <w:rPr>
          <w:sz w:val="20"/>
          <w:szCs w:val="20"/>
          <w:color w:val="auto"/>
        </w:rPr>
      </w:pPr>
      <w:r>
        <w:rPr>
          <w:rFonts w:ascii="Times New Roman" w:cs="Times New Roman" w:eastAsia="Times New Roman" w:hAnsi="Times New Roman"/>
          <w:sz w:val="16"/>
          <w:szCs w:val="16"/>
          <w:color w:val="auto"/>
        </w:rPr>
        <w:t>•the exclusion of BDC common stock from certain market indices, which could reduce the ability of certain investment funds to own our common stock and put short term selling pressure on our common stock;</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•loss of RIC or BDC status;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or perceived changes in earnings or variations in operating results;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our portfolio of investments;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or perceived changes in the value of our portfolio of investments;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accounting guidelines governing valuation of our investments;</w:t>
      </w:r>
    </w:p>
    <w:p>
      <w:pPr>
        <w:spacing w:after="0" w:line="92" w:lineRule="exact"/>
        <w:rPr>
          <w:sz w:val="20"/>
          <w:szCs w:val="20"/>
          <w:color w:val="auto"/>
        </w:rPr>
      </w:pPr>
    </w:p>
    <w:p>
      <w:pPr>
        <w:ind w:left="240" w:right="2840"/>
        <w:spacing w:after="0" w:line="360" w:lineRule="auto"/>
        <w:rPr>
          <w:sz w:val="20"/>
          <w:szCs w:val="20"/>
          <w:color w:val="auto"/>
        </w:rPr>
      </w:pPr>
      <w:r>
        <w:rPr>
          <w:rFonts w:ascii="Times New Roman" w:cs="Times New Roman" w:eastAsia="Times New Roman" w:hAnsi="Times New Roman"/>
          <w:sz w:val="16"/>
          <w:szCs w:val="16"/>
          <w:color w:val="auto"/>
        </w:rPr>
        <w:t>•any shortfall in revenue or net income or any increase in losses from levels expected by investors or securities analysts; •any downgrades to our credit rating or placement on a negative watch status by a credit rating agency; •departure of the Adviser’s or any of its affiliates’ key personnel;</w:t>
      </w:r>
    </w:p>
    <w:p>
      <w:pPr>
        <w:ind w:left="240"/>
        <w:spacing w:after="0"/>
        <w:rPr>
          <w:sz w:val="20"/>
          <w:szCs w:val="20"/>
          <w:color w:val="auto"/>
        </w:rPr>
      </w:pPr>
      <w:r>
        <w:rPr>
          <w:rFonts w:ascii="Times New Roman" w:cs="Times New Roman" w:eastAsia="Times New Roman" w:hAnsi="Times New Roman"/>
          <w:sz w:val="16"/>
          <w:szCs w:val="16"/>
          <w:color w:val="auto"/>
        </w:rPr>
        <w:t>•operating performance of companies comparable to us;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•short-selling pressure with respect to shares of our common stock or BDCs generally;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•future sales of our securities convertible into or exchangeable or exercisable for our common stock or the conversion of such securities;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•uncertainty surrounding the strength of the U.S. economy;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European sovereign debt and Brexit;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volatility in the Chinese stock market and Chinese currency;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U.S. and global tariffs and trade policy;</w:t>
      </w:r>
    </w:p>
    <w:p>
      <w:pPr>
        <w:spacing w:after="0" w:line="92" w:lineRule="exact"/>
        <w:rPr>
          <w:sz w:val="20"/>
          <w:szCs w:val="20"/>
          <w:color w:val="auto"/>
        </w:rPr>
      </w:pPr>
    </w:p>
    <w:p>
      <w:pPr>
        <w:ind w:left="240" w:right="3680"/>
        <w:spacing w:after="0" w:line="259" w:lineRule="auto"/>
        <w:rPr>
          <w:sz w:val="20"/>
          <w:szCs w:val="20"/>
          <w:color w:val="auto"/>
        </w:rPr>
      </w:pPr>
      <w:r>
        <w:rPr>
          <w:rFonts w:ascii="Times New Roman" w:cs="Times New Roman" w:eastAsia="Times New Roman" w:hAnsi="Times New Roman"/>
          <w:sz w:val="16"/>
          <w:szCs w:val="16"/>
          <w:color w:val="auto"/>
        </w:rPr>
        <w:t>•the impact of the large-scale invasion of Ukraine by Russia that began in February 2022, related sanctions and other potential retaliatory actions or responses;</w:t>
      </w:r>
    </w:p>
    <w:p>
      <w:pPr>
        <w:spacing w:after="0" w:line="59" w:lineRule="exact"/>
        <w:rPr>
          <w:sz w:val="20"/>
          <w:szCs w:val="20"/>
          <w:color w:val="auto"/>
        </w:rPr>
      </w:pPr>
    </w:p>
    <w:p>
      <w:pPr>
        <w:ind w:left="240" w:right="3260"/>
        <w:spacing w:after="0" w:line="360" w:lineRule="auto"/>
        <w:rPr>
          <w:sz w:val="20"/>
          <w:szCs w:val="20"/>
          <w:color w:val="auto"/>
        </w:rPr>
      </w:pPr>
      <w:r>
        <w:rPr>
          <w:rFonts w:ascii="Times New Roman" w:cs="Times New Roman" w:eastAsia="Times New Roman" w:hAnsi="Times New Roman"/>
          <w:sz w:val="16"/>
          <w:szCs w:val="16"/>
          <w:color w:val="auto"/>
        </w:rPr>
        <w:t>•fluctuations in base interest rates, such as SOFR, EURIBOR, SONIA, the Federal Funds Rate or the Prime Rate; •the impact of public health epidemics on the global economy; •general economic trends and other external factors; and</w:t>
      </w:r>
    </w:p>
    <w:p>
      <w:pPr>
        <w:ind w:left="240"/>
        <w:spacing w:after="0"/>
        <w:rPr>
          <w:sz w:val="20"/>
          <w:szCs w:val="20"/>
          <w:color w:val="auto"/>
        </w:rPr>
      </w:pPr>
      <w:r>
        <w:rPr>
          <w:rFonts w:ascii="Times New Roman" w:cs="Times New Roman" w:eastAsia="Times New Roman" w:hAnsi="Times New Roman"/>
          <w:sz w:val="16"/>
          <w:szCs w:val="16"/>
          <w:color w:val="auto"/>
        </w:rPr>
        <w:t>•loss of a major funding source.</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1" w:name="page52"/>
    <w:bookmarkEnd w:id="51"/>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assure you that the market price of shares of our common stock will not decline.</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16"/>
          <w:szCs w:val="16"/>
          <w:i w:val="1"/>
          <w:iCs w:val="1"/>
          <w:color w:val="auto"/>
        </w:rPr>
        <w:t>“—Risks Related to Our Business and Structure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—Regulations governing our operation as a BDC affect our ability to, and the way in which we, raise additional capital.”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substantial amounts of our common stock in the public market may have an adverse effect on the market price of our common stock.</w:t>
      </w:r>
    </w:p>
    <w:p>
      <w:pPr>
        <w:spacing w:after="0" w:line="96"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stockholders will experience dilution in their ownership percentage if they opt out of our dividend reinvestment plan.</w:t>
      </w:r>
    </w:p>
    <w:p>
      <w:pPr>
        <w:spacing w:after="0" w:line="96"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6"/>
          <w:szCs w:val="16"/>
          <w:i w:val="1"/>
          <w:iCs w:val="1"/>
          <w:color w:val="auto"/>
        </w:rPr>
        <w:t>“ITEM 1. BUSINESS—Dividend Policy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1. BUSINESS—Dividend Reinvestment Plan</w:t>
      </w:r>
      <w:r>
        <w:rPr>
          <w:rFonts w:ascii="Times New Roman" w:cs="Times New Roman" w:eastAsia="Times New Roman" w:hAnsi="Times New Roman"/>
          <w:sz w:val="16"/>
          <w:szCs w:val="16"/>
          <w:color w:val="auto"/>
        </w:rPr>
        <w:t>” for a description of our dividend policy and obligations.</w:t>
      </w:r>
    </w:p>
    <w:p>
      <w:pPr>
        <w:spacing w:after="0" w:line="16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65"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5"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2025.</w:t>
      </w:r>
    </w:p>
    <w:p>
      <w:pPr>
        <w:spacing w:after="0" w:line="164" w:lineRule="exact"/>
        <w:rPr>
          <w:sz w:val="20"/>
          <w:szCs w:val="20"/>
          <w:color w:val="auto"/>
        </w:rPr>
      </w:pPr>
    </w:p>
    <w:p>
      <w:pPr>
        <w:jc w:val="both"/>
        <w:ind w:right="100" w:firstLine="228"/>
        <w:spacing w:after="0" w:line="299" w:lineRule="auto"/>
        <w:rPr>
          <w:sz w:val="20"/>
          <w:szCs w:val="20"/>
          <w:color w:val="auto"/>
        </w:rPr>
      </w:pPr>
      <w:r>
        <w:rPr>
          <w:rFonts w:ascii="Times New Roman" w:cs="Times New Roman" w:eastAsia="Times New Roman" w:hAnsi="Times New Roman"/>
          <w:sz w:val="14"/>
          <w:szCs w:val="14"/>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Purchases of our common stock by us under the Company 10b5-1 Plan may result in dilution to our net asset value per share.</w:t>
      </w:r>
    </w:p>
    <w:p>
      <w:pPr>
        <w:spacing w:after="0" w:line="96" w:lineRule="exact"/>
        <w:rPr>
          <w:sz w:val="20"/>
          <w:szCs w:val="20"/>
          <w:color w:val="auto"/>
        </w:rPr>
      </w:pPr>
    </w:p>
    <w:p>
      <w:pPr>
        <w:jc w:val="both"/>
        <w:ind w:right="140" w:firstLine="228"/>
        <w:spacing w:after="0" w:line="243" w:lineRule="auto"/>
        <w:rPr>
          <w:sz w:val="20"/>
          <w:szCs w:val="20"/>
          <w:color w:val="auto"/>
        </w:rPr>
      </w:pPr>
      <w:r>
        <w:rPr>
          <w:rFonts w:ascii="Times New Roman" w:cs="Times New Roman" w:eastAsia="Times New Roman" w:hAnsi="Times New Roman"/>
          <w:sz w:val="16"/>
          <w:szCs w:val="16"/>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5, 2024. Under the Company 10b5-1 Plan, the agent will increase the volume of purchases made as the price of our common stock declines, subject to volume restrictions.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2" w:name="page53"/>
    <w:bookmarkEnd w:id="52"/>
    <w:p>
      <w:pPr>
        <w:spacing w:after="0" w:line="65"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64"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90"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5" w:lineRule="exact"/>
        <w:rPr>
          <w:sz w:val="20"/>
          <w:szCs w:val="20"/>
          <w:color w:val="auto"/>
        </w:rPr>
      </w:pPr>
    </w:p>
    <w:p>
      <w:pPr>
        <w:ind w:right="20" w:firstLine="228"/>
        <w:spacing w:after="0" w:line="284" w:lineRule="auto"/>
        <w:rPr>
          <w:sz w:val="20"/>
          <w:szCs w:val="20"/>
          <w:color w:val="auto"/>
        </w:rPr>
      </w:pPr>
      <w:r>
        <w:rPr>
          <w:rFonts w:ascii="Times New Roman" w:cs="Times New Roman" w:eastAsia="Times New Roman" w:hAnsi="Times New Roman"/>
          <w:sz w:val="14"/>
          <w:szCs w:val="14"/>
          <w:color w:val="auto"/>
        </w:rPr>
        <w:t>Our business is highly dependent on the communications and information systems of the Adviser, its affiliates and third parties.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 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•sudden electrical or telecommunications outages;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•natural disasters such as earthquakes, tornadoes and hurricanes;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•disease pandemics;</w:t>
      </w:r>
    </w:p>
    <w:p>
      <w:pPr>
        <w:spacing w:after="0" w:line="92" w:lineRule="exact"/>
        <w:rPr>
          <w:sz w:val="20"/>
          <w:szCs w:val="20"/>
          <w:color w:val="auto"/>
        </w:rPr>
      </w:pPr>
    </w:p>
    <w:p>
      <w:pPr>
        <w:ind w:left="240" w:right="4200"/>
        <w:spacing w:after="0" w:line="416" w:lineRule="auto"/>
        <w:rPr>
          <w:sz w:val="20"/>
          <w:szCs w:val="20"/>
          <w:color w:val="auto"/>
        </w:rPr>
      </w:pPr>
      <w:r>
        <w:rPr>
          <w:rFonts w:ascii="Times New Roman" w:cs="Times New Roman" w:eastAsia="Times New Roman" w:hAnsi="Times New Roman"/>
          <w:sz w:val="16"/>
          <w:szCs w:val="16"/>
          <w:color w:val="auto"/>
        </w:rPr>
        <w:t>•events arising from local or larger scale political or social matters, including wars or terrorist acts; •outages due to idiosyncratic issues at specific providers; and •cyber-attacks.</w:t>
      </w:r>
    </w:p>
    <w:p>
      <w:pPr>
        <w:spacing w:after="0" w:line="190"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These events, in turn, could have a material adverse effect on our operating results and negatively affect the market price of our common stock and our ability to pay dividends to our stockholders.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operations may adversely affect our business.</w:t>
      </w:r>
    </w:p>
    <w:p>
      <w:pPr>
        <w:spacing w:after="0" w:line="192"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6"/>
          <w:szCs w:val="16"/>
          <w:i w:val="1"/>
          <w:iCs w:val="1"/>
          <w:color w:val="auto"/>
        </w:rPr>
        <w:t>Risks Related to our Portfolio Company Investments.”</w:t>
      </w:r>
    </w:p>
    <w:p>
      <w:pPr>
        <w:spacing w:after="0" w:line="176"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Over the last several years, there has been an increase in regulatory attention to the extension of credit outside of the traditional banking sector, raising the possibility that some portion of the non -bank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and trade sanctions could make it more difficult or costly for us to conduct our operations or achieve our business objectives.</w:t>
      </w:r>
    </w:p>
    <w:p>
      <w:pPr>
        <w:spacing w:after="0" w:line="192"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Economic and trade sanctions laws in the United States and other jurisdictions may prohibit us from transacting with or in certain countries and with certain individuals, companies and industry sectors. In the United States, the U.S. Department of the Treasury’s</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3" w:name="page54"/>
    <w:bookmarkEnd w:id="53"/>
    <w:p>
      <w:pPr>
        <w:spacing w:after="0" w:line="6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Office of Foreign Assets Control (“OFAC”), administers and enforces laws, Executive Orders and regulations establishing U.S. sanctions. Such sanctions prohibit, among other things, transactions with, and the provision of services to, certain foreign countries, territories, entities and individuals. These entities and individuals include specially designated nationals, specially designated narcotics traffickers and other parties subject to OFAC sanctions and embargo programs. In addition, certain sanctions programs prohibit dealing with individuals or entities in certain countries, or certain securities and certain industry sectors regardless of whether relevant individuals or entities appear on the lists maintained by OFAC, which may make it more difficult for us to comply with applicable sanctions. These types of sanctions may significantly restrict or limit our investment activities in certain countries (in particular, certain emerging market countries). We may from time to time be subject to trade sanctions laws and regulations of other jurisdictions, which may be inconsistent with or even seek to prohibit compliance with certain sanctions programs administered by OFAC. The legal uncertainties arising from those conflicts may make it more difficult or costly for us to navigate investment activities that are subject to sanctions administered by OFAC or the laws and regulations of other jurisdictions. Some jurisdictions where the Company or its portfolio companies do business from time to time have adopted measures prohibiting compliance with certain U.S. sanctions programs, which may make compliance with all applicable sanctions impossible.</w:t>
      </w:r>
    </w:p>
    <w:p>
      <w:pPr>
        <w:spacing w:after="0" w:line="174"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At the same time, the Company may be obligated to comply with certain anti-boycott laws and regulations that prevent us from engaging in certain discriminatory practices that may be allowed or required in certain jurisdictions. the Company’s refusal to discriminate in this manner could make it more difficult for us to pursue certain investments and engage in certain business activities, and any compliance with such practices could subject us to fines, penalties, and adverse legal and reputational consequences.</w:t>
      </w:r>
    </w:p>
    <w:p>
      <w:pPr>
        <w:spacing w:after="0" w:line="25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ongoing armed conflicts as a result of the Russian invasion of Ukraine and the conflict in the Middle East may have a material adverse impact on us and our portfolio companies.</w:t>
      </w:r>
    </w:p>
    <w:p>
      <w:pPr>
        <w:spacing w:after="0" w:line="15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Russian invasion of Ukraine and the conflict in the Middle East have led, are currently leading, and for an unknown period of time may continue to lead to disruptions in local, regional, national, and global markets and economies affected thereby and could have a negative impact on the economy and business activity globally (including in the countries in which the Company invests), and therefore could adversely affect the performance of the Company’s investments.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effect of global climate change may adversely affect our business and impact the operations of our portfolio companies.</w:t>
      </w:r>
    </w:p>
    <w:p>
      <w:pPr>
        <w:spacing w:after="0" w:line="192"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55"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New climate change- 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70"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Further, significant physical effects of climate change including extreme weather events such as hurricanes or floods, can also have an adverse impact on certain of our portfolio companies and investments, especially our portfolio companies that rely on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 w:name="page55"/>
    <w:bookmarkEnd w:id="54"/>
    <w:p>
      <w:pPr>
        <w:spacing w:after="0" w:line="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0"/>
          </w:cols>
          <w:pgMar w:left="660" w:top="1440" w:right="96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As an externally managed closed-end management investment company that has elected to be regulated as a BDC under the 1940 Act, our day -to-day operations are managed by the Adviser, Administrator and our executive officers under the oversight of our Board of Directors. Our executive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253"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253"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257"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251" w:lineRule="exact"/>
        <w:rPr>
          <w:sz w:val="20"/>
          <w:szCs w:val="20"/>
          <w:color w:val="auto"/>
        </w:rPr>
      </w:pPr>
    </w:p>
    <w:p>
      <w:pPr>
        <w:ind w:right="140" w:firstLine="228"/>
        <w:spacing w:after="0" w:line="284" w:lineRule="auto"/>
        <w:rPr>
          <w:sz w:val="20"/>
          <w:szCs w:val="20"/>
          <w:color w:val="auto"/>
        </w:rPr>
      </w:pPr>
      <w:r>
        <w:rPr>
          <w:rFonts w:ascii="Times New Roman" w:cs="Times New Roman" w:eastAsia="Times New Roman" w:hAnsi="Times New Roman"/>
          <w:sz w:val="14"/>
          <w:szCs w:val="14"/>
          <w:color w:val="auto"/>
        </w:rPr>
        <w:t>Sixth Street has a comprehensive Security Incident Response Plan (the “IRP”) designed to inform the proper escalation (including, as appropriate, to our executive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224" w:lineRule="exact"/>
        <w:rPr>
          <w:sz w:val="20"/>
          <w:szCs w:val="20"/>
          <w:color w:val="auto"/>
        </w:rPr>
      </w:pPr>
    </w:p>
    <w:p>
      <w:pPr>
        <w:ind w:right="220" w:firstLine="267"/>
        <w:spacing w:after="0" w:line="247" w:lineRule="auto"/>
        <w:rPr>
          <w:sz w:val="20"/>
          <w:szCs w:val="20"/>
          <w:color w:val="auto"/>
        </w:rPr>
      </w:pPr>
      <w:r>
        <w:rPr>
          <w:rFonts w:ascii="Times New Roman" w:cs="Times New Roman" w:eastAsia="Times New Roman" w:hAnsi="Times New Roman"/>
          <w:sz w:val="16"/>
          <w:szCs w:val="16"/>
          <w:color w:val="auto"/>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248"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Sixth Street employs a process designed to assess the cybersecurity risks associated with the engagement of third- party vendors. This assessment is conducted on the basis of, among other factors, the types of services provided and the extent and type of data accessed or processed by a third-party vendor.</w:t>
      </w:r>
    </w:p>
    <w:p>
      <w:pPr>
        <w:spacing w:after="0" w:line="23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 companies by causing a disruption to our operations, a compromise or corruption of confidential information and/or damage to</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56" w:name="page57"/>
    <w:bookmarkEnd w:id="56"/>
    <w:p>
      <w:pPr>
        <w:ind w:right="40"/>
        <w:spacing w:after="0" w:line="259" w:lineRule="auto"/>
        <w:rPr>
          <w:sz w:val="20"/>
          <w:szCs w:val="20"/>
          <w:color w:val="auto"/>
        </w:rPr>
      </w:pPr>
      <w:r>
        <w:rPr>
          <w:rFonts w:ascii="Times New Roman" w:cs="Times New Roman" w:eastAsia="Times New Roman" w:hAnsi="Times New Roman"/>
          <w:sz w:val="16"/>
          <w:szCs w:val="16"/>
          <w:color w:val="auto"/>
        </w:rPr>
        <w:t>business relationships, or those of our portfolio companies, all of which could negatively impact our business, results of operations or financial condition” in this Annual Report on Form 10-K.</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9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Operating Officer and Chief Information Officer, Chief Risk Officer, General Counsel, Chief Compliance Officer, as well as our Chief Financial Officer and Chief Compliance Officer.</w:t>
      </w:r>
    </w:p>
    <w:p>
      <w:pPr>
        <w:spacing w:after="0" w:line="24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The Head of Technology Risk has extensive experience in cybersecurity and technology and is responsible for all aspects of cybersecurity across Sixth Street. He has a B.S. in Computer Science from University of Washington and has over 18 years of experience contributing to cybersecurity related workflows, processes, policies, system designs, program management, and vulnerability discovery, exploitation, mitigation, and remediation.</w:t>
      </w:r>
    </w:p>
    <w:p>
      <w:pPr>
        <w:spacing w:after="0" w:line="248"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251"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Our Board of Directors is responsible for understanding the primary risks to our business, including any cybersecurity risks. The Board of Directors is responsible for reviewing periodically our and the Adviser’s information technology security controls and related compliance matters, with management. Sixth Street’s Head of Technology Risk reports to the Board of Directors at least annually on cybersecurity matters, including risks facing us and the Adviser and, as applicable, certain incidents. In addition to such periodic reports, the Board of Directors may receive updates from management as to our and the Adviser’s cybersecurity risks and Sixth Street cybersecurity program developments.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maintain our principal executive office at 2100 McKinney Avenue, Suite 1500, Dallas, Texas 75201. We do not own any real estate.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we may be a party to certain legal proceedings in the ordinary course of business, including proceedings relating to the enforcement of our rights under loans to or other contracts with our portfolio companies. As of December 31, 2024 we were not aware of any material legal proceedings, nor, to our knowledge, is any material legal proceeding threatened against us.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36"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Price Range of Common Stock</w:t>
      </w:r>
    </w:p>
    <w:p>
      <w:pPr>
        <w:spacing w:after="0" w:line="9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Securities—We cannot assure you that the market price of shares of our common stock will not decline</w:t>
      </w:r>
      <w:r>
        <w:rPr>
          <w:rFonts w:ascii="Times New Roman" w:cs="Times New Roman" w:eastAsia="Times New Roman" w:hAnsi="Times New Roman"/>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Holders</w:t>
      </w:r>
    </w:p>
    <w:p>
      <w:pPr>
        <w:spacing w:after="0" w:line="9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As of February 13, 2025, there were approximately 4 holders of record of our common stock (including Cede &amp; Co.). This number does not include shareholders for whom shares are held in “nominee” or “street name.”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 ended December 31, 2024, there was no common stock repurchased by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Performance Graph</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following graph compares the total return on our common stock from December 31, 2019 to December 31, 2024 with that of the Standard &amp; Poor’s BDC Index, the Standard &amp; Poor’s 500 Stock Index, the S&amp;P LSTA Leveraged Loan Index (“Leverage Loan Index”), and the Bloomberg Barclays US Corporate High Yield Total Return Index (“High Yield Bond Index”). This graph assumes that on December 31, 2019,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5487670" cy="2073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87670" cy="207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8" w:name="page59"/>
    <w:bookmarkEnd w:id="58"/>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SENIOR SECURITIES</w:t>
      </w:r>
    </w:p>
    <w:p>
      <w:pPr>
        <w:spacing w:after="0" w:line="190"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Information about our senior securities is shown in the following table as of the end of the last ten fiscal years. The report of our independent registered public accounting firm, KPMG LLP, on the senior securities table as of December 31, 2024 is attached as an exhibit to this annual report on Form 10-K. The “-” indicates information that the SEC expressly does not require to be disclosed for certain types of senior securities.</w:t>
      </w:r>
    </w:p>
    <w:p>
      <w:pPr>
        <w:spacing w:after="0" w:line="6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660" w:top="1335" w:right="10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8"/>
        </w:trPr>
        <w:tc>
          <w:tcPr>
            <w:tcW w:w="2720" w:type="dxa"/>
            <w:vAlign w:val="bottom"/>
          </w:tcPr>
          <w:p>
            <w:pPr>
              <w:spacing w:after="0"/>
              <w:rPr>
                <w:sz w:val="14"/>
                <w:szCs w:val="14"/>
                <w:color w:val="auto"/>
              </w:rPr>
            </w:pPr>
          </w:p>
        </w:tc>
        <w:tc>
          <w:tcPr>
            <w:tcW w:w="214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14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220" w:type="dxa"/>
            <w:vAlign w:val="bottom"/>
          </w:tcPr>
          <w:p>
            <w:pPr>
              <w:spacing w:after="0"/>
              <w:rPr>
                <w:sz w:val="14"/>
                <w:szCs w:val="14"/>
                <w:color w:val="auto"/>
              </w:rPr>
            </w:pPr>
          </w:p>
        </w:tc>
      </w:tr>
      <w:tr>
        <w:trPr>
          <w:trHeight w:val="157"/>
        </w:trPr>
        <w:tc>
          <w:tcPr>
            <w:tcW w:w="2720" w:type="dxa"/>
            <w:vAlign w:val="bottom"/>
          </w:tcPr>
          <w:p>
            <w:pPr>
              <w:spacing w:after="0"/>
              <w:rPr>
                <w:sz w:val="13"/>
                <w:szCs w:val="13"/>
                <w:color w:val="auto"/>
              </w:rPr>
            </w:pPr>
          </w:p>
        </w:tc>
        <w:tc>
          <w:tcPr>
            <w:tcW w:w="2140" w:type="dxa"/>
            <w:vAlign w:val="bottom"/>
            <w:gridSpan w:val="2"/>
          </w:tcPr>
          <w:p>
            <w:pPr>
              <w:jc w:val="center"/>
              <w:ind w:left="288"/>
              <w:spacing w:after="0" w:line="157" w:lineRule="exact"/>
              <w:rPr>
                <w:sz w:val="20"/>
                <w:szCs w:val="20"/>
                <w:color w:val="auto"/>
              </w:rPr>
            </w:pPr>
            <w:r>
              <w:rPr>
                <w:rFonts w:ascii="Times New Roman" w:cs="Times New Roman" w:eastAsia="Times New Roman" w:hAnsi="Times New Roman"/>
                <w:sz w:val="14"/>
                <w:szCs w:val="14"/>
                <w:b w:val="1"/>
                <w:bCs w:val="1"/>
                <w:color w:val="auto"/>
              </w:rPr>
              <w:t>Exclusive of Treasury</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center"/>
              <w:ind w:right="308"/>
              <w:spacing w:after="0" w:line="157"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220" w:type="dxa"/>
            <w:vAlign w:val="bottom"/>
          </w:tcPr>
          <w:p>
            <w:pPr>
              <w:jc w:val="center"/>
              <w:ind w:left="48"/>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2720" w:type="dxa"/>
            <w:vAlign w:val="bottom"/>
          </w:tcPr>
          <w:p>
            <w:pPr>
              <w:spacing w:after="0"/>
              <w:rPr>
                <w:sz w:val="14"/>
                <w:szCs w:val="14"/>
                <w:color w:val="auto"/>
              </w:rPr>
            </w:pPr>
          </w:p>
        </w:tc>
        <w:tc>
          <w:tcPr>
            <w:tcW w:w="2140" w:type="dxa"/>
            <w:vAlign w:val="bottom"/>
            <w:gridSpan w:val="2"/>
          </w:tcPr>
          <w:p>
            <w:pPr>
              <w:jc w:val="center"/>
              <w:ind w:left="288"/>
              <w:spacing w:after="0" w:line="168" w:lineRule="exact"/>
              <w:rPr>
                <w:sz w:val="20"/>
                <w:szCs w:val="20"/>
                <w:color w:val="auto"/>
              </w:rPr>
            </w:pPr>
            <w:r>
              <w:rPr>
                <w:rFonts w:ascii="Times New Roman" w:cs="Times New Roman" w:eastAsia="Times New Roman" w:hAnsi="Times New Roman"/>
                <w:sz w:val="14"/>
                <w:szCs w:val="14"/>
                <w:b w:val="1"/>
                <w:bCs w:val="1"/>
                <w:color w:val="auto"/>
                <w:w w:val="96"/>
              </w:rPr>
              <w:t xml:space="preserve">Securities </w:t>
            </w:r>
            <w:r>
              <w:rPr>
                <w:rFonts w:ascii="Times New Roman" w:cs="Times New Roman" w:eastAsia="Times New Roman" w:hAnsi="Times New Roman"/>
                <w:sz w:val="19"/>
                <w:szCs w:val="19"/>
                <w:b w:val="1"/>
                <w:bCs w:val="1"/>
                <w:color w:val="auto"/>
                <w:w w:val="96"/>
                <w:vertAlign w:val="superscript"/>
              </w:rPr>
              <w:t>(1)</w:t>
            </w:r>
          </w:p>
        </w:tc>
        <w:tc>
          <w:tcPr>
            <w:tcW w:w="24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300" w:type="dxa"/>
            <w:vAlign w:val="bottom"/>
          </w:tcPr>
          <w:p>
            <w:pPr>
              <w:spacing w:after="0"/>
              <w:rPr>
                <w:sz w:val="14"/>
                <w:szCs w:val="14"/>
                <w:color w:val="auto"/>
              </w:rPr>
            </w:pPr>
          </w:p>
        </w:tc>
        <w:tc>
          <w:tcPr>
            <w:tcW w:w="14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Preference Per</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194"/>
        </w:trPr>
        <w:tc>
          <w:tcPr>
            <w:tcW w:w="27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60" w:type="dxa"/>
            <w:vAlign w:val="bottom"/>
          </w:tcPr>
          <w:p>
            <w:pPr>
              <w:jc w:val="right"/>
              <w:ind w:right="348"/>
              <w:spacing w:after="0" w:line="193" w:lineRule="exact"/>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9"/>
                <w:szCs w:val="19"/>
                <w:b w:val="1"/>
                <w:bCs w:val="1"/>
                <w:color w:val="auto"/>
                <w:vertAlign w:val="superscript"/>
              </w:rPr>
              <w:t>(2)</w:t>
            </w:r>
          </w:p>
        </w:tc>
        <w:tc>
          <w:tcPr>
            <w:tcW w:w="300" w:type="dxa"/>
            <w:vAlign w:val="bottom"/>
          </w:tcPr>
          <w:p>
            <w:pPr>
              <w:spacing w:after="0"/>
              <w:rPr>
                <w:sz w:val="16"/>
                <w:szCs w:val="16"/>
                <w:color w:val="auto"/>
              </w:rPr>
            </w:pPr>
          </w:p>
        </w:tc>
        <w:tc>
          <w:tcPr>
            <w:tcW w:w="1420" w:type="dxa"/>
            <w:vAlign w:val="bottom"/>
          </w:tcPr>
          <w:p>
            <w:pPr>
              <w:jc w:val="center"/>
              <w:ind w:right="288"/>
              <w:spacing w:after="0" w:line="193" w:lineRule="exact"/>
              <w:rPr>
                <w:sz w:val="20"/>
                <w:szCs w:val="20"/>
                <w:color w:val="auto"/>
              </w:rPr>
            </w:pPr>
            <w:r>
              <w:rPr>
                <w:rFonts w:ascii="Times New Roman" w:cs="Times New Roman" w:eastAsia="Times New Roman" w:hAnsi="Times New Roman"/>
                <w:sz w:val="14"/>
                <w:szCs w:val="14"/>
                <w:b w:val="1"/>
                <w:bCs w:val="1"/>
                <w:color w:val="auto"/>
                <w:w w:val="93"/>
              </w:rPr>
              <w:t xml:space="preserve">Unit </w:t>
            </w:r>
            <w:r>
              <w:rPr>
                <w:rFonts w:ascii="Times New Roman" w:cs="Times New Roman" w:eastAsia="Times New Roman" w:hAnsi="Times New Roman"/>
                <w:sz w:val="19"/>
                <w:szCs w:val="19"/>
                <w:b w:val="1"/>
                <w:bCs w:val="1"/>
                <w:color w:val="auto"/>
                <w:w w:val="93"/>
                <w:vertAlign w:val="superscript"/>
              </w:rPr>
              <w:t>(3)</w:t>
            </w:r>
          </w:p>
        </w:tc>
        <w:tc>
          <w:tcPr>
            <w:tcW w:w="1220" w:type="dxa"/>
            <w:vAlign w:val="bottom"/>
          </w:tcPr>
          <w:p>
            <w:pPr>
              <w:jc w:val="center"/>
              <w:ind w:left="68"/>
              <w:spacing w:after="0" w:line="193" w:lineRule="exact"/>
              <w:rPr>
                <w:sz w:val="20"/>
                <w:szCs w:val="20"/>
                <w:color w:val="auto"/>
              </w:rPr>
            </w:pPr>
            <w:r>
              <w:rPr>
                <w:rFonts w:ascii="Times New Roman" w:cs="Times New Roman" w:eastAsia="Times New Roman" w:hAnsi="Times New Roman"/>
                <w:sz w:val="14"/>
                <w:szCs w:val="14"/>
                <w:b w:val="1"/>
                <w:bCs w:val="1"/>
                <w:color w:val="auto"/>
                <w:w w:val="98"/>
              </w:rPr>
              <w:t xml:space="preserve">Per Unit </w:t>
            </w:r>
            <w:r>
              <w:rPr>
                <w:rFonts w:ascii="Times New Roman" w:cs="Times New Roman" w:eastAsia="Times New Roman" w:hAnsi="Times New Roman"/>
                <w:sz w:val="19"/>
                <w:szCs w:val="19"/>
                <w:b w:val="1"/>
                <w:bCs w:val="1"/>
                <w:color w:val="auto"/>
                <w:w w:val="98"/>
                <w:vertAlign w:val="superscript"/>
              </w:rPr>
              <w:t>(4)</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 Credit Facilities</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1,004.1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1,824.7</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889.7</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719.3</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6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316.4</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472.3</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495.7</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2018</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187.5</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2017</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486.8</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2016</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578.7</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2,376.6</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2015</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540.3</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2,257.3</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Senior Notes due 2019</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2018</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114.3</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2017</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113.7</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2016</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113.1</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2,376.6</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2015</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112.5</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2,257.3</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Senior Note due 2022</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142.5</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171.9</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2018</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171.7</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2017</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114.7</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2018</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7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347.2</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346.8</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346.4</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346.1</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297.2</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27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9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42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299.3</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1,824.7</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298.9</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298.5</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298.1</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2028 Notes</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298.6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1,824.7</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298.3</w:t>
            </w:r>
          </w:p>
        </w:tc>
        <w:tc>
          <w:tcPr>
            <w:tcW w:w="2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tcPr>
          <w:p>
            <w:pPr>
              <w:spacing w:after="0"/>
              <w:rPr>
                <w:sz w:val="14"/>
                <w:szCs w:val="14"/>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9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18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347.2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1,824.7</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00"/>
          </w:cols>
          <w:pgMar w:left="1300" w:top="1335" w:right="1300" w:bottom="1440" w:gutter="0" w:footer="0" w:header="0"/>
        </w:sectPr>
      </w:pPr>
    </w:p>
    <w:bookmarkStart w:id="60" w:name="page61"/>
    <w:bookmarkEnd w:id="60"/>
    <w:p>
      <w:pPr>
        <w:spacing w:after="0" w:line="5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(1)Total amount of each class of senior securities outstanding at carrying value, excluding the impact of deferred financing costs and hedge accounting relationships, at the end of the period presented.</w:t>
      </w:r>
    </w:p>
    <w:p>
      <w:pPr>
        <w:spacing w:after="0" w:line="1"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(2)Asset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(3)The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(4)Not applicable because the senior securities are not registered for public trading.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61" w:name="page62"/>
    <w:bookmarkEnd w:id="61"/>
    <w:p>
      <w:pPr>
        <w:ind w:right="1800"/>
        <w:spacing w:after="0" w:line="360"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 Introduction</w:t>
      </w:r>
    </w:p>
    <w:p>
      <w:pPr>
        <w:ind w:right="6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right="340" w:firstLine="228"/>
        <w:spacing w:after="0" w:line="243" w:lineRule="auto"/>
        <w:rPr>
          <w:sz w:val="20"/>
          <w:szCs w:val="20"/>
          <w:color w:val="auto"/>
        </w:rPr>
      </w:pPr>
      <w:r>
        <w:rPr>
          <w:rFonts w:ascii="Times New Roman" w:cs="Times New Roman" w:eastAsia="Times New Roman" w:hAnsi="Times New Roman"/>
          <w:sz w:val="16"/>
          <w:szCs w:val="16"/>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67"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requirement to invest at least 70% of our assets in “qualifying assets”;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•source of income limitations;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•asset diversification requirements; and</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requirement to distribute (or be treated as distributing) in each taxable year at least 90% of our investment company taxable income and tax-exempt interest for that taxable year.</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shares are listed on the NYSE under the symbol “TSLX.”</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Investment Framework</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We are a specialty finance company focused on lending to middle -market companies. Since we began our investment activities in July 2011, through December 31, 2024, we have originated more than $46.2 billion aggregate principal amount of investments and retained approximately $10.9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spacing w:after="0" w:line="169"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EBITDA, which we believe is a useful proxy for cash flow, of $10 million to $250 million, although we may invest in larger or smaller companies on occasion. As of December 31, 2024, our core portfolio companies, which exclude certain investments that fall outside of our typical borrower profile and represent 95.4% of our total investments based on fair value, had weighted average annual revenue of $336.0 million and weighted average annual EBITDA of $110.2 million. As of December 31, 2024, our core portfolio companies had a median annual revenue of $146.9 million and a median annual EBITDA of $53.1 million.</w:t>
      </w:r>
    </w:p>
    <w:p>
      <w:pPr>
        <w:spacing w:after="0" w:line="169"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16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820" w:firstLine="228"/>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use our capital to support organic growth, acquisitions, market or product expansion and recapitalizations (including restructurings). As of December 31, 2024, the largest single investment based on fair value represented 2.3% of our total investment portfolio.</w:t>
      </w:r>
    </w:p>
    <w:p>
      <w:pPr>
        <w:spacing w:after="0" w:line="108"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the average investment size in each of our portfolio companies was approximately $30.3 million based on fair value. Portfolio companies includes investments in structured credit investments, which include each series of collateralized</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sectPr>
      </w:pPr>
    </w:p>
    <w:bookmarkStart w:id="62" w:name="page63"/>
    <w:bookmarkEnd w:id="62"/>
    <w:p>
      <w:pPr>
        <w:spacing w:after="0" w:line="65"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loan obligation as a portfolio company investment. When excluding investments in structured credit investments, the average investment in our remaining portfolio companies was approximately $30.6 million as of December 31, 2024.</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Through our Adviser, we consider potential investments utilizing a four-tiered investment framework and against our existing portfolio as a whole:</w:t>
      </w:r>
    </w:p>
    <w:p>
      <w:pPr>
        <w:spacing w:after="0" w:line="186" w:lineRule="exact"/>
        <w:rPr>
          <w:sz w:val="20"/>
          <w:szCs w:val="20"/>
          <w:color w:val="auto"/>
        </w:rPr>
      </w:pPr>
    </w:p>
    <w:p>
      <w:pPr>
        <w:ind w:right="18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Business and sector selection. </w:t>
      </w:r>
      <w:r>
        <w:rPr>
          <w:rFonts w:ascii="Times New Roman" w:cs="Times New Roman" w:eastAsia="Times New Roman" w:hAnsi="Times New Roman"/>
          <w:sz w:val="16"/>
          <w:szCs w:val="16"/>
          <w:color w:val="auto"/>
        </w:rPr>
        <w:t>We focus on companies with enterprise value between $50 million and $1 billion. When reviewing potential investments, we seek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66"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the largest industry represented 16.4% of our total investment portfolio based on fair value.</w:t>
      </w:r>
    </w:p>
    <w:p>
      <w:pPr>
        <w:spacing w:after="0" w:line="186" w:lineRule="exact"/>
        <w:rPr>
          <w:sz w:val="20"/>
          <w:szCs w:val="20"/>
          <w:color w:val="auto"/>
        </w:rPr>
      </w:pPr>
    </w:p>
    <w:p>
      <w:pPr>
        <w:ind w:right="160" w:firstLine="228"/>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Investment Structuring. </w:t>
      </w:r>
      <w:r>
        <w:rPr>
          <w:rFonts w:ascii="Times New Roman" w:cs="Times New Roman" w:eastAsia="Times New Roman" w:hAnsi="Times New Roman"/>
          <w:sz w:val="14"/>
          <w:szCs w:val="14"/>
          <w:color w:val="auto"/>
        </w:rPr>
        <w:t>We focus on investing at the top of the capital structure and protecting that position. As of December 31, 2024, approximately 94.5%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was invested in secured debt, including 93.9% in first- 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year ended December 31, 2024, the weighted average term on new investment commitments in new portfolio companies was 6.2 years.</w:t>
      </w:r>
    </w:p>
    <w:p>
      <w:pPr>
        <w:spacing w:after="0" w:line="141"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Deal Dynamics. </w:t>
      </w:r>
      <w:r>
        <w:rPr>
          <w:rFonts w:ascii="Times New Roman" w:cs="Times New Roman" w:eastAsia="Times New Roman" w:hAnsi="Times New Roman"/>
          <w:sz w:val="16"/>
          <w:szCs w:val="16"/>
          <w:color w:val="auto"/>
        </w:rPr>
        <w:t>We focus on, among other deal dynamics, direct origination of investments, where we identify and lead the investment transaction. A substantial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our portfolio investments are sourced through our direct or proprietary relationships.</w:t>
      </w:r>
    </w:p>
    <w:p>
      <w:pPr>
        <w:spacing w:after="0" w:line="150"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 Mitigation. </w:t>
      </w:r>
      <w:r>
        <w:rPr>
          <w:rFonts w:ascii="Times New Roman" w:cs="Times New Roman" w:eastAsia="Times New Roman" w:hAnsi="Times New Roman"/>
          <w:sz w:val="14"/>
          <w:szCs w:val="14"/>
          <w:color w:val="auto"/>
        </w:rPr>
        <w:t>We seek to mitigate non-credit-related risk on our returns in several ways, including call protection provisions to protect future interest income.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we had call protection on 73.9% of our debt investments based on fair value, with weighted average call prices of 107.8% for the first year, 104.3% for the second year and 101.7% for the third year, in each case from the date of the initial investment. As of December 31, 2024, 97.2% of our debt investments based on fair value bore interest at floating rates, with 100.0% of these subject to interest rate floors, which we believe helps act as a portfolio-wide hedge against inflation.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Adviser and Sixth Street</w:t>
      </w:r>
    </w:p>
    <w:p>
      <w:pPr>
        <w:spacing w:after="0" w:line="96"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3" w:lineRule="exact"/>
        <w:rPr>
          <w:sz w:val="20"/>
          <w:szCs w:val="20"/>
          <w:color w:val="auto"/>
        </w:rPr>
      </w:pPr>
    </w:p>
    <w:p>
      <w:pPr>
        <w:ind w:right="80" w:firstLine="228"/>
        <w:spacing w:after="0" w:line="237" w:lineRule="auto"/>
        <w:rPr>
          <w:sz w:val="20"/>
          <w:szCs w:val="20"/>
          <w:color w:val="auto"/>
        </w:rPr>
      </w:pPr>
      <w:r>
        <w:rPr>
          <w:rFonts w:ascii="Times New Roman" w:cs="Times New Roman" w:eastAsia="Times New Roman" w:hAnsi="Times New Roman"/>
          <w:sz w:val="16"/>
          <w:szCs w:val="16"/>
          <w:color w:val="auto"/>
        </w:rPr>
        <w:t>Sixth Street is a global investment business with over $100 billion of assets under management as of December 31, 2024. Sixth Street’s direct lending platforms include Sixth Street Specialty Lending and Sixth Street Lending Partners, which are aimed at U.S. upper middle-market loan originations, Sixth Street Specialty Lending Europe, which is aimed at European middle- 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direct lending, including fifty-seven (57) investment professionals.</w:t>
      </w:r>
    </w:p>
    <w:p>
      <w:pPr>
        <w:spacing w:after="0" w:line="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63" w:name="page64"/>
    <w:bookmarkEnd w:id="63"/>
    <w:p>
      <w:pPr>
        <w:spacing w:after="0" w:line="6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3"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focus primarily on the direct origination of loans to middle-market companies domiciled in the United States.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as part of our risk strategy on investments, we may reduce certain levels of investments through partial sales or syndication to additional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December 31, 2024, 97.2%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years ended December 31, 2024, 2023 and 2022, 6.1%, 4.5% and 4.1%, respectively, of our total investment income was comprised of PIK interest.</w:t>
      </w:r>
    </w:p>
    <w:p>
      <w:pPr>
        <w:spacing w:after="0" w:line="169"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2026 Notes 2028 Notes, and 2029 Notes after taking into account the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4" w:name="page65"/>
    <w:bookmarkEnd w:id="64"/>
    <w:p>
      <w:pPr>
        <w:spacing w:after="0" w:line="6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69"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Loan origination fees, original issue discount and market discount or premium are capitalized, and we accrete or amortize such amounts as interest income using the effective interest method for term instruments and the straight -line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Dividend income on common equity investments is recorded on the record date for private portfolio companies or on the ex-dividend date for publicly traded portfolio companies.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right="540" w:firstLine="228"/>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56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24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right="8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8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w:t>
      </w:r>
    </w:p>
    <w:p>
      <w:pPr>
        <w:jc w:val="center"/>
        <w:ind w:right="4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5" w:name="page66"/>
    <w:bookmarkEnd w:id="65"/>
    <w:p>
      <w:pPr>
        <w:ind w:left="24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2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Leverage</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Trends</w:t>
      </w:r>
    </w:p>
    <w:p>
      <w:pPr>
        <w:spacing w:after="0" w:line="96" w:lineRule="exact"/>
        <w:rPr>
          <w:sz w:val="20"/>
          <w:szCs w:val="20"/>
          <w:color w:val="auto"/>
        </w:rPr>
      </w:pPr>
    </w:p>
    <w:p>
      <w:pPr>
        <w:jc w:val="both"/>
        <w:ind w:right="340" w:firstLine="228"/>
        <w:spacing w:after="0" w:line="331" w:lineRule="auto"/>
        <w:rPr>
          <w:sz w:val="20"/>
          <w:szCs w:val="20"/>
          <w:color w:val="auto"/>
        </w:rPr>
      </w:pPr>
      <w:r>
        <w:rPr>
          <w:rFonts w:ascii="Times New Roman" w:cs="Times New Roman" w:eastAsia="Times New Roman" w:hAnsi="Times New Roman"/>
          <w:sz w:val="14"/>
          <w:szCs w:val="14"/>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08"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Subsequent to the global financial crisis, the implementation of regulatory changes such as Basel III requirements, Leverage Lending Guidance, and the Volcker Rule, tightened risk appetites and reduced the capacity of traditional lenders to serve middle- 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67" w:lineRule="exact"/>
        <w:rPr>
          <w:sz w:val="20"/>
          <w:szCs w:val="20"/>
          <w:color w:val="auto"/>
        </w:rPr>
      </w:pPr>
    </w:p>
    <w:p>
      <w:pPr>
        <w:ind w:right="260" w:firstLine="228"/>
        <w:spacing w:after="0" w:line="299" w:lineRule="auto"/>
        <w:rPr>
          <w:sz w:val="20"/>
          <w:szCs w:val="20"/>
          <w:color w:val="auto"/>
        </w:rPr>
      </w:pPr>
      <w:r>
        <w:rPr>
          <w:rFonts w:ascii="Times New Roman" w:cs="Times New Roman" w:eastAsia="Times New Roman" w:hAnsi="Times New Roman"/>
          <w:sz w:val="14"/>
          <w:szCs w:val="14"/>
          <w:color w:val="auto"/>
        </w:rPr>
        <w:t>This market dynamic is further exacerbated by the specialized due diligence and underwriting capabilities, as well as extensive ongoing monitoring, required for middle -market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31" w:lineRule="exact"/>
        <w:rPr>
          <w:sz w:val="20"/>
          <w:szCs w:val="20"/>
          <w:color w:val="auto"/>
        </w:rPr>
      </w:pPr>
    </w:p>
    <w:p>
      <w:pPr>
        <w:ind w:right="320" w:firstLine="228"/>
        <w:spacing w:after="0" w:line="243" w:lineRule="auto"/>
        <w:rPr>
          <w:sz w:val="20"/>
          <w:szCs w:val="20"/>
          <w:color w:val="auto"/>
        </w:rPr>
      </w:pPr>
      <w:r>
        <w:rPr>
          <w:rFonts w:ascii="Times New Roman" w:cs="Times New Roman" w:eastAsia="Times New Roman" w:hAnsi="Times New Roman"/>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66" w:name="page67"/>
    <w:bookmarkEnd w:id="66"/>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94"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As of December 31, 2024, our portfolio based on fair value consisted of 93.9% first-lien debt investments, 0.6% second-lien debt investments, 1.1% mezzanine debt investments, 4.4% equity and other investments and less than 0.1% structured credit investments. As of December 31, 2023, our portfolio based on fair value consisted of 91.3% first-lien debt investments, 1.1% second-lien debt investments, 1.2% mezzanine debt investments, 4.7% equity and other investments and 1.7% structured credit investments.</w:t>
      </w:r>
    </w:p>
    <w:p>
      <w:pPr>
        <w:spacing w:after="0" w:line="167" w:lineRule="exact"/>
        <w:rPr>
          <w:sz w:val="20"/>
          <w:szCs w:val="20"/>
          <w:color w:val="auto"/>
        </w:rPr>
      </w:pPr>
    </w:p>
    <w:p>
      <w:pPr>
        <w:jc w:val="both"/>
        <w:ind w:right="22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2024 and December 31, 2023, our weighted average total yield of debt and income producing securities at fair value (which includes interest income and amortization of fees and discounts) was 12.3% and 14.1%, respectively, and our weighted average total yield of debt and income-producing securities at amortized cost (which includes interest income and amortization of fees and discounts) was 12.5% and 14.2%, respectively.</w:t>
      </w:r>
    </w:p>
    <w:p>
      <w:pPr>
        <w:spacing w:after="0" w:line="164"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As of December 31, 2024 and December 31, 2023, we had investments in 116 portfolio companies (including one structured credit investment, which include each series of collateralized loan obligation as a separate portfolio company investment) and 136 portfolio companies (including 42 structured credit investments, which include each series of collateralized loan obligation as a separate portfolio company investment), respectively, with an aggregate fair value of $3,518.4 million and $3,283.1 million, respectively.</w:t>
      </w:r>
    </w:p>
    <w:p>
      <w:pPr>
        <w:spacing w:after="0" w:line="167"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2024, the principal amount of new investments funded was $838.9 million in thirty- four new portfolio companies and twenty-one existing portfolio companies. For this period, we had $793.7 million aggregate principal amount in exits and repayments.</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2023, the principal amount of new investments funded was $808.4 million in 30 new portfolio companies and 16 existing portfolio companies. For this period, we had $469.1 million aggregate principal amount in exits and repayments.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67" w:name="page68"/>
    <w:bookmarkEnd w:id="67"/>
    <w:p>
      <w:pPr>
        <w:spacing w:after="0" w:line="65"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investment activity for the years ended December 31, 2024, December 31, 2023 and December 31, 2022 is presented below (information presented herein is at par value unless otherwise indicated).</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vMerge w:val="restart"/>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5"/>
                <w:szCs w:val="15"/>
                <w:color w:val="auto"/>
              </w:rPr>
            </w:pP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20" w:type="dxa"/>
            <w:vAlign w:val="bottom"/>
          </w:tcPr>
          <w:p>
            <w:pPr>
              <w:spacing w:after="0"/>
              <w:rPr>
                <w:sz w:val="14"/>
                <w:szCs w:val="14"/>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136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Pr>
          <w:p>
            <w:pPr>
              <w:spacing w:after="0"/>
              <w:rPr>
                <w:sz w:val="14"/>
                <w:szCs w:val="14"/>
                <w:color w:val="auto"/>
              </w:rPr>
            </w:pP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New investment commitments:</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160"/>
              <w:spacing w:after="0" w:line="180" w:lineRule="exact"/>
              <w:rPr>
                <w:sz w:val="20"/>
                <w:szCs w:val="20"/>
                <w:color w:val="auto"/>
              </w:rPr>
            </w:pPr>
            <w:r>
              <w:rPr>
                <w:rFonts w:ascii="Times New Roman" w:cs="Times New Roman" w:eastAsia="Times New Roman" w:hAnsi="Times New Roman"/>
                <w:sz w:val="15"/>
                <w:szCs w:val="15"/>
                <w:color w:val="auto"/>
              </w:rPr>
              <w:t xml:space="preserve">Gross originations </w:t>
            </w:r>
            <w:r>
              <w:rPr>
                <w:rFonts w:ascii="Times New Roman" w:cs="Times New Roman" w:eastAsia="Times New Roman" w:hAnsi="Times New Roman"/>
                <w:sz w:val="20"/>
                <w:szCs w:val="20"/>
                <w:color w:val="auto"/>
                <w:vertAlign w:val="superscript"/>
              </w:rPr>
              <w:t>(1)</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15,354.7</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6,516.6</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4,240.9</w:t>
            </w: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5"/>
                <w:szCs w:val="15"/>
                <w:color w:val="auto"/>
              </w:rPr>
              <w:t xml:space="preserve">Less: Syndications/sell downs </w:t>
            </w:r>
            <w:r>
              <w:rPr>
                <w:rFonts w:ascii="Times New Roman" w:cs="Times New Roman" w:eastAsia="Times New Roman" w:hAnsi="Times New Roman"/>
                <w:sz w:val="20"/>
                <w:szCs w:val="20"/>
                <w:color w:val="auto"/>
                <w:vertAlign w:val="superscript"/>
              </w:rPr>
              <w:t>(1)</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14,111.8</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5,558.0</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3,156.7</w:t>
            </w:r>
          </w:p>
        </w:tc>
        <w:tc>
          <w:tcPr>
            <w:tcW w:w="0" w:type="dxa"/>
            <w:vAlign w:val="bottom"/>
          </w:tcPr>
          <w:p>
            <w:pPr>
              <w:spacing w:after="0"/>
              <w:rPr>
                <w:sz w:val="1"/>
                <w:szCs w:val="1"/>
                <w:color w:val="auto"/>
              </w:rPr>
            </w:pPr>
          </w:p>
        </w:tc>
      </w:tr>
      <w:tr>
        <w:trPr>
          <w:trHeight w:val="180"/>
        </w:trPr>
        <w:tc>
          <w:tcPr>
            <w:tcW w:w="44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new investment commitments</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1,242.9</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958.6</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1,084.2</w:t>
            </w: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funded:</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823.9</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753.4</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761.7</w:t>
            </w: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1020" w:type="dxa"/>
            <w:vAlign w:val="bottom"/>
          </w:tcPr>
          <w:p>
            <w:pPr>
              <w:spacing w:after="0"/>
              <w:rPr>
                <w:sz w:val="15"/>
                <w:szCs w:val="15"/>
                <w:color w:val="auto"/>
              </w:rPr>
            </w:pPr>
          </w:p>
        </w:tc>
        <w:tc>
          <w:tcPr>
            <w:tcW w:w="114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5"/>
                <w:szCs w:val="15"/>
                <w:color w:val="auto"/>
              </w:rPr>
            </w:pPr>
          </w:p>
        </w:tc>
        <w:tc>
          <w:tcPr>
            <w:tcW w:w="13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32.2</w:t>
            </w:r>
          </w:p>
        </w:tc>
        <w:tc>
          <w:tcPr>
            <w:tcW w:w="160" w:type="dxa"/>
            <w:vAlign w:val="bottom"/>
          </w:tcPr>
          <w:p>
            <w:pPr>
              <w:spacing w:after="0"/>
              <w:rPr>
                <w:sz w:val="15"/>
                <w:szCs w:val="15"/>
                <w:color w:val="auto"/>
              </w:rPr>
            </w:pPr>
          </w:p>
        </w:tc>
        <w:tc>
          <w:tcPr>
            <w:tcW w:w="12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180"/>
        </w:trPr>
        <w:tc>
          <w:tcPr>
            <w:tcW w:w="44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Structured Credit</w:t>
            </w:r>
          </w:p>
        </w:tc>
        <w:tc>
          <w:tcPr>
            <w:tcW w:w="1020" w:type="dxa"/>
            <w:vAlign w:val="bottom"/>
          </w:tcPr>
          <w:p>
            <w:pPr>
              <w:spacing w:after="0"/>
              <w:rPr>
                <w:sz w:val="15"/>
                <w:szCs w:val="15"/>
                <w:color w:val="auto"/>
              </w:rPr>
            </w:pPr>
          </w:p>
        </w:tc>
        <w:tc>
          <w:tcPr>
            <w:tcW w:w="114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5"/>
                <w:szCs w:val="15"/>
                <w:color w:val="auto"/>
              </w:rPr>
            </w:pPr>
          </w:p>
        </w:tc>
        <w:tc>
          <w:tcPr>
            <w:tcW w:w="13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5"/>
                <w:szCs w:val="15"/>
                <w:color w:val="auto"/>
              </w:rPr>
            </w:pPr>
          </w:p>
        </w:tc>
        <w:tc>
          <w:tcPr>
            <w:tcW w:w="12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28"/>
        </w:trPr>
        <w:tc>
          <w:tcPr>
            <w:tcW w:w="4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838.9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808.4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864.0</w:t>
            </w:r>
          </w:p>
        </w:tc>
        <w:tc>
          <w:tcPr>
            <w:tcW w:w="0" w:type="dxa"/>
            <w:vAlign w:val="bottom"/>
          </w:tcPr>
          <w:p>
            <w:pPr>
              <w:spacing w:after="0"/>
              <w:rPr>
                <w:sz w:val="1"/>
                <w:szCs w:val="1"/>
                <w:color w:val="auto"/>
              </w:rPr>
            </w:pPr>
          </w:p>
        </w:tc>
      </w:tr>
      <w:tr>
        <w:trPr>
          <w:trHeight w:val="180"/>
        </w:trPr>
        <w:tc>
          <w:tcPr>
            <w:tcW w:w="44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sold or repaid:</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717.3</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460.3</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645.4</w:t>
            </w:r>
          </w:p>
        </w:tc>
        <w:tc>
          <w:tcPr>
            <w:tcW w:w="0" w:type="dxa"/>
            <w:vAlign w:val="bottom"/>
          </w:tcPr>
          <w:p>
            <w:pPr>
              <w:spacing w:after="0"/>
              <w:rPr>
                <w:sz w:val="1"/>
                <w:szCs w:val="1"/>
                <w:color w:val="auto"/>
              </w:rPr>
            </w:pPr>
          </w:p>
        </w:tc>
      </w:tr>
      <w:tr>
        <w:trPr>
          <w:trHeight w:val="180"/>
        </w:trPr>
        <w:tc>
          <w:tcPr>
            <w:tcW w:w="44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1020" w:type="dxa"/>
            <w:vAlign w:val="bottom"/>
          </w:tcPr>
          <w:p>
            <w:pPr>
              <w:spacing w:after="0"/>
              <w:rPr>
                <w:sz w:val="15"/>
                <w:szCs w:val="15"/>
                <w:color w:val="auto"/>
              </w:rPr>
            </w:pPr>
          </w:p>
        </w:tc>
        <w:tc>
          <w:tcPr>
            <w:tcW w:w="114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3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2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1020" w:type="dxa"/>
            <w:vAlign w:val="bottom"/>
          </w:tcPr>
          <w:p>
            <w:pPr>
              <w:spacing w:after="0"/>
              <w:rPr>
                <w:sz w:val="15"/>
                <w:szCs w:val="15"/>
                <w:color w:val="auto"/>
              </w:rPr>
            </w:pPr>
          </w:p>
        </w:tc>
        <w:tc>
          <w:tcPr>
            <w:tcW w:w="114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40" w:type="dxa"/>
            <w:vAlign w:val="bottom"/>
          </w:tcPr>
          <w:p>
            <w:pPr>
              <w:spacing w:after="0"/>
              <w:rPr>
                <w:sz w:val="15"/>
                <w:szCs w:val="15"/>
                <w:color w:val="auto"/>
              </w:rPr>
            </w:pPr>
          </w:p>
        </w:tc>
        <w:tc>
          <w:tcPr>
            <w:tcW w:w="13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60" w:type="dxa"/>
            <w:vAlign w:val="bottom"/>
          </w:tcPr>
          <w:p>
            <w:pPr>
              <w:spacing w:after="0"/>
              <w:rPr>
                <w:sz w:val="15"/>
                <w:szCs w:val="15"/>
                <w:color w:val="auto"/>
              </w:rPr>
            </w:pPr>
          </w:p>
        </w:tc>
        <w:tc>
          <w:tcPr>
            <w:tcW w:w="12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Structured Credit</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57.9</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0"/>
        </w:trPr>
        <w:tc>
          <w:tcPr>
            <w:tcW w:w="44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793.7</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469.1</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653.8</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Number of new investment commitments in</w:t>
            </w: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0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65"/>
        </w:trPr>
        <w:tc>
          <w:tcPr>
            <w:tcW w:w="440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Average new investment commitment amount in</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29.2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term for new investment</w:t>
            </w: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in new portfolio companies</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5"/>
        </w:trPr>
        <w:tc>
          <w:tcPr>
            <w:tcW w:w="440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at floating rates</w:t>
            </w:r>
          </w:p>
        </w:tc>
        <w:tc>
          <w:tcPr>
            <w:tcW w:w="10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at fixed rates</w:t>
            </w:r>
          </w:p>
        </w:tc>
        <w:tc>
          <w:tcPr>
            <w:tcW w:w="10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65"/>
        </w:trPr>
        <w:tc>
          <w:tcPr>
            <w:tcW w:w="440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of new</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 commitments</w:t>
            </w:r>
          </w:p>
        </w:tc>
        <w:tc>
          <w:tcPr>
            <w:tcW w:w="10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spread over reference rate of new</w:t>
            </w: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floating rate investment commitments</w:t>
            </w:r>
          </w:p>
        </w:tc>
        <w:tc>
          <w:tcPr>
            <w:tcW w:w="10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65"/>
        </w:trPr>
        <w:tc>
          <w:tcPr>
            <w:tcW w:w="440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on investments</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fully sold or paid down</w:t>
            </w:r>
          </w:p>
        </w:tc>
        <w:tc>
          <w:tcPr>
            <w:tcW w:w="10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w:t>
        <w:tab/>
        <w:t>Includes affiliates of Sixth Street</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and December 31, 2023, our investments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3"/>
                <w:szCs w:val="13"/>
                <w:color w:val="auto"/>
              </w:rPr>
            </w:pPr>
          </w:p>
        </w:tc>
        <w:tc>
          <w:tcPr>
            <w:tcW w:w="2620" w:type="dxa"/>
            <w:vAlign w:val="bottom"/>
            <w:gridSpan w:val="5"/>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20" w:type="dxa"/>
            <w:vAlign w:val="bottom"/>
          </w:tcPr>
          <w:p>
            <w:pPr>
              <w:spacing w:after="0"/>
              <w:rPr>
                <w:sz w:val="13"/>
                <w:szCs w:val="13"/>
                <w:color w:val="auto"/>
              </w:rPr>
            </w:pPr>
          </w:p>
        </w:tc>
      </w:tr>
      <w:tr>
        <w:trPr>
          <w:trHeight w:val="170"/>
        </w:trPr>
        <w:tc>
          <w:tcPr>
            <w:tcW w:w="54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2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3,298.0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2,996.2</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149.4</w:t>
            </w:r>
          </w:p>
        </w:tc>
        <w:tc>
          <w:tcPr>
            <w:tcW w:w="200" w:type="dxa"/>
            <w:vAlign w:val="bottom"/>
          </w:tcPr>
          <w:p>
            <w:pPr>
              <w:spacing w:after="0"/>
              <w:rPr>
                <w:sz w:val="15"/>
                <w:szCs w:val="15"/>
                <w:color w:val="auto"/>
              </w:rPr>
            </w:pPr>
          </w:p>
        </w:tc>
        <w:tc>
          <w:tcPr>
            <w:tcW w:w="12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155.5</w:t>
            </w:r>
          </w:p>
        </w:tc>
        <w:tc>
          <w:tcPr>
            <w:tcW w:w="14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152.6</w:t>
            </w:r>
          </w:p>
        </w:tc>
        <w:tc>
          <w:tcPr>
            <w:tcW w:w="20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155.6</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3,539.2</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3,251.0</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3,283.1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42"/>
        </w:trPr>
        <w:tc>
          <w:tcPr>
            <w:tcW w:w="5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38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8" w:name="page69"/>
    <w:bookmarkEnd w:id="68"/>
    <w:p>
      <w:pPr>
        <w:ind w:left="240"/>
        <w:spacing w:after="0"/>
        <w:rPr>
          <w:sz w:val="20"/>
          <w:szCs w:val="20"/>
          <w:color w:val="auto"/>
        </w:rPr>
      </w:pPr>
      <w:r>
        <w:rPr>
          <w:rFonts w:ascii="Times New Roman" w:cs="Times New Roman" w:eastAsia="Times New Roman" w:hAnsi="Times New Roman"/>
          <w:sz w:val="14"/>
          <w:szCs w:val="14"/>
          <w:color w:val="auto"/>
        </w:rPr>
        <w:t>The following tables show the fair value and amortized cost of our performing and non-accrual investments as of December 31, 2024 and December 31, 2023:</w:t>
      </w:r>
    </w:p>
    <w:p>
      <w:pPr>
        <w:sectPr>
          <w:pgSz w:w="11900" w:h="16840" w:orient="portrait"/>
          <w:cols w:equalWidth="0" w:num="1">
            <w:col w:w="10600"/>
          </w:cols>
          <w:pgMar w:left="660" w:top="1313" w:right="6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 in millions)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23" w:lineRule="exact"/>
        <w:rPr>
          <w:sz w:val="20"/>
          <w:szCs w:val="20"/>
          <w:color w:val="auto"/>
        </w:rPr>
      </w:pPr>
    </w:p>
    <w:p>
      <w:pPr>
        <w:jc w:val="center"/>
        <w:ind w:right="160"/>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23" w:lineRule="exact"/>
        <w:rPr>
          <w:sz w:val="20"/>
          <w:szCs w:val="20"/>
          <w:color w:val="auto"/>
        </w:rPr>
      </w:pPr>
    </w:p>
    <w:p>
      <w:pPr>
        <w:jc w:val="center"/>
        <w:ind w:right="1000"/>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1" w:lineRule="exact"/>
        <w:rPr>
          <w:sz w:val="20"/>
          <w:szCs w:val="20"/>
          <w:color w:val="auto"/>
        </w:rPr>
      </w:pPr>
    </w:p>
    <w:p>
      <w:pPr>
        <w:sectPr>
          <w:pgSz w:w="11900" w:h="16840" w:orient="portrait"/>
          <w:cols w:equalWidth="0" w:num="3">
            <w:col w:w="3920" w:space="720"/>
            <w:col w:w="2200" w:space="720"/>
            <w:col w:w="3040"/>
          </w:cols>
          <w:pgMar w:left="660" w:top="1313" w:right="640" w:bottom="1440" w:gutter="0" w:footer="0" w:header="0"/>
          <w:type w:val="continuous"/>
        </w:sectPr>
      </w:pPr>
    </w:p>
    <w:tbl>
      <w:tblPr>
        <w:tblLayout w:type="fixed"/>
        <w:tblInd w:w="540" w:type="dxa"/>
        <w:tblCellMar>
          <w:top w:w="0" w:type="dxa"/>
          <w:left w:w="0" w:type="dxa"/>
          <w:bottom w:w="0" w:type="dxa"/>
          <w:right w:w="0" w:type="dxa"/>
        </w:tblCellMar>
      </w:tblPr>
      <w:tr>
        <w:trPr>
          <w:trHeight w:val="184"/>
        </w:trPr>
        <w:tc>
          <w:tcPr>
            <w:tcW w:w="3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Performing</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3,469.4</w:t>
            </w:r>
          </w:p>
        </w:tc>
        <w:tc>
          <w:tcPr>
            <w:tcW w:w="17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3,262.4</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180"/>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Non-accrual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172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158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200"/>
        </w:trPr>
        <w:tc>
          <w:tcPr>
            <w:tcW w:w="3800" w:type="dxa"/>
            <w:vAlign w:val="bottom"/>
            <w:tcBorders>
              <w:right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w:t>
            </w:r>
          </w:p>
        </w:tc>
        <w:tc>
          <w:tcPr>
            <w:tcW w:w="200" w:type="dxa"/>
            <w:vAlign w:val="bottom"/>
            <w:shd w:val="clear" w:color="auto" w:fill="CFF0FC"/>
          </w:tcPr>
          <w:p>
            <w:pPr>
              <w:spacing w:after="0"/>
              <w:rPr>
                <w:sz w:val="17"/>
                <w:szCs w:val="17"/>
                <w:color w:val="auto"/>
              </w:rPr>
            </w:pPr>
          </w:p>
        </w:tc>
        <w:tc>
          <w:tcPr>
            <w:tcW w:w="152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3,283.1</w:t>
            </w:r>
          </w:p>
        </w:tc>
        <w:tc>
          <w:tcPr>
            <w:tcW w:w="158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20"/>
        </w:trPr>
        <w:tc>
          <w:tcPr>
            <w:tcW w:w="38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323"/>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tcPr>
          <w:p>
            <w:pPr>
              <w:jc w:val="right"/>
              <w:ind w:right="11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24"/>
                <w:szCs w:val="24"/>
                <w:color w:val="auto"/>
              </w:rPr>
            </w:pPr>
          </w:p>
        </w:tc>
        <w:tc>
          <w:tcPr>
            <w:tcW w:w="2660" w:type="dxa"/>
            <w:vAlign w:val="bottom"/>
            <w:gridSpan w:val="4"/>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0"/>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4"/>
                <w:szCs w:val="14"/>
                <w:color w:val="auto"/>
              </w:rPr>
            </w:pPr>
          </w:p>
        </w:tc>
        <w:tc>
          <w:tcPr>
            <w:tcW w:w="110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0"/>
        </w:trPr>
        <w:tc>
          <w:tcPr>
            <w:tcW w:w="3800" w:type="dxa"/>
            <w:vAlign w:val="bottom"/>
            <w:tcBorders>
              <w:right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Performing</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3,410.1</w:t>
            </w:r>
          </w:p>
        </w:tc>
        <w:tc>
          <w:tcPr>
            <w:tcW w:w="1720" w:type="dxa"/>
            <w:vAlign w:val="bottom"/>
            <w:tcBorders>
              <w:right w:val="single" w:sz="8" w:color="CFF0FC"/>
            </w:tcBorders>
            <w:gridSpan w:val="3"/>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96.4 %</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3,222.9</w:t>
            </w:r>
          </w:p>
        </w:tc>
        <w:tc>
          <w:tcPr>
            <w:tcW w:w="158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99.1 %</w:t>
            </w:r>
          </w:p>
        </w:tc>
      </w:tr>
      <w:tr>
        <w:trPr>
          <w:trHeight w:val="180"/>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Non-accrual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129.1</w:t>
            </w:r>
          </w:p>
        </w:tc>
        <w:tc>
          <w:tcPr>
            <w:tcW w:w="1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w:t>
            </w:r>
          </w:p>
        </w:tc>
        <w:tc>
          <w:tcPr>
            <w:tcW w:w="1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5"/>
                <w:szCs w:val="15"/>
                <w:color w:val="auto"/>
              </w:rPr>
            </w:pPr>
          </w:p>
        </w:tc>
      </w:tr>
      <w:tr>
        <w:trPr>
          <w:trHeight w:val="200"/>
        </w:trPr>
        <w:tc>
          <w:tcPr>
            <w:tcW w:w="3800" w:type="dxa"/>
            <w:vAlign w:val="bottom"/>
            <w:tcBorders>
              <w:right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3,539.2</w:t>
            </w:r>
          </w:p>
        </w:tc>
        <w:tc>
          <w:tcPr>
            <w:tcW w:w="200" w:type="dxa"/>
            <w:vAlign w:val="bottom"/>
            <w:shd w:val="clear" w:color="auto" w:fill="CFF0FC"/>
          </w:tcPr>
          <w:p>
            <w:pPr>
              <w:spacing w:after="0"/>
              <w:rPr>
                <w:sz w:val="17"/>
                <w:szCs w:val="17"/>
                <w:color w:val="auto"/>
              </w:rPr>
            </w:pPr>
          </w:p>
        </w:tc>
        <w:tc>
          <w:tcPr>
            <w:tcW w:w="152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3,251.0</w:t>
            </w:r>
          </w:p>
        </w:tc>
        <w:tc>
          <w:tcPr>
            <w:tcW w:w="158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8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(1)Loans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 -accrual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6"/>
          <w:szCs w:val="16"/>
          <w:i w:val="1"/>
          <w:iCs w:val="1"/>
          <w:color w:val="auto"/>
        </w:rPr>
        <w:t>“–Critical Accounting Estimates – Interest and Dividend Income Recognition.”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weighted average yields and interest rates of our performing debt investments at fair value as of December 31, 2024 and December 31, 2023 were as follows:</w:t>
      </w:r>
    </w:p>
    <w:p>
      <w:pPr>
        <w:spacing w:after="0" w:line="42"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380" w:type="dxa"/>
            <w:vAlign w:val="bottom"/>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6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4"/>
        </w:trPr>
        <w:tc>
          <w:tcPr>
            <w:tcW w:w="44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color w:val="auto"/>
              </w:rPr>
              <w:t>Weighted average total yield of debt and income</w:t>
            </w:r>
          </w:p>
        </w:tc>
        <w:tc>
          <w:tcPr>
            <w:tcW w:w="238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r>
      <w:tr>
        <w:trPr>
          <w:trHeight w:val="216"/>
        </w:trPr>
        <w:tc>
          <w:tcPr>
            <w:tcW w:w="44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producing securities </w:t>
            </w:r>
            <w:r>
              <w:rPr>
                <w:rFonts w:ascii="Times New Roman" w:cs="Times New Roman" w:eastAsia="Times New Roman" w:hAnsi="Times New Roman"/>
                <w:sz w:val="21"/>
                <w:szCs w:val="21"/>
                <w:color w:val="auto"/>
                <w:vertAlign w:val="superscript"/>
              </w:rPr>
              <w:t>(1)</w:t>
            </w:r>
          </w:p>
        </w:tc>
        <w:tc>
          <w:tcPr>
            <w:tcW w:w="238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rPr>
              <w:t>12.3 %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167"/>
        </w:trPr>
        <w:tc>
          <w:tcPr>
            <w:tcW w:w="44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Weighted average interest rate of debt and income</w:t>
            </w:r>
          </w:p>
        </w:tc>
        <w:tc>
          <w:tcPr>
            <w:tcW w:w="23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3"/>
        </w:trPr>
        <w:tc>
          <w:tcPr>
            <w:tcW w:w="4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producing securities</w:t>
            </w:r>
          </w:p>
        </w:tc>
        <w:tc>
          <w:tcPr>
            <w:tcW w:w="238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11.8 %</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167"/>
        </w:trPr>
        <w:tc>
          <w:tcPr>
            <w:tcW w:w="44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Weighted average spread over reference rate of all floating</w:t>
            </w:r>
          </w:p>
        </w:tc>
        <w:tc>
          <w:tcPr>
            <w:tcW w:w="238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r>
      <w:tr>
        <w:trPr>
          <w:trHeight w:val="193"/>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rate investments</w:t>
            </w:r>
          </w:p>
        </w:tc>
        <w:tc>
          <w:tcPr>
            <w:tcW w:w="238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rPr>
              <w:t>7.7 %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(1)Weighted average total portfolio yield at fair value was 11.6% at December 31, 2024 and 13.4% at December 31, 2023.</w:t>
      </w:r>
    </w:p>
    <w:p>
      <w:pPr>
        <w:spacing w:after="0" w:line="24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type w:val="continuous"/>
        </w:sectPr>
      </w:pPr>
    </w:p>
    <w:bookmarkStart w:id="69" w:name="page70"/>
    <w:bookmarkEnd w:id="69"/>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380"/>
        <w:spacing w:after="0" w:line="243"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67"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performance rating scale at fair value as of December 31, 2024 and December 31, 2023. Investment performance ratings are accurate only as of those dates and may change due to subsequent developments relating to a portfolio company’s business or financial condition, market conditions or developments, and other factors.</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20" w:type="dxa"/>
            <w:vAlign w:val="bottom"/>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20" w:type="dxa"/>
            <w:vAlign w:val="bottom"/>
            <w:gridSpan w:val="4"/>
          </w:tcPr>
          <w:p>
            <w:pPr>
              <w:jc w:val="right"/>
              <w:ind w:right="13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6"/>
        </w:trPr>
        <w:tc>
          <w:tcPr>
            <w:tcW w:w="192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60" w:type="dxa"/>
            <w:vAlign w:val="bottom"/>
          </w:tcPr>
          <w:p>
            <w:pPr>
              <w:spacing w:after="0"/>
              <w:rPr>
                <w:sz w:val="13"/>
                <w:szCs w:val="13"/>
                <w:color w:val="auto"/>
              </w:rPr>
            </w:pPr>
          </w:p>
        </w:tc>
        <w:tc>
          <w:tcPr>
            <w:tcW w:w="1400" w:type="dxa"/>
            <w:vAlign w:val="bottom"/>
          </w:tcPr>
          <w:p>
            <w:pPr>
              <w:jc w:val="center"/>
              <w:ind w:right="167"/>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192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260" w:type="dxa"/>
            <w:vAlign w:val="bottom"/>
          </w:tcPr>
          <w:p>
            <w:pPr>
              <w:spacing w:after="0"/>
              <w:rPr>
                <w:sz w:val="13"/>
                <w:szCs w:val="13"/>
                <w:color w:val="auto"/>
              </w:rPr>
            </w:pPr>
          </w:p>
        </w:tc>
        <w:tc>
          <w:tcPr>
            <w:tcW w:w="1400" w:type="dxa"/>
            <w:vAlign w:val="bottom"/>
          </w:tcPr>
          <w:p>
            <w:pPr>
              <w:jc w:val="center"/>
              <w:ind w:right="167"/>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3"/>
                <w:szCs w:val="13"/>
                <w:color w:val="auto"/>
              </w:rPr>
            </w:pPr>
          </w:p>
        </w:tc>
        <w:tc>
          <w:tcPr>
            <w:tcW w:w="130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70"/>
        </w:trPr>
        <w:tc>
          <w:tcPr>
            <w:tcW w:w="192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260" w:type="dxa"/>
            <w:vAlign w:val="bottom"/>
          </w:tcPr>
          <w:p>
            <w:pPr>
              <w:spacing w:after="0"/>
              <w:rPr>
                <w:sz w:val="14"/>
                <w:szCs w:val="14"/>
                <w:color w:val="auto"/>
              </w:rPr>
            </w:pPr>
          </w:p>
        </w:tc>
        <w:tc>
          <w:tcPr>
            <w:tcW w:w="1400" w:type="dxa"/>
            <w:vAlign w:val="bottom"/>
          </w:tcPr>
          <w:p>
            <w:pPr>
              <w:jc w:val="center"/>
              <w:ind w:right="167"/>
              <w:spacing w:after="0"/>
              <w:rPr>
                <w:sz w:val="20"/>
                <w:szCs w:val="20"/>
                <w:color w:val="auto"/>
              </w:rPr>
            </w:pPr>
            <w:r>
              <w:rPr>
                <w:rFonts w:ascii="Times New Roman" w:cs="Times New Roman" w:eastAsia="Times New Roman" w:hAnsi="Times New Roman"/>
                <w:sz w:val="13"/>
                <w:szCs w:val="13"/>
                <w:b w:val="1"/>
                <w:bCs w:val="1"/>
                <w:color w:val="auto"/>
                <w:w w:val="99"/>
              </w:rPr>
              <w:t>($ in millions)</w:t>
            </w:r>
          </w:p>
        </w:tc>
        <w:tc>
          <w:tcPr>
            <w:tcW w:w="220" w:type="dxa"/>
            <w:vAlign w:val="bottom"/>
          </w:tcPr>
          <w:p>
            <w:pPr>
              <w:spacing w:after="0"/>
              <w:rPr>
                <w:sz w:val="14"/>
                <w:szCs w:val="14"/>
                <w:color w:val="auto"/>
              </w:rPr>
            </w:pPr>
          </w:p>
        </w:tc>
        <w:tc>
          <w:tcPr>
            <w:tcW w:w="1300" w:type="dxa"/>
            <w:vAlign w:val="bottom"/>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 Portfolio</w:t>
            </w:r>
          </w:p>
        </w:tc>
      </w:tr>
      <w:tr>
        <w:trPr>
          <w:trHeight w:val="180"/>
        </w:trPr>
        <w:tc>
          <w:tcPr>
            <w:tcW w:w="1920" w:type="dxa"/>
            <w:vAlign w:val="bottom"/>
            <w:shd w:val="clear" w:color="auto" w:fill="CFF0FC"/>
          </w:tcPr>
          <w:p>
            <w:pPr>
              <w:jc w:val="center"/>
              <w:ind w:right="86"/>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2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3,345.8</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95.1%</w:t>
            </w:r>
          </w:p>
        </w:tc>
        <w:tc>
          <w:tcPr>
            <w:tcW w:w="580" w:type="dxa"/>
            <w:vAlign w:val="bottom"/>
            <w:shd w:val="clear" w:color="auto" w:fill="CFF0FC"/>
          </w:tcPr>
          <w:p>
            <w:pPr>
              <w:jc w:val="right"/>
              <w:ind w:right="409"/>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2,939.1</w:t>
            </w:r>
          </w:p>
        </w:tc>
        <w:tc>
          <w:tcPr>
            <w:tcW w:w="22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89.5%</w:t>
            </w:r>
          </w:p>
        </w:tc>
      </w:tr>
      <w:tr>
        <w:trPr>
          <w:trHeight w:val="180"/>
        </w:trPr>
        <w:tc>
          <w:tcPr>
            <w:tcW w:w="1920" w:type="dxa"/>
            <w:vAlign w:val="bottom"/>
          </w:tcPr>
          <w:p>
            <w:pPr>
              <w:jc w:val="center"/>
              <w:ind w:right="86"/>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26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88.9</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58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196.6</w:t>
            </w:r>
          </w:p>
        </w:tc>
        <w:tc>
          <w:tcPr>
            <w:tcW w:w="18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6.0</w:t>
            </w:r>
          </w:p>
        </w:tc>
      </w:tr>
      <w:tr>
        <w:trPr>
          <w:trHeight w:val="180"/>
        </w:trPr>
        <w:tc>
          <w:tcPr>
            <w:tcW w:w="1920" w:type="dxa"/>
            <w:vAlign w:val="bottom"/>
            <w:shd w:val="clear" w:color="auto" w:fill="CFF0FC"/>
          </w:tcPr>
          <w:p>
            <w:pPr>
              <w:jc w:val="center"/>
              <w:ind w:right="86"/>
              <w:spacing w:after="0" w:line="180" w:lineRule="exact"/>
              <w:rPr>
                <w:sz w:val="20"/>
                <w:szCs w:val="20"/>
                <w:color w:val="auto"/>
              </w:rPr>
            </w:pPr>
            <w:r>
              <w:rPr>
                <w:rFonts w:ascii="Times New Roman" w:cs="Times New Roman" w:eastAsia="Times New Roman" w:hAnsi="Times New Roman"/>
                <w:sz w:val="16"/>
                <w:szCs w:val="16"/>
                <w:color w:val="auto"/>
                <w:w w:val="99"/>
              </w:rPr>
              <w:t>3</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5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126.7</w:t>
            </w:r>
          </w:p>
        </w:tc>
        <w:tc>
          <w:tcPr>
            <w:tcW w:w="18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180"/>
        </w:trPr>
        <w:tc>
          <w:tcPr>
            <w:tcW w:w="1920" w:type="dxa"/>
            <w:vAlign w:val="bottom"/>
          </w:tcPr>
          <w:p>
            <w:pPr>
              <w:jc w:val="center"/>
              <w:ind w:right="86"/>
              <w:spacing w:after="0" w:line="180" w:lineRule="exact"/>
              <w:rPr>
                <w:sz w:val="20"/>
                <w:szCs w:val="20"/>
                <w:color w:val="auto"/>
              </w:rPr>
            </w:pPr>
            <w:r>
              <w:rPr>
                <w:rFonts w:ascii="Times New Roman" w:cs="Times New Roman" w:eastAsia="Times New Roman" w:hAnsi="Times New Roman"/>
                <w:sz w:val="16"/>
                <w:szCs w:val="16"/>
                <w:color w:val="auto"/>
                <w:w w:val="99"/>
              </w:rPr>
              <w:t>4</w:t>
            </w:r>
          </w:p>
        </w:tc>
        <w:tc>
          <w:tcPr>
            <w:tcW w:w="26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920" w:type="dxa"/>
            <w:vAlign w:val="bottom"/>
            <w:shd w:val="clear" w:color="auto" w:fill="CFF0FC"/>
          </w:tcPr>
          <w:p>
            <w:pPr>
              <w:jc w:val="center"/>
              <w:ind w:right="86"/>
              <w:spacing w:after="0" w:line="180" w:lineRule="exact"/>
              <w:rPr>
                <w:sz w:val="20"/>
                <w:szCs w:val="20"/>
                <w:color w:val="auto"/>
              </w:rPr>
            </w:pPr>
            <w:r>
              <w:rPr>
                <w:rFonts w:ascii="Times New Roman" w:cs="Times New Roman" w:eastAsia="Times New Roman" w:hAnsi="Times New Roman"/>
                <w:sz w:val="16"/>
                <w:szCs w:val="16"/>
                <w:color w:val="auto"/>
                <w:w w:val="99"/>
              </w:rPr>
              <w:t>5</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5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22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1920" w:type="dxa"/>
            <w:vAlign w:val="bottom"/>
          </w:tcPr>
          <w:p>
            <w:pPr>
              <w:jc w:val="center"/>
              <w:ind w:right="86"/>
              <w:spacing w:after="0" w:line="160" w:lineRule="exact"/>
              <w:rPr>
                <w:sz w:val="20"/>
                <w:szCs w:val="20"/>
                <w:color w:val="auto"/>
              </w:rPr>
            </w:pPr>
            <w:r>
              <w:rPr>
                <w:rFonts w:ascii="Times New Roman" w:cs="Times New Roman" w:eastAsia="Times New Roman" w:hAnsi="Times New Roman"/>
                <w:sz w:val="16"/>
                <w:szCs w:val="16"/>
                <w:color w:val="auto"/>
                <w:w w:val="94"/>
              </w:rPr>
              <w:t>Total</w:t>
            </w:r>
          </w:p>
        </w:tc>
        <w:tc>
          <w:tcPr>
            <w:tcW w:w="26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3,518.4</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580" w:type="dxa"/>
            <w:vAlign w:val="bottom"/>
          </w:tcPr>
          <w:p>
            <w:pPr>
              <w:jc w:val="right"/>
              <w:ind w:right="409"/>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3,283.1</w:t>
            </w:r>
          </w:p>
        </w:tc>
        <w:tc>
          <w:tcPr>
            <w:tcW w:w="220" w:type="dxa"/>
            <w:vAlign w:val="bottom"/>
          </w:tcPr>
          <w:p>
            <w:pPr>
              <w:spacing w:after="0"/>
              <w:rPr>
                <w:sz w:val="15"/>
                <w:szCs w:val="15"/>
                <w:color w:val="auto"/>
              </w:rPr>
            </w:pPr>
          </w:p>
        </w:tc>
        <w:tc>
          <w:tcPr>
            <w:tcW w:w="1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1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results for the years ended December 31, 2024, December 31, 2023 and December 31, 2022 were as follows: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5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0"/>
        </w:trPr>
        <w:tc>
          <w:tcPr>
            <w:tcW w:w="5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investment income</w:t>
            </w:r>
          </w:p>
        </w:tc>
        <w:tc>
          <w:tcPr>
            <w:tcW w:w="440" w:type="dxa"/>
            <w:vAlign w:val="bottom"/>
            <w:shd w:val="clear" w:color="auto" w:fill="CFF0FC"/>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482.5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438.1</w:t>
            </w:r>
          </w:p>
        </w:tc>
        <w:tc>
          <w:tcPr>
            <w:tcW w:w="660" w:type="dxa"/>
            <w:vAlign w:val="bottom"/>
            <w:gridSpan w:val="2"/>
            <w:shd w:val="clear" w:color="auto" w:fill="CFF0FC"/>
          </w:tcPr>
          <w:p>
            <w:pPr>
              <w:jc w:val="right"/>
              <w:ind w:right="2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309.3</w:t>
            </w:r>
          </w:p>
        </w:tc>
        <w:tc>
          <w:tcPr>
            <w:tcW w:w="100" w:type="dxa"/>
            <w:vAlign w:val="bottom"/>
            <w:shd w:val="clear" w:color="auto" w:fill="CFF0FC"/>
          </w:tcPr>
          <w:p>
            <w:pPr>
              <w:spacing w:after="0"/>
              <w:rPr>
                <w:sz w:val="15"/>
                <w:szCs w:val="15"/>
                <w:color w:val="auto"/>
              </w:rPr>
            </w:pPr>
          </w:p>
        </w:tc>
      </w:tr>
      <w:tr>
        <w:trPr>
          <w:trHeight w:val="180"/>
        </w:trPr>
        <w:tc>
          <w:tcPr>
            <w:tcW w:w="5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Net expenses</w:t>
            </w:r>
          </w:p>
        </w:tc>
        <w:tc>
          <w:tcPr>
            <w:tcW w:w="4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239.3</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5"/>
                <w:szCs w:val="15"/>
                <w:color w:val="auto"/>
              </w:rPr>
            </w:pPr>
          </w:p>
        </w:tc>
      </w:tr>
      <w:tr>
        <w:trPr>
          <w:trHeight w:val="180"/>
        </w:trPr>
        <w:tc>
          <w:tcPr>
            <w:tcW w:w="55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Net investment income before income taxes</w:t>
            </w: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198.8</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168.9</w:t>
            </w:r>
          </w:p>
        </w:tc>
        <w:tc>
          <w:tcPr>
            <w:tcW w:w="100" w:type="dxa"/>
            <w:vAlign w:val="bottom"/>
            <w:shd w:val="clear" w:color="auto" w:fill="CFF0FC"/>
          </w:tcPr>
          <w:p>
            <w:pPr>
              <w:spacing w:after="0"/>
              <w:rPr>
                <w:sz w:val="15"/>
                <w:szCs w:val="15"/>
                <w:color w:val="auto"/>
              </w:rPr>
            </w:pPr>
          </w:p>
        </w:tc>
      </w:tr>
      <w:tr>
        <w:trPr>
          <w:trHeight w:val="180"/>
        </w:trPr>
        <w:tc>
          <w:tcPr>
            <w:tcW w:w="55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Less: Income taxes, including excise taxes</w:t>
            </w:r>
          </w:p>
        </w:tc>
        <w:tc>
          <w:tcPr>
            <w:tcW w:w="4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5"/>
                <w:szCs w:val="15"/>
                <w:color w:val="auto"/>
              </w:rPr>
            </w:pPr>
          </w:p>
        </w:tc>
      </w:tr>
      <w:tr>
        <w:trPr>
          <w:trHeight w:val="180"/>
        </w:trPr>
        <w:tc>
          <w:tcPr>
            <w:tcW w:w="55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196.4</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FF0FC"/>
          </w:tcPr>
          <w:p>
            <w:pPr>
              <w:spacing w:after="0"/>
              <w:rPr>
                <w:sz w:val="15"/>
                <w:szCs w:val="15"/>
                <w:color w:val="auto"/>
              </w:rPr>
            </w:pPr>
          </w:p>
        </w:tc>
      </w:tr>
      <w:tr>
        <w:trPr>
          <w:trHeight w:val="180"/>
        </w:trPr>
        <w:tc>
          <w:tcPr>
            <w:tcW w:w="55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w:t>
            </w:r>
            <w:r>
              <w:rPr>
                <w:rFonts w:ascii="Times New Roman" w:cs="Times New Roman" w:eastAsia="Times New Roman" w:hAnsi="Times New Roman"/>
                <w:sz w:val="20"/>
                <w:szCs w:val="20"/>
                <w:color w:val="auto"/>
                <w:vertAlign w:val="superscript"/>
              </w:rPr>
              <w:t>(1)</w:t>
            </w:r>
          </w:p>
        </w:tc>
        <w:tc>
          <w:tcPr>
            <w:tcW w:w="4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5"/>
                <w:szCs w:val="15"/>
                <w:color w:val="auto"/>
              </w:rPr>
            </w:pPr>
          </w:p>
        </w:tc>
      </w:tr>
      <w:tr>
        <w:trPr>
          <w:trHeight w:val="180"/>
        </w:trPr>
        <w:tc>
          <w:tcPr>
            <w:tcW w:w="5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change in unrealized gains (losses) </w:t>
            </w:r>
            <w:r>
              <w:rPr>
                <w:rFonts w:ascii="Times New Roman" w:cs="Times New Roman" w:eastAsia="Times New Roman" w:hAnsi="Times New Roman"/>
                <w:sz w:val="20"/>
                <w:szCs w:val="20"/>
                <w:color w:val="auto"/>
                <w:vertAlign w:val="superscript"/>
              </w:rPr>
              <w:t>(1)</w:t>
            </w:r>
          </w:p>
        </w:tc>
        <w:tc>
          <w:tcPr>
            <w:tcW w:w="4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(42.0 )</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(74.9 )</w:t>
            </w:r>
          </w:p>
        </w:tc>
      </w:tr>
      <w:tr>
        <w:trPr>
          <w:trHeight w:val="180"/>
        </w:trPr>
        <w:tc>
          <w:tcPr>
            <w:tcW w:w="55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440" w:type="dxa"/>
            <w:vAlign w:val="bottom"/>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186.6</w:t>
            </w:r>
          </w:p>
        </w:tc>
        <w:tc>
          <w:tcPr>
            <w:tcW w:w="220" w:type="dxa"/>
            <w:vAlign w:val="bottom"/>
          </w:tcPr>
          <w:p>
            <w:pPr>
              <w:spacing w:after="0"/>
              <w:rPr>
                <w:sz w:val="15"/>
                <w:szCs w:val="15"/>
                <w:color w:val="auto"/>
              </w:rPr>
            </w:pPr>
          </w:p>
        </w:tc>
        <w:tc>
          <w:tcPr>
            <w:tcW w:w="160" w:type="dxa"/>
            <w:vAlign w:val="bottom"/>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222.0</w:t>
            </w:r>
          </w:p>
        </w:tc>
        <w:tc>
          <w:tcPr>
            <w:tcW w:w="660" w:type="dxa"/>
            <w:vAlign w:val="bottom"/>
            <w:gridSpan w:val="2"/>
          </w:tcPr>
          <w:p>
            <w:pPr>
              <w:jc w:val="right"/>
              <w:ind w:right="2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108.1</w:t>
            </w:r>
          </w:p>
        </w:tc>
        <w:tc>
          <w:tcPr>
            <w:tcW w:w="100" w:type="dxa"/>
            <w:vAlign w:val="bottom"/>
          </w:tcPr>
          <w:p>
            <w:pPr>
              <w:spacing w:after="0"/>
              <w:rPr>
                <w:sz w:val="15"/>
                <w:szCs w:val="15"/>
                <w:color w:val="auto"/>
              </w:rPr>
            </w:pPr>
          </w:p>
        </w:tc>
      </w:tr>
      <w:tr>
        <w:trPr>
          <w:trHeight w:val="20"/>
        </w:trPr>
        <w:tc>
          <w:tcPr>
            <w:tcW w:w="5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foreign exchange hedging activity.</w:t>
      </w: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70" w:name="page71"/>
    <w:bookmarkEnd w:id="7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80" w:type="dxa"/>
            <w:vAlign w:val="bottom"/>
            <w:gridSpan w:val="6"/>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60" w:type="dxa"/>
            <w:vAlign w:val="bottom"/>
          </w:tcPr>
          <w:p>
            <w:pPr>
              <w:spacing w:after="0"/>
              <w:rPr>
                <w:sz w:val="14"/>
                <w:szCs w:val="14"/>
                <w:color w:val="auto"/>
              </w:rPr>
            </w:pPr>
          </w:p>
        </w:tc>
        <w:tc>
          <w:tcPr>
            <w:tcW w:w="84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80"/>
        </w:trPr>
        <w:tc>
          <w:tcPr>
            <w:tcW w:w="5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from investments</w:t>
            </w:r>
          </w:p>
        </w:tc>
        <w:tc>
          <w:tcPr>
            <w:tcW w:w="2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423.0</w:t>
            </w:r>
          </w:p>
        </w:tc>
        <w:tc>
          <w:tcPr>
            <w:tcW w:w="58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399.1</w:t>
            </w:r>
          </w:p>
        </w:tc>
        <w:tc>
          <w:tcPr>
            <w:tcW w:w="5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285.0</w:t>
            </w:r>
          </w:p>
        </w:tc>
        <w:tc>
          <w:tcPr>
            <w:tcW w:w="80" w:type="dxa"/>
            <w:vAlign w:val="bottom"/>
            <w:shd w:val="clear" w:color="auto" w:fill="CFF0FC"/>
          </w:tcPr>
          <w:p>
            <w:pPr>
              <w:spacing w:after="0"/>
              <w:rPr>
                <w:sz w:val="15"/>
                <w:szCs w:val="15"/>
                <w:color w:val="auto"/>
              </w:rPr>
            </w:pP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 income</w:t>
            </w: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29.3</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5"/>
                <w:szCs w:val="15"/>
                <w:color w:val="auto"/>
              </w:rPr>
            </w:pPr>
          </w:p>
        </w:tc>
      </w:tr>
      <w:tr>
        <w:trPr>
          <w:trHeight w:val="180"/>
        </w:trPr>
        <w:tc>
          <w:tcPr>
            <w:tcW w:w="5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Dividend income</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FF0FC"/>
          </w:tcPr>
          <w:p>
            <w:pPr>
              <w:spacing w:after="0"/>
              <w:rPr>
                <w:sz w:val="15"/>
                <w:szCs w:val="15"/>
                <w:color w:val="auto"/>
              </w:rPr>
            </w:pP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5"/>
                <w:szCs w:val="15"/>
                <w:color w:val="auto"/>
              </w:rPr>
            </w:pPr>
          </w:p>
        </w:tc>
      </w:tr>
      <w:tr>
        <w:trPr>
          <w:trHeight w:val="220"/>
        </w:trPr>
        <w:tc>
          <w:tcPr>
            <w:tcW w:w="5440" w:type="dxa"/>
            <w:vAlign w:val="bottom"/>
            <w:tcBorders>
              <w:bottom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482.5</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438.1</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309.3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Interest from investments, which includes amortization of upfront fees and prepayment fees, increased from $399.1 million for the year ended December 31, 2023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$423.0 million for the year ended December 31, 2024. The increase in interest from investments was primarily the result of a larger average portfolio size for the year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ended December 31, 2024 compared to the same period in 2023. Paid-in-kind interest income increased from $19.7 million for the year ended December 31, 2023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$29.3 million for the year ended December 31, 2024 due to increased PIK election. Dividend income increased from $4.2 million for the year ended December 31,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$11.7 million for the year ended December 31, 2024 due to increased investments in dividend yielding securities in 2024. Other income increased from $15.1 million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2023 to $18.5 million for the year ended December 31, 2024, primarily due to increased amendment and other miscellaneous fees</w:t>
      </w:r>
    </w:p>
    <w:p>
      <w:pPr>
        <w:spacing w:after="0"/>
        <w:rPr>
          <w:sz w:val="20"/>
          <w:szCs w:val="20"/>
          <w:color w:val="auto"/>
        </w:rPr>
      </w:pPr>
      <w:r>
        <w:rPr>
          <w:rFonts w:ascii="Times New Roman" w:cs="Times New Roman" w:eastAsia="Times New Roman" w:hAnsi="Times New Roman"/>
          <w:sz w:val="16"/>
          <w:szCs w:val="16"/>
          <w:color w:val="auto"/>
        </w:rPr>
        <w:t>earned during 2024.</w:t>
      </w:r>
    </w:p>
    <w:p>
      <w:pPr>
        <w:spacing w:after="0" w:line="170"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Interest from investments, which includes amortization of upfront fees and prepayment fees, increased from $285.0 million for the year ended December 31, 2022 to $399.1 million for the year ended December 31, 2023. The increase in interest from investments was primarily the result of an increase in interest earned due to an increase in reference rates for the year ended December 31, 2023 compared to the same period in 2022 and a larger average portfolio size for the year ended December 31, 2023 compared to the same period in 2022. Paid- in-kind interest income increased from $12.6 million for the year ended December 31, 2023 to $19.7 million for the year ended December 31, 2023 due to increased PIK election. Dividend income increased from $2.2 million for the year ended December 31, 2022 to $4.2 million for the year ended December 31, 2023 due to increased investments in dividend yielding securities in 2023. Other income increased from $9.5 million for the year ended December 31, 2022 to $15.1 million for the year ended December 31, 2023, primarily due to increased amendment and other miscellaneous fees earned during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expenses for the years ended December 31, 2024, December 31, 2023 and December 31, 2022 were as follows: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5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80" w:type="dxa"/>
            <w:vAlign w:val="bottom"/>
          </w:tcPr>
          <w:p>
            <w:pPr>
              <w:spacing w:after="0"/>
              <w:rPr>
                <w:sz w:val="14"/>
                <w:szCs w:val="14"/>
                <w:color w:val="auto"/>
              </w:rPr>
            </w:pPr>
          </w:p>
        </w:tc>
        <w:tc>
          <w:tcPr>
            <w:tcW w:w="86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133.7</w:t>
            </w:r>
          </w:p>
        </w:tc>
        <w:tc>
          <w:tcPr>
            <w:tcW w:w="4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Management fees (net of waivers)</w:t>
            </w:r>
          </w:p>
        </w:tc>
        <w:tc>
          <w:tcPr>
            <w:tcW w:w="2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Incentive fees on net investment income</w:t>
            </w:r>
          </w:p>
        </w:tc>
        <w:tc>
          <w:tcPr>
            <w:tcW w:w="28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7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7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Incentive fees on net capital gains</w:t>
            </w:r>
          </w:p>
        </w:tc>
        <w:tc>
          <w:tcPr>
            <w:tcW w:w="28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(5.4 )</w:t>
            </w: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180"/>
        </w:trPr>
        <w:tc>
          <w:tcPr>
            <w:tcW w:w="5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Directors’ fees</w:t>
            </w:r>
          </w:p>
        </w:tc>
        <w:tc>
          <w:tcPr>
            <w:tcW w:w="2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general and administrative</w:t>
            </w: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Expenses</w:t>
            </w:r>
          </w:p>
        </w:tc>
        <w:tc>
          <w:tcPr>
            <w:tcW w:w="2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258.5</w:t>
            </w:r>
          </w:p>
        </w:tc>
        <w:tc>
          <w:tcPr>
            <w:tcW w:w="22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239.3</w:t>
            </w:r>
          </w:p>
        </w:tc>
        <w:tc>
          <w:tcPr>
            <w:tcW w:w="4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Interest</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Interest expense, including other debt financing expenses, increased from $133.7 million for the year ended December 31, 2023 to $154.1 million for the year ended December 31, 2024. This increase was primarily due to an increase in the average interest rate on our debt outstanding and an increase in the average debt outstanding from $1,705.6 million for the year ended December 31, 2023 to $1,882.7 million for the year ended December 31, 2024. The average interest rate on our debt outstanding increased from 7.3% for the year ended December 31, 2023 to 7.5% for the year ended December 31, 2024 due to a change in the mix of our debt financing sources.</w:t>
      </w:r>
    </w:p>
    <w:p>
      <w:pPr>
        <w:spacing w:after="0" w:line="169"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Interest expense, including other debt financing expenses, increased from $63.0 million for the year ended December 31, 2022 to $ 133.7 million for the year ended December 31, 2023. This increase was primarily due to an increase in the average interest rate on our debt outstanding and an increase in the average debt outstanding from $1,342.0 million for the year ended December 31, 2022 to $1,705.6 million for the year ended December 31, 2023. The average interest rate on our debt outstanding increased from 3.9% for the year ended December 31, 2022 to 7.3% for the year ended December 31, 2023 due to a change in the mix of our debt financing sources and a change in SOFR rates.</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1" w:name="page72"/>
    <w:bookmarkEnd w:id="71"/>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Management Fees (gross of waivers) increased from $46.4 million for the year ended December 31, 2023 to $ 51.8 million for the year ended December 31, 2024 due to an increase in average assets. Management Fees (net of waivers) increased from $45.2 million for the year ended December 31, 2023 to $50.3 million for the year ended December 31, 2024. Management Fees waived were $1.5 million for the year ended December 31, 2024, pursuant to the Leverage Waiver. Management Fees waived were $1.2 million for the year ended December 31, 2023 pursuant to the Leverage Waiver. Any waived management fees are not subject to recoupment by the Adviser.</w:t>
      </w:r>
    </w:p>
    <w:p>
      <w:pPr>
        <w:spacing w:after="0" w:line="169"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Management Fees (gross of waivers) increased from $39.9 million for the year ended December 31, 2022 to $ 46.4 million for the year ended December 31, 2023 due to an increase in average assets. Management Fees (net of waivers) increased from $39.5 million for the year ended December 31, 2022 to $45.2 million for the year ended December 31, 2023. Management Fees waived were $1.2 million for the year ended December 31, 2023, pursuant to the Leverage Waiver. Management Fees waived were $0.4 million for the year ended December 31, 2022 pursuant to the Leverage Waiver. Any waived management fees are not subject to recoupment by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Incentive Fees were $40.2 million, $47.0 million and $24.5 million, respectively, of which $45.5 million, $42.6 million, and $33.4 million, respectively, were realized and payable to the Adviser. The increase in Incentive Fees from 2023 to 2024 was primarily due to a larger average portfolio size for the year ended December 31, 2024 compared to the same period in 2023. For the years ended December 31, 2024, December 31, 2023 and December 31, 2022, $(5.4) million, $ 4.4 million, and $ (8.9) million, respectively, of Incentive Fees were accrued related to Capital Gains Fees. As of December 31, 2024, these accrued Incentive Fees are not contractually payable to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Professional Fees and Other General and Administrative Expenses</w:t>
      </w:r>
    </w:p>
    <w:p>
      <w:pPr>
        <w:spacing w:after="0" w:line="9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Professional fees increased from $7.3 million for the year ended December 31, 2023 to $ 7.5 million for the year ended December 31, 2024 due to higher legal fees, higher independent third- party valuation firm fees and higher sub-agent administration costs due to a larger portfolio. Other general and administrative fees increased from $5.3 million for the year ended December 31, 2023 to $5.5 million for the year ended December 31, 2024.</w:t>
      </w:r>
    </w:p>
    <w:p>
      <w:pPr>
        <w:spacing w:after="0" w:line="164"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Professional fees increased from $7.2 million for the year ended December 31, 2022 to $ 7.3 million for the year ended December 31, 2023 due to higher legal fees, higher independent third- party valuation firm fees and higher sub-agent administration costs due to a larger portfolio. Other general and administrative fees decreased from $5.5 million for the year ended December 31, 2022 to $5.3 million for the year ended December 31, 2023 primarily driven by a decrease in administrative services incurred under the Administration Agreement.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Including Excise Taxes</w:t>
      </w:r>
    </w:p>
    <w:p>
      <w:pPr>
        <w:spacing w:after="0" w:line="96"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67"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67"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For the calendar years ended December 31, 2024, December 31, 2023 and December 31, 2022 we recorded a net expense of $3.9 million, $2.4 million and $2.6 million, respectively, for U.S. federal excise tax and other taxes.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2" w:name="page73"/>
    <w:bookmarkEnd w:id="72"/>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and Unrealized Gains and Losses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our net realized and unrealized gains (losses) for the years ended December 31, 2024, December 31, 2023 and December 31, 2022:</w:t>
      </w:r>
    </w:p>
    <w:p>
      <w:pPr>
        <w:spacing w:after="0" w:line="223"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gridSpan w:val="6"/>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6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investments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foreign currency transactions</w:t>
            </w:r>
          </w:p>
        </w:tc>
        <w:tc>
          <w:tcPr>
            <w:tcW w:w="260" w:type="dxa"/>
            <w:vAlign w:val="bottom"/>
          </w:tcPr>
          <w:p>
            <w:pPr>
              <w:spacing w:after="0"/>
              <w:rPr>
                <w:sz w:val="15"/>
                <w:szCs w:val="15"/>
                <w:color w:val="auto"/>
              </w:rPr>
            </w:pPr>
          </w:p>
        </w:tc>
        <w:tc>
          <w:tcPr>
            <w:tcW w:w="11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(1.2 )</w:t>
            </w: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foreign currency investments</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(4.3 )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(0.5 )</w:t>
            </w:r>
          </w:p>
        </w:tc>
        <w:tc>
          <w:tcPr>
            <w:tcW w:w="3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foreign currency borrowings</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interest rate swaps</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Realized Gains (Losses)</w:t>
            </w:r>
          </w:p>
        </w:tc>
        <w:tc>
          <w:tcPr>
            <w:tcW w:w="26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5"/>
                <w:szCs w:val="15"/>
                <w:color w:val="auto"/>
              </w:rPr>
            </w:pPr>
          </w:p>
        </w:tc>
        <w:tc>
          <w:tcPr>
            <w:tcW w:w="26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12.4</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5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gains on investments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20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75.3</w:t>
            </w:r>
          </w:p>
        </w:tc>
        <w:tc>
          <w:tcPr>
            <w:tcW w:w="200" w:type="dxa"/>
            <w:vAlign w:val="bottom"/>
          </w:tcPr>
          <w:p>
            <w:pPr>
              <w:spacing w:after="0"/>
              <w:rPr>
                <w:sz w:val="15"/>
                <w:szCs w:val="15"/>
                <w:color w:val="auto"/>
              </w:rPr>
            </w:pPr>
          </w:p>
        </w:tc>
        <w:tc>
          <w:tcPr>
            <w:tcW w:w="3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(losses) on investments</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(101.7 )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(56.4 )</w:t>
            </w:r>
          </w:p>
        </w:tc>
        <w:tc>
          <w:tcPr>
            <w:tcW w:w="3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(98.7 )</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560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(52.8 )</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tcPr>
          <w:p>
            <w:pPr>
              <w:spacing w:after="0"/>
              <w:rPr>
                <w:sz w:val="16"/>
                <w:szCs w:val="16"/>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(76.4 )</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gains (losses) on foreign currency borrowings</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(6.0 )</w:t>
            </w:r>
          </w:p>
        </w:tc>
        <w:tc>
          <w:tcPr>
            <w:tcW w:w="3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Unrealized gains (losses) on foreign currency cash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(0.3 )</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gains (losses) on interest rate swaps</w:t>
            </w:r>
          </w:p>
        </w:tc>
        <w:tc>
          <w:tcPr>
            <w:tcW w:w="26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on unrealized gains (losses)</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(2.6 )</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560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 Foreign</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Currency Transactions and Interest Rate Swaps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tcPr>
          <w:p>
            <w:pPr>
              <w:spacing w:after="0"/>
              <w:rPr>
                <w:sz w:val="16"/>
                <w:szCs w:val="16"/>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(5.7 )</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Change in Unrealized Gains (Losses)</w:t>
            </w:r>
          </w:p>
        </w:tc>
        <w:tc>
          <w:tcPr>
            <w:tcW w:w="26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 xml:space="preserve">(42.0 </w:t>
            </w:r>
            <w:r>
              <w:rPr>
                <w:rFonts w:ascii="Times New Roman" w:cs="Times New Roman" w:eastAsia="Times New Roman" w:hAnsi="Times New Roman"/>
                <w:sz w:val="18"/>
                <w:szCs w:val="18"/>
                <w:color w:val="auto"/>
                <w:vertAlign w:val="subscript"/>
              </w:rPr>
              <w:t>)</w:t>
            </w:r>
          </w:p>
        </w:tc>
        <w:tc>
          <w:tcPr>
            <w:tcW w:w="26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13.2</w:t>
            </w:r>
          </w:p>
        </w:tc>
        <w:tc>
          <w:tcPr>
            <w:tcW w:w="200" w:type="dxa"/>
            <w:vAlign w:val="bottom"/>
          </w:tcPr>
          <w:p>
            <w:pPr>
              <w:spacing w:after="0"/>
              <w:rPr>
                <w:sz w:val="15"/>
                <w:szCs w:val="15"/>
                <w:color w:val="auto"/>
              </w:rPr>
            </w:pPr>
          </w:p>
        </w:tc>
        <w:tc>
          <w:tcPr>
            <w:tcW w:w="320" w:type="dxa"/>
            <w:vAlign w:val="bottom"/>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(74.9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(1)Value sums to less than 0.1 million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66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we had net realized gains on investments of $9.0 million, $12.2 million and $14.7 million, respectively. For the year ended December 31, 2024, we had net realized losses of $1.2 million, for the year ended December 31, 2023, we had net realized gains of $0.2 million and for the year ended December 31, 2022, we had net realized losses of $0.1 million, respectively, on foreign currency transactions, primarily as a result of translating foreign currency related to our non-USD denominated investments. For the years ended December 31, 2024, December 31, 2023 and December 31, 2022, we had net realized losses on foreign currency investments of $4.3 million, $0.5 million and $0.7 million, respectively. For the years ended December 31, 2024, December 31, 2023, and December 31, 2022, we had net realized gains on foreign currency borrowings of $5.1 million, $ 0.5 million and $0.5 million, respectively. The net realized gains on foreign currency borrowings were a result of payments on our revolving credit facility. For the years ended December 31, 2024 and December 31, 2023 there was no net realized gain or loss on interest rate swaps, respectively, and for the year ended December 31, 2022 there was a net realized gain of $2.3 million on interest rate swaps.</w:t>
      </w:r>
    </w:p>
    <w:p>
      <w:pPr>
        <w:spacing w:after="0" w:line="170"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2024, we had $48.9 million in unrealized gains on 70 portfolio company investments, which was offset by $101.7 million in unrealized losses on 100 portfolio company investments. Unrealized gains for the year ended December 31, 2024 resulted from tightening credit spreads and positive portfolio company specific developments. Unrealized losses for the year ended December 31, 2024 resulted from negative portfolio company specific developments and the reversal of prior period unrealized gains due to realizations.</w:t>
      </w:r>
    </w:p>
    <w:p>
      <w:pPr>
        <w:spacing w:after="0" w:line="167"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2023, we had $75.3 million in unrealized gains on 130 portfolio company investments, which was offset by $56.4 million in unrealized losses on 21 portfolio company investments. Unrealized gains for the year ended December 31, 2023 resulted from an increase in fair value, primarily due to positive valuation adjustments, unwind of prior period unrealized losses, and changes in credit spreads. Unrealized losses for the year ended December 31, 2023 resulted from the reversal of prior period unrealized gains due to realizations and negative credit-related adjustments.</w:t>
      </w:r>
    </w:p>
    <w:p>
      <w:pPr>
        <w:spacing w:after="0" w:line="167"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2022, we had $22.3 million in unrealized gains on 26 portfolio company investments, which was offset by $98.7 million in unrealized losses on 106 portfolio company investments. Unrealized gains for the year ended December 31, 2022 resulted from an increase in fair value, primarily due to positive valuation adjustments, unwind of prior period unrealized losses, and changes in credit spreads. Unrealized losses for the year ended December 31, 2022 resulted from the reversal of prior period unrealized gains due to realizations, negative credit-related adjustments and changes in credit spreads.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3" w:name="page74"/>
    <w:bookmarkEnd w:id="73"/>
    <w:p>
      <w:pPr>
        <w:spacing w:after="0" w:line="6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2024, we had unrealized gains on foreign currency borrowings of $13.4 million, primarily as a result of fluctuations in the AUD, CAD, SEK, GBP and EUR exchange rates. For the years ended December 31, 2023 and 2022, we had an unrealized loss on foreign currency borrowings of $6.0 million and an unrealized gain on foreign currency borrowings of $8.4 million, respectively, primarily as a result of fluctuations in the AUD, CAD, GBP and EUR exchange rates. For the years ended December 31, 2024, December 31, 2023 and December 31, 2022, we had unrealized losses of less than $0.1 million, unrealized loss of $0.3 million, and an unrealized gain of $0.3 million, respectively, on foreign currency cash. For the year ended December 31, 2024, December 31, 2023 and December 31, 2022, we had no unrealized gains or losses on interest rate swaps, an unrealized gain on interest swaps of $0.1 million and an unrealized loss on interest swaps of $6.6 million, respectively, due to fluctuations in interest rates.</w:t>
      </w:r>
    </w:p>
    <w:p>
      <w:pPr>
        <w:spacing w:after="0" w:line="170"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2024, we had a deferred tax liability of $5.2 million pertaining to net unrealized gains, related to eight of our investments. Given the unrealized gains generated by this entity, the deferred tax liability has been offset by a deferred tax asset of $0.6 million pertaining to operating losses. We recorded a current tax expense of $0.2 million and a deferred tax expense of $2.6 million for the year ended December 31, 2024.</w:t>
      </w:r>
    </w:p>
    <w:p>
      <w:pPr>
        <w:spacing w:after="0" w:line="164"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we had a deferred tax liability of $2.8 million pertaining to net unrealized gains, related to seven of our investments. Given the unrealized gains generated by this entity, the deferred tax liability has been offset by a deferred tax asset of $0.9 million pertaining to operating losses. We recorded a current tax expense of $0.1 million and a deferred tax benefit of $0.6 million for the year ended December 31, 2023.</w:t>
      </w:r>
    </w:p>
    <w:p>
      <w:pPr>
        <w:spacing w:after="0" w:line="16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2022, we had a deferred tax liability of $3.3 million pertaining to net unrealized gains, related to eight of our investments. Given the unrealized gains generated by this entity, the deferred tax liability has been offset by a deferred tax asset of $0.8 million pertaining to operating losses.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Realized Gross Internal Rate of Return</w:t>
      </w:r>
    </w:p>
    <w:p>
      <w:pPr>
        <w:spacing w:after="0" w:line="96" w:lineRule="exact"/>
        <w:rPr>
          <w:sz w:val="20"/>
          <w:szCs w:val="20"/>
          <w:color w:val="auto"/>
        </w:rPr>
      </w:pPr>
    </w:p>
    <w:p>
      <w:pPr>
        <w:jc w:val="both"/>
        <w:ind w:right="480" w:firstLine="228"/>
        <w:spacing w:after="0" w:line="247" w:lineRule="auto"/>
        <w:rPr>
          <w:sz w:val="20"/>
          <w:szCs w:val="20"/>
          <w:color w:val="auto"/>
        </w:rPr>
      </w:pPr>
      <w:r>
        <w:rPr>
          <w:rFonts w:ascii="Times New Roman" w:cs="Times New Roman" w:eastAsia="Times New Roman" w:hAnsi="Times New Roman"/>
          <w:sz w:val="16"/>
          <w:szCs w:val="16"/>
          <w:color w:val="auto"/>
        </w:rPr>
        <w:t>Since we began investing in 2011 through December 31, 2024, weighted by capital invested, our exited investments have generated an average realized gross internal rate of return to us of 17.1% (based on total capital invested of $7.9 billion and total proceeds from these exited investments of $10.0 billion). Ninety-two percent of these exited investments resulted in a realized gross internal rate of return to us of 10% or greater.</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is the average of the gross IRR for each of our exited investments (each calculated as described above), weighted by the total capital invested for each of those investments.</w:t>
      </w:r>
    </w:p>
    <w:p>
      <w:pPr>
        <w:spacing w:after="0" w:line="15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on our exited investments reflects only invested and realized cash amounts as described above, and does not reflect any unrealized gains or losses in our portfolio.</w:t>
      </w:r>
    </w:p>
    <w:p>
      <w:pPr>
        <w:spacing w:after="0" w:line="155"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4" w:name="page75"/>
    <w:bookmarkEnd w:id="74"/>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Foreign Currency Hedging</w:t>
      </w:r>
    </w:p>
    <w:p>
      <w:pPr>
        <w:spacing w:after="0" w:line="96"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1"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years ended December 31, 2024, December 31, 2023 and December 31, 2022, we had $13.4 million of unrealized gains, $ 6.0 million of unrealized losses and $8.4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2024, December 31, 2023 and December 31, 2022. See Note 2 for additional disclosure regarding our accounting for foreign currency. See Note 7 for additional disclosure regarding the amounts of outstanding debt denominated in each foreign currency at December 31, 2024. See our Consolidated Schedule of Investments for additional disclosure regarding the foreign currency amounts (in both par and fair value) of our non-U.S. dollar denominated investments.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liquidity and capital resources are derived primarily from proceeds from equity issuances, advances from our credit facilities, and cash flows from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uses of our cash and cash equivalents are:</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in portfolio companies and other investments and to comply with certain portfolio diversification requirements;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cost of operations (including paying our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repayment, and other financing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dividends to the holders of our shares.</w:t>
      </w:r>
    </w:p>
    <w:p>
      <w:pPr>
        <w:spacing w:after="0" w:line="188"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16"/>
          <w:szCs w:val="16"/>
          <w:i w:val="1"/>
          <w:iCs w:val="1"/>
          <w:color w:val="auto"/>
        </w:rPr>
        <w:t>Key Components of Our Results of Operations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Leverage</w:t>
      </w:r>
      <w:r>
        <w:rPr>
          <w:rFonts w:ascii="Times New Roman" w:cs="Times New Roman" w:eastAsia="Times New Roman" w:hAnsi="Times New Roman"/>
          <w:sz w:val="16"/>
          <w:szCs w:val="16"/>
          <w:color w:val="auto"/>
        </w:rPr>
        <w:t>” above. As of December 31, 2024, December 31, 2023 and December 31, 2022, our asset coverage ratio was 182.5%, 181.6%, and 188.6%, respectively.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0"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Cash and cash equivalents as of December 31, 2024, taken together with cash available under our credit facilities, is expected to be sufficient for our investing activities and to conduct our operations in the near term. As of December 31, 2024, we had approximately $0.7 billion of availability on our Revolving Credit Facility, subject to asset coverage limitations.</w:t>
      </w:r>
    </w:p>
    <w:p>
      <w:pPr>
        <w:spacing w:after="0" w:line="164" w:lineRule="exact"/>
        <w:rPr>
          <w:sz w:val="20"/>
          <w:szCs w:val="20"/>
          <w:color w:val="auto"/>
        </w:rPr>
      </w:pPr>
    </w:p>
    <w:p>
      <w:pPr>
        <w:jc w:val="both"/>
        <w:ind w:right="20"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2024, we had $27.3 million in cash and cash equivalents, including $22.4 million of restricted cash. During the year ended December 31, 2024, cash used in operating activities was $45.5 million, primarily attributable to funding portfolio investments of $ 1,096.1 million, which was partially offset by repayments and proceeds from investments of $863.4 million, an increase in net assets resulting from operations of $186.6 million and other operating activity of $0.7 million. Cash provided by financing activities was $47.6 million during the period due to borrowings of $1,784.9 million and proceeds from issuance of common stock, net of offering and underwriting costs of $93.3 million, which was partially offset by paydowns on our Revolving Credit Facility of $1,653.1 million, dividends paid of $168.7 million and deferred financing costs of $8.8 million.</w:t>
      </w:r>
    </w:p>
    <w:p>
      <w:pPr>
        <w:spacing w:after="0" w:line="1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2023, we had $25.2 million in cash and cash equivalents, including $24.0 million of restricted cash. During the year ended December 31, 2023, cash used in operating activities was $236.8 million, primarily attributable to funding portfolio investments of $943.5 million and other operating activity of $30.0 million, which was partially offset by repayments and proceeds from investments of $514.7 million and an increase in net assets resulting from operations of $222.0 million. Cash provided by financing activities was $236.3 million during the period due to borrowings of $1,546.2 million and proceeds from issuance of common stock, net of offering and underwriting costs of $89.2 million, which was partially offset by paydowns on our Revolving Credit Facility of $1,233.3 million, dividends paid of $156.4 million and deferred financing costs of $9.4 million.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5" w:name="page76"/>
    <w:bookmarkEnd w:id="75"/>
    <w:p>
      <w:pPr>
        <w:spacing w:after="0" w:line="65"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2022, we had $25.6 million in cash and cash equivalents, including $15.4 million of restricted cash. During the year ended December 31, 2022, cash used in operating activities was $224.5 million, primarily attributable to funding portfolio investments of $995.6 million, and other operating activity of $36.2 million which was partially offset by repayments and proceeds from investments of $699.3 million and an increase in net assets resulting from operations of $108.0 million. Cash provided by financing activities was $234.2 million during the period due to borrowings of $1,329.8 million and proceeds from the issuance of common stock as settlement of a portion of the 2022 Convertible Notes at maturity of $77.6 million, which was partially offset by paydowns on our Revolving Credit Facility of $918.1 million, dividends paid of $144.3 million, settlement of $100.0 million of principal on the 2022 Convertible Notes, repurchases of common stock of $6.2 million, and deferred financing costs of $4.3 million.</w:t>
      </w:r>
    </w:p>
    <w:p>
      <w:pPr>
        <w:spacing w:after="0" w:line="170"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we had $22.4 million restricted cash pledged as collateral under our interest rate swap agreements, compared to $24.0 million for the year ended December 31,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192"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May 2023, we issued a total of 4,500,000 shares of common stock at $ 17.33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total cash proceeds of $11.7 million.</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On March 5, 2024, we issued a total of 4,000,000 shares of common stock at $20.52 per share. Net of underwriting fees and offering costs, we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During the years ended December 31, 2024 and December 31, 2023, we issued 1,231,937 and 1,265,212 shares of our common stock, respectively, to investors who have not opted out of our dividend reinvestment plan for proceeds of $24.7 million and $23.5 million, respectively.</w:t>
      </w:r>
    </w:p>
    <w:p>
      <w:pPr>
        <w:spacing w:after="0" w:line="155" w:lineRule="exact"/>
        <w:rPr>
          <w:sz w:val="20"/>
          <w:szCs w:val="20"/>
          <w:color w:val="auto"/>
        </w:rPr>
      </w:pPr>
    </w:p>
    <w:p>
      <w:pPr>
        <w:ind w:right="180" w:firstLine="228"/>
        <w:spacing w:after="0" w:line="243" w:lineRule="auto"/>
        <w:rPr>
          <w:sz w:val="20"/>
          <w:szCs w:val="20"/>
          <w:color w:val="auto"/>
        </w:rPr>
      </w:pPr>
      <w:r>
        <w:rPr>
          <w:rFonts w:ascii="Times New Roman" w:cs="Times New Roman" w:eastAsia="Times New Roman" w:hAnsi="Times New Roman"/>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2024. The amount and timing of stock repurchases under the program may vary depending on market conditions, and no assurance can be given that any particular amount of common stock will be repurchased.</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 ended December 31, 2024 and December 31, 2023, no shares were repurchased.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08"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aggregate commitments under the facility were $1.7 billion. The facility includes an uncommitted accordion feature that allows the Company, under certain circumstances, to increase the size of the facility to up to $2.0 billion.</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Pursuant to the Fourteenth Amendment, with respect to $1.465 billion in commitments, the revolving period, during which period the Company, subject to certain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conditions, may make borrowings under the facility, was extended to June 11, 2027 and the stated maturity date was extended to June 12, 2028. For the remaining</w:t>
      </w:r>
    </w:p>
    <w:p>
      <w:pPr>
        <w:spacing w:after="0" w:line="234" w:lineRule="auto"/>
        <w:rPr>
          <w:sz w:val="20"/>
          <w:szCs w:val="20"/>
          <w:color w:val="auto"/>
        </w:rPr>
      </w:pPr>
      <w:r>
        <w:rPr>
          <w:rFonts w:ascii="Times New Roman" w:cs="Times New Roman" w:eastAsia="Times New Roman" w:hAnsi="Times New Roman"/>
          <w:sz w:val="16"/>
          <w:szCs w:val="16"/>
          <w:color w:val="auto"/>
        </w:rPr>
        <w:t>$245.0 million of commitments, (A) with respect to $25.0 million of commitments, the revolving period ends January 31, 2024 and the stated maturity is January 31,</w:t>
      </w:r>
    </w:p>
    <w:p>
      <w:pPr>
        <w:spacing w:after="0" w:line="235" w:lineRule="auto"/>
        <w:rPr>
          <w:sz w:val="20"/>
          <w:szCs w:val="20"/>
          <w:color w:val="auto"/>
        </w:rPr>
      </w:pPr>
      <w:r>
        <w:rPr>
          <w:rFonts w:ascii="Times New Roman" w:cs="Times New Roman" w:eastAsia="Times New Roman" w:hAnsi="Times New Roman"/>
          <w:sz w:val="16"/>
          <w:szCs w:val="16"/>
          <w:color w:val="auto"/>
        </w:rPr>
        <w:t>2025, and (B) with respect to $50.0 million of commitments, the revolving period ends on February 4, 2025 and the stated maturity is February 4, 2026 and (C)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 to $170.0 million of commitments, the revolving period ends April 24, 2026 and the stated maturity is April 23, 2027.</w:t>
      </w:r>
    </w:p>
    <w:p>
      <w:pPr>
        <w:spacing w:after="0" w:line="170"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6" w:name="page77"/>
    <w:bookmarkEnd w:id="76"/>
    <w:p>
      <w:pPr>
        <w:spacing w:after="0" w:line="65"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December 31, 2024, we had outstanding debt denominated in Australian dollars (AUD) of 63.0 million, British pounds (GBP) of 62.4 million, Canadian dollars (CAD) of 5.0 million, Swedish Krona (SEK) of 80.2 million and Euro (EUR) of 167.2 million on our Revolving Credit Facility, included in the Outstanding Principal amount in the table below. As of December 31, 2023, we had outstanding debt denominated in Australian dollars (AUD) of 66.4 million, British pounds (GBP) of 32.3 million, Canadian dollars (CAD) of 96.8 million, and Euro (EUR) of 57.2 million on our Revolving Credit Facility, included in the Outstanding Principal amount in the table above.</w:t>
      </w:r>
    </w:p>
    <w:p>
      <w:pPr>
        <w:spacing w:after="0" w:line="169"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December 31, 2024 and December 31, 2023, we had $21.8 million and $0.2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73"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Fourteenth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1.5 to 1 on the last day of any fiscal quarter;</w:t>
      </w:r>
    </w:p>
    <w:p>
      <w:pPr>
        <w:spacing w:after="0" w:line="92" w:lineRule="exact"/>
        <w:rPr>
          <w:sz w:val="20"/>
          <w:szCs w:val="20"/>
          <w:color w:val="auto"/>
        </w:rPr>
      </w:pPr>
    </w:p>
    <w:p>
      <w:pPr>
        <w:ind w:left="240" w:right="2520"/>
        <w:spacing w:after="0" w:line="259" w:lineRule="auto"/>
        <w:rPr>
          <w:sz w:val="20"/>
          <w:szCs w:val="20"/>
          <w:color w:val="auto"/>
        </w:rPr>
      </w:pPr>
      <w:r>
        <w:rPr>
          <w:rFonts w:ascii="Times New Roman" w:cs="Times New Roman" w:eastAsia="Times New Roman" w:hAnsi="Times New Roman"/>
          <w:sz w:val="16"/>
          <w:szCs w:val="16"/>
          <w:color w:val="auto"/>
        </w:rPr>
        <w:t>•stockholders’ equity of at least $650 million plus 25% of the net proceeds of the sale of equity interests after April 24, 2024; and</w:t>
      </w:r>
    </w:p>
    <w:p>
      <w:pPr>
        <w:spacing w:after="0" w:line="59" w:lineRule="exact"/>
        <w:rPr>
          <w:sz w:val="20"/>
          <w:szCs w:val="20"/>
          <w:color w:val="auto"/>
        </w:rPr>
      </w:pPr>
    </w:p>
    <w:p>
      <w:pPr>
        <w:ind w:left="240" w:right="420"/>
        <w:spacing w:after="0" w:line="299" w:lineRule="auto"/>
        <w:rPr>
          <w:sz w:val="20"/>
          <w:szCs w:val="20"/>
          <w:color w:val="auto"/>
        </w:rPr>
      </w:pPr>
      <w:r>
        <w:rPr>
          <w:rFonts w:ascii="Times New Roman" w:cs="Times New Roman" w:eastAsia="Times New Roman" w:hAnsi="Times New Roman"/>
          <w:sz w:val="14"/>
          <w:szCs w:val="14"/>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31"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Net proceeds received from the Company’s common stock issuances in February 2024 and April 2024 and net proceeds received from the issuance of the 2029 Notes were used to pay down borrowings on the Revolving Credit Facility.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and December 31, 2023, the Company was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Convertible Notes</w:t>
      </w:r>
    </w:p>
    <w:p>
      <w:pPr>
        <w:spacing w:after="0" w:line="94"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In February 2017, we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we issued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our 2022 Convertible Notes issued in February 2017.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7" w:name="page78"/>
    <w:bookmarkEnd w:id="77"/>
    <w:p>
      <w:pPr>
        <w:ind w:firstLine="228"/>
        <w:spacing w:after="0" w:line="239" w:lineRule="auto"/>
        <w:rPr>
          <w:sz w:val="20"/>
          <w:szCs w:val="20"/>
          <w:color w:val="auto"/>
        </w:rPr>
      </w:pPr>
      <w:r>
        <w:rPr>
          <w:rFonts w:ascii="Times New Roman" w:cs="Times New Roman" w:eastAsia="Times New Roman" w:hAnsi="Times New Roman"/>
          <w:sz w:val="16"/>
          <w:szCs w:val="16"/>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us,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we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In January 2018, we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69" w:lineRule="exact"/>
        <w:rPr>
          <w:sz w:val="20"/>
          <w:szCs w:val="20"/>
          <w:color w:val="auto"/>
        </w:rPr>
      </w:pPr>
    </w:p>
    <w:p>
      <w:pPr>
        <w:ind w:right="120" w:firstLine="228"/>
        <w:spacing w:after="0" w:line="289" w:lineRule="auto"/>
        <w:rPr>
          <w:sz w:val="20"/>
          <w:szCs w:val="20"/>
          <w:color w:val="auto"/>
        </w:rPr>
      </w:pPr>
      <w:r>
        <w:rPr>
          <w:rFonts w:ascii="Times New Roman" w:cs="Times New Roman" w:eastAsia="Times New Roman" w:hAnsi="Times New Roman"/>
          <w:sz w:val="14"/>
          <w:szCs w:val="14"/>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37" w:lineRule="exact"/>
        <w:rPr>
          <w:sz w:val="20"/>
          <w:szCs w:val="20"/>
          <w:color w:val="auto"/>
        </w:rPr>
      </w:pPr>
    </w:p>
    <w:p>
      <w:pPr>
        <w:ind w:right="200" w:firstLine="228"/>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2020, we repurchased on the open market and extinguished $ 2.5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pacing w:after="0" w:line="16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Company's 2024 Notes matured on November 1, 2024 and were fully repaid. The corresponding swap transaction associated with the issuance of the 2024 Notes also matured on November 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6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December 31, 2024 and December 31, 2023, the effective hedge interest rate swaps had a fair value of $(17.6) million and $(26.1) million, respectively, which is offset within interest expense by an equal, but opposite, fair value change for the hedged risk on the 2026 Notes.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78" w:name="page79"/>
    <w:bookmarkEnd w:id="7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On August 14, 2023, we issued $ 300.0 million aggregate principal amount of unsecured notes that mature on August 14, 2028 (the “2028 Notes”). The principal amount of the 2028 Notes is payable at maturity. The 2028 Notes bear interest at a rate of 6.95% per year, payable semi -annually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December 31, 2024 and December 31, 2023, the effective hedge interest rate swaps had a fair value of $(1.4) million and $4.7 million, respectively, which is offset within interest expense by an equal, but opposite, fair value change for the hedged risk on the 2028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On January 8, 2024, the Company issued $350.0 million aggregate principal amount of unsecured notes that mature on March 1, 2029 (the “2029 Notes”). The principal amount of the 2029 Notes is payable at maturity. The 2029 Notes bear interest at a rate of 6.125% per year, payable semi- 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169" w:lineRule="exact"/>
        <w:rPr>
          <w:sz w:val="20"/>
          <w:szCs w:val="20"/>
          <w:color w:val="auto"/>
        </w:rPr>
      </w:pPr>
    </w:p>
    <w:p>
      <w:pPr>
        <w:ind w:right="100"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December 31, 2024, the effective hedge interest rate swaps had a fair value of $(5.2) million which is offset within interest expense by an equal, but opposite, fair value change for the hedged risk on the 2029 Notes.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2024 and December 31, 2023:</w:t>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gridSpan w:val="5"/>
          </w:tcPr>
          <w:p>
            <w:pPr>
              <w:jc w:val="right"/>
              <w:ind w:right="11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80" w:type="dxa"/>
            <w:vAlign w:val="bottom"/>
          </w:tcPr>
          <w:p>
            <w:pPr>
              <w:spacing w:after="0"/>
              <w:rPr>
                <w:sz w:val="12"/>
                <w:szCs w:val="12"/>
                <w:color w:val="auto"/>
              </w:rPr>
            </w:pPr>
          </w:p>
        </w:tc>
        <w:tc>
          <w:tcPr>
            <w:tcW w:w="1280" w:type="dxa"/>
            <w:vAlign w:val="bottom"/>
            <w:gridSpan w:val="2"/>
          </w:tcPr>
          <w:p>
            <w:pPr>
              <w:jc w:val="right"/>
              <w:ind w:right="48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2"/>
                <w:szCs w:val="12"/>
                <w:color w:val="auto"/>
              </w:rPr>
            </w:pPr>
          </w:p>
        </w:tc>
        <w:tc>
          <w:tcPr>
            <w:tcW w:w="1260" w:type="dxa"/>
            <w:vAlign w:val="bottom"/>
            <w:gridSpan w:val="2"/>
          </w:tcPr>
          <w:p>
            <w:pPr>
              <w:jc w:val="right"/>
              <w:ind w:right="58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10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8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5"/>
                <w:szCs w:val="15"/>
                <w:color w:val="auto"/>
              </w:rPr>
            </w:pPr>
          </w:p>
        </w:tc>
        <w:tc>
          <w:tcPr>
            <w:tcW w:w="1260" w:type="dxa"/>
            <w:vAlign w:val="bottom"/>
            <w:gridSpan w:val="2"/>
          </w:tcPr>
          <w:p>
            <w:pPr>
              <w:jc w:val="right"/>
              <w:ind w:right="48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5"/>
                <w:szCs w:val="15"/>
                <w:color w:val="auto"/>
              </w:rPr>
            </w:pPr>
          </w:p>
        </w:tc>
        <w:tc>
          <w:tcPr>
            <w:tcW w:w="1100" w:type="dxa"/>
            <w:vAlign w:val="bottom"/>
            <w:gridSpan w:val="2"/>
          </w:tcPr>
          <w:p>
            <w:pPr>
              <w:jc w:val="right"/>
              <w:ind w:right="4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37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1,004.1</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674.2</w:t>
            </w:r>
          </w:p>
        </w:tc>
        <w:tc>
          <w:tcPr>
            <w:tcW w:w="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988.6</w:t>
            </w:r>
          </w:p>
        </w:tc>
      </w:tr>
      <w:tr>
        <w:trPr>
          <w:trHeight w:val="180"/>
        </w:trPr>
        <w:tc>
          <w:tcPr>
            <w:tcW w:w="37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00" w:type="dxa"/>
            <w:vAlign w:val="bottom"/>
          </w:tcPr>
          <w:p>
            <w:pPr>
              <w:spacing w:after="0"/>
              <w:rPr>
                <w:sz w:val="15"/>
                <w:szCs w:val="15"/>
                <w:color w:val="auto"/>
              </w:rPr>
            </w:pPr>
          </w:p>
        </w:tc>
        <w:tc>
          <w:tcPr>
            <w:tcW w:w="14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5"/>
                <w:szCs w:val="15"/>
                <w:color w:val="auto"/>
              </w:rPr>
            </w:pPr>
          </w:p>
        </w:tc>
        <w:tc>
          <w:tcPr>
            <w:tcW w:w="12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280.5</w:t>
            </w:r>
          </w:p>
        </w:tc>
      </w:tr>
      <w:tr>
        <w:trPr>
          <w:trHeight w:val="180"/>
        </w:trPr>
        <w:tc>
          <w:tcPr>
            <w:tcW w:w="37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294.1</w:t>
            </w:r>
          </w:p>
        </w:tc>
      </w:tr>
      <w:tr>
        <w:trPr>
          <w:trHeight w:val="180"/>
        </w:trPr>
        <w:tc>
          <w:tcPr>
            <w:tcW w:w="37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00" w:type="dxa"/>
            <w:vAlign w:val="bottom"/>
          </w:tcPr>
          <w:p>
            <w:pPr>
              <w:spacing w:after="0"/>
              <w:rPr>
                <w:sz w:val="15"/>
                <w:szCs w:val="15"/>
                <w:color w:val="auto"/>
              </w:rPr>
            </w:pPr>
          </w:p>
        </w:tc>
        <w:tc>
          <w:tcPr>
            <w:tcW w:w="14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8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200" w:type="dxa"/>
            <w:vAlign w:val="bottom"/>
          </w:tcPr>
          <w:p>
            <w:pPr>
              <w:spacing w:after="0"/>
              <w:rPr>
                <w:sz w:val="15"/>
                <w:szCs w:val="15"/>
                <w:color w:val="auto"/>
              </w:rPr>
            </w:pPr>
          </w:p>
        </w:tc>
        <w:tc>
          <w:tcPr>
            <w:tcW w:w="12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337.9</w:t>
            </w:r>
          </w:p>
        </w:tc>
      </w:tr>
      <w:tr>
        <w:trPr>
          <w:trHeight w:val="200"/>
        </w:trPr>
        <w:tc>
          <w:tcPr>
            <w:tcW w:w="378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2,650.0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674.2</w:t>
            </w:r>
          </w:p>
        </w:tc>
        <w:tc>
          <w:tcPr>
            <w:tcW w:w="22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1,901.1</w:t>
            </w:r>
          </w:p>
        </w:tc>
        <w:tc>
          <w:tcPr>
            <w:tcW w:w="100" w:type="dxa"/>
            <w:vAlign w:val="bottom"/>
            <w:shd w:val="clear" w:color="auto" w:fill="CFF0FC"/>
          </w:tcPr>
          <w:p>
            <w:pPr>
              <w:spacing w:after="0"/>
              <w:rPr>
                <w:sz w:val="17"/>
                <w:szCs w:val="17"/>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and 2029 Notes are presented net of the combination of deferred financing costs and original issue discounts totaling $15.4 million, $1.8 million, $4.5 million and $6.9 million, respectively.</w:t>
      </w:r>
    </w:p>
    <w:p>
      <w:pPr>
        <w:spacing w:after="0" w:line="1" w:lineRule="exact"/>
        <w:rPr>
          <w:sz w:val="20"/>
          <w:szCs w:val="20"/>
          <w:color w:val="auto"/>
        </w:rPr>
      </w:pPr>
    </w:p>
    <w:p>
      <w:pPr>
        <w:ind w:right="200"/>
        <w:spacing w:after="0" w:line="304" w:lineRule="auto"/>
        <w:rPr>
          <w:sz w:val="20"/>
          <w:szCs w:val="20"/>
          <w:color w:val="auto"/>
        </w:rPr>
      </w:pPr>
      <w:r>
        <w:rPr>
          <w:rFonts w:ascii="Times New Roman" w:cs="Times New Roman" w:eastAsia="Times New Roman" w:hAnsi="Times New Roman"/>
          <w:sz w:val="14"/>
          <w:szCs w:val="14"/>
          <w:color w:val="auto"/>
        </w:rPr>
        <w:t>(3)The carrying values of the 2026 Notes, 2028 Notes and 2029 Notes are presented inclusive of an incremental $(17.6) million and $(1.4) million and $(5.2) million, which represents an adjustment in the carrying values of the 2026 Notes, 2028 Notes and 2029 Notes, each resulting from a hedge accounting relationship.</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9" w:name="page80"/>
    <w:bookmarkEnd w:id="79"/>
    <w:tbl>
      <w:tblPr>
        <w:tblLayout w:type="fixed"/>
        <w:tblInd w:w="540" w:type="dxa"/>
        <w:tblCellMar>
          <w:top w:w="0" w:type="dxa"/>
          <w:left w:w="0" w:type="dxa"/>
          <w:bottom w:w="0" w:type="dxa"/>
          <w:right w:w="0" w:type="dxa"/>
        </w:tblCellMar>
      </w:tblPr>
      <w:tr>
        <w:trPr>
          <w:trHeight w:val="156"/>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4"/>
          </w:tcPr>
          <w:p>
            <w:pPr>
              <w:jc w:val="right"/>
              <w:ind w:right="86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ind w:right="65"/>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0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32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5"/>
                <w:szCs w:val="15"/>
                <w:color w:val="auto"/>
              </w:rPr>
            </w:pP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25"/>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1,710.0</w:t>
            </w:r>
          </w:p>
        </w:tc>
        <w:tc>
          <w:tcPr>
            <w:tcW w:w="38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889.7</w:t>
            </w:r>
          </w:p>
        </w:tc>
        <w:tc>
          <w:tcPr>
            <w:tcW w:w="38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820.2</w:t>
            </w:r>
          </w:p>
        </w:tc>
        <w:tc>
          <w:tcPr>
            <w:tcW w:w="40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874.5</w:t>
            </w:r>
          </w:p>
        </w:tc>
        <w:tc>
          <w:tcPr>
            <w:tcW w:w="80" w:type="dxa"/>
            <w:vAlign w:val="bottom"/>
            <w:shd w:val="clear" w:color="auto" w:fill="CFF0FC"/>
          </w:tcPr>
          <w:p>
            <w:pPr>
              <w:spacing w:after="0"/>
              <w:rPr>
                <w:sz w:val="15"/>
                <w:szCs w:val="15"/>
                <w:color w:val="auto"/>
              </w:rPr>
            </w:pPr>
          </w:p>
        </w:tc>
      </w:tr>
      <w:tr>
        <w:trPr>
          <w:trHeight w:val="180"/>
        </w:trPr>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2024 Notes</w:t>
            </w:r>
          </w:p>
        </w:tc>
        <w:tc>
          <w:tcPr>
            <w:tcW w:w="12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335.9</w:t>
            </w:r>
          </w:p>
        </w:tc>
        <w:tc>
          <w:tcPr>
            <w:tcW w:w="80" w:type="dxa"/>
            <w:vAlign w:val="bottom"/>
          </w:tcPr>
          <w:p>
            <w:pPr>
              <w:spacing w:after="0"/>
              <w:rPr>
                <w:sz w:val="15"/>
                <w:szCs w:val="15"/>
                <w:color w:val="auto"/>
              </w:rPr>
            </w:pPr>
          </w:p>
        </w:tc>
      </w:tr>
      <w:tr>
        <w:trPr>
          <w:trHeight w:val="180"/>
        </w:trPr>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270.9</w:t>
            </w:r>
          </w:p>
        </w:tc>
        <w:tc>
          <w:tcPr>
            <w:tcW w:w="80" w:type="dxa"/>
            <w:vAlign w:val="bottom"/>
            <w:shd w:val="clear" w:color="auto" w:fill="CFF0FC"/>
          </w:tcPr>
          <w:p>
            <w:pPr>
              <w:spacing w:after="0"/>
              <w:rPr>
                <w:sz w:val="15"/>
                <w:szCs w:val="15"/>
                <w:color w:val="auto"/>
              </w:rPr>
            </w:pPr>
          </w:p>
        </w:tc>
      </w:tr>
      <w:tr>
        <w:trPr>
          <w:trHeight w:val="180"/>
        </w:trPr>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2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299.0</w:t>
            </w:r>
          </w:p>
        </w:tc>
        <w:tc>
          <w:tcPr>
            <w:tcW w:w="80" w:type="dxa"/>
            <w:vAlign w:val="bottom"/>
          </w:tcPr>
          <w:p>
            <w:pPr>
              <w:spacing w:after="0"/>
              <w:rPr>
                <w:sz w:val="15"/>
                <w:szCs w:val="15"/>
                <w:color w:val="auto"/>
              </w:rPr>
            </w:pPr>
          </w:p>
        </w:tc>
      </w:tr>
      <w:tr>
        <w:trPr>
          <w:trHeight w:val="220"/>
        </w:trPr>
        <w:tc>
          <w:tcPr>
            <w:tcW w:w="3680" w:type="dxa"/>
            <w:vAlign w:val="bottom"/>
            <w:tcBorders>
              <w:bottom w:val="single" w:sz="8" w:color="CFF0FC"/>
            </w:tcBorders>
            <w:shd w:val="clear" w:color="auto" w:fill="CFF0FC"/>
          </w:tcPr>
          <w:p>
            <w:pPr>
              <w:ind w:left="1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2,657.5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1,837.2</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820.2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1,780.3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(3)The carrying values of the 2024 Notes, 2026 Notes and 2028 Notes are presented inclusive of an incremental $(10.4) million, $(26.1) million and $4.7 million, which represents an adjustment in the carrying values of the 2024 Notes, 2026 Notes and 2028 Notes, each resulting from a hedge accounting relationship.</w:t>
      </w:r>
    </w:p>
    <w:p>
      <w:pPr>
        <w:spacing w:after="0" w:line="169" w:lineRule="exact"/>
        <w:rPr>
          <w:sz w:val="20"/>
          <w:szCs w:val="20"/>
          <w:color w:val="auto"/>
        </w:rPr>
      </w:pPr>
    </w:p>
    <w:p>
      <w:pPr>
        <w:ind w:right="420" w:firstLine="234"/>
        <w:spacing w:after="0" w:line="259" w:lineRule="auto"/>
        <w:rPr>
          <w:sz w:val="20"/>
          <w:szCs w:val="20"/>
          <w:color w:val="auto"/>
        </w:rPr>
      </w:pPr>
      <w:r>
        <w:rPr>
          <w:rFonts w:ascii="Times New Roman" w:cs="Times New Roman" w:eastAsia="Times New Roman" w:hAnsi="Times New Roman"/>
          <w:sz w:val="16"/>
          <w:szCs w:val="16"/>
          <w:color w:val="auto"/>
        </w:rPr>
        <w:t>As of December 31, 2024 and December 31, 2023, we were in compliance with the terms of our debt arrangements. We intend to continue to utilize our credit facilities to fund investments and for other general corporate purposes.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Commitments</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2024 and December 31, 2023, we had the following commitments to fund investments in current portfolio companies:</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36" w:right="70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400" w:type="dxa"/>
            <w:vAlign w:val="bottom"/>
          </w:tcPr>
          <w:p>
            <w:pPr>
              <w:spacing w:after="0"/>
              <w:rPr>
                <w:sz w:val="14"/>
                <w:szCs w:val="14"/>
                <w:color w:val="auto"/>
              </w:rPr>
            </w:pPr>
          </w:p>
        </w:tc>
        <w:tc>
          <w:tcPr>
            <w:tcW w:w="156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20" w:type="dxa"/>
            <w:vAlign w:val="bottom"/>
          </w:tcPr>
          <w:p>
            <w:pPr>
              <w:spacing w:after="0"/>
              <w:rPr>
                <w:sz w:val="14"/>
                <w:szCs w:val="14"/>
                <w:color w:val="auto"/>
              </w:rPr>
            </w:pPr>
          </w:p>
        </w:tc>
        <w:tc>
          <w:tcPr>
            <w:tcW w:w="1640" w:type="dxa"/>
            <w:vAlign w:val="bottom"/>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40" w:type="dxa"/>
            <w:vAlign w:val="bottom"/>
          </w:tcPr>
          <w:p>
            <w:pPr>
              <w:spacing w:after="0"/>
              <w:rPr>
                <w:sz w:val="14"/>
                <w:szCs w:val="14"/>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3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Alpha Midco, Inc.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American Achievement, Corp.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ASG II, LLC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Axonify,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Bayshore Intermediate #2, L.P.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BCTO Ace Purchaser,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Bear OpCo, LLC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BlueSnap,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Dye &amp; Durham Corp.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Edge Bidco B.V.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EMS Linq, Inc.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37.9</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Heritage Environmental Services,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Hornetsecurity Holding GmbH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Ibis Intermediate Co.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IRGSE Holding Corp.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Kyriba Corp.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5"/>
                <w:szCs w:val="15"/>
                <w:color w:val="auto"/>
              </w:rPr>
            </w:pPr>
          </w:p>
        </w:tc>
      </w:tr>
      <w:tr>
        <w:trPr>
          <w:trHeight w:val="203"/>
        </w:trPr>
        <w:tc>
          <w:tcPr>
            <w:tcW w:w="1060" w:type="dxa"/>
            <w:vAlign w:val="bottom"/>
          </w:tcPr>
          <w:p>
            <w:pPr>
              <w:spacing w:after="0"/>
              <w:rPr>
                <w:sz w:val="17"/>
                <w:szCs w:val="17"/>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Laramie Energy, LLC - Delayed Draw</w:t>
            </w:r>
          </w:p>
        </w:tc>
        <w:tc>
          <w:tcPr>
            <w:tcW w:w="4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w:t>
            </w:r>
          </w:p>
        </w:tc>
        <w:tc>
          <w:tcPr>
            <w:tcW w:w="1040" w:type="dxa"/>
            <w:vAlign w:val="bottom"/>
          </w:tcPr>
          <w:p>
            <w:pPr>
              <w:spacing w:after="0"/>
              <w:rPr>
                <w:sz w:val="17"/>
                <w:szCs w:val="17"/>
                <w:color w:val="auto"/>
              </w:rPr>
            </w:pPr>
          </w:p>
        </w:tc>
      </w:tr>
      <w:tr>
        <w:trPr>
          <w:trHeight w:val="263"/>
        </w:trPr>
        <w:tc>
          <w:tcPr>
            <w:tcW w:w="1060" w:type="dxa"/>
            <w:vAlign w:val="bottom"/>
          </w:tcPr>
          <w:p>
            <w:pPr>
              <w:spacing w:after="0"/>
              <w:rPr>
                <w:sz w:val="22"/>
                <w:szCs w:val="22"/>
                <w:color w:val="auto"/>
              </w:rPr>
            </w:pPr>
          </w:p>
        </w:tc>
        <w:tc>
          <w:tcPr>
            <w:tcW w:w="4540" w:type="dxa"/>
            <w:vAlign w:val="bottom"/>
          </w:tcPr>
          <w:p>
            <w:pPr>
              <w:ind w:left="4140"/>
              <w:spacing w:after="0"/>
              <w:rPr>
                <w:sz w:val="20"/>
                <w:szCs w:val="20"/>
                <w:color w:val="auto"/>
              </w:rPr>
            </w:pPr>
            <w:r>
              <w:rPr>
                <w:rFonts w:ascii="Times New Roman" w:cs="Times New Roman" w:eastAsia="Times New Roman" w:hAnsi="Times New Roman"/>
                <w:sz w:val="16"/>
                <w:szCs w:val="16"/>
                <w:color w:val="auto"/>
              </w:rPr>
              <w:t>81</w:t>
            </w:r>
          </w:p>
        </w:tc>
        <w:tc>
          <w:tcPr>
            <w:tcW w:w="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45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81" w:name="page82"/>
    <w:bookmarkEnd w:id="81"/>
    <w:tbl>
      <w:tblPr>
        <w:tblLayout w:type="fixed"/>
        <w:tblInd w:w="1060" w:type="dxa"/>
        <w:tblCellMar>
          <w:top w:w="0" w:type="dxa"/>
          <w:left w:w="0" w:type="dxa"/>
          <w:bottom w:w="0" w:type="dxa"/>
          <w:right w:w="0" w:type="dxa"/>
        </w:tblCellMar>
      </w:tblPr>
      <w:tr>
        <w:trPr>
          <w:trHeight w:val="184"/>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LeanTaaS Holdings, Inc. - Delayed Draw</w:t>
            </w:r>
          </w:p>
        </w:tc>
        <w:tc>
          <w:tcPr>
            <w:tcW w:w="6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FF0FC"/>
          </w:tcPr>
          <w:p>
            <w:pPr>
              <w:spacing w:after="0"/>
              <w:rPr>
                <w:sz w:val="16"/>
                <w:szCs w:val="16"/>
                <w:color w:val="auto"/>
              </w:rPr>
            </w:pP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Lucidworks, Inc. - Delayed Draw</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0.8</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5"/>
                <w:szCs w:val="15"/>
                <w:color w:val="auto"/>
              </w:rPr>
            </w:pP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Netwrix Corp.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5"/>
                <w:szCs w:val="15"/>
                <w:color w:val="auto"/>
              </w:rPr>
            </w:pP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OutSystems Luxco SARL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Passport Labs, Inc.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Ping Identity Holding Corp.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PrimePay Intermediate, LLC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PrimeRevenue, Inc.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Project44, Inc.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FF0FC"/>
          </w:tcPr>
          <w:p>
            <w:pPr>
              <w:spacing w:after="0"/>
              <w:rPr>
                <w:sz w:val="15"/>
                <w:szCs w:val="15"/>
                <w:color w:val="auto"/>
              </w:rPr>
            </w:pP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ReliaQuest Holdings, LLC - Delayed Draw &amp; Equity</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Sky Bidco S.p.A. - Delayed Draw</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7.1</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5"/>
                <w:szCs w:val="15"/>
                <w:color w:val="auto"/>
              </w:rPr>
            </w:pP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5"/>
                <w:szCs w:val="15"/>
                <w:color w:val="auto"/>
              </w:rPr>
            </w:pP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TradingScreen, Inc.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30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TRP Assets, LLC - Delayed Draw</w:t>
            </w:r>
          </w:p>
        </w:tc>
        <w:tc>
          <w:tcPr>
            <w:tcW w:w="68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180"/>
        </w:trPr>
        <w:tc>
          <w:tcPr>
            <w:tcW w:w="476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680" w:type="dxa"/>
            <w:vAlign w:val="bottom"/>
          </w:tcPr>
          <w:p>
            <w:pPr>
              <w:jc w:val="right"/>
              <w:ind w:right="5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356.3</w:t>
            </w:r>
          </w:p>
        </w:tc>
        <w:tc>
          <w:tcPr>
            <w:tcW w:w="960" w:type="dxa"/>
            <w:vAlign w:val="bottom"/>
            <w:gridSpan w:val="2"/>
          </w:tcPr>
          <w:p>
            <w:pPr>
              <w:jc w:val="right"/>
              <w:ind w:right="6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316.1</w:t>
            </w:r>
          </w:p>
        </w:tc>
      </w:tr>
      <w:tr>
        <w:trPr>
          <w:trHeight w:val="20"/>
        </w:trPr>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rPr>
          <w:sz w:val="20"/>
          <w:szCs w:val="20"/>
          <w:color w:val="auto"/>
        </w:rPr>
      </w:pPr>
      <w:r>
        <w:rPr>
          <w:rFonts w:ascii="Times New Roman" w:cs="Times New Roman" w:eastAsia="Times New Roman" w:hAnsi="Times New Roman"/>
          <w:sz w:val="16"/>
          <w:szCs w:val="16"/>
          <w:color w:val="auto"/>
        </w:rPr>
        <w:t>(2)Our estimate of the fair value of the current investments in these portfolio companies includes an analysis of the fair value of any unfunded commitments.</w:t>
      </w: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346" w:right="78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96"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and December 31, 2023, we did not have any unfunded commitments to fund investments to new borrowers that were not current portfolio companies as of such date.</w:t>
      </w:r>
    </w:p>
    <w:p>
      <w:pPr>
        <w:spacing w:after="0" w:line="59" w:lineRule="exact"/>
        <w:rPr>
          <w:sz w:val="20"/>
          <w:szCs w:val="20"/>
          <w:color w:val="auto"/>
        </w:rPr>
      </w:pPr>
    </w:p>
    <w:p>
      <w:pPr>
        <w:ind w:right="6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we may become a party to certain legal proceedings incidental to the normal course of our business. As of December 31, 2024 and December 31, 2023, management is not aware of any material pending or threatened litigation that would require accounting recognition or financial statement disclosure.</w:t>
      </w:r>
    </w:p>
    <w:p>
      <w:pPr>
        <w:spacing w:after="0" w:line="108"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55" w:lineRule="exact"/>
        <w:rPr>
          <w:sz w:val="20"/>
          <w:szCs w:val="20"/>
          <w:color w:val="auto"/>
        </w:rPr>
      </w:pPr>
    </w:p>
    <w:p>
      <w:pPr>
        <w:ind w:right="20" w:firstLine="228"/>
        <w:spacing w:after="0" w:line="280" w:lineRule="auto"/>
        <w:rPr>
          <w:sz w:val="20"/>
          <w:szCs w:val="20"/>
          <w:color w:val="auto"/>
        </w:rPr>
      </w:pPr>
      <w:r>
        <w:rPr>
          <w:rFonts w:ascii="Times New Roman" w:cs="Times New Roman" w:eastAsia="Times New Roman" w:hAnsi="Times New Roman"/>
          <w:sz w:val="14"/>
          <w:szCs w:val="14"/>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summary of our contractual payment obligations as of December 31, 2024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After 5 years</w:t>
            </w:r>
          </w:p>
        </w:tc>
      </w:tr>
      <w:tr>
        <w:trPr>
          <w:trHeight w:val="180"/>
        </w:trPr>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ind w:left="64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60" w:type="dxa"/>
            <w:vAlign w:val="bottom"/>
          </w:tcPr>
          <w:p>
            <w:pPr>
              <w:spacing w:after="0"/>
              <w:rPr>
                <w:sz w:val="15"/>
                <w:szCs w:val="15"/>
                <w:color w:val="auto"/>
              </w:rPr>
            </w:pPr>
          </w:p>
        </w:tc>
        <w:tc>
          <w:tcPr>
            <w:tcW w:w="800" w:type="dxa"/>
            <w:vAlign w:val="bottom"/>
          </w:tcPr>
          <w:p>
            <w:pPr>
              <w:ind w:left="64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60" w:type="dxa"/>
            <w:vAlign w:val="bottom"/>
          </w:tcPr>
          <w:p>
            <w:pPr>
              <w:spacing w:after="0"/>
              <w:rPr>
                <w:sz w:val="15"/>
                <w:szCs w:val="15"/>
                <w:color w:val="auto"/>
              </w:rPr>
            </w:pP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ind w:left="64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60" w:type="dxa"/>
            <w:vAlign w:val="bottom"/>
          </w:tcPr>
          <w:p>
            <w:pPr>
              <w:spacing w:after="0"/>
              <w:rPr>
                <w:sz w:val="15"/>
                <w:szCs w:val="15"/>
                <w:color w:val="auto"/>
              </w:rPr>
            </w:pPr>
          </w:p>
        </w:tc>
        <w:tc>
          <w:tcPr>
            <w:tcW w:w="800" w:type="dxa"/>
            <w:vAlign w:val="bottom"/>
          </w:tcPr>
          <w:p>
            <w:pPr>
              <w:ind w:left="64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920" w:type="dxa"/>
            <w:vAlign w:val="bottom"/>
            <w:gridSpan w:val="2"/>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48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1,954.1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ind w:left="64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1,654.1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39"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In addition to the contractual payment obligations in the tables above, we also have commitments to fund investments and to pledge assets as collateral under the terms of our derivatives agreements.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94"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9" w:lineRule="exact"/>
        <w:rPr>
          <w:sz w:val="20"/>
          <w:szCs w:val="20"/>
          <w:color w:val="auto"/>
        </w:rPr>
      </w:pPr>
    </w:p>
    <w:p>
      <w:pPr>
        <w:ind w:left="240" w:right="280"/>
        <w:spacing w:after="0" w:line="259" w:lineRule="auto"/>
        <w:rPr>
          <w:sz w:val="20"/>
          <w:szCs w:val="20"/>
          <w:color w:val="auto"/>
        </w:rPr>
      </w:pPr>
      <w:r>
        <w:rPr>
          <w:rFonts w:ascii="Times New Roman" w:cs="Times New Roman" w:eastAsia="Times New Roman" w:hAnsi="Times New Roman"/>
          <w:sz w:val="16"/>
          <w:szCs w:val="16"/>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tax-exempt interest income (which is the excess of our gross tax exempt interest income over certain disallowed deductions) for such taxable year.</w:t>
      </w:r>
    </w:p>
    <w:p>
      <w:pPr>
        <w:spacing w:after="0" w:line="188"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a RIC, we (but not our stockholders) generally will not be subject to U.S. federal income tax on investment company taxable income and net capital gains that we distribute to our stockholders.</w:t>
      </w:r>
    </w:p>
    <w:p>
      <w:pPr>
        <w:spacing w:after="0" w:line="155"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We intend to distribute annually all or substantially all of such income. To the extent that we retain our net capital gains or any investment company taxable income, we generally will be subject to corporate -level U.S. federal income tax. We may choose to retain our net capital gains or any investment company taxable income, and pay the U.S. federal excise tax described below.</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9" w:right="680" w:bottom="1440" w:gutter="0" w:footer="0" w:header="0"/>
        </w:sectPr>
      </w:pPr>
    </w:p>
    <w:bookmarkStart w:id="83" w:name="page84"/>
    <w:bookmarkEnd w:id="83"/>
    <w:p>
      <w:pPr>
        <w:spacing w:after="0" w:line="65"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or losses for that calendar year;</w:t>
      </w:r>
    </w:p>
    <w:p>
      <w:pPr>
        <w:spacing w:after="0" w:line="92" w:lineRule="exact"/>
        <w:rPr>
          <w:sz w:val="20"/>
          <w:szCs w:val="20"/>
          <w:color w:val="auto"/>
        </w:rPr>
      </w:pPr>
    </w:p>
    <w:p>
      <w:pPr>
        <w:ind w:left="240" w:right="12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that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64"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64" w:lineRule="exact"/>
        <w:rPr>
          <w:sz w:val="20"/>
          <w:szCs w:val="20"/>
          <w:color w:val="auto"/>
        </w:rPr>
      </w:pPr>
    </w:p>
    <w:p>
      <w:pPr>
        <w:jc w:val="both"/>
        <w:ind w:right="180" w:firstLine="228"/>
        <w:spacing w:after="0" w:line="243" w:lineRule="auto"/>
        <w:rPr>
          <w:sz w:val="20"/>
          <w:szCs w:val="20"/>
          <w:color w:val="auto"/>
        </w:rPr>
      </w:pPr>
      <w:r>
        <w:rPr>
          <w:rFonts w:ascii="Times New Roman" w:cs="Times New Roman" w:eastAsia="Times New Roman" w:hAnsi="Times New Roman"/>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67" w:lineRule="exact"/>
        <w:rPr>
          <w:sz w:val="20"/>
          <w:szCs w:val="20"/>
          <w:color w:val="auto"/>
        </w:rPr>
      </w:pPr>
    </w:p>
    <w:p>
      <w:pPr>
        <w:ind w:right="36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Related-Party Transactions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Investment Advisory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Administration Agreement; and</w:t>
      </w:r>
    </w:p>
    <w:p>
      <w:pPr>
        <w:spacing w:after="0" w:line="92"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•an ongoing agreement with an affiliate of TPG Global, LLC governing, inter alia, the parties’ respective ownership of and rights to use the “Sixth Street” and “TPG” trademarks and certain variations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right="420" w:firstLine="228"/>
        <w:spacing w:after="0" w:line="243" w:lineRule="auto"/>
        <w:rPr>
          <w:sz w:val="20"/>
          <w:szCs w:val="20"/>
          <w:color w:val="auto"/>
        </w:rPr>
      </w:pPr>
      <w:r>
        <w:rPr>
          <w:rFonts w:ascii="Times New Roman" w:cs="Times New Roman" w:eastAsia="Times New Roman" w:hAnsi="Times New Roman"/>
          <w:sz w:val="16"/>
          <w:szCs w:val="16"/>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6"/>
          <w:szCs w:val="16"/>
          <w:i w:val="1"/>
          <w:iCs w:val="1"/>
          <w:color w:val="auto"/>
        </w:rPr>
        <w:t>“ITEM 1A. RISK FACTORS.”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at Fair Value</w:t>
      </w:r>
    </w:p>
    <w:p>
      <w:pPr>
        <w:spacing w:after="0" w:line="96"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jc w:val="both"/>
        <w:ind w:right="120" w:firstLine="228"/>
        <w:spacing w:after="0" w:line="243"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4" w:name="page85"/>
    <w:bookmarkEnd w:id="84"/>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things, the input of the Adviser, our Audit Committee and independent third-party valuation firms engaged at the direction of the Board.</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our investments, including and in combination of:</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estimated enterprise value of a portfolio company (that is, the total value of the portfolio company’s net debt and equity);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nature and realizable value of any collateral;</w:t>
      </w:r>
    </w:p>
    <w:p>
      <w:pPr>
        <w:spacing w:after="0" w:line="92" w:lineRule="exact"/>
        <w:rPr>
          <w:sz w:val="20"/>
          <w:szCs w:val="20"/>
          <w:color w:val="auto"/>
        </w:rPr>
      </w:pPr>
    </w:p>
    <w:p>
      <w:pPr>
        <w:ind w:left="240" w:right="4800"/>
        <w:spacing w:after="0" w:line="360" w:lineRule="auto"/>
        <w:rPr>
          <w:sz w:val="20"/>
          <w:szCs w:val="20"/>
          <w:color w:val="auto"/>
        </w:rPr>
      </w:pPr>
      <w:r>
        <w:rPr>
          <w:rFonts w:ascii="Times New Roman" w:cs="Times New Roman" w:eastAsia="Times New Roman" w:hAnsi="Times New Roman"/>
          <w:sz w:val="16"/>
          <w:szCs w:val="16"/>
          <w:color w:val="auto"/>
        </w:rPr>
        <w:t>•the portfolio company’s ability to make payments based on its earnings and cash flow; •the markets in which the portfolio company does business;</w:t>
      </w:r>
    </w:p>
    <w:p>
      <w:pPr>
        <w:ind w:left="240"/>
        <w:spacing w:after="0"/>
        <w:rPr>
          <w:sz w:val="20"/>
          <w:szCs w:val="20"/>
          <w:color w:val="auto"/>
        </w:rPr>
      </w:pPr>
      <w:r>
        <w:rPr>
          <w:rFonts w:ascii="Times New Roman" w:cs="Times New Roman" w:eastAsia="Times New Roman" w:hAnsi="Times New Roman"/>
          <w:sz w:val="16"/>
          <w:szCs w:val="16"/>
          <w:color w:val="auto"/>
        </w:rPr>
        <w:t>•a comparison of the portfolio company’s securities to any similar publicly traded securities;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•overall changes in the interest rate environment and the credit markets that may affect the price at which similar investments may be made in the future.</w:t>
      </w:r>
    </w:p>
    <w:p>
      <w:pPr>
        <w:spacing w:after="0" w:line="188"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When an external event, such as a purchase transaction, public offering or subsequent equity sale occurs, the Board considers whether the pricing indicated by the external event corroborates our valuation.</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24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conduct this valuation process on a quarterly basis.</w:t>
      </w:r>
    </w:p>
    <w:p>
      <w:pPr>
        <w:spacing w:after="0" w:line="188" w:lineRule="exact"/>
        <w:rPr>
          <w:sz w:val="20"/>
          <w:szCs w:val="20"/>
          <w:color w:val="auto"/>
        </w:rPr>
      </w:pPr>
    </w:p>
    <w:p>
      <w:pPr>
        <w:jc w:val="both"/>
        <w:ind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2024,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6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 xml:space="preserve">We apply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we have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85" w:name="page86"/>
    <w:bookmarkEnd w:id="85"/>
    <w:p>
      <w:pPr>
        <w:spacing w:after="0" w:line="65"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280" w:firstLine="228"/>
        <w:spacing w:after="0" w:line="247" w:lineRule="auto"/>
        <w:rPr>
          <w:sz w:val="20"/>
          <w:szCs w:val="20"/>
          <w:color w:val="auto"/>
        </w:rPr>
      </w:pPr>
      <w:r>
        <w:rPr>
          <w:rFonts w:ascii="Times New Roman" w:cs="Times New Roman" w:eastAsia="Times New Roman" w:hAnsi="Times New Roman"/>
          <w:sz w:val="16"/>
          <w:szCs w:val="16"/>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See Note 6 to our consolidated financial statements included in this Form 10-K for more information on the fair value of our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Dividend Income Recognition</w:t>
      </w:r>
    </w:p>
    <w:p>
      <w:pPr>
        <w:spacing w:after="0" w:line="96"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55"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Federal Income Taxes</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6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evaluate tax positions taken or expected to be taken in the course of preparing our financial statements to determine whether the tax positions are “more -likely-than-not” to be sustained by the applicable tax authority. Tax positions not deemed to meet the “more-likely- 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2024, we did not have any uncertain tax positions that met the recognition or measurement criteria, nor did we have any unrecognized tax benefits. Our 2023, 2022 and 2021 tax year returns remain subject to examination by the relevant federal, state, and local tax authorities.</w:t>
      </w:r>
    </w:p>
    <w:p>
      <w:pPr>
        <w:spacing w:after="0" w:line="173"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6" w:name="page87"/>
    <w:bookmarkEnd w:id="86"/>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financial market risks, including valuation risk, interest rate risk and currency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regularly measure our exposure to interest rate risk. We assess interest rate risk and manage our interest rate exposure on an ongoing basis by comparing our interest rate -sensitive assets to our interest rate-sensitive liabilities. Based on that review, we determine whether or not any hedging transactions are necessary to mitigate exposure to changes in interest rates.</w:t>
      </w:r>
    </w:p>
    <w:p>
      <w:pPr>
        <w:spacing w:after="0" w:line="16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2024, 97.2% of our debt investments based on fair value in our portfolio bore interest at floating rates, with 100.0% of these subject to interest rate floors. Our credit facilities also bear interest at floating rates, and in connection with our 2026 Notes, 2028 Notes and 2029 Notes, which bear interest at fixed rates, we entered into fixed-to-floating interest rate swaps in order to align the interest rates of our liabilities with our investment portfolio.</w:t>
      </w:r>
    </w:p>
    <w:p>
      <w:pPr>
        <w:spacing w:after="0" w:line="164" w:lineRule="exact"/>
        <w:rPr>
          <w:sz w:val="20"/>
          <w:szCs w:val="20"/>
          <w:color w:val="auto"/>
        </w:rPr>
      </w:pPr>
    </w:p>
    <w:p>
      <w:pPr>
        <w:ind w:right="520" w:firstLine="228"/>
        <w:spacing w:after="0" w:line="247" w:lineRule="auto"/>
        <w:rPr>
          <w:sz w:val="20"/>
          <w:szCs w:val="20"/>
          <w:color w:val="auto"/>
        </w:rPr>
      </w:pPr>
      <w:r>
        <w:rPr>
          <w:rFonts w:ascii="Times New Roman" w:cs="Times New Roman" w:eastAsia="Times New Roman" w:hAnsi="Times New Roman"/>
          <w:sz w:val="16"/>
          <w:szCs w:val="16"/>
          <w:color w:val="auto"/>
        </w:rPr>
        <w:t>Assuming that our Consolidated Balance Sheet as of December 31, 2024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70"/>
        </w:trPr>
        <w:tc>
          <w:tcPr>
            <w:tcW w:w="3680" w:type="dxa"/>
            <w:vAlign w:val="bottom"/>
          </w:tcPr>
          <w:p>
            <w:pPr>
              <w:ind w:left="1680"/>
              <w:spacing w:after="0"/>
              <w:rPr>
                <w:sz w:val="20"/>
                <w:szCs w:val="20"/>
                <w:color w:val="auto"/>
              </w:rPr>
            </w:pPr>
            <w:r>
              <w:rPr>
                <w:rFonts w:ascii="Times New Roman" w:cs="Times New Roman" w:eastAsia="Times New Roman" w:hAnsi="Times New Roman"/>
                <w:sz w:val="13"/>
                <w:szCs w:val="13"/>
                <w:b w:val="1"/>
                <w:bCs w:val="1"/>
                <w:color w:val="auto"/>
              </w:rPr>
              <w:t>Basis Point Change</w:t>
            </w:r>
          </w:p>
        </w:tc>
        <w:tc>
          <w:tcPr>
            <w:tcW w:w="1040" w:type="dxa"/>
            <w:vAlign w:val="bottom"/>
          </w:tcPr>
          <w:p>
            <w:pPr>
              <w:spacing w:after="0"/>
              <w:rPr>
                <w:sz w:val="14"/>
                <w:szCs w:val="14"/>
                <w:color w:val="auto"/>
              </w:rPr>
            </w:pPr>
          </w:p>
        </w:tc>
        <w:tc>
          <w:tcPr>
            <w:tcW w:w="122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180" w:type="dxa"/>
            <w:vAlign w:val="bottom"/>
          </w:tcPr>
          <w:p>
            <w:pPr>
              <w:spacing w:after="0"/>
              <w:rPr>
                <w:sz w:val="14"/>
                <w:szCs w:val="14"/>
                <w:color w:val="auto"/>
              </w:rPr>
            </w:pPr>
          </w:p>
        </w:tc>
        <w:tc>
          <w:tcPr>
            <w:tcW w:w="122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340" w:type="dxa"/>
            <w:vAlign w:val="bottom"/>
          </w:tcPr>
          <w:p>
            <w:pPr>
              <w:spacing w:after="0"/>
              <w:rPr>
                <w:sz w:val="14"/>
                <w:szCs w:val="14"/>
                <w:color w:val="auto"/>
              </w:rPr>
            </w:pPr>
          </w:p>
        </w:tc>
        <w:tc>
          <w:tcPr>
            <w:tcW w:w="1820" w:type="dxa"/>
            <w:vAlign w:val="bottom"/>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Net Interest Income</w:t>
            </w:r>
          </w:p>
        </w:tc>
      </w:tr>
      <w:tr>
        <w:trPr>
          <w:trHeight w:val="180"/>
        </w:trPr>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300 basis points</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96.7</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58.6</w:t>
            </w:r>
          </w:p>
        </w:tc>
        <w:tc>
          <w:tcPr>
            <w:tcW w:w="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38.1</w:t>
            </w:r>
          </w:p>
        </w:tc>
      </w:tr>
      <w:tr>
        <w:trPr>
          <w:trHeight w:val="180"/>
        </w:trPr>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Up 200 basis points</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64.5</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39.1</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25.4</w:t>
            </w:r>
          </w:p>
        </w:tc>
      </w:tr>
      <w:tr>
        <w:trPr>
          <w:trHeight w:val="180"/>
        </w:trPr>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100 basis points</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32.2</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12.7</w:t>
            </w:r>
          </w:p>
        </w:tc>
      </w:tr>
      <w:tr>
        <w:trPr>
          <w:trHeight w:val="180"/>
        </w:trPr>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25 basis points</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(8.1 )</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(4.9 )</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(3.2 )</w:t>
            </w:r>
          </w:p>
        </w:tc>
      </w:tr>
      <w:tr>
        <w:trPr>
          <w:trHeight w:val="180"/>
        </w:trPr>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50 basis points</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(16.1 )</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(9.8 )</w:t>
            </w:r>
          </w:p>
        </w:tc>
        <w:tc>
          <w:tcPr>
            <w:tcW w:w="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(6.3 )</w:t>
            </w:r>
          </w:p>
        </w:tc>
      </w:tr>
    </w:tbl>
    <w:p>
      <w:pPr>
        <w:spacing w:after="0" w:line="179"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4" w:lineRule="exact"/>
        <w:rPr>
          <w:sz w:val="20"/>
          <w:szCs w:val="20"/>
          <w:color w:val="auto"/>
        </w:rPr>
      </w:pPr>
    </w:p>
    <w:p>
      <w:pPr>
        <w:ind w:right="180" w:firstLine="228"/>
        <w:spacing w:after="0" w:line="299" w:lineRule="auto"/>
        <w:rPr>
          <w:sz w:val="20"/>
          <w:szCs w:val="20"/>
          <w:color w:val="auto"/>
        </w:rPr>
      </w:pPr>
      <w:r>
        <w:rPr>
          <w:rFonts w:ascii="Times New Roman" w:cs="Times New Roman" w:eastAsia="Times New Roman" w:hAnsi="Times New Roman"/>
          <w:sz w:val="14"/>
          <w:szCs w:val="14"/>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7" w:name="page88"/>
    <w:bookmarkEnd w:id="8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6"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20" w:type="dxa"/>
            <w:vAlign w:val="bottom"/>
          </w:tcPr>
          <w:p>
            <w:pPr>
              <w:jc w:val="right"/>
              <w:ind w:right="324"/>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tcBorders>
              <w:bottom w:val="single" w:sz="8" w:color="0000EE"/>
            </w:tcBorders>
            <w:gridSpan w:val="2"/>
          </w:tcPr>
          <w:p>
            <w:pPr>
              <w:spacing w:after="0" w:line="169" w:lineRule="exact"/>
              <w:rPr>
                <w:rFonts w:ascii="Times New Roman" w:cs="Times New Roman" w:eastAsia="Times New Roman" w:hAnsi="Times New Roman"/>
                <w:sz w:val="16"/>
                <w:szCs w:val="16"/>
                <w:color w:val="0000FF"/>
                <w:w w:val="97"/>
              </w:rPr>
            </w:pPr>
            <w:hyperlink w:anchor="page90">
              <w:r>
                <w:rPr>
                  <w:rFonts w:ascii="Times New Roman" w:cs="Times New Roman" w:eastAsia="Times New Roman" w:hAnsi="Times New Roman"/>
                  <w:sz w:val="16"/>
                  <w:szCs w:val="16"/>
                  <w:color w:val="0000FF"/>
                  <w:w w:val="97"/>
                </w:rPr>
                <w:t>Report of Independent Registered Public Accounting Firm</w:t>
              </w:r>
            </w:hyperlink>
          </w:p>
        </w:tc>
        <w:tc>
          <w:tcPr>
            <w:tcW w:w="3060" w:type="dxa"/>
            <w:vAlign w:val="bottom"/>
            <w:gridSpan w:val="5"/>
          </w:tcPr>
          <w:p>
            <w:pPr>
              <w:spacing w:after="0"/>
              <w:rPr>
                <w:sz w:val="14"/>
                <w:szCs w:val="14"/>
                <w:color w:val="auto"/>
              </w:rPr>
            </w:pPr>
          </w:p>
        </w:tc>
        <w:tc>
          <w:tcPr>
            <w:tcW w:w="38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04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7"/>
              </w:rPr>
            </w:pPr>
            <w:hyperlink w:anchor="page92">
              <w:r>
                <w:rPr>
                  <w:rFonts w:ascii="Times New Roman" w:cs="Times New Roman" w:eastAsia="Times New Roman" w:hAnsi="Times New Roman"/>
                  <w:sz w:val="16"/>
                  <w:szCs w:val="16"/>
                  <w:color w:val="0000FF"/>
                  <w:w w:val="97"/>
                </w:rPr>
                <w:t>Consolidated Balance Sheets as of December 31, 2024 and 2023</w:t>
              </w:r>
            </w:hyperlink>
          </w:p>
        </w:tc>
        <w:tc>
          <w:tcPr>
            <w:tcW w:w="2680" w:type="dxa"/>
            <w:vAlign w:val="bottom"/>
            <w:gridSpan w:val="4"/>
          </w:tcPr>
          <w:p>
            <w:pPr>
              <w:spacing w:after="0"/>
              <w:rPr>
                <w:sz w:val="24"/>
                <w:szCs w:val="24"/>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00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93">
              <w:r>
                <w:rPr>
                  <w:rFonts w:ascii="Times New Roman" w:cs="Times New Roman" w:eastAsia="Times New Roman" w:hAnsi="Times New Roman"/>
                  <w:sz w:val="16"/>
                  <w:szCs w:val="16"/>
                  <w:color w:val="0000FF"/>
                  <w:w w:val="97"/>
                </w:rPr>
                <w:t>Consolidated Statements of Operations for the Years Ended December 31, 2024, 2023 and 2022</w:t>
              </w:r>
            </w:hyperlink>
          </w:p>
        </w:tc>
        <w:tc>
          <w:tcPr>
            <w:tcW w:w="720" w:type="dxa"/>
            <w:vAlign w:val="bottom"/>
            <w:gridSpan w:val="2"/>
          </w:tcPr>
          <w:p>
            <w:pPr>
              <w:spacing w:after="0"/>
              <w:rPr>
                <w:sz w:val="24"/>
                <w:szCs w:val="24"/>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68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7"/>
              </w:rPr>
            </w:pPr>
            <w:hyperlink w:anchor="page94">
              <w:r>
                <w:rPr>
                  <w:rFonts w:ascii="Times New Roman" w:cs="Times New Roman" w:eastAsia="Times New Roman" w:hAnsi="Times New Roman"/>
                  <w:sz w:val="16"/>
                  <w:szCs w:val="16"/>
                  <w:color w:val="0000FF"/>
                  <w:w w:val="97"/>
                </w:rPr>
                <w:t>Consolidated Schedules of Investments as of December 31, 2024 and 2023</w:t>
              </w:r>
            </w:hyperlink>
          </w:p>
        </w:tc>
        <w:tc>
          <w:tcPr>
            <w:tcW w:w="2040" w:type="dxa"/>
            <w:vAlign w:val="bottom"/>
            <w:gridSpan w:val="3"/>
          </w:tcPr>
          <w:p>
            <w:pPr>
              <w:spacing w:after="0"/>
              <w:rPr>
                <w:sz w:val="24"/>
                <w:szCs w:val="24"/>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72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7"/>
              </w:rPr>
            </w:pPr>
            <w:hyperlink w:anchor="page113">
              <w:r>
                <w:rPr>
                  <w:rFonts w:ascii="Times New Roman" w:cs="Times New Roman" w:eastAsia="Times New Roman" w:hAnsi="Times New Roman"/>
                  <w:sz w:val="16"/>
                  <w:szCs w:val="16"/>
                  <w:color w:val="0000FF"/>
                  <w:w w:val="97"/>
                </w:rPr>
                <w:t>Consolidated Statements of Changes in Net Assets for the Years Ended December 31, 2024, 2023 and 2022</w:t>
              </w:r>
            </w:hyperlink>
          </w:p>
        </w:tc>
        <w:tc>
          <w:tcPr>
            <w:tcW w:w="3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F-25</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720" w:type="dxa"/>
            <w:vAlign w:val="bottom"/>
            <w:gridSpan w:val="7"/>
          </w:tcPr>
          <w:p>
            <w:pPr>
              <w:spacing w:after="0"/>
              <w:rPr>
                <w:rFonts w:ascii="Times New Roman" w:cs="Times New Roman" w:eastAsia="Times New Roman" w:hAnsi="Times New Roman"/>
                <w:sz w:val="16"/>
                <w:szCs w:val="16"/>
                <w:color w:val="0000FF"/>
              </w:rPr>
            </w:pPr>
            <w:hyperlink w:anchor="page115">
              <w:r>
                <w:rPr>
                  <w:rFonts w:ascii="Times New Roman" w:cs="Times New Roman" w:eastAsia="Times New Roman" w:hAnsi="Times New Roman"/>
                  <w:sz w:val="16"/>
                  <w:szCs w:val="16"/>
                  <w:color w:val="0000FF"/>
                </w:rPr>
                <w:t>Consolidated Statements of Cash Flows for the Years Ended December 31, 2024, 2023 and 2022</w:t>
              </w:r>
            </w:hyperlink>
          </w:p>
        </w:tc>
        <w:tc>
          <w:tcPr>
            <w:tcW w:w="3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F-27</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040" w:type="dxa"/>
            <w:vAlign w:val="bottom"/>
            <w:tcBorders>
              <w:top w:val="single" w:sz="8" w:color="0000EE"/>
            </w:tcBorders>
            <w:gridSpan w:val="6"/>
          </w:tcPr>
          <w:p>
            <w:pPr>
              <w:spacing w:after="0"/>
              <w:rPr>
                <w:rFonts w:ascii="Times New Roman" w:cs="Times New Roman" w:eastAsia="Times New Roman" w:hAnsi="Times New Roman"/>
                <w:sz w:val="16"/>
                <w:szCs w:val="16"/>
                <w:color w:val="0000FF"/>
              </w:rPr>
            </w:pPr>
            <w:hyperlink w:anchor="page116">
              <w:r>
                <w:rPr>
                  <w:rFonts w:ascii="Times New Roman" w:cs="Times New Roman" w:eastAsia="Times New Roman" w:hAnsi="Times New Roman"/>
                  <w:sz w:val="16"/>
                  <w:szCs w:val="16"/>
                  <w:color w:val="0000FF"/>
                </w:rPr>
                <w:t>Notes to Consolidated Financial Statements</w:t>
              </w:r>
            </w:hyperlink>
          </w:p>
        </w:tc>
        <w:tc>
          <w:tcPr>
            <w:tcW w:w="680" w:type="dxa"/>
            <w:vAlign w:val="bottom"/>
          </w:tcPr>
          <w:p>
            <w:pPr>
              <w:spacing w:after="0"/>
              <w:rPr>
                <w:sz w:val="24"/>
                <w:szCs w:val="24"/>
                <w:color w:val="auto"/>
              </w:rPr>
            </w:pP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F-28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Borders>
              <w:top w:val="single" w:sz="8" w:color="0000EE"/>
            </w:tcBorders>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color w:val="auto"/>
              </w:rPr>
              <w:t>F-1</w:t>
            </w:r>
          </w:p>
        </w:tc>
        <w:tc>
          <w:tcPr>
            <w:tcW w:w="3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0"/>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gridSpan w:val="3"/>
            <w:vMerge w:val="continue"/>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38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Street Specialty Lending,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Opinions on the Consolidated Financial Statements and Internal Control Over Financial Reporting</w:t>
      </w:r>
    </w:p>
    <w:p>
      <w:pPr>
        <w:spacing w:after="0" w:line="17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Sixth Street Specialty Lending, Inc. and subsidiaries (the Company), including the consolidated schedules of investments, as of December 31, 2024 and 2023, the related consolidated statements of operations, changes in net assets,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the Internal Control – Integrated Framework (2013), issued by the Committee of Sponsoring Organizations of the Treadway Commission.</w:t>
      </w:r>
    </w:p>
    <w:p>
      <w:pPr>
        <w:spacing w:after="0" w:line="15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Opinions</w:t>
      </w:r>
    </w:p>
    <w:p>
      <w:pPr>
        <w:spacing w:after="0" w:line="17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2024 and 2023, by correspondence with custodians, agents, the underlying investee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Definition and Limitations of Internal Control Over Financial Reporting</w:t>
      </w:r>
    </w:p>
    <w:p>
      <w:pPr>
        <w:spacing w:after="0" w:line="17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90" w:name="page91"/>
    <w:bookmarkEnd w:id="90"/>
    <w:p>
      <w:pPr>
        <w:ind w:right="8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78"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Assessment of the fair value of investments</w:t>
      </w:r>
    </w:p>
    <w:p>
      <w:pPr>
        <w:spacing w:after="0" w:line="17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As discussed in Notes 2, 4, and 6 to the consolidated financial statements, the Company classified $3.49 billion of its debt and equity investments as Level 3 in the fair value hierarchy as of December 31, 2024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15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We identified the assessment of the fair value of certain Level 3 debt and equity investments as a critical audit matter because evaluating the assumptions used to measure fair value involved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155"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assessed the Company’s market yield assumptions used to measure the fair value of its Level 3 investments by comparing such yields to third-party market and industry data for a selection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 KPMG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13, 2025</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 (amortized cost of $3,450,644 and $3,172,853, respectively)</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3,453,317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3,223,152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 of $88,509 and $78,159, respectively)</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65,095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investments at fair value (amortized cost of $3,539,153 and $3,251,012, respectively)</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3,518,412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3,283,065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(restricted cash of $22,362 and $23,979, respectively)</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27,328</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30,518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27,969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6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3,582,225</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3,343,808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6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Debt (net of deferred financing costs of $23,837 and $21,930, respectively)</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1,901,142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1,780,307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12,013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11,451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payables to affiliate</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1,974,696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1,847,433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Preferred stock, $0.01 par value; 100,000,000 shares authorized; no shares</w:t>
            </w: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issued and outstanding</w:t>
            </w:r>
          </w:p>
        </w:tc>
        <w:tc>
          <w:tcPr>
            <w:tcW w:w="260" w:type="dxa"/>
            <w:vAlign w:val="bottom"/>
          </w:tcPr>
          <w:p>
            <w:pPr>
              <w:spacing w:after="0"/>
              <w:rPr>
                <w:sz w:val="14"/>
                <w:szCs w:val="14"/>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68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 $0.01 par value; 400,000,000 shares authorized, 94,325,686</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and 88,493,749 shares issued, respectively; and 93,661,436 and 87,829,499</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shares outstanding, respectively</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1,519,337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1,405,173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Treasury stock at cost; 664,250 and 664,250 shares held, respectively</w:t>
            </w:r>
          </w:p>
        </w:tc>
        <w:tc>
          <w:tcPr>
            <w:tcW w:w="2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(10,459 )</w:t>
            </w: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(10,459 )</w:t>
            </w:r>
          </w:p>
        </w:tc>
        <w:tc>
          <w:tcPr>
            <w:tcW w:w="0" w:type="dxa"/>
            <w:vAlign w:val="bottom"/>
          </w:tcPr>
          <w:p>
            <w:pPr>
              <w:spacing w:after="0"/>
              <w:rPr>
                <w:sz w:val="1"/>
                <w:szCs w:val="1"/>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Distributable earnings</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97,708</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1,607,529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1,496,375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3,582,225</w:t>
            </w:r>
          </w:p>
        </w:tc>
        <w:tc>
          <w:tcPr>
            <w:tcW w:w="280" w:type="dxa"/>
            <w:vAlign w:val="bottom"/>
          </w:tcPr>
          <w:p>
            <w:pPr>
              <w:spacing w:after="0"/>
              <w:rPr>
                <w:sz w:val="13"/>
                <w:szCs w:val="13"/>
                <w:color w:val="auto"/>
              </w:rPr>
            </w:pP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3,343,808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860" w:type="dxa"/>
            <w:vAlign w:val="bottom"/>
            <w:tcBorders>
              <w:bottom w:val="single" w:sz="8" w:color="CFF0FC"/>
            </w:tcBorders>
            <w:shd w:val="clear" w:color="auto" w:fill="CFF0FC"/>
          </w:tcPr>
          <w:p>
            <w:pPr>
              <w:ind w:left="34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260" w:type="dxa"/>
            <w:vAlign w:val="bottom"/>
            <w:tcBorders>
              <w:bottom w:val="single" w:sz="8" w:color="auto"/>
            </w:tcBorders>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17.16</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17.04</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3"/>
                <w:szCs w:val="13"/>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6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from non-controlled, non-affiliated investments:</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413,547</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391,343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279,857</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Paid-in-kind interest income</w:t>
            </w:r>
          </w:p>
        </w:tc>
        <w:tc>
          <w:tcPr>
            <w:tcW w:w="14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29,335</w:t>
            </w: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19,679</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12,585</w:t>
            </w: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11,678</w:t>
            </w: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18,525</w:t>
            </w: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15,122</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9,502</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non-controlled, non-affiliated investments</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473,085</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430,325</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304,103</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from non-controlled, affiliated investments:</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non-controlled, affiliated investments</w:t>
            </w:r>
          </w:p>
        </w:tc>
        <w:tc>
          <w:tcPr>
            <w:tcW w:w="14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income from controlled, affiliated investments:</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5,064</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controlled, affiliated investments</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482,526</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438,087</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309,305</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154,145</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133,731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62,991</w:t>
            </w:r>
          </w:p>
        </w:tc>
      </w:tr>
      <w:tr>
        <w:trPr>
          <w:trHeight w:val="156"/>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fees</w:t>
            </w:r>
          </w:p>
        </w:tc>
        <w:tc>
          <w:tcPr>
            <w:tcW w:w="14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51,786</w:t>
            </w: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46,382</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39,900</w:t>
            </w: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Incentive fees on net investment income</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45,530</w:t>
            </w: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42,590</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33,401</w:t>
            </w:r>
          </w:p>
        </w:tc>
      </w:tr>
      <w:tr>
        <w:trPr>
          <w:trHeight w:val="156"/>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fees on net capital gains</w:t>
            </w:r>
          </w:p>
        </w:tc>
        <w:tc>
          <w:tcPr>
            <w:tcW w:w="14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(5,375)</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(8,864)</w:t>
            </w: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7,546</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7,192</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Directors’ fees</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general and administrative</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5,522</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5,427</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expenses</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240,494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140,783</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Management and incentive fees waived (Note 3)</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(1,466)</w:t>
            </w: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(1,171)</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(427 )</w:t>
            </w:r>
          </w:p>
        </w:tc>
      </w:tr>
      <w:tr>
        <w:trPr>
          <w:trHeight w:val="156"/>
        </w:trPr>
        <w:tc>
          <w:tcPr>
            <w:tcW w:w="57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258,565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239,323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140,356</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 Before Income Taxes</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223,961</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198,764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168,949</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including excise taxes</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2,622</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220,017</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196,399</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166,327</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and Realized Gains (Losses)</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gains (losses):</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4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(47,625)</w:t>
            </w: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40,571</w:t>
            </w:r>
          </w:p>
        </w:tc>
        <w:tc>
          <w:tcPr>
            <w:tcW w:w="14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(70,085)</w:t>
            </w: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(14,350)</w:t>
            </w: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14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(5,169)</w:t>
            </w:r>
          </w:p>
        </w:tc>
        <w:tc>
          <w:tcPr>
            <w:tcW w:w="26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(21,717)</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8,054</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Translation of other assets and liabilities in foreign currencies</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13,379</w:t>
            </w: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(6,393)</w:t>
            </w: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8,721</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14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(6,748)</w:t>
            </w: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Income tax provision</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(2,609)</w:t>
            </w: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(561 )</w:t>
            </w:r>
          </w:p>
        </w:tc>
      </w:tr>
      <w:tr>
        <w:trPr>
          <w:trHeight w:val="156"/>
        </w:trPr>
        <w:tc>
          <w:tcPr>
            <w:tcW w:w="5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net change in unrealized gains (losses)</w:t>
            </w:r>
          </w:p>
        </w:tc>
        <w:tc>
          <w:tcPr>
            <w:tcW w:w="14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(42,024)</w:t>
            </w: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13,191</w:t>
            </w:r>
          </w:p>
        </w:tc>
        <w:tc>
          <w:tcPr>
            <w:tcW w:w="14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(74,969)</w:t>
            </w: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Realized gains (losses):</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12,095</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13,608</w:t>
            </w: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14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3"/>
                <w:szCs w:val="13"/>
                <w:color w:val="auto"/>
              </w:rPr>
            </w:pPr>
          </w:p>
        </w:tc>
      </w:tr>
      <w:tr>
        <w:trPr>
          <w:trHeight w:val="156"/>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1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2,251</w:t>
            </w:r>
          </w:p>
        </w:tc>
        <w:tc>
          <w:tcPr>
            <w:tcW w:w="80" w:type="dxa"/>
            <w:vAlign w:val="bottom"/>
            <w:shd w:val="clear" w:color="auto" w:fill="CFF0FC"/>
          </w:tcPr>
          <w:p>
            <w:pPr>
              <w:spacing w:after="0"/>
              <w:rPr>
                <w:sz w:val="13"/>
                <w:szCs w:val="13"/>
                <w:color w:val="auto"/>
              </w:rPr>
            </w:pPr>
          </w:p>
        </w:tc>
      </w:tr>
      <w:tr>
        <w:trPr>
          <w:trHeight w:val="156"/>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14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(464 )</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(291 )</w:t>
            </w:r>
          </w:p>
        </w:tc>
      </w:tr>
      <w:tr>
        <w:trPr>
          <w:trHeight w:val="156"/>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Total net realized gains (losses)</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12,433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16,695</w:t>
            </w:r>
          </w:p>
        </w:tc>
      </w:tr>
      <w:tr>
        <w:trPr>
          <w:trHeight w:val="156"/>
        </w:trPr>
        <w:tc>
          <w:tcPr>
            <w:tcW w:w="578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Unrealized and Realized Gains (Losses)</w:t>
            </w:r>
          </w:p>
        </w:tc>
        <w:tc>
          <w:tcPr>
            <w:tcW w:w="14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(33,451)</w:t>
            </w:r>
          </w:p>
        </w:tc>
        <w:tc>
          <w:tcPr>
            <w:tcW w:w="2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25,624</w:t>
            </w:r>
          </w:p>
        </w:tc>
        <w:tc>
          <w:tcPr>
            <w:tcW w:w="14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(58,274)</w:t>
            </w:r>
          </w:p>
        </w:tc>
      </w:tr>
      <w:tr>
        <w:trPr>
          <w:trHeight w:val="196"/>
        </w:trPr>
        <w:tc>
          <w:tcPr>
            <w:tcW w:w="578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Increase (Decrease) in Net Assets Resulting from Operations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186,566</w:t>
            </w: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222,023</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108,053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32"/>
        </w:trPr>
        <w:tc>
          <w:tcPr>
            <w:tcW w:w="57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Earnings per common share—basic and diluted</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2.03</w:t>
            </w:r>
          </w:p>
        </w:tc>
        <w:tc>
          <w:tcPr>
            <w:tcW w:w="2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2.61</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1.38</w:t>
            </w:r>
          </w:p>
        </w:tc>
      </w:tr>
      <w:tr>
        <w:trPr>
          <w:trHeight w:val="1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outstanding—basic and diluted</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92,035,165</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85,131,264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78,197,826</w:t>
            </w:r>
          </w:p>
        </w:tc>
        <w:tc>
          <w:tcPr>
            <w:tcW w:w="80" w:type="dxa"/>
            <w:vAlign w:val="bottom"/>
            <w:shd w:val="clear" w:color="auto" w:fill="CFF0FC"/>
          </w:tcPr>
          <w:p>
            <w:pPr>
              <w:spacing w:after="0"/>
              <w:rPr>
                <w:sz w:val="13"/>
                <w:szCs w:val="13"/>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1" w:right="1440" w:bottom="1440" w:gutter="0" w:footer="0" w:header="0"/>
        </w:sectPr>
      </w:pPr>
    </w:p>
    <w:bookmarkStart w:id="94" w:name="page95"/>
    <w:bookmarkEnd w:id="94"/>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w:t>
            </w:r>
          </w:p>
        </w:tc>
        <w:tc>
          <w:tcPr>
            <w:tcW w:w="218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Truck-Lite Co., LLC </w:t>
            </w:r>
            <w:r>
              <w:rPr>
                <w:rFonts w:ascii="Times New Roman" w:cs="Times New Roman" w:eastAsia="Times New Roman" w:hAnsi="Times New Roman"/>
                <w:sz w:val="16"/>
                <w:szCs w:val="16"/>
                <w:color w:val="auto"/>
                <w:vertAlign w:val="superscript"/>
              </w:rPr>
              <w:t>(3)</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($40,134 par, due</w:t>
            </w:r>
          </w:p>
        </w:tc>
        <w:tc>
          <w:tcPr>
            <w:tcW w:w="0" w:type="dxa"/>
            <w:vAlign w:val="bottom"/>
          </w:tcPr>
          <w:p>
            <w:pPr>
              <w:spacing w:after="0"/>
              <w:rPr>
                <w:sz w:val="1"/>
                <w:szCs w:val="1"/>
                <w:color w:val="auto"/>
              </w:rPr>
            </w:pPr>
          </w:p>
        </w:tc>
      </w:tr>
      <w:tr>
        <w:trPr>
          <w:trHeight w:val="172"/>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2/2031)</w:t>
            </w:r>
          </w:p>
        </w:tc>
        <w:tc>
          <w:tcPr>
            <w:tcW w:w="0" w:type="dxa"/>
            <w:vAlign w:val="bottom"/>
          </w:tcPr>
          <w:p>
            <w:pPr>
              <w:spacing w:after="0"/>
              <w:rPr>
                <w:sz w:val="1"/>
                <w:szCs w:val="1"/>
                <w:color w:val="auto"/>
              </w:rPr>
            </w:pPr>
          </w:p>
        </w:tc>
      </w:tr>
      <w:tr>
        <w:trPr>
          <w:trHeight w:val="129"/>
        </w:trPr>
        <w:tc>
          <w:tcPr>
            <w:tcW w:w="1640" w:type="dxa"/>
            <w:vAlign w:val="bottom"/>
            <w:vMerge w:val="continue"/>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Alpha Midco, Inc. </w:t>
            </w:r>
            <w:r>
              <w:rPr>
                <w:rFonts w:ascii="Times New Roman" w:cs="Times New Roman" w:eastAsia="Times New Roman" w:hAnsi="Times New Roman"/>
                <w:sz w:val="16"/>
                <w:szCs w:val="16"/>
                <w:color w:val="auto"/>
                <w:vertAlign w:val="superscript"/>
              </w:rPr>
              <w:t>(3)(5)</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($69,624 par, due</w:t>
            </w:r>
          </w:p>
        </w:tc>
        <w:tc>
          <w:tcPr>
            <w:tcW w:w="0" w:type="dxa"/>
            <w:vAlign w:val="bottom"/>
          </w:tcPr>
          <w:p>
            <w:pPr>
              <w:spacing w:after="0"/>
              <w:rPr>
                <w:sz w:val="1"/>
                <w:szCs w:val="1"/>
                <w:color w:val="auto"/>
              </w:rPr>
            </w:pPr>
          </w:p>
        </w:tc>
      </w:tr>
      <w:tr>
        <w:trPr>
          <w:trHeight w:val="156"/>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Artisan Bidco, Inc.</w:t>
            </w:r>
            <w:r>
              <w:rPr>
                <w:rFonts w:ascii="Times New Roman" w:cs="Times New Roman" w:eastAsia="Times New Roman" w:hAnsi="Times New Roman"/>
                <w:sz w:val="16"/>
                <w:szCs w:val="16"/>
                <w:color w:val="auto"/>
                <w:vertAlign w:val="superscript"/>
              </w:rPr>
              <w:t>(3)</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8/2028)</w:t>
            </w:r>
          </w:p>
        </w:tc>
        <w:tc>
          <w:tcPr>
            <w:tcW w:w="0" w:type="dxa"/>
            <w:vAlign w:val="bottom"/>
          </w:tcPr>
          <w:p>
            <w:pPr>
              <w:spacing w:after="0"/>
              <w:rPr>
                <w:sz w:val="1"/>
                <w:szCs w:val="1"/>
                <w:color w:val="auto"/>
              </w:rPr>
            </w:pPr>
          </w:p>
        </w:tc>
      </w:tr>
      <w:tr>
        <w:trPr>
          <w:trHeight w:val="156"/>
        </w:trPr>
        <w:tc>
          <w:tcPr>
            <w:tcW w:w="1640" w:type="dxa"/>
            <w:vAlign w:val="bottom"/>
            <w:vMerge w:val="continue"/>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($38,830 par, due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11/2029)</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(EUR 17,558 par, due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11/2029)</w:t>
            </w:r>
          </w:p>
        </w:tc>
        <w:tc>
          <w:tcPr>
            <w:tcW w:w="0" w:type="dxa"/>
            <w:vAlign w:val="bottom"/>
          </w:tcPr>
          <w:p>
            <w:pPr>
              <w:spacing w:after="0"/>
              <w:rPr>
                <w:sz w:val="1"/>
                <w:szCs w:val="1"/>
                <w:color w:val="auto"/>
              </w:rPr>
            </w:pPr>
          </w:p>
        </w:tc>
      </w:tr>
      <w:tr>
        <w:trPr>
          <w:trHeight w:val="145"/>
        </w:trPr>
        <w:tc>
          <w:tcPr>
            <w:tcW w:w="16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Azurite Intermediate</w:t>
            </w:r>
          </w:p>
        </w:tc>
        <w:tc>
          <w:tcPr>
            <w:tcW w:w="218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First-lien loan ($42,750 par, due</w:t>
            </w:r>
          </w:p>
        </w:tc>
        <w:tc>
          <w:tcPr>
            <w:tcW w:w="0" w:type="dxa"/>
            <w:vAlign w:val="bottom"/>
          </w:tcPr>
          <w:p>
            <w:pPr>
              <w:spacing w:after="0"/>
              <w:rPr>
                <w:sz w:val="1"/>
                <w:szCs w:val="1"/>
                <w:color w:val="auto"/>
              </w:rPr>
            </w:pPr>
          </w:p>
        </w:tc>
      </w:tr>
      <w:tr>
        <w:trPr>
          <w:trHeight w:val="167"/>
        </w:trPr>
        <w:tc>
          <w:tcPr>
            <w:tcW w:w="16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Holdings, Inc. </w:t>
            </w:r>
            <w:r>
              <w:rPr>
                <w:rFonts w:ascii="Times New Roman" w:cs="Times New Roman" w:eastAsia="Times New Roman" w:hAnsi="Times New Roman"/>
                <w:sz w:val="16"/>
                <w:szCs w:val="16"/>
                <w:color w:val="auto"/>
                <w:vertAlign w:val="superscript"/>
              </w:rPr>
              <w:t>(3)</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3/2031)</w:t>
            </w:r>
          </w:p>
        </w:tc>
        <w:tc>
          <w:tcPr>
            <w:tcW w:w="0" w:type="dxa"/>
            <w:vAlign w:val="bottom"/>
          </w:tcPr>
          <w:p>
            <w:pPr>
              <w:spacing w:after="0"/>
              <w:rPr>
                <w:sz w:val="1"/>
                <w:szCs w:val="1"/>
                <w:color w:val="auto"/>
              </w:rPr>
            </w:pPr>
          </w:p>
        </w:tc>
      </w:tr>
      <w:tr>
        <w:trPr>
          <w:trHeight w:val="145"/>
        </w:trPr>
        <w:tc>
          <w:tcPr>
            <w:tcW w:w="16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BCTO Ignition Purchaser,</w:t>
            </w:r>
          </w:p>
        </w:tc>
        <w:tc>
          <w:tcPr>
            <w:tcW w:w="218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First-lien holdco loan ($36,231 par, due</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(3)</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10/2030)</w:t>
            </w:r>
          </w:p>
        </w:tc>
        <w:tc>
          <w:tcPr>
            <w:tcW w:w="0" w:type="dxa"/>
            <w:vAlign w:val="bottom"/>
          </w:tcPr>
          <w:p>
            <w:pPr>
              <w:spacing w:after="0"/>
              <w:rPr>
                <w:sz w:val="1"/>
                <w:szCs w:val="1"/>
                <w:color w:val="auto"/>
              </w:rPr>
            </w:pPr>
          </w:p>
        </w:tc>
      </w:tr>
      <w:tr>
        <w:trPr>
          <w:trHeight w:val="167"/>
        </w:trPr>
        <w:tc>
          <w:tcPr>
            <w:tcW w:w="16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Crewline Buyer, Inc.</w:t>
            </w:r>
            <w:r>
              <w:rPr>
                <w:rFonts w:ascii="Times New Roman" w:cs="Times New Roman" w:eastAsia="Times New Roman" w:hAnsi="Times New Roman"/>
                <w:sz w:val="16"/>
                <w:szCs w:val="16"/>
                <w:color w:val="auto"/>
                <w:vertAlign w:val="superscript"/>
              </w:rPr>
              <w:t>(3)</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($58,384 par, due</w:t>
            </w:r>
          </w:p>
        </w:tc>
        <w:tc>
          <w:tcPr>
            <w:tcW w:w="0" w:type="dxa"/>
            <w:vAlign w:val="bottom"/>
          </w:tcPr>
          <w:p>
            <w:pPr>
              <w:spacing w:after="0"/>
              <w:rPr>
                <w:sz w:val="1"/>
                <w:szCs w:val="1"/>
                <w:color w:val="auto"/>
              </w:rPr>
            </w:pPr>
          </w:p>
        </w:tc>
      </w:tr>
      <w:tr>
        <w:trPr>
          <w:trHeight w:val="156"/>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Dye &amp; Durham Corp. </w:t>
            </w:r>
            <w:r>
              <w:rPr>
                <w:rFonts w:ascii="Times New Roman" w:cs="Times New Roman" w:eastAsia="Times New Roman" w:hAnsi="Times New Roman"/>
                <w:sz w:val="16"/>
                <w:szCs w:val="16"/>
                <w:color w:val="auto"/>
                <w:vertAlign w:val="superscript"/>
              </w:rPr>
              <w:t>(3)(4)(9)</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11/2030)</w:t>
            </w:r>
          </w:p>
        </w:tc>
        <w:tc>
          <w:tcPr>
            <w:tcW w:w="0" w:type="dxa"/>
            <w:vAlign w:val="bottom"/>
          </w:tcPr>
          <w:p>
            <w:pPr>
              <w:spacing w:after="0"/>
              <w:rPr>
                <w:sz w:val="1"/>
                <w:szCs w:val="1"/>
                <w:color w:val="auto"/>
              </w:rPr>
            </w:pPr>
          </w:p>
        </w:tc>
      </w:tr>
      <w:tr>
        <w:trPr>
          <w:trHeight w:val="145"/>
        </w:trPr>
        <w:tc>
          <w:tcPr>
            <w:tcW w:w="1640" w:type="dxa"/>
            <w:vAlign w:val="bottom"/>
            <w:vMerge w:val="continue"/>
          </w:tcPr>
          <w:p>
            <w:pPr>
              <w:spacing w:after="0"/>
              <w:rPr>
                <w:sz w:val="12"/>
                <w:szCs w:val="12"/>
                <w:color w:val="auto"/>
              </w:rPr>
            </w:pPr>
          </w:p>
        </w:tc>
        <w:tc>
          <w:tcPr>
            <w:tcW w:w="218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First-lien loan ($955 par, due 4/2031)</w:t>
            </w:r>
          </w:p>
        </w:tc>
        <w:tc>
          <w:tcPr>
            <w:tcW w:w="0" w:type="dxa"/>
            <w:vAlign w:val="bottom"/>
          </w:tcPr>
          <w:p>
            <w:pPr>
              <w:spacing w:after="0"/>
              <w:rPr>
                <w:sz w:val="1"/>
                <w:szCs w:val="1"/>
                <w:color w:val="auto"/>
              </w:rPr>
            </w:pPr>
          </w:p>
        </w:tc>
      </w:tr>
      <w:tr>
        <w:trPr>
          <w:trHeight w:val="219"/>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Elements Finco Limited </w:t>
            </w:r>
            <w:r>
              <w:rPr>
                <w:rFonts w:ascii="Times New Roman" w:cs="Times New Roman" w:eastAsia="Times New Roman" w:hAnsi="Times New Roman"/>
                <w:sz w:val="16"/>
                <w:szCs w:val="16"/>
                <w:color w:val="auto"/>
                <w:vertAlign w:val="superscript"/>
              </w:rPr>
              <w:t>(3)(4)</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($4,069 par, due 4/2031)</w:t>
            </w:r>
          </w:p>
        </w:tc>
        <w:tc>
          <w:tcPr>
            <w:tcW w:w="0" w:type="dxa"/>
            <w:vAlign w:val="bottom"/>
          </w:tcPr>
          <w:p>
            <w:pPr>
              <w:spacing w:after="0"/>
              <w:rPr>
                <w:sz w:val="1"/>
                <w:szCs w:val="1"/>
                <w:color w:val="auto"/>
              </w:rPr>
            </w:pPr>
          </w:p>
        </w:tc>
      </w:tr>
      <w:tr>
        <w:trPr>
          <w:trHeight w:val="260"/>
        </w:trPr>
        <w:tc>
          <w:tcPr>
            <w:tcW w:w="1640" w:type="dxa"/>
            <w:vAlign w:val="bottom"/>
          </w:tcPr>
          <w:p>
            <w:pPr>
              <w:spacing w:after="0"/>
              <w:rPr>
                <w:sz w:val="22"/>
                <w:szCs w:val="22"/>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(GBP 10,275 par, due</w:t>
            </w:r>
          </w:p>
        </w:tc>
        <w:tc>
          <w:tcPr>
            <w:tcW w:w="0" w:type="dxa"/>
            <w:vAlign w:val="bottom"/>
          </w:tcPr>
          <w:p>
            <w:pPr>
              <w:spacing w:after="0"/>
              <w:rPr>
                <w:sz w:val="1"/>
                <w:szCs w:val="1"/>
                <w:color w:val="auto"/>
              </w:rPr>
            </w:pPr>
          </w:p>
        </w:tc>
      </w:tr>
      <w:tr>
        <w:trPr>
          <w:trHeight w:val="156"/>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ExtraHop Networks, Inc. </w:t>
            </w:r>
            <w:r>
              <w:rPr>
                <w:rFonts w:ascii="Times New Roman" w:cs="Times New Roman" w:eastAsia="Times New Roman" w:hAnsi="Times New Roman"/>
                <w:sz w:val="16"/>
                <w:szCs w:val="16"/>
                <w:color w:val="auto"/>
                <w:vertAlign w:val="superscript"/>
              </w:rPr>
              <w:t>(3)(5)</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4/2031)</w:t>
            </w:r>
          </w:p>
        </w:tc>
        <w:tc>
          <w:tcPr>
            <w:tcW w:w="0" w:type="dxa"/>
            <w:vAlign w:val="bottom"/>
          </w:tcPr>
          <w:p>
            <w:pPr>
              <w:spacing w:after="0"/>
              <w:rPr>
                <w:sz w:val="1"/>
                <w:szCs w:val="1"/>
                <w:color w:val="auto"/>
              </w:rPr>
            </w:pPr>
          </w:p>
        </w:tc>
      </w:tr>
      <w:tr>
        <w:trPr>
          <w:trHeight w:val="156"/>
        </w:trPr>
        <w:tc>
          <w:tcPr>
            <w:tcW w:w="1640" w:type="dxa"/>
            <w:vAlign w:val="bottom"/>
            <w:vMerge w:val="continue"/>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($74,616 par, due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7/2027)</w:t>
            </w:r>
          </w:p>
        </w:tc>
        <w:tc>
          <w:tcPr>
            <w:tcW w:w="0" w:type="dxa"/>
            <w:vAlign w:val="bottom"/>
          </w:tcPr>
          <w:p>
            <w:pPr>
              <w:spacing w:after="0"/>
              <w:rPr>
                <w:sz w:val="1"/>
                <w:szCs w:val="1"/>
                <w:color w:val="auto"/>
              </w:rPr>
            </w:pPr>
          </w:p>
        </w:tc>
      </w:tr>
      <w:tr>
        <w:trPr>
          <w:trHeight w:val="132"/>
        </w:trPr>
        <w:tc>
          <w:tcPr>
            <w:tcW w:w="164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ForeScout Technologies, Inc.</w:t>
            </w:r>
          </w:p>
        </w:tc>
        <w:tc>
          <w:tcPr>
            <w:tcW w:w="21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First-lien loan ($5,597 par, due 5/2031)</w:t>
            </w:r>
          </w:p>
        </w:tc>
        <w:tc>
          <w:tcPr>
            <w:tcW w:w="0" w:type="dxa"/>
            <w:vAlign w:val="bottom"/>
          </w:tcPr>
          <w:p>
            <w:pPr>
              <w:spacing w:after="0"/>
              <w:rPr>
                <w:sz w:val="1"/>
                <w:szCs w:val="1"/>
                <w:color w:val="auto"/>
              </w:rPr>
            </w:pPr>
          </w:p>
        </w:tc>
      </w:tr>
      <w:tr>
        <w:trPr>
          <w:trHeight w:val="107"/>
        </w:trPr>
        <w:tc>
          <w:tcPr>
            <w:tcW w:w="164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 xml:space="preserve">Galileo Parent, Inc. </w:t>
            </w:r>
            <w:r>
              <w:rPr>
                <w:rFonts w:ascii="Times New Roman" w:cs="Times New Roman" w:eastAsia="Times New Roman" w:hAnsi="Times New Roman"/>
                <w:sz w:val="16"/>
                <w:szCs w:val="16"/>
                <w:color w:val="auto"/>
                <w:vertAlign w:val="superscript"/>
              </w:rPr>
              <w:t>(3)</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($64,093 par, due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5/2030)</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revolving loan ($4,615 par,</w:t>
            </w:r>
          </w:p>
        </w:tc>
        <w:tc>
          <w:tcPr>
            <w:tcW w:w="0" w:type="dxa"/>
            <w:vAlign w:val="bottom"/>
          </w:tcPr>
          <w:p>
            <w:pPr>
              <w:spacing w:after="0"/>
              <w:rPr>
                <w:sz w:val="1"/>
                <w:szCs w:val="1"/>
                <w:color w:val="auto"/>
              </w:rPr>
            </w:pPr>
          </w:p>
        </w:tc>
      </w:tr>
      <w:tr>
        <w:trPr>
          <w:trHeight w:val="156"/>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Lynx BidCo </w:t>
            </w:r>
            <w:r>
              <w:rPr>
                <w:rFonts w:ascii="Times New Roman" w:cs="Times New Roman" w:eastAsia="Times New Roman" w:hAnsi="Times New Roman"/>
                <w:sz w:val="16"/>
                <w:szCs w:val="16"/>
                <w:color w:val="auto"/>
                <w:vertAlign w:val="superscript"/>
              </w:rPr>
              <w:t>(3)(4)</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5/2030)</w:t>
            </w:r>
          </w:p>
        </w:tc>
        <w:tc>
          <w:tcPr>
            <w:tcW w:w="0" w:type="dxa"/>
            <w:vAlign w:val="bottom"/>
          </w:tcPr>
          <w:p>
            <w:pPr>
              <w:spacing w:after="0"/>
              <w:rPr>
                <w:sz w:val="1"/>
                <w:szCs w:val="1"/>
                <w:color w:val="auto"/>
              </w:rPr>
            </w:pPr>
          </w:p>
        </w:tc>
      </w:tr>
      <w:tr>
        <w:trPr>
          <w:trHeight w:val="208"/>
        </w:trPr>
        <w:tc>
          <w:tcPr>
            <w:tcW w:w="1640" w:type="dxa"/>
            <w:vAlign w:val="bottom"/>
            <w:vMerge w:val="continue"/>
          </w:tcPr>
          <w:p>
            <w:pPr>
              <w:spacing w:after="0"/>
              <w:rPr>
                <w:sz w:val="18"/>
                <w:szCs w:val="18"/>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($1,421 par, due 7/2031)</w:t>
            </w:r>
          </w:p>
        </w:tc>
        <w:tc>
          <w:tcPr>
            <w:tcW w:w="0" w:type="dxa"/>
            <w:vAlign w:val="bottom"/>
          </w:tcPr>
          <w:p>
            <w:pPr>
              <w:spacing w:after="0"/>
              <w:rPr>
                <w:sz w:val="1"/>
                <w:szCs w:val="1"/>
                <w:color w:val="auto"/>
              </w:rPr>
            </w:pPr>
          </w:p>
        </w:tc>
      </w:tr>
      <w:tr>
        <w:trPr>
          <w:trHeight w:val="260"/>
        </w:trPr>
        <w:tc>
          <w:tcPr>
            <w:tcW w:w="1640" w:type="dxa"/>
            <w:vAlign w:val="bottom"/>
          </w:tcPr>
          <w:p>
            <w:pPr>
              <w:spacing w:after="0"/>
              <w:rPr>
                <w:sz w:val="22"/>
                <w:szCs w:val="22"/>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(EUR 597 par, due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7/2031)</w:t>
            </w:r>
          </w:p>
        </w:tc>
        <w:tc>
          <w:tcPr>
            <w:tcW w:w="0" w:type="dxa"/>
            <w:vAlign w:val="bottom"/>
          </w:tcPr>
          <w:p>
            <w:pPr>
              <w:spacing w:after="0"/>
              <w:rPr>
                <w:sz w:val="1"/>
                <w:szCs w:val="1"/>
                <w:color w:val="auto"/>
              </w:rPr>
            </w:pPr>
          </w:p>
        </w:tc>
      </w:tr>
      <w:tr>
        <w:trPr>
          <w:trHeight w:val="145"/>
        </w:trPr>
        <w:tc>
          <w:tcPr>
            <w:tcW w:w="16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Mitnick Corporate Purchaser,</w:t>
            </w:r>
          </w:p>
        </w:tc>
        <w:tc>
          <w:tcPr>
            <w:tcW w:w="218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First-lien loan ($326 par, due 5/2029)</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Inc.</w:t>
            </w:r>
            <w:r>
              <w:rPr>
                <w:rFonts w:ascii="Times New Roman" w:cs="Times New Roman" w:eastAsia="Times New Roman" w:hAnsi="Times New Roman"/>
                <w:sz w:val="7"/>
                <w:szCs w:val="7"/>
                <w:color w:val="auto"/>
              </w:rPr>
              <w:t xml:space="preserve"> (3)(9)</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6"/>
                <w:szCs w:val="16"/>
                <w:color w:val="auto"/>
                <w:vertAlign w:val="superscript"/>
              </w:rPr>
              <w:t>(3)(4)</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(EUR 910 par, due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10/2029)</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(EUR 910 par, due</w:t>
            </w:r>
          </w:p>
        </w:tc>
        <w:tc>
          <w:tcPr>
            <w:tcW w:w="0" w:type="dxa"/>
            <w:vAlign w:val="bottom"/>
          </w:tcPr>
          <w:p>
            <w:pPr>
              <w:spacing w:after="0"/>
              <w:rPr>
                <w:sz w:val="1"/>
                <w:szCs w:val="1"/>
                <w:color w:val="auto"/>
              </w:rPr>
            </w:pPr>
          </w:p>
        </w:tc>
      </w:tr>
      <w:tr>
        <w:trPr>
          <w:trHeight w:val="156"/>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6"/>
                <w:szCs w:val="16"/>
                <w:color w:val="auto"/>
                <w:vertAlign w:val="superscript"/>
              </w:rPr>
              <w:t>(3)</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10/2029)</w:t>
            </w:r>
          </w:p>
        </w:tc>
        <w:tc>
          <w:tcPr>
            <w:tcW w:w="0" w:type="dxa"/>
            <w:vAlign w:val="bottom"/>
          </w:tcPr>
          <w:p>
            <w:pPr>
              <w:spacing w:after="0"/>
              <w:rPr>
                <w:sz w:val="1"/>
                <w:szCs w:val="1"/>
                <w:color w:val="auto"/>
              </w:rPr>
            </w:pPr>
          </w:p>
        </w:tc>
      </w:tr>
      <w:tr>
        <w:trPr>
          <w:trHeight w:val="156"/>
        </w:trPr>
        <w:tc>
          <w:tcPr>
            <w:tcW w:w="1640" w:type="dxa"/>
            <w:vAlign w:val="bottom"/>
            <w:vMerge w:val="continue"/>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($6,899 par, due 4/2031)</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revolving loan ($275 par, due</w:t>
            </w:r>
          </w:p>
        </w:tc>
        <w:tc>
          <w:tcPr>
            <w:tcW w:w="0" w:type="dxa"/>
            <w:vAlign w:val="bottom"/>
          </w:tcPr>
          <w:p>
            <w:pPr>
              <w:spacing w:after="0"/>
              <w:rPr>
                <w:sz w:val="1"/>
                <w:szCs w:val="1"/>
                <w:color w:val="auto"/>
              </w:rPr>
            </w:pPr>
          </w:p>
        </w:tc>
      </w:tr>
      <w:tr>
        <w:trPr>
          <w:trHeight w:val="156"/>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Wrangler TopCo, LLC </w:t>
            </w:r>
            <w:r>
              <w:rPr>
                <w:rFonts w:ascii="Times New Roman" w:cs="Times New Roman" w:eastAsia="Times New Roman" w:hAnsi="Times New Roman"/>
                <w:sz w:val="16"/>
                <w:szCs w:val="16"/>
                <w:color w:val="auto"/>
                <w:vertAlign w:val="superscript"/>
              </w:rPr>
              <w:t>(3)</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4/2030)</w:t>
            </w:r>
          </w:p>
        </w:tc>
        <w:tc>
          <w:tcPr>
            <w:tcW w:w="0" w:type="dxa"/>
            <w:vAlign w:val="bottom"/>
          </w:tcPr>
          <w:p>
            <w:pPr>
              <w:spacing w:after="0"/>
              <w:rPr>
                <w:sz w:val="1"/>
                <w:szCs w:val="1"/>
                <w:color w:val="auto"/>
              </w:rPr>
            </w:pPr>
          </w:p>
        </w:tc>
      </w:tr>
      <w:tr>
        <w:trPr>
          <w:trHeight w:val="208"/>
        </w:trPr>
        <w:tc>
          <w:tcPr>
            <w:tcW w:w="1640" w:type="dxa"/>
            <w:vAlign w:val="bottom"/>
            <w:vMerge w:val="continue"/>
          </w:tcPr>
          <w:p>
            <w:pPr>
              <w:spacing w:after="0"/>
              <w:rPr>
                <w:sz w:val="18"/>
                <w:szCs w:val="18"/>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($5,484 par, due 9/2029)</w:t>
            </w:r>
          </w:p>
        </w:tc>
        <w:tc>
          <w:tcPr>
            <w:tcW w:w="0" w:type="dxa"/>
            <w:vAlign w:val="bottom"/>
          </w:tcPr>
          <w:p>
            <w:pPr>
              <w:spacing w:after="0"/>
              <w:rPr>
                <w:sz w:val="1"/>
                <w:szCs w:val="1"/>
                <w:color w:val="auto"/>
              </w:rPr>
            </w:pPr>
          </w:p>
        </w:tc>
      </w:tr>
      <w:tr>
        <w:trPr>
          <w:trHeight w:val="249"/>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Chemicals</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Erling Lux Bidco SARL</w:t>
            </w:r>
            <w:r>
              <w:rPr>
                <w:rFonts w:ascii="Times New Roman" w:cs="Times New Roman" w:eastAsia="Times New Roman" w:hAnsi="Times New Roman"/>
                <w:sz w:val="16"/>
                <w:szCs w:val="16"/>
                <w:color w:val="auto"/>
                <w:vertAlign w:val="superscript"/>
              </w:rPr>
              <w:t>(3)(4)</w:t>
            </w: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(EUR 7,239 par, due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9/2028)</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(GBP 19,591 par, due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9/2028)</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(NOK 7,428 par, due</w:t>
            </w: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Reference</w:t>
            </w: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5"/>
        </w:trPr>
        <w:tc>
          <w:tcPr>
            <w:tcW w:w="760" w:type="dxa"/>
            <w:vAlign w:val="bottom"/>
          </w:tcPr>
          <w:p>
            <w:pPr>
              <w:jc w:val="center"/>
              <w:ind w:right="3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1020" w:type="dxa"/>
            <w:vAlign w:val="bottom"/>
          </w:tcPr>
          <w:p>
            <w:pPr>
              <w:jc w:val="center"/>
              <w:ind w:right="14"/>
              <w:spacing w:after="0" w:line="14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tcPr>
          <w:p>
            <w:pPr>
              <w:spacing w:after="0"/>
              <w:rPr>
                <w:sz w:val="12"/>
                <w:szCs w:val="12"/>
                <w:color w:val="auto"/>
              </w:rPr>
            </w:pPr>
          </w:p>
        </w:tc>
        <w:tc>
          <w:tcPr>
            <w:tcW w:w="1260" w:type="dxa"/>
            <w:vAlign w:val="bottom"/>
          </w:tcPr>
          <w:p>
            <w:pPr>
              <w:jc w:val="right"/>
              <w:ind w:right="415"/>
              <w:spacing w:after="0" w:line="14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500" w:type="dxa"/>
            <w:vAlign w:val="bottom"/>
          </w:tcPr>
          <w:p>
            <w:pPr>
              <w:spacing w:after="0"/>
              <w:rPr>
                <w:sz w:val="12"/>
                <w:szCs w:val="12"/>
                <w:color w:val="auto"/>
              </w:rPr>
            </w:pPr>
          </w:p>
        </w:tc>
        <w:tc>
          <w:tcPr>
            <w:tcW w:w="860" w:type="dxa"/>
            <w:vAlign w:val="bottom"/>
          </w:tcPr>
          <w:p>
            <w:pPr>
              <w:jc w:val="right"/>
              <w:ind w:right="34"/>
              <w:spacing w:after="0" w:line="145" w:lineRule="exact"/>
              <w:rPr>
                <w:sz w:val="20"/>
                <w:szCs w:val="20"/>
                <w:color w:val="auto"/>
              </w:rPr>
            </w:pPr>
            <w:r>
              <w:rPr>
                <w:rFonts w:ascii="Times New Roman" w:cs="Times New Roman" w:eastAsia="Times New Roman" w:hAnsi="Times New Roman"/>
                <w:sz w:val="13"/>
                <w:szCs w:val="13"/>
                <w:b w:val="1"/>
                <w:bCs w:val="1"/>
                <w:color w:val="auto"/>
              </w:rPr>
              <w:t>Percentage</w:t>
            </w:r>
          </w:p>
        </w:tc>
      </w:tr>
      <w:tr>
        <w:trPr>
          <w:trHeight w:val="350"/>
        </w:trPr>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260" w:type="dxa"/>
            <w:vAlign w:val="bottom"/>
          </w:tcPr>
          <w:p>
            <w:pPr>
              <w:jc w:val="right"/>
              <w:ind w:right="455"/>
              <w:spacing w:after="0"/>
              <w:rPr>
                <w:sz w:val="20"/>
                <w:szCs w:val="20"/>
                <w:color w:val="auto"/>
              </w:rPr>
            </w:pPr>
            <w:r>
              <w:rPr>
                <w:rFonts w:ascii="Times New Roman" w:cs="Times New Roman" w:eastAsia="Times New Roman" w:hAnsi="Times New Roman"/>
                <w:sz w:val="26"/>
                <w:szCs w:val="26"/>
                <w:b w:val="1"/>
                <w:bCs w:val="1"/>
                <w:color w:val="auto"/>
                <w:vertAlign w:val="subscript"/>
              </w:rPr>
              <w:t>Cost</w:t>
            </w:r>
            <w:r>
              <w:rPr>
                <w:rFonts w:ascii="Times New Roman" w:cs="Times New Roman" w:eastAsia="Times New Roman" w:hAnsi="Times New Roman"/>
                <w:sz w:val="8"/>
                <w:szCs w:val="8"/>
                <w:b w:val="1"/>
                <w:bCs w:val="1"/>
                <w:color w:val="auto"/>
              </w:rPr>
              <w:t xml:space="preserve"> (2)(7)</w:t>
            </w:r>
          </w:p>
        </w:tc>
        <w:tc>
          <w:tcPr>
            <w:tcW w:w="15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of Net Assets</w:t>
            </w:r>
          </w:p>
        </w:tc>
      </w:tr>
      <w:tr>
        <w:trPr>
          <w:trHeight w:val="303"/>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2/13/2024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+ 5.75%</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10.27%</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$39,707</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$40,256</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468"/>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8/15/2019</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+ 6.88%</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11.20%</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69,361</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69,975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312"/>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11/7/2023</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+ 7.00%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11.39%</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38,090</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38,830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96"/>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11/7/2023</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E + 7.00%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10.05%</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18,544</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18,181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(EUR 17,558)</w:t>
            </w:r>
          </w:p>
        </w:tc>
        <w:tc>
          <w:tcPr>
            <w:tcW w:w="860" w:type="dxa"/>
            <w:vAlign w:val="bottom"/>
          </w:tcPr>
          <w:p>
            <w:pPr>
              <w:spacing w:after="0"/>
              <w:rPr>
                <w:sz w:val="13"/>
                <w:szCs w:val="13"/>
                <w:color w:val="auto"/>
              </w:rPr>
            </w:pPr>
          </w:p>
        </w:tc>
      </w:tr>
      <w:tr>
        <w:trPr>
          <w:trHeight w:val="172"/>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3/19/2024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+ 6.50%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10.86%</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42,029</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42,513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312"/>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4/18/2023</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+ 8.50%</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13.13% PIK</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35,456</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36,955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312"/>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11/8/2023</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+ 6.75%</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11.11%</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56,953</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58,866</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29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+ 4.10%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8.43%</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941</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964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56"/>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4/29/2024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+ 4.97%</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9.33% (incl.</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4,045</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4,069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1.97% PIK)</w:t>
            </w: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4/29/2024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 + 5.25%</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9.95% (incl.</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12,748</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12,869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2.25% PIK)</w:t>
            </w:r>
          </w:p>
        </w:tc>
        <w:tc>
          <w:tcPr>
            <w:tcW w:w="126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(GBP 10,275)</w:t>
            </w:r>
          </w:p>
        </w:tc>
        <w:tc>
          <w:tcPr>
            <w:tcW w:w="860" w:type="dxa"/>
            <w:vAlign w:val="bottom"/>
          </w:tcPr>
          <w:p>
            <w:pPr>
              <w:spacing w:after="0"/>
              <w:rPr>
                <w:sz w:val="13"/>
                <w:szCs w:val="13"/>
                <w:color w:val="auto"/>
              </w:rPr>
            </w:pPr>
          </w:p>
        </w:tc>
      </w:tr>
      <w:tr>
        <w:trPr>
          <w:trHeight w:val="172"/>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7/22/2021</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+ 7.60%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11.96%</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73,874</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74,616</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312"/>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5/24/2024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+ 5.00%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9.52%</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5,541</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5,565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264"/>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5/3/2023</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+ 5.75%</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10.08%</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62,493</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64,093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312"/>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5/3/2023</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+ 5.75%</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10.08%</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4,397</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4,615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29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+ 7.11%</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11.75% (incl.</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1,385</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1,392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5.61% PIK)</w:t>
            </w: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E + 7.11%</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10.38% (incl.</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633</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5.61% PIK)</w:t>
            </w:r>
          </w:p>
        </w:tc>
        <w:tc>
          <w:tcPr>
            <w:tcW w:w="126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(EUR 590)</w:t>
            </w:r>
          </w:p>
        </w:tc>
        <w:tc>
          <w:tcPr>
            <w:tcW w:w="860" w:type="dxa"/>
            <w:vAlign w:val="bottom"/>
          </w:tcPr>
          <w:p>
            <w:pPr>
              <w:spacing w:after="0"/>
              <w:rPr>
                <w:sz w:val="13"/>
                <w:szCs w:val="13"/>
                <w:color w:val="auto"/>
              </w:rPr>
            </w:pPr>
          </w:p>
        </w:tc>
      </w:tr>
      <w:tr>
        <w:trPr>
          <w:trHeight w:val="172"/>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5/2/2022</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+ 4.50%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9.19%</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326</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r>
      <w:tr>
        <w:trPr>
          <w:trHeight w:val="29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10/27/2023</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E + 7.00%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10.06%</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966</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947</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(EUR 915)</w:t>
            </w:r>
          </w:p>
        </w:tc>
        <w:tc>
          <w:tcPr>
            <w:tcW w:w="860" w:type="dxa"/>
            <w:vAlign w:val="bottom"/>
          </w:tcPr>
          <w:p>
            <w:pPr>
              <w:spacing w:after="0"/>
              <w:rPr>
                <w:sz w:val="13"/>
                <w:szCs w:val="13"/>
                <w:color w:val="auto"/>
              </w:rPr>
            </w:pPr>
          </w:p>
        </w:tc>
      </w:tr>
      <w:tr>
        <w:trPr>
          <w:trHeight w:val="15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E + 6.25%</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9.12%</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921</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919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(EUR 887)</w:t>
            </w:r>
          </w:p>
        </w:tc>
        <w:tc>
          <w:tcPr>
            <w:tcW w:w="860" w:type="dxa"/>
            <w:vAlign w:val="bottom"/>
          </w:tcPr>
          <w:p>
            <w:pPr>
              <w:spacing w:after="0"/>
              <w:rPr>
                <w:sz w:val="13"/>
                <w:szCs w:val="13"/>
                <w:color w:val="auto"/>
              </w:rPr>
            </w:pPr>
          </w:p>
        </w:tc>
      </w:tr>
      <w:tr>
        <w:trPr>
          <w:trHeight w:val="156"/>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4/30/2024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+ 5.25%</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9.62%</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6,789</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6,899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2"/>
        </w:trPr>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4/30/2024</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+ 5.25%</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9.59%</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263</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r>
      <w:tr>
        <w:trPr>
          <w:trHeight w:val="29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7/7/2023</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SOFR + 6.00%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10.38%</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5,369</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5,553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2"/>
        </w:trPr>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441,124</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449,009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29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9/6/2022</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E + 7.00%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10.06%</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6,928</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7,650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(EUR 7,388)</w:t>
            </w:r>
          </w:p>
        </w:tc>
        <w:tc>
          <w:tcPr>
            <w:tcW w:w="860" w:type="dxa"/>
            <w:vAlign w:val="bottom"/>
          </w:tcPr>
          <w:p>
            <w:pPr>
              <w:spacing w:after="0"/>
              <w:rPr>
                <w:sz w:val="13"/>
                <w:szCs w:val="13"/>
                <w:color w:val="auto"/>
              </w:rPr>
            </w:pPr>
          </w:p>
        </w:tc>
      </w:tr>
      <w:tr>
        <w:trPr>
          <w:trHeight w:val="15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9/6/2022</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 + 7.00%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11.70%</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23,020</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24,904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(GBP 19,885)</w:t>
            </w:r>
          </w:p>
        </w:tc>
        <w:tc>
          <w:tcPr>
            <w:tcW w:w="860" w:type="dxa"/>
            <w:vAlign w:val="bottom"/>
          </w:tcPr>
          <w:p>
            <w:pPr>
              <w:spacing w:after="0"/>
              <w:rPr>
                <w:sz w:val="13"/>
                <w:szCs w:val="13"/>
                <w:color w:val="auto"/>
              </w:rPr>
            </w:pPr>
          </w:p>
        </w:tc>
      </w:tr>
      <w:tr>
        <w:trPr>
          <w:trHeight w:val="15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9/6/2022</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N + 7.00%</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11.69%</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711</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664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r>
      <w:tr>
        <w:trPr>
          <w:trHeight w:val="156"/>
        </w:trPr>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(NOK 7,538)</w:t>
            </w:r>
          </w:p>
        </w:tc>
        <w:tc>
          <w:tcPr>
            <w:tcW w:w="860" w:type="dxa"/>
            <w:vAlign w:val="bottom"/>
          </w:tcPr>
          <w:p>
            <w:pPr>
              <w:spacing w:after="0"/>
              <w:rPr>
                <w:sz w:val="13"/>
                <w:szCs w:val="13"/>
                <w:color w:val="auto"/>
              </w:rPr>
            </w:pPr>
          </w:p>
        </w:tc>
      </w:tr>
      <w:tr>
        <w:trPr>
          <w:trHeight w:val="170"/>
        </w:trPr>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30,659</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33,218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-5123180</wp:posOffset>
            </wp:positionV>
            <wp:extent cx="6707505" cy="99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-4826000</wp:posOffset>
            </wp:positionV>
            <wp:extent cx="6707505" cy="99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-4528185</wp:posOffset>
            </wp:positionV>
            <wp:extent cx="6707505" cy="1981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-4131945</wp:posOffset>
            </wp:positionV>
            <wp:extent cx="6707505" cy="1981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-3735705</wp:posOffset>
            </wp:positionV>
            <wp:extent cx="6707505" cy="1981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-3438525</wp:posOffset>
            </wp:positionV>
            <wp:extent cx="6707505" cy="1981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-3042285</wp:posOffset>
            </wp:positionV>
            <wp:extent cx="6707505" cy="1981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-2676525</wp:posOffset>
            </wp:positionV>
            <wp:extent cx="6707505" cy="1981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-2279650</wp:posOffset>
            </wp:positionV>
            <wp:extent cx="6707505" cy="1981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-1883410</wp:posOffset>
            </wp:positionV>
            <wp:extent cx="6707505" cy="1981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-1487170</wp:posOffset>
            </wp:positionV>
            <wp:extent cx="6707505" cy="1981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-1189990</wp:posOffset>
            </wp:positionV>
            <wp:extent cx="6707505" cy="1981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-892810</wp:posOffset>
            </wp:positionV>
            <wp:extent cx="6707505" cy="990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-694690</wp:posOffset>
            </wp:positionV>
            <wp:extent cx="6707505" cy="198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-298450</wp:posOffset>
            </wp:positionV>
            <wp:extent cx="6707505" cy="1981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-635</wp:posOffset>
            </wp:positionV>
            <wp:extent cx="6707505" cy="990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3820" w:space="180"/>
            <w:col w:w="6560"/>
          </w:cols>
          <w:pgMar w:left="680" w:top="1336" w:right="660" w:bottom="1440" w:gutter="0" w:footer="0" w:header="0"/>
        </w:sectPr>
      </w:pPr>
    </w:p>
    <w:p>
      <w:pPr>
        <w:spacing w:after="0"/>
        <w:rPr>
          <w:sz w:val="20"/>
          <w:szCs w:val="20"/>
          <w:color w:val="auto"/>
        </w:rPr>
      </w:pPr>
      <w:r>
        <w:rPr>
          <w:rFonts w:ascii="Times New Roman" w:cs="Times New Roman" w:eastAsia="Times New Roman" w:hAnsi="Times New Roman"/>
          <w:sz w:val="13"/>
          <w:szCs w:val="13"/>
          <w:b w:val="1"/>
          <w:bCs w:val="1"/>
          <w:color w:val="auto"/>
        </w:rPr>
        <w:t>Communications</w:t>
      </w:r>
    </w:p>
    <w:p>
      <w:pPr>
        <w:spacing w:after="0" w:line="233" w:lineRule="auto"/>
        <w:rPr>
          <w:sz w:val="20"/>
          <w:szCs w:val="20"/>
          <w:color w:val="auto"/>
        </w:rPr>
      </w:pPr>
      <w:r>
        <w:rPr>
          <w:rFonts w:ascii="Times New Roman" w:cs="Times New Roman" w:eastAsia="Times New Roman" w:hAnsi="Times New Roman"/>
          <w:sz w:val="13"/>
          <w:szCs w:val="13"/>
          <w:color w:val="auto"/>
        </w:rPr>
        <w:t>Aurelia Netherlands MidCo 2</w:t>
      </w:r>
    </w:p>
    <w:p>
      <w:pPr>
        <w:spacing w:after="0" w:line="181" w:lineRule="auto"/>
        <w:rPr>
          <w:sz w:val="20"/>
          <w:szCs w:val="20"/>
          <w:color w:val="auto"/>
        </w:rPr>
      </w:pPr>
      <w:r>
        <w:rPr>
          <w:rFonts w:ascii="Times New Roman" w:cs="Times New Roman" w:eastAsia="Times New Roman" w:hAnsi="Times New Roman"/>
          <w:sz w:val="18"/>
          <w:szCs w:val="18"/>
          <w:color w:val="auto"/>
          <w:vertAlign w:val="subscript"/>
        </w:rPr>
        <w:t>B.V.</w:t>
      </w:r>
      <w:r>
        <w:rPr>
          <w:rFonts w:ascii="Times New Roman" w:cs="Times New Roman" w:eastAsia="Times New Roman" w:hAnsi="Times New Roman"/>
          <w:sz w:val="7"/>
          <w:szCs w:val="7"/>
          <w:color w:val="auto"/>
        </w:rPr>
        <w:t xml:space="preserve"> (3)(4)</w:t>
      </w:r>
    </w:p>
    <w:p>
      <w:pPr>
        <w:jc w:val="both"/>
        <w:ind w:right="100"/>
        <w:spacing w:after="0" w:line="241" w:lineRule="auto"/>
        <w:rPr>
          <w:sz w:val="20"/>
          <w:szCs w:val="20"/>
          <w:color w:val="auto"/>
        </w:rPr>
      </w:pPr>
      <w:r>
        <w:rPr>
          <w:rFonts w:ascii="Times New Roman" w:cs="Times New Roman" w:eastAsia="Times New Roman" w:hAnsi="Times New Roman"/>
          <w:sz w:val="12"/>
          <w:szCs w:val="12"/>
          <w:color w:val="auto"/>
        </w:rPr>
        <w:t xml:space="preserve">Babylon Finco Limited </w:t>
      </w:r>
      <w:r>
        <w:rPr>
          <w:rFonts w:ascii="Times New Roman" w:cs="Times New Roman" w:eastAsia="Times New Roman" w:hAnsi="Times New Roman"/>
          <w:sz w:val="15"/>
          <w:szCs w:val="15"/>
          <w:color w:val="auto"/>
          <w:vertAlign w:val="superscript"/>
        </w:rPr>
        <w:t>(3)(4)</w:t>
      </w:r>
      <w:r>
        <w:rPr>
          <w:rFonts w:ascii="Times New Roman" w:cs="Times New Roman" w:eastAsia="Times New Roman" w:hAnsi="Times New Roman"/>
          <w:sz w:val="12"/>
          <w:szCs w:val="12"/>
          <w:color w:val="auto"/>
        </w:rPr>
        <w:t xml:space="preserve"> Banyan Software Holdings,</w:t>
      </w:r>
    </w:p>
    <w:p>
      <w:pPr>
        <w:spacing w:after="0" w:line="182" w:lineRule="auto"/>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7"/>
          <w:szCs w:val="7"/>
          <w:color w:val="auto"/>
        </w:rPr>
        <w:t xml:space="preserve"> (3)(4)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Celtra Technologies, Inc. </w:t>
      </w:r>
      <w:r>
        <w:rPr>
          <w:rFonts w:ascii="Times New Roman" w:cs="Times New Roman" w:eastAsia="Times New Roman" w:hAnsi="Times New Roman"/>
          <w:sz w:val="15"/>
          <w:szCs w:val="15"/>
          <w:color w:val="auto"/>
          <w:vertAlign w:val="superscript"/>
        </w:rPr>
        <w:t>(3)(5)</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3"/>
          <w:szCs w:val="13"/>
          <w:color w:val="auto"/>
        </w:rPr>
        <w:t>First-lien loan (EUR 32,904 par, due 5/2031)</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3"/>
          <w:szCs w:val="13"/>
          <w:color w:val="auto"/>
        </w:rPr>
        <w:t>First-lien loan ($1,557 par, due 1/2031) First-lien loan ($39,386 par, due 10/2026)</w:t>
      </w:r>
    </w:p>
    <w:p>
      <w:pPr>
        <w:spacing w:after="0" w:line="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3"/>
          <w:szCs w:val="13"/>
          <w:color w:val="auto"/>
        </w:rPr>
        <w:t>First-lien loan ($16,045 par, due 10/2026)</w:t>
      </w:r>
    </w:p>
    <w:p>
      <w:pPr>
        <w:spacing w:after="0" w:line="1"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3"/>
          <w:szCs w:val="13"/>
          <w:color w:val="auto"/>
        </w:rPr>
        <w:t>First-lien loan ($26,437 par, due 11/2026)</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5/22/2024</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E + 5.75%</w:t>
            </w: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8.93%</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34,915</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34,157</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(EUR 32,986)</w:t>
            </w:r>
          </w:p>
        </w:tc>
        <w:tc>
          <w:tcPr>
            <w:tcW w:w="600" w:type="dxa"/>
            <w:vAlign w:val="bottom"/>
          </w:tcPr>
          <w:p>
            <w:pPr>
              <w:spacing w:after="0"/>
              <w:rPr>
                <w:sz w:val="13"/>
                <w:szCs w:val="13"/>
                <w:color w:val="auto"/>
              </w:rPr>
            </w:pPr>
          </w:p>
        </w:tc>
      </w:tr>
      <w:tr>
        <w:trPr>
          <w:trHeight w:val="156"/>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1/26/2024</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SOFR + 5.75%</w:t>
            </w: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10.37%</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1,511</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1,557</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2"/>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1/27/2023</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SOFR + 7.35%</w:t>
            </w: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11.71%</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38,748</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40,173</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312"/>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1/26/2024</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SOFR + 6.25%</w:t>
            </w: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10.61%</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15,768</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16,594</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312"/>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11/19/2021</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SOFR + 5.75%</w:t>
            </w: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10.34%</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26,075</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26,503</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312"/>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117,017</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118,984</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-794385</wp:posOffset>
            </wp:positionV>
            <wp:extent cx="6707505" cy="990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-497205</wp:posOffset>
            </wp:positionV>
            <wp:extent cx="6707505" cy="1981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-100965</wp:posOffset>
            </wp:positionV>
            <wp:extent cx="6707505" cy="990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419735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3">
            <w:col w:w="1560" w:space="160"/>
            <w:col w:w="2100" w:space="280"/>
            <w:col w:w="6460"/>
          </w:cols>
          <w:pgMar w:left="680" w:top="1336" w:right="660"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70"/>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Astra Acquisition Corp. </w:t>
            </w:r>
            <w:r>
              <w:rPr>
                <w:rFonts w:ascii="Times New Roman" w:cs="Times New Roman" w:eastAsia="Times New Roman" w:hAnsi="Times New Roman"/>
                <w:sz w:val="16"/>
                <w:szCs w:val="16"/>
                <w:color w:val="auto"/>
                <w:vertAlign w:val="superscript"/>
              </w:rPr>
              <w:t>(3)(14)</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Second-lien loan ($40,302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10/22/2021</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+ 9.14%</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13.47%</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39,703</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6,045</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10/2029)</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Destiny Solutions Parent</w:t>
            </w:r>
          </w:p>
        </w:tc>
        <w:tc>
          <w:tcPr>
            <w:tcW w:w="23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First-lien loan ($58,950 par, due</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6/8/2021</w:t>
            </w:r>
          </w:p>
        </w:tc>
        <w:tc>
          <w:tcPr>
            <w:tcW w:w="110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SOFR + 5.60%</w:t>
            </w:r>
          </w:p>
        </w:tc>
        <w:tc>
          <w:tcPr>
            <w:tcW w:w="1240" w:type="dxa"/>
            <w:vAlign w:val="bottom"/>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9.96%</w:t>
            </w:r>
          </w:p>
        </w:tc>
        <w:tc>
          <w:tcPr>
            <w:tcW w:w="1320" w:type="dxa"/>
            <w:vAlign w:val="bottom"/>
          </w:tcPr>
          <w:p>
            <w:pPr>
              <w:jc w:val="right"/>
              <w:ind w:right="474"/>
              <w:spacing w:after="0" w:line="133" w:lineRule="exact"/>
              <w:rPr>
                <w:sz w:val="20"/>
                <w:szCs w:val="20"/>
                <w:color w:val="auto"/>
              </w:rPr>
            </w:pPr>
            <w:r>
              <w:rPr>
                <w:rFonts w:ascii="Times New Roman" w:cs="Times New Roman" w:eastAsia="Times New Roman" w:hAnsi="Times New Roman"/>
                <w:sz w:val="13"/>
                <w:szCs w:val="13"/>
                <w:color w:val="auto"/>
              </w:rPr>
              <w:t>58,535</w:t>
            </w:r>
          </w:p>
        </w:tc>
        <w:tc>
          <w:tcPr>
            <w:tcW w:w="1500" w:type="dxa"/>
            <w:vAlign w:val="bottom"/>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58,950</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8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Holding Company </w:t>
            </w:r>
            <w:r>
              <w:rPr>
                <w:rFonts w:ascii="Times New Roman" w:cs="Times New Roman" w:eastAsia="Times New Roman" w:hAnsi="Times New Roman"/>
                <w:sz w:val="16"/>
                <w:szCs w:val="16"/>
                <w:color w:val="auto"/>
                <w:vertAlign w:val="superscript"/>
              </w:rPr>
              <w:t>(3)(5)</w:t>
            </w: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6/2026)</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6"/>
                <w:szCs w:val="16"/>
                <w:color w:val="auto"/>
                <w:vertAlign w:val="superscript"/>
              </w:rPr>
              <w:t>(3)</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($56,216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12/22/2021</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+ 6.35%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10.86%</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55,578</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55,935</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12/2027)</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revolving loan ($4,216 par,</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12/22/2021</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+ 6.35%</w:t>
            </w:r>
          </w:p>
        </w:tc>
        <w:tc>
          <w:tcPr>
            <w:tcW w:w="12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10.81%</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4,129</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4,172</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due 12/2027)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Kangaroo Bidco AS </w:t>
            </w:r>
            <w:r>
              <w:rPr>
                <w:rFonts w:ascii="Times New Roman" w:cs="Times New Roman" w:eastAsia="Times New Roman" w:hAnsi="Times New Roman"/>
                <w:sz w:val="16"/>
                <w:szCs w:val="16"/>
                <w:color w:val="auto"/>
                <w:vertAlign w:val="superscript"/>
              </w:rPr>
              <w:t>(3)(4)</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($30,625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11/2/2023</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+ 6.25%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10.66%</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29,804</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30,800</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11/2030)</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Severin Acquisition, LLC </w:t>
            </w:r>
            <w:r>
              <w:rPr>
                <w:rFonts w:ascii="Times New Roman" w:cs="Times New Roman" w:eastAsia="Times New Roman" w:hAnsi="Times New Roman"/>
                <w:sz w:val="16"/>
                <w:szCs w:val="16"/>
                <w:color w:val="auto"/>
                <w:vertAlign w:val="superscript"/>
              </w:rPr>
              <w:t>(3)</w:t>
            </w: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($15,046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10/1/2024</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+ 5.00%</w:t>
            </w:r>
          </w:p>
        </w:tc>
        <w:tc>
          <w:tcPr>
            <w:tcW w:w="1240" w:type="dxa"/>
            <w:vAlign w:val="bottom"/>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9.36% (incl.</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15,028</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15,046</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2.25% PIK)</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80" w:type="dxa"/>
            <w:vAlign w:val="bottom"/>
            <w:shd w:val="clear" w:color="auto" w:fill="CFF0FC"/>
          </w:tcPr>
          <w:p>
            <w:pPr>
              <w:spacing w:after="0"/>
              <w:rPr>
                <w:sz w:val="13"/>
                <w:szCs w:val="13"/>
                <w:color w:val="auto"/>
              </w:rPr>
            </w:pPr>
          </w:p>
        </w:tc>
        <w:tc>
          <w:tcPr>
            <w:tcW w:w="23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202,777</w:t>
            </w:r>
          </w:p>
        </w:tc>
        <w:tc>
          <w:tcPr>
            <w:tcW w:w="15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170,948</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Electronics</w:t>
            </w: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8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Sapphire Software Buyer, Inc.</w:t>
            </w:r>
          </w:p>
        </w:tc>
        <w:tc>
          <w:tcPr>
            <w:tcW w:w="2300" w:type="dxa"/>
            <w:vAlign w:val="bottom"/>
            <w:shd w:val="clear" w:color="auto" w:fill="CFF0FC"/>
          </w:tcPr>
          <w:p>
            <w:pPr>
              <w:ind w:left="60"/>
              <w:spacing w:after="0" w:line="120" w:lineRule="exact"/>
              <w:rPr>
                <w:sz w:val="20"/>
                <w:szCs w:val="20"/>
                <w:color w:val="auto"/>
              </w:rPr>
            </w:pPr>
            <w:r>
              <w:rPr>
                <w:rFonts w:ascii="Times New Roman" w:cs="Times New Roman" w:eastAsia="Times New Roman" w:hAnsi="Times New Roman"/>
                <w:sz w:val="13"/>
                <w:szCs w:val="13"/>
                <w:color w:val="auto"/>
              </w:rPr>
              <w:t>First-lien loan ($26,962 par, due</w:t>
            </w:r>
          </w:p>
        </w:tc>
        <w:tc>
          <w:tcPr>
            <w:tcW w:w="800" w:type="dxa"/>
            <w:vAlign w:val="bottom"/>
            <w:shd w:val="clear" w:color="auto" w:fill="CFF0FC"/>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9/30/2024</w:t>
            </w:r>
          </w:p>
        </w:tc>
        <w:tc>
          <w:tcPr>
            <w:tcW w:w="1100" w:type="dxa"/>
            <w:vAlign w:val="bottom"/>
            <w:shd w:val="clear" w:color="auto" w:fill="CFF0FC"/>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SOFR + 5.50%</w:t>
            </w:r>
          </w:p>
        </w:tc>
        <w:tc>
          <w:tcPr>
            <w:tcW w:w="1240" w:type="dxa"/>
            <w:vAlign w:val="bottom"/>
            <w:shd w:val="clear" w:color="auto" w:fill="CFF0FC"/>
          </w:tcPr>
          <w:p>
            <w:pPr>
              <w:jc w:val="right"/>
              <w:ind w:right="314"/>
              <w:spacing w:after="0" w:line="120" w:lineRule="exact"/>
              <w:rPr>
                <w:sz w:val="20"/>
                <w:szCs w:val="20"/>
                <w:color w:val="auto"/>
              </w:rPr>
            </w:pPr>
            <w:r>
              <w:rPr>
                <w:rFonts w:ascii="Times New Roman" w:cs="Times New Roman" w:eastAsia="Times New Roman" w:hAnsi="Times New Roman"/>
                <w:sz w:val="13"/>
                <w:szCs w:val="13"/>
                <w:color w:val="auto"/>
              </w:rPr>
              <w:t>9.75% (incl.</w:t>
            </w:r>
          </w:p>
        </w:tc>
        <w:tc>
          <w:tcPr>
            <w:tcW w:w="1320" w:type="dxa"/>
            <w:vAlign w:val="bottom"/>
            <w:shd w:val="clear" w:color="auto" w:fill="CFF0FC"/>
          </w:tcPr>
          <w:p>
            <w:pPr>
              <w:jc w:val="right"/>
              <w:ind w:right="474"/>
              <w:spacing w:after="0" w:line="120" w:lineRule="exact"/>
              <w:rPr>
                <w:sz w:val="20"/>
                <w:szCs w:val="20"/>
                <w:color w:val="auto"/>
              </w:rPr>
            </w:pPr>
            <w:r>
              <w:rPr>
                <w:rFonts w:ascii="Times New Roman" w:cs="Times New Roman" w:eastAsia="Times New Roman" w:hAnsi="Times New Roman"/>
                <w:sz w:val="13"/>
                <w:szCs w:val="13"/>
                <w:color w:val="auto"/>
              </w:rPr>
              <w:t>26,672</w:t>
            </w:r>
          </w:p>
        </w:tc>
        <w:tc>
          <w:tcPr>
            <w:tcW w:w="1500" w:type="dxa"/>
            <w:vAlign w:val="bottom"/>
            <w:shd w:val="clear" w:color="auto" w:fill="CFF0FC"/>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26,811</w:t>
            </w:r>
          </w:p>
        </w:tc>
        <w:tc>
          <w:tcPr>
            <w:tcW w:w="6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23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9/2031)</w:t>
            </w:r>
          </w:p>
        </w:tc>
        <w:tc>
          <w:tcPr>
            <w:tcW w:w="8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40" w:type="dxa"/>
            <w:vAlign w:val="bottom"/>
            <w:vMerge w:val="restart"/>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3.0% PIK)</w:t>
            </w:r>
          </w:p>
        </w:tc>
        <w:tc>
          <w:tcPr>
            <w:tcW w:w="132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80" w:type="dxa"/>
            <w:vAlign w:val="bottom"/>
            <w:tcBorders>
              <w:bottom w:val="single" w:sz="8" w:color="CFF0FC"/>
            </w:tcBorders>
            <w:shd w:val="clear" w:color="auto" w:fill="CFF0FC"/>
          </w:tcPr>
          <w:p>
            <w:pPr>
              <w:spacing w:after="0"/>
              <w:rPr>
                <w:sz w:val="8"/>
                <w:szCs w:val="8"/>
                <w:color w:val="auto"/>
              </w:rPr>
            </w:pPr>
          </w:p>
        </w:tc>
        <w:tc>
          <w:tcPr>
            <w:tcW w:w="2300" w:type="dxa"/>
            <w:vAlign w:val="bottom"/>
            <w:tcBorders>
              <w:bottom w:val="single" w:sz="8" w:color="CFF0FC"/>
            </w:tcBorders>
            <w:vMerge w:val="continue"/>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1100" w:type="dxa"/>
            <w:vAlign w:val="bottom"/>
            <w:tcBorders>
              <w:bottom w:val="single" w:sz="8" w:color="CFF0FC"/>
            </w:tcBorders>
            <w:shd w:val="clear" w:color="auto" w:fill="CFF0FC"/>
          </w:tcPr>
          <w:p>
            <w:pPr>
              <w:spacing w:after="0"/>
              <w:rPr>
                <w:sz w:val="8"/>
                <w:szCs w:val="8"/>
                <w:color w:val="auto"/>
              </w:rPr>
            </w:pPr>
          </w:p>
        </w:tc>
        <w:tc>
          <w:tcPr>
            <w:tcW w:w="1240" w:type="dxa"/>
            <w:vAlign w:val="bottom"/>
            <w:tcBorders>
              <w:bottom w:val="single" w:sz="8" w:color="CFF0FC"/>
            </w:tcBorders>
            <w:vMerge w:val="continue"/>
            <w:shd w:val="clear" w:color="auto" w:fill="CFF0FC"/>
          </w:tcPr>
          <w:p>
            <w:pPr>
              <w:spacing w:after="0"/>
              <w:rPr>
                <w:sz w:val="8"/>
                <w:szCs w:val="8"/>
                <w:color w:val="auto"/>
              </w:rPr>
            </w:pPr>
          </w:p>
        </w:tc>
        <w:tc>
          <w:tcPr>
            <w:tcW w:w="1320" w:type="dxa"/>
            <w:vAlign w:val="bottom"/>
            <w:tcBorders>
              <w:bottom w:val="single" w:sz="8" w:color="CFF0FC"/>
            </w:tcBorders>
            <w:shd w:val="clear" w:color="auto" w:fill="CFF0FC"/>
          </w:tcPr>
          <w:p>
            <w:pPr>
              <w:spacing w:after="0"/>
              <w:rPr>
                <w:sz w:val="8"/>
                <w:szCs w:val="8"/>
                <w:color w:val="auto"/>
              </w:rPr>
            </w:pPr>
          </w:p>
        </w:tc>
        <w:tc>
          <w:tcPr>
            <w:tcW w:w="1500" w:type="dxa"/>
            <w:vAlign w:val="bottom"/>
            <w:tcBorders>
              <w:bottom w:val="single" w:sz="8" w:color="CFF0FC"/>
            </w:tcBorders>
            <w:shd w:val="clear" w:color="auto" w:fill="CFF0FC"/>
          </w:tcPr>
          <w:p>
            <w:pPr>
              <w:spacing w:after="0"/>
              <w:rPr>
                <w:sz w:val="8"/>
                <w:szCs w:val="8"/>
                <w:color w:val="auto"/>
              </w:rPr>
            </w:pPr>
          </w:p>
        </w:tc>
        <w:tc>
          <w:tcPr>
            <w:tcW w:w="620" w:type="dxa"/>
            <w:vAlign w:val="bottom"/>
            <w:tcBorders>
              <w:bottom w:val="single" w:sz="8" w:color="CFF0FC"/>
            </w:tcBorders>
            <w:shd w:val="clear" w:color="auto" w:fill="CFF0F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Alaska Bidco Oy </w:t>
            </w:r>
            <w:r>
              <w:rPr>
                <w:rFonts w:ascii="Times New Roman" w:cs="Times New Roman" w:eastAsia="Times New Roman" w:hAnsi="Times New Roman"/>
                <w:sz w:val="16"/>
                <w:szCs w:val="16"/>
                <w:color w:val="auto"/>
                <w:vertAlign w:val="superscript"/>
              </w:rPr>
              <w:t>(3)(4)</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(EUR 727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5/30/2023</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E + 5.75%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8.51%</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759</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765</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(EUR 739)</w:t>
            </w: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3"/>
                <w:szCs w:val="13"/>
                <w:color w:val="auto"/>
                <w:vertAlign w:val="superscript"/>
              </w:rPr>
              <w:t>(3)</w:t>
            </w:r>
          </w:p>
        </w:tc>
        <w:tc>
          <w:tcPr>
            <w:tcW w:w="230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auto"/>
              </w:rPr>
              <w:t>First-lien loan ($29,532 par, due</w:t>
            </w:r>
          </w:p>
        </w:tc>
        <w:tc>
          <w:tcPr>
            <w:tcW w:w="80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7/20/2023</w:t>
            </w:r>
          </w:p>
        </w:tc>
        <w:tc>
          <w:tcPr>
            <w:tcW w:w="1100" w:type="dxa"/>
            <w:vAlign w:val="bottom"/>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SOFR + 6.25%</w:t>
            </w:r>
          </w:p>
        </w:tc>
        <w:tc>
          <w:tcPr>
            <w:tcW w:w="1240" w:type="dxa"/>
            <w:vAlign w:val="bottom"/>
          </w:tcPr>
          <w:p>
            <w:pPr>
              <w:jc w:val="right"/>
              <w:ind w:right="294"/>
              <w:spacing w:after="0" w:line="120" w:lineRule="exact"/>
              <w:rPr>
                <w:sz w:val="20"/>
                <w:szCs w:val="20"/>
                <w:color w:val="auto"/>
              </w:rPr>
            </w:pPr>
            <w:r>
              <w:rPr>
                <w:rFonts w:ascii="Times New Roman" w:cs="Times New Roman" w:eastAsia="Times New Roman" w:hAnsi="Times New Roman"/>
                <w:sz w:val="13"/>
                <w:szCs w:val="13"/>
                <w:color w:val="auto"/>
              </w:rPr>
              <w:t>10.84%</w:t>
            </w:r>
          </w:p>
        </w:tc>
        <w:tc>
          <w:tcPr>
            <w:tcW w:w="1320" w:type="dxa"/>
            <w:vAlign w:val="bottom"/>
          </w:tcPr>
          <w:p>
            <w:pPr>
              <w:jc w:val="right"/>
              <w:ind w:right="474"/>
              <w:spacing w:after="0" w:line="120" w:lineRule="exact"/>
              <w:rPr>
                <w:sz w:val="20"/>
                <w:szCs w:val="20"/>
                <w:color w:val="auto"/>
              </w:rPr>
            </w:pPr>
            <w:r>
              <w:rPr>
                <w:rFonts w:ascii="Times New Roman" w:cs="Times New Roman" w:eastAsia="Times New Roman" w:hAnsi="Times New Roman"/>
                <w:sz w:val="13"/>
                <w:szCs w:val="13"/>
                <w:color w:val="auto"/>
              </w:rPr>
              <w:t>28,681</w:t>
            </w:r>
          </w:p>
        </w:tc>
        <w:tc>
          <w:tcPr>
            <w:tcW w:w="150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29,827</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8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7/2029)</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BlueSnap, Inc. </w:t>
            </w:r>
            <w:r>
              <w:rPr>
                <w:rFonts w:ascii="Times New Roman" w:cs="Times New Roman" w:eastAsia="Times New Roman" w:hAnsi="Times New Roman"/>
                <w:sz w:val="16"/>
                <w:szCs w:val="16"/>
                <w:color w:val="auto"/>
                <w:vertAlign w:val="superscript"/>
              </w:rPr>
              <w:t>(3)(5)</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($45,106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10/25/2019</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+ 9.15%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13.48%</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44,928</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44,749</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8/2025)</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BTRS Holdings, Inc.</w:t>
            </w:r>
            <w:r>
              <w:rPr>
                <w:rFonts w:ascii="Times New Roman" w:cs="Times New Roman" w:eastAsia="Times New Roman" w:hAnsi="Times New Roman"/>
                <w:sz w:val="16"/>
                <w:szCs w:val="16"/>
                <w:color w:val="auto"/>
                <w:vertAlign w:val="superscript"/>
              </w:rPr>
              <w:t>(3)</w:t>
            </w: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($48,983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12/16/2022</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+ 7.25%</w:t>
            </w:r>
          </w:p>
        </w:tc>
        <w:tc>
          <w:tcPr>
            <w:tcW w:w="12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11.61%</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48,089</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49,473</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12/2028)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spacing w:after="0"/>
              <w:rPr>
                <w:sz w:val="12"/>
                <w:szCs w:val="12"/>
                <w:color w:val="auto"/>
              </w:rPr>
            </w:pP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revolving loan ($1,807 par,</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12/16/2022</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+ 7.25%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11.76%</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1,712</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1,855</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due 12/2028)</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CLGF Holdco 2, LLC</w:t>
            </w:r>
            <w:r>
              <w:rPr>
                <w:rFonts w:ascii="Times New Roman" w:cs="Times New Roman" w:eastAsia="Times New Roman" w:hAnsi="Times New Roman"/>
                <w:sz w:val="16"/>
                <w:szCs w:val="16"/>
                <w:color w:val="auto"/>
                <w:vertAlign w:val="superscript"/>
              </w:rPr>
              <w:t>(3)(4)</w:t>
            </w: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($3,916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11/7/2023</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+ 8.50%</w:t>
            </w:r>
          </w:p>
        </w:tc>
        <w:tc>
          <w:tcPr>
            <w:tcW w:w="12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12.83%</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3,860</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3,926</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11/2027)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spacing w:after="0"/>
              <w:rPr>
                <w:sz w:val="12"/>
                <w:szCs w:val="12"/>
                <w:color w:val="auto"/>
              </w:rPr>
            </w:pP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Second-lien loan ($3,357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11/7/2023</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16.33%</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3,150</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3,357</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11/2028)</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12.00%</w:t>
            </w: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Fullsteam Operations, LLC</w:t>
            </w:r>
            <w:r>
              <w:rPr>
                <w:rFonts w:ascii="Times New Roman" w:cs="Times New Roman" w:eastAsia="Times New Roman" w:hAnsi="Times New Roman"/>
                <w:sz w:val="16"/>
                <w:szCs w:val="16"/>
                <w:color w:val="auto"/>
                <w:vertAlign w:val="superscript"/>
              </w:rPr>
              <w:t>(3)</w:t>
            </w: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($40,048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11/27/2023</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+ 8.38%</w:t>
            </w:r>
          </w:p>
        </w:tc>
        <w:tc>
          <w:tcPr>
            <w:tcW w:w="12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12.89%</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38,946</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40,457</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11/2029)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GreenShoot BidCo B.V </w:t>
            </w:r>
            <w:r>
              <w:rPr>
                <w:rFonts w:ascii="Times New Roman" w:cs="Times New Roman" w:eastAsia="Times New Roman" w:hAnsi="Times New Roman"/>
                <w:sz w:val="16"/>
                <w:szCs w:val="16"/>
                <w:color w:val="auto"/>
                <w:vertAlign w:val="superscript"/>
              </w:rPr>
              <w:t>(3)(4)</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(EUR 5,107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5/28/2024</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E + 5.75%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8.66%</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5,413</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5,246</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(EUR 5,066)</w:t>
            </w: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Ibis Intermediate Co. </w:t>
            </w:r>
            <w:r>
              <w:rPr>
                <w:rFonts w:ascii="Times New Roman" w:cs="Times New Roman" w:eastAsia="Times New Roman" w:hAnsi="Times New Roman"/>
                <w:sz w:val="16"/>
                <w:szCs w:val="16"/>
                <w:color w:val="auto"/>
                <w:vertAlign w:val="superscript"/>
              </w:rPr>
              <w:t>(3)(5)</w:t>
            </w: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First-lien loan ($1,185 par, due 5/2027)</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5/28/2021</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SOFR + 4.65%</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9.16%</w:t>
            </w: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1,154</w:t>
            </w:r>
          </w:p>
        </w:tc>
        <w:tc>
          <w:tcPr>
            <w:tcW w:w="15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1,191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Ibis US Blocker Co. </w:t>
            </w:r>
            <w:r>
              <w:rPr>
                <w:rFonts w:ascii="Times New Roman" w:cs="Times New Roman" w:eastAsia="Times New Roman" w:hAnsi="Times New Roman"/>
                <w:sz w:val="16"/>
                <w:szCs w:val="16"/>
                <w:color w:val="auto"/>
                <w:vertAlign w:val="superscript"/>
              </w:rPr>
              <w:t>(3)</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($18,290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5/28/2021</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+ 8.40%</w:t>
            </w:r>
          </w:p>
        </w:tc>
        <w:tc>
          <w:tcPr>
            <w:tcW w:w="1240" w:type="dxa"/>
            <w:vAlign w:val="bottom"/>
            <w:shd w:val="clear" w:color="auto" w:fill="CFF0FC"/>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12.91% PIK</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18,111</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18,290</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5/2028)</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Passport Labs, Inc.</w:t>
            </w:r>
          </w:p>
        </w:tc>
        <w:tc>
          <w:tcPr>
            <w:tcW w:w="23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First-lien loan ($24,995, par, due</w:t>
            </w:r>
          </w:p>
        </w:tc>
        <w:tc>
          <w:tcPr>
            <w:tcW w:w="80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4/28/2021</w:t>
            </w:r>
          </w:p>
        </w:tc>
        <w:tc>
          <w:tcPr>
            <w:tcW w:w="110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SOFR + 8.40%</w:t>
            </w:r>
          </w:p>
        </w:tc>
        <w:tc>
          <w:tcPr>
            <w:tcW w:w="1240" w:type="dxa"/>
            <w:vAlign w:val="bottom"/>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12.91%</w:t>
            </w:r>
          </w:p>
        </w:tc>
        <w:tc>
          <w:tcPr>
            <w:tcW w:w="1320" w:type="dxa"/>
            <w:vAlign w:val="bottom"/>
          </w:tcPr>
          <w:p>
            <w:pPr>
              <w:jc w:val="right"/>
              <w:ind w:right="474"/>
              <w:spacing w:after="0" w:line="133" w:lineRule="exact"/>
              <w:rPr>
                <w:sz w:val="20"/>
                <w:szCs w:val="20"/>
                <w:color w:val="auto"/>
              </w:rPr>
            </w:pPr>
            <w:r>
              <w:rPr>
                <w:rFonts w:ascii="Times New Roman" w:cs="Times New Roman" w:eastAsia="Times New Roman" w:hAnsi="Times New Roman"/>
                <w:sz w:val="13"/>
                <w:szCs w:val="13"/>
                <w:color w:val="auto"/>
              </w:rPr>
              <w:t>24,914</w:t>
            </w:r>
          </w:p>
        </w:tc>
        <w:tc>
          <w:tcPr>
            <w:tcW w:w="1500" w:type="dxa"/>
            <w:vAlign w:val="bottom"/>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25,058</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2300" w:type="dxa"/>
            <w:vAlign w:val="bottom"/>
          </w:tcPr>
          <w:p>
            <w:pPr>
              <w:ind w:left="60"/>
              <w:spacing w:after="0" w:line="179" w:lineRule="exact"/>
              <w:rPr>
                <w:sz w:val="20"/>
                <w:szCs w:val="20"/>
                <w:color w:val="auto"/>
              </w:rPr>
            </w:pPr>
            <w:r>
              <w:rPr>
                <w:rFonts w:ascii="Times New Roman" w:cs="Times New Roman" w:eastAsia="Times New Roman" w:hAnsi="Times New Roman"/>
                <w:sz w:val="13"/>
                <w:szCs w:val="13"/>
                <w:color w:val="auto"/>
              </w:rPr>
              <w:t xml:space="preserve">4/2026) </w:t>
            </w:r>
            <w:r>
              <w:rPr>
                <w:rFonts w:ascii="Times New Roman" w:cs="Times New Roman" w:eastAsia="Times New Roman" w:hAnsi="Times New Roman"/>
                <w:sz w:val="16"/>
                <w:szCs w:val="16"/>
                <w:color w:val="auto"/>
                <w:vertAlign w:val="superscript"/>
              </w:rPr>
              <w:t>(3)</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spacing w:after="0"/>
              <w:rPr>
                <w:sz w:val="12"/>
                <w:szCs w:val="12"/>
                <w:color w:val="auto"/>
              </w:rPr>
            </w:pP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Convertible Promissory Note A</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3/2/2023</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8.00%</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8.00%</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1,086</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2,076</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($1,086 par, due 8/2026)</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TradingScreen, Inc. </w:t>
            </w:r>
            <w:r>
              <w:rPr>
                <w:rFonts w:ascii="Times New Roman" w:cs="Times New Roman" w:eastAsia="Times New Roman" w:hAnsi="Times New Roman"/>
                <w:sz w:val="16"/>
                <w:szCs w:val="16"/>
                <w:color w:val="auto"/>
                <w:vertAlign w:val="superscript"/>
              </w:rPr>
              <w:t>(3)(5)</w:t>
            </w: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($55,528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4/30/2021</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+ 6.35%</w:t>
            </w:r>
          </w:p>
        </w:tc>
        <w:tc>
          <w:tcPr>
            <w:tcW w:w="12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10.93%</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54,788</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55,528</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spacing w:after="0"/>
              <w:rPr>
                <w:sz w:val="12"/>
                <w:szCs w:val="12"/>
                <w:color w:val="auto"/>
              </w:rPr>
            </w:pP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revolving loan ($899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11/1/2024</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P + 5.25%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12.75%</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876</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899</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5/2027)</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Volante Technologies, Inc.</w:t>
            </w: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First-lien loan ($3,072 par, due 9/2028)</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9/29/2023</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16.50%</w:t>
            </w: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16.50% PIK</w:t>
            </w: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3,049</w:t>
            </w:r>
          </w:p>
        </w:tc>
        <w:tc>
          <w:tcPr>
            <w:tcW w:w="15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3,141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80" w:type="dxa"/>
            <w:vAlign w:val="bottom"/>
            <w:shd w:val="clear" w:color="auto" w:fill="CFF0FC"/>
          </w:tcPr>
          <w:p>
            <w:pPr>
              <w:spacing w:after="0"/>
              <w:rPr>
                <w:sz w:val="13"/>
                <w:szCs w:val="13"/>
                <w:color w:val="auto"/>
              </w:rPr>
            </w:pPr>
          </w:p>
        </w:tc>
        <w:tc>
          <w:tcPr>
            <w:tcW w:w="23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279,516</w:t>
            </w:r>
          </w:p>
        </w:tc>
        <w:tc>
          <w:tcPr>
            <w:tcW w:w="15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285,838</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BCTO Ace Purchaser, Inc. </w:t>
            </w:r>
            <w:r>
              <w:rPr>
                <w:rFonts w:ascii="Times New Roman" w:cs="Times New Roman" w:eastAsia="Times New Roman" w:hAnsi="Times New Roman"/>
                <w:sz w:val="16"/>
                <w:szCs w:val="16"/>
                <w:color w:val="auto"/>
                <w:vertAlign w:val="superscript"/>
              </w:rPr>
              <w:t>(3)</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($70,154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11/23/2020</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+ 6.50%</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11.01%</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69,484</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71,208</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11/2029)</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Second-lien loan ($6,596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1/23/2023</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w:t>
            </w:r>
          </w:p>
        </w:tc>
        <w:tc>
          <w:tcPr>
            <w:tcW w:w="1240" w:type="dxa"/>
            <w:vAlign w:val="bottom"/>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15.33% PIK</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6,488</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6,745</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1/2030)</w:t>
            </w:r>
          </w:p>
        </w:tc>
        <w:tc>
          <w:tcPr>
            <w:tcW w:w="80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10.70%</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Edge Bidco B.V. </w:t>
            </w:r>
            <w:r>
              <w:rPr>
                <w:rFonts w:ascii="Times New Roman" w:cs="Times New Roman" w:eastAsia="Times New Roman" w:hAnsi="Times New Roman"/>
                <w:sz w:val="16"/>
                <w:szCs w:val="16"/>
                <w:color w:val="auto"/>
                <w:vertAlign w:val="superscript"/>
              </w:rPr>
              <w:t>(3)(4)(5)</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(EUR 5,947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2/24/2023</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E + 6.75%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9.43%</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6,219</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6,284</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2/2029)</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(EUR 6,068)</w:t>
            </w: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Eventus Buyer, LLC </w:t>
            </w:r>
            <w:r>
              <w:rPr>
                <w:rFonts w:ascii="Times New Roman" w:cs="Times New Roman" w:eastAsia="Times New Roman" w:hAnsi="Times New Roman"/>
                <w:sz w:val="16"/>
                <w:szCs w:val="16"/>
                <w:color w:val="auto"/>
                <w:vertAlign w:val="superscript"/>
              </w:rPr>
              <w:t>(3)</w:t>
            </w: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($25,900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11/1/2024</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+ 5.50%</w:t>
            </w:r>
          </w:p>
        </w:tc>
        <w:tc>
          <w:tcPr>
            <w:tcW w:w="12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9.86%</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25,472</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25,571</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11/2030)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spacing w:after="0"/>
              <w:rPr>
                <w:sz w:val="12"/>
                <w:szCs w:val="12"/>
                <w:color w:val="auto"/>
              </w:rPr>
            </w:pP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revolving loan ($467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11/1/2024</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+ 5.50%</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10.03%</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416</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432</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11/2030)</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Merative L.P. </w:t>
            </w:r>
            <w:r>
              <w:rPr>
                <w:rFonts w:ascii="Times New Roman" w:cs="Times New Roman" w:eastAsia="Times New Roman" w:hAnsi="Times New Roman"/>
                <w:sz w:val="16"/>
                <w:szCs w:val="16"/>
                <w:color w:val="auto"/>
                <w:vertAlign w:val="superscript"/>
              </w:rPr>
              <w:t>(3)(5)</w:t>
            </w: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($70,103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6/30/2022</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+ 7.25%</w:t>
            </w:r>
          </w:p>
        </w:tc>
        <w:tc>
          <w:tcPr>
            <w:tcW w:w="12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11.58%</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68,543</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69,928</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6/2028)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Raptor US Buyer II Corp. </w:t>
            </w:r>
            <w:r>
              <w:rPr>
                <w:rFonts w:ascii="Times New Roman" w:cs="Times New Roman" w:eastAsia="Times New Roman" w:hAnsi="Times New Roman"/>
                <w:sz w:val="16"/>
                <w:szCs w:val="16"/>
                <w:color w:val="auto"/>
                <w:vertAlign w:val="superscript"/>
              </w:rPr>
              <w:t>(3)(5)</w:t>
            </w:r>
          </w:p>
        </w:tc>
        <w:tc>
          <w:tcPr>
            <w:tcW w:w="2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($18,133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3/24/2023</w:t>
            </w:r>
          </w:p>
        </w:tc>
        <w:tc>
          <w:tcPr>
            <w:tcW w:w="11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+ 6.25%</w:t>
            </w:r>
          </w:p>
        </w:tc>
        <w:tc>
          <w:tcPr>
            <w:tcW w:w="12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10.61%</w:t>
            </w:r>
          </w:p>
        </w:tc>
        <w:tc>
          <w:tcPr>
            <w:tcW w:w="132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17,695</w:t>
            </w:r>
          </w:p>
        </w:tc>
        <w:tc>
          <w:tcPr>
            <w:tcW w:w="15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18,368</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FF0FC"/>
          </w:tcPr>
          <w:p>
            <w:pPr>
              <w:spacing w:after="0"/>
              <w:rPr>
                <w:sz w:val="14"/>
                <w:szCs w:val="14"/>
                <w:color w:val="auto"/>
              </w:rPr>
            </w:pP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3/2029)</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SL Buyer Corp. </w:t>
            </w:r>
            <w:r>
              <w:rPr>
                <w:rFonts w:ascii="Times New Roman" w:cs="Times New Roman" w:eastAsia="Times New Roman" w:hAnsi="Times New Roman"/>
                <w:sz w:val="16"/>
                <w:szCs w:val="16"/>
                <w:color w:val="auto"/>
                <w:vertAlign w:val="superscript"/>
              </w:rPr>
              <w:t>(3)(5)</w:t>
            </w:r>
          </w:p>
        </w:tc>
        <w:tc>
          <w:tcPr>
            <w:tcW w:w="2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First-lien loan ($33,416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7/7/2023</w:t>
            </w:r>
          </w:p>
        </w:tc>
        <w:tc>
          <w:tcPr>
            <w:tcW w:w="11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SOFR + 7.75%</w:t>
            </w:r>
          </w:p>
        </w:tc>
        <w:tc>
          <w:tcPr>
            <w:tcW w:w="12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12.34%</w:t>
            </w:r>
          </w:p>
        </w:tc>
        <w:tc>
          <w:tcPr>
            <w:tcW w:w="132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32,264</w:t>
            </w:r>
          </w:p>
        </w:tc>
        <w:tc>
          <w:tcPr>
            <w:tcW w:w="15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33,215</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7/2029)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80" w:type="dxa"/>
            <w:vAlign w:val="bottom"/>
            <w:shd w:val="clear" w:color="auto" w:fill="CFF0FC"/>
          </w:tcPr>
          <w:p>
            <w:pPr>
              <w:spacing w:after="0"/>
              <w:rPr>
                <w:sz w:val="13"/>
                <w:szCs w:val="13"/>
                <w:color w:val="auto"/>
              </w:rPr>
            </w:pPr>
          </w:p>
        </w:tc>
        <w:tc>
          <w:tcPr>
            <w:tcW w:w="23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226,581</w:t>
            </w:r>
          </w:p>
        </w:tc>
        <w:tc>
          <w:tcPr>
            <w:tcW w:w="15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231,751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6" w:right="66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ASG II, LLC </w:t>
            </w:r>
            <w:r>
              <w:rPr>
                <w:rFonts w:ascii="Times New Roman" w:cs="Times New Roman" w:eastAsia="Times New Roman" w:hAnsi="Times New Roman"/>
                <w:sz w:val="16"/>
                <w:szCs w:val="16"/>
                <w:color w:val="auto"/>
                <w:vertAlign w:val="superscript"/>
              </w:rPr>
              <w:t>(3)(5)</w:t>
            </w: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($65,000 par, due</w:t>
            </w: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5/25/2022</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SOFR + 6.40%</w:t>
            </w:r>
          </w:p>
        </w:tc>
        <w:tc>
          <w:tcPr>
            <w:tcW w:w="12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10.99%</w:t>
            </w:r>
          </w:p>
        </w:tc>
        <w:tc>
          <w:tcPr>
            <w:tcW w:w="128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63,983</w:t>
            </w: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65,162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5/2028)</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AVSC Holding Corp. </w:t>
            </w:r>
            <w:r>
              <w:rPr>
                <w:rFonts w:ascii="Times New Roman" w:cs="Times New Roman" w:eastAsia="Times New Roman" w:hAnsi="Times New Roman"/>
                <w:sz w:val="16"/>
                <w:szCs w:val="16"/>
                <w:color w:val="auto"/>
                <w:vertAlign w:val="superscript"/>
              </w:rPr>
              <w:t>(3)</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($45,167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12/5/2024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+ 5.00%</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9.36%</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44,175</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44,292</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12/2031)</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Equinox Holdings, Inc.</w:t>
            </w:r>
          </w:p>
        </w:tc>
        <w:tc>
          <w:tcPr>
            <w:tcW w:w="232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($49,590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3/8/2024</w:t>
            </w:r>
          </w:p>
        </w:tc>
        <w:tc>
          <w:tcPr>
            <w:tcW w:w="108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SOFR + 8.25%</w:t>
            </w:r>
          </w:p>
        </w:tc>
        <w:tc>
          <w:tcPr>
            <w:tcW w:w="1260" w:type="dxa"/>
            <w:vAlign w:val="bottom"/>
            <w:shd w:val="clear" w:color="auto" w:fill="CFF0FC"/>
          </w:tcPr>
          <w:p>
            <w:pPr>
              <w:jc w:val="right"/>
              <w:ind w:right="314"/>
              <w:spacing w:after="0" w:line="133" w:lineRule="exact"/>
              <w:rPr>
                <w:sz w:val="20"/>
                <w:szCs w:val="20"/>
                <w:color w:val="auto"/>
              </w:rPr>
            </w:pPr>
            <w:r>
              <w:rPr>
                <w:rFonts w:ascii="Times New Roman" w:cs="Times New Roman" w:eastAsia="Times New Roman" w:hAnsi="Times New Roman"/>
                <w:sz w:val="13"/>
                <w:szCs w:val="13"/>
                <w:color w:val="auto"/>
              </w:rPr>
              <w:t>12.58% (incl.</w:t>
            </w:r>
          </w:p>
        </w:tc>
        <w:tc>
          <w:tcPr>
            <w:tcW w:w="1280" w:type="dxa"/>
            <w:vAlign w:val="bottom"/>
            <w:shd w:val="clear" w:color="auto" w:fill="CFF0FC"/>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48,934</w:t>
            </w:r>
          </w:p>
        </w:tc>
        <w:tc>
          <w:tcPr>
            <w:tcW w:w="1540" w:type="dxa"/>
            <w:vAlign w:val="bottom"/>
            <w:shd w:val="clear" w:color="auto" w:fill="CFF0FC"/>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49,714</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spacing w:after="0"/>
              <w:rPr>
                <w:sz w:val="15"/>
                <w:szCs w:val="15"/>
                <w:color w:val="auto"/>
              </w:rPr>
            </w:pPr>
          </w:p>
        </w:tc>
        <w:tc>
          <w:tcPr>
            <w:tcW w:w="2320" w:type="dxa"/>
            <w:vAlign w:val="bottom"/>
            <w:shd w:val="clear" w:color="auto" w:fill="CFF0FC"/>
          </w:tcPr>
          <w:p>
            <w:pPr>
              <w:ind w:left="80"/>
              <w:spacing w:after="0" w:line="179" w:lineRule="exact"/>
              <w:rPr>
                <w:sz w:val="20"/>
                <w:szCs w:val="20"/>
                <w:color w:val="auto"/>
              </w:rPr>
            </w:pPr>
            <w:r>
              <w:rPr>
                <w:rFonts w:ascii="Times New Roman" w:cs="Times New Roman" w:eastAsia="Times New Roman" w:hAnsi="Times New Roman"/>
                <w:sz w:val="13"/>
                <w:szCs w:val="13"/>
                <w:color w:val="auto"/>
              </w:rPr>
              <w:t>3/2029)</w:t>
            </w:r>
            <w:r>
              <w:rPr>
                <w:rFonts w:ascii="Times New Roman" w:cs="Times New Roman" w:eastAsia="Times New Roman" w:hAnsi="Times New Roman"/>
                <w:sz w:val="16"/>
                <w:szCs w:val="16"/>
                <w:color w:val="auto"/>
                <w:vertAlign w:val="superscript"/>
              </w:rPr>
              <w:t>(3)</w:t>
            </w:r>
          </w:p>
        </w:tc>
        <w:tc>
          <w:tcPr>
            <w:tcW w:w="8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4.13% PIK)</w:t>
            </w: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Second-lien loan ($2,347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3/13/2024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16.00%</w:t>
            </w:r>
          </w:p>
        </w:tc>
        <w:tc>
          <w:tcPr>
            <w:tcW w:w="1260" w:type="dxa"/>
            <w:vAlign w:val="bottom"/>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16.00% PIK</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2,297</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2,388</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6/2027)</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IRGSE Holding Corp. </w:t>
            </w:r>
            <w:r>
              <w:rPr>
                <w:rFonts w:ascii="Times New Roman" w:cs="Times New Roman" w:eastAsia="Times New Roman" w:hAnsi="Times New Roman"/>
                <w:sz w:val="16"/>
                <w:szCs w:val="16"/>
                <w:color w:val="auto"/>
                <w:vertAlign w:val="superscript"/>
              </w:rPr>
              <w:t>(3)(6)</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($30,261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12/21/2018</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+ 9.65%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13.98%</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28,594</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28,823</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6/2025)</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revolving loan ($37,972 par,</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12/21/2018</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+ 9.65%</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14.14%</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37,972</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36,144</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6/2025)</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QSR Acquisition Co. </w:t>
            </w:r>
            <w:r>
              <w:rPr>
                <w:rFonts w:ascii="Times New Roman" w:cs="Times New Roman" w:eastAsia="Times New Roman" w:hAnsi="Times New Roman"/>
                <w:sz w:val="16"/>
                <w:szCs w:val="16"/>
                <w:color w:val="auto"/>
                <w:vertAlign w:val="superscript"/>
              </w:rPr>
              <w:t>(3)(5)</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($30,000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10/31/2024</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+ 5.25%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9.84%</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29,461</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29,550</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10/2030)</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Sport Alliance GmbH </w:t>
            </w:r>
            <w:r>
              <w:rPr>
                <w:rFonts w:ascii="Times New Roman" w:cs="Times New Roman" w:eastAsia="Times New Roman" w:hAnsi="Times New Roman"/>
                <w:sz w:val="16"/>
                <w:szCs w:val="16"/>
                <w:color w:val="auto"/>
                <w:vertAlign w:val="superscript"/>
              </w:rPr>
              <w:t>(3)(4)</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4,494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4/10/2024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E + 7.25%</w:t>
            </w:r>
          </w:p>
        </w:tc>
        <w:tc>
          <w:tcPr>
            <w:tcW w:w="1260" w:type="dxa"/>
            <w:vAlign w:val="bottom"/>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10.15% (incl.</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4,712</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4,601</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4/2030)</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3.88% PIK)</w:t>
            </w:r>
          </w:p>
        </w:tc>
        <w:tc>
          <w:tcPr>
            <w:tcW w:w="128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(EUR 4,443)</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260,128</w:t>
            </w: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260,674</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Axonify, Inc. </w:t>
            </w:r>
            <w:r>
              <w:rPr>
                <w:rFonts w:ascii="Times New Roman" w:cs="Times New Roman" w:eastAsia="Times New Roman" w:hAnsi="Times New Roman"/>
                <w:sz w:val="16"/>
                <w:szCs w:val="16"/>
                <w:color w:val="auto"/>
                <w:vertAlign w:val="superscript"/>
              </w:rPr>
              <w:t>(3)(4)(5)</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($44,419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5/5/2021</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+ 7.65%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12.20%</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43,982</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44,532</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5/2026)</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(3)(5)</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($43,910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11/7/2022</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+ 6.38%</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11.05%</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43,029</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44,569</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11/2028)</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Elysian Finco Ltd. </w:t>
            </w:r>
            <w:r>
              <w:rPr>
                <w:rFonts w:ascii="Times New Roman" w:cs="Times New Roman" w:eastAsia="Times New Roman" w:hAnsi="Times New Roman"/>
                <w:sz w:val="16"/>
                <w:szCs w:val="16"/>
                <w:color w:val="auto"/>
                <w:vertAlign w:val="superscript"/>
              </w:rPr>
              <w:t>(3)(4)(5)</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($21,899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1/31/2021</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+ 6.65%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11.28%</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21,616</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21,954</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1/2028)</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revolving loan (GBP 325 par,</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1/31/2021</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 + 5.00%</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9.70%</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361</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396</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1/2028)</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(GBP 316)</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Employment Hero Holdings</w:t>
            </w:r>
          </w:p>
        </w:tc>
        <w:tc>
          <w:tcPr>
            <w:tcW w:w="232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(AUD 60,000 par, due</w:t>
            </w:r>
          </w:p>
        </w:tc>
        <w:tc>
          <w:tcPr>
            <w:tcW w:w="80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12/6/2021</w:t>
            </w:r>
          </w:p>
        </w:tc>
        <w:tc>
          <w:tcPr>
            <w:tcW w:w="108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B + 6.25%</w:t>
            </w:r>
          </w:p>
        </w:tc>
        <w:tc>
          <w:tcPr>
            <w:tcW w:w="1260" w:type="dxa"/>
            <w:vAlign w:val="bottom"/>
            <w:shd w:val="clear" w:color="auto" w:fill="CFF0FC"/>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10.73%</w:t>
            </w:r>
          </w:p>
        </w:tc>
        <w:tc>
          <w:tcPr>
            <w:tcW w:w="1280" w:type="dxa"/>
            <w:vAlign w:val="bottom"/>
            <w:shd w:val="clear" w:color="auto" w:fill="CFF0FC"/>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41,424</w:t>
            </w:r>
          </w:p>
        </w:tc>
        <w:tc>
          <w:tcPr>
            <w:tcW w:w="1540" w:type="dxa"/>
            <w:vAlign w:val="bottom"/>
            <w:shd w:val="clear" w:color="auto" w:fill="CFF0FC"/>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37,247</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Pty Ltd. </w:t>
            </w:r>
            <w:r>
              <w:rPr>
                <w:rFonts w:ascii="Times New Roman" w:cs="Times New Roman" w:eastAsia="Times New Roman" w:hAnsi="Times New Roman"/>
                <w:sz w:val="16"/>
                <w:szCs w:val="16"/>
                <w:color w:val="auto"/>
                <w:vertAlign w:val="superscript"/>
              </w:rPr>
              <w:t>(3)(4)</w:t>
            </w: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12/2026)</w:t>
            </w:r>
          </w:p>
        </w:tc>
        <w:tc>
          <w:tcPr>
            <w:tcW w:w="8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(AUD 60,158)</w:t>
            </w:r>
          </w:p>
        </w:tc>
        <w:tc>
          <w:tcPr>
            <w:tcW w:w="6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HireVue, Inc.</w:t>
            </w:r>
            <w:r>
              <w:rPr>
                <w:rFonts w:ascii="Times New Roman" w:cs="Times New Roman" w:eastAsia="Times New Roman" w:hAnsi="Times New Roman"/>
                <w:sz w:val="16"/>
                <w:szCs w:val="16"/>
                <w:color w:val="auto"/>
                <w:vertAlign w:val="superscript"/>
              </w:rPr>
              <w:t>(3)</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($53,572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5/3/2023</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+ 6.75%</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11.34%</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52,335</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54,240</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5/2029)</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revolving loan ($4,378 par,</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5/3/2023</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+ 6.75%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11.30%</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4,233</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4,464</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due 5/2029)</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Madcap Software, Inc.</w:t>
            </w:r>
            <w:r>
              <w:rPr>
                <w:rFonts w:ascii="Times New Roman" w:cs="Times New Roman" w:eastAsia="Times New Roman" w:hAnsi="Times New Roman"/>
                <w:sz w:val="16"/>
                <w:szCs w:val="16"/>
                <w:color w:val="auto"/>
                <w:vertAlign w:val="superscript"/>
              </w:rPr>
              <w:t>(3)(5)</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($32,175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12/15/2023</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+ 6.10%</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10.35%</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31,657</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32,175</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12/2026)</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PayScale Holdings, Inc. </w:t>
            </w:r>
            <w:r>
              <w:rPr>
                <w:rFonts w:ascii="Times New Roman" w:cs="Times New Roman" w:eastAsia="Times New Roman" w:hAnsi="Times New Roman"/>
                <w:sz w:val="16"/>
                <w:szCs w:val="16"/>
                <w:color w:val="auto"/>
                <w:vertAlign w:val="superscript"/>
              </w:rPr>
              <w:t>(3)(5)</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($70,465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5/3/2019</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+ 5.85%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10.18%</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70,196</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71,170</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5/2027)</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PrimePay Intermediate, LLC</w:t>
            </w:r>
          </w:p>
        </w:tc>
        <w:tc>
          <w:tcPr>
            <w:tcW w:w="232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($34,025 par, due</w:t>
            </w:r>
          </w:p>
        </w:tc>
        <w:tc>
          <w:tcPr>
            <w:tcW w:w="8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12/17/2021</w:t>
            </w:r>
          </w:p>
        </w:tc>
        <w:tc>
          <w:tcPr>
            <w:tcW w:w="1080" w:type="dxa"/>
            <w:vAlign w:val="bottom"/>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+ 7.15%</w:t>
            </w:r>
          </w:p>
        </w:tc>
        <w:tc>
          <w:tcPr>
            <w:tcW w:w="1260" w:type="dxa"/>
            <w:vAlign w:val="bottom"/>
          </w:tcPr>
          <w:p>
            <w:pPr>
              <w:jc w:val="right"/>
              <w:ind w:right="294"/>
              <w:spacing w:after="0" w:line="120" w:lineRule="exact"/>
              <w:rPr>
                <w:sz w:val="20"/>
                <w:szCs w:val="20"/>
                <w:color w:val="auto"/>
              </w:rPr>
            </w:pPr>
            <w:r>
              <w:rPr>
                <w:rFonts w:ascii="Times New Roman" w:cs="Times New Roman" w:eastAsia="Times New Roman" w:hAnsi="Times New Roman"/>
                <w:sz w:val="13"/>
                <w:szCs w:val="13"/>
                <w:color w:val="auto"/>
              </w:rPr>
              <w:t>11.63%</w:t>
            </w:r>
          </w:p>
        </w:tc>
        <w:tc>
          <w:tcPr>
            <w:tcW w:w="1280" w:type="dxa"/>
            <w:vAlign w:val="bottom"/>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33,466</w:t>
            </w:r>
          </w:p>
        </w:tc>
        <w:tc>
          <w:tcPr>
            <w:tcW w:w="154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34,025</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tcPr>
          <w:p>
            <w:pPr>
              <w:ind w:left="20"/>
              <w:spacing w:after="0"/>
              <w:rPr>
                <w:sz w:val="20"/>
                <w:szCs w:val="20"/>
                <w:color w:val="auto"/>
              </w:rPr>
            </w:pPr>
            <w:r>
              <w:rPr>
                <w:rFonts w:ascii="Times New Roman" w:cs="Times New Roman" w:eastAsia="Times New Roman" w:hAnsi="Times New Roman"/>
                <w:sz w:val="8"/>
                <w:szCs w:val="8"/>
                <w:color w:val="auto"/>
              </w:rPr>
              <w:t>(3)(5)</w:t>
            </w:r>
          </w:p>
        </w:tc>
        <w:tc>
          <w:tcPr>
            <w:tcW w:w="23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12/2026)</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342,299</w:t>
            </w: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344,772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Disco Parent, Inc. </w:t>
            </w:r>
            <w:r>
              <w:rPr>
                <w:rFonts w:ascii="Times New Roman" w:cs="Times New Roman" w:eastAsia="Times New Roman" w:hAnsi="Times New Roman"/>
                <w:sz w:val="16"/>
                <w:szCs w:val="16"/>
                <w:color w:val="auto"/>
                <w:vertAlign w:val="superscript"/>
              </w:rPr>
              <w:t>(3)</w:t>
            </w: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($5,319 par, due 3/2029)</w:t>
            </w: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3/30/2023</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SOFR + 7.50%</w:t>
            </w:r>
          </w:p>
        </w:tc>
        <w:tc>
          <w:tcPr>
            <w:tcW w:w="12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12.01%</w:t>
            </w:r>
          </w:p>
        </w:tc>
        <w:tc>
          <w:tcPr>
            <w:tcW w:w="128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5,216</w:t>
            </w: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5,377</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Arrow Buyer, Inc. </w:t>
            </w:r>
            <w:r>
              <w:rPr>
                <w:rFonts w:ascii="Times New Roman" w:cs="Times New Roman" w:eastAsia="Times New Roman" w:hAnsi="Times New Roman"/>
                <w:sz w:val="16"/>
                <w:szCs w:val="16"/>
                <w:color w:val="auto"/>
                <w:vertAlign w:val="superscript"/>
              </w:rPr>
              <w:t>(3)</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($34,944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6/30/2023</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+ 5.75%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10.08%</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34,152</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35,449</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7/2030)</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Bayshore Intermediate #2,</w:t>
            </w:r>
          </w:p>
        </w:tc>
        <w:tc>
          <w:tcPr>
            <w:tcW w:w="232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($40,663 par, due</w:t>
            </w:r>
          </w:p>
        </w:tc>
        <w:tc>
          <w:tcPr>
            <w:tcW w:w="80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10/1/2021</w:t>
            </w:r>
          </w:p>
        </w:tc>
        <w:tc>
          <w:tcPr>
            <w:tcW w:w="1080" w:type="dxa"/>
            <w:vAlign w:val="bottom"/>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SOFR + 6.25%</w:t>
            </w:r>
          </w:p>
        </w:tc>
        <w:tc>
          <w:tcPr>
            <w:tcW w:w="1260" w:type="dxa"/>
            <w:vAlign w:val="bottom"/>
          </w:tcPr>
          <w:p>
            <w:pPr>
              <w:jc w:val="right"/>
              <w:ind w:right="314"/>
              <w:spacing w:after="0" w:line="133" w:lineRule="exact"/>
              <w:rPr>
                <w:sz w:val="20"/>
                <w:szCs w:val="20"/>
                <w:color w:val="auto"/>
              </w:rPr>
            </w:pPr>
            <w:r>
              <w:rPr>
                <w:rFonts w:ascii="Times New Roman" w:cs="Times New Roman" w:eastAsia="Times New Roman" w:hAnsi="Times New Roman"/>
                <w:sz w:val="13"/>
                <w:szCs w:val="13"/>
                <w:color w:val="auto"/>
              </w:rPr>
              <w:t>10.77% (incl.</w:t>
            </w:r>
          </w:p>
        </w:tc>
        <w:tc>
          <w:tcPr>
            <w:tcW w:w="1280" w:type="dxa"/>
            <w:vAlign w:val="bottom"/>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40,222</w:t>
            </w:r>
          </w:p>
        </w:tc>
        <w:tc>
          <w:tcPr>
            <w:tcW w:w="1540" w:type="dxa"/>
            <w:vAlign w:val="bottom"/>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40,774</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L.P. </w:t>
            </w:r>
            <w:r>
              <w:rPr>
                <w:rFonts w:ascii="Times New Roman" w:cs="Times New Roman" w:eastAsia="Times New Roman" w:hAnsi="Times New Roman"/>
                <w:sz w:val="16"/>
                <w:szCs w:val="16"/>
                <w:color w:val="auto"/>
                <w:vertAlign w:val="superscript"/>
              </w:rPr>
              <w:t>(3)</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10/2028)</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3.38% PIK)</w:t>
            </w: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Coupa Holdings, LLC </w:t>
            </w:r>
            <w:r>
              <w:rPr>
                <w:rFonts w:ascii="Times New Roman" w:cs="Times New Roman" w:eastAsia="Times New Roman" w:hAnsi="Times New Roman"/>
                <w:sz w:val="16"/>
                <w:szCs w:val="16"/>
                <w:color w:val="auto"/>
                <w:vertAlign w:val="superscript"/>
              </w:rPr>
              <w:t>(3)</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($42,975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2/27/2023</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+ 5.25%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9.84%</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42,097</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43,722</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2/2030)</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CrunchTime Information,</w:t>
            </w:r>
          </w:p>
        </w:tc>
        <w:tc>
          <w:tcPr>
            <w:tcW w:w="232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($58,898 par, due</w:t>
            </w:r>
          </w:p>
        </w:tc>
        <w:tc>
          <w:tcPr>
            <w:tcW w:w="80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6/17/2022</w:t>
            </w:r>
          </w:p>
        </w:tc>
        <w:tc>
          <w:tcPr>
            <w:tcW w:w="1080" w:type="dxa"/>
            <w:vAlign w:val="bottom"/>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SOFR + 5.75%</w:t>
            </w:r>
          </w:p>
        </w:tc>
        <w:tc>
          <w:tcPr>
            <w:tcW w:w="1260" w:type="dxa"/>
            <w:vAlign w:val="bottom"/>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10.11%</w:t>
            </w:r>
          </w:p>
        </w:tc>
        <w:tc>
          <w:tcPr>
            <w:tcW w:w="1280" w:type="dxa"/>
            <w:vAlign w:val="bottom"/>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58,078</w:t>
            </w:r>
          </w:p>
        </w:tc>
        <w:tc>
          <w:tcPr>
            <w:tcW w:w="1540" w:type="dxa"/>
            <w:vAlign w:val="bottom"/>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58,898</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Systems, Inc. </w:t>
            </w:r>
            <w:r>
              <w:rPr>
                <w:rFonts w:ascii="Times New Roman" w:cs="Times New Roman" w:eastAsia="Times New Roman" w:hAnsi="Times New Roman"/>
                <w:sz w:val="16"/>
                <w:szCs w:val="16"/>
                <w:color w:val="auto"/>
                <w:vertAlign w:val="superscript"/>
              </w:rPr>
              <w:t>(3)(5)</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6/2028)</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EDB Parent, LLC </w:t>
            </w:r>
            <w:r>
              <w:rPr>
                <w:rFonts w:ascii="Times New Roman" w:cs="Times New Roman" w:eastAsia="Times New Roman" w:hAnsi="Times New Roman"/>
                <w:sz w:val="16"/>
                <w:szCs w:val="16"/>
                <w:color w:val="auto"/>
                <w:vertAlign w:val="superscript"/>
              </w:rPr>
              <w:t>(3)(5)</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($69,873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7/7/2022</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+ 6.75%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11.26%</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68,832</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69,349</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7/2028)</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Flight Intermediate HoldCo,</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($40,000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10/3/2024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11.50%</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11.50%</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38,851</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38,900</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4/2030)</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Higher Logic, LLC </w:t>
            </w:r>
            <w:r>
              <w:rPr>
                <w:rFonts w:ascii="Times New Roman" w:cs="Times New Roman" w:eastAsia="Times New Roman" w:hAnsi="Times New Roman"/>
                <w:sz w:val="16"/>
                <w:szCs w:val="16"/>
                <w:color w:val="auto"/>
                <w:vertAlign w:val="superscript"/>
              </w:rPr>
              <w:t>(3)(5)</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($50,054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6/18/2018</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+ 6.25%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10.61%</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50,047</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50,054</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1/2025)</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Hippo XPA Bidco AB </w:t>
            </w:r>
            <w:r>
              <w:rPr>
                <w:rFonts w:ascii="Times New Roman" w:cs="Times New Roman" w:eastAsia="Times New Roman" w:hAnsi="Times New Roman"/>
                <w:sz w:val="16"/>
                <w:szCs w:val="16"/>
                <w:color w:val="auto"/>
                <w:vertAlign w:val="superscript"/>
              </w:rPr>
              <w:t>(3)(4)</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(SEK 80,225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2/20/2024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STIBOR +</w:t>
            </w:r>
          </w:p>
        </w:tc>
        <w:tc>
          <w:tcPr>
            <w:tcW w:w="1260" w:type="dxa"/>
            <w:vAlign w:val="bottom"/>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9.16% (incl.</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7,557</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7,238</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2/2031)</w:t>
            </w:r>
          </w:p>
        </w:tc>
        <w:tc>
          <w:tcPr>
            <w:tcW w:w="800" w:type="dxa"/>
            <w:vAlign w:val="bottom"/>
          </w:tcPr>
          <w:p>
            <w:pPr>
              <w:spacing w:after="0"/>
              <w:rPr>
                <w:sz w:val="14"/>
                <w:szCs w:val="14"/>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6.50%</w:t>
            </w: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3.50% PIK)</w:t>
            </w:r>
          </w:p>
        </w:tc>
        <w:tc>
          <w:tcPr>
            <w:tcW w:w="128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(SEK 79,977)</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2,472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2/20/2024</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E + 6.50%</w:t>
            </w:r>
          </w:p>
        </w:tc>
        <w:tc>
          <w:tcPr>
            <w:tcW w:w="1260" w:type="dxa"/>
            <w:vAlign w:val="bottom"/>
            <w:shd w:val="clear" w:color="auto" w:fill="CFF0FC"/>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9.87% (incl.</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2,636</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2,554</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2/2031)</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3.50% PIK)</w:t>
            </w: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(EUR 2,466)</w:t>
            </w: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Kryptona BidCo US, LLC </w:t>
            </w:r>
            <w:r>
              <w:rPr>
                <w:rFonts w:ascii="Times New Roman" w:cs="Times New Roman" w:eastAsia="Times New Roman" w:hAnsi="Times New Roman"/>
                <w:sz w:val="16"/>
                <w:szCs w:val="16"/>
                <w:color w:val="auto"/>
                <w:vertAlign w:val="superscript"/>
              </w:rPr>
              <w:t>(3)</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($19,912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12/18/2024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+ 5.75%</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10.10%</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19,472</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19,526</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12/2031)</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4,608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12/18/2024</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E + 5.75%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8.61%</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4,729</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4,688</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12/2031)</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(EUR 4,527)</w:t>
            </w: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LeanTaaS Holdings, Inc. </w:t>
            </w:r>
            <w:r>
              <w:rPr>
                <w:rFonts w:ascii="Times New Roman" w:cs="Times New Roman" w:eastAsia="Times New Roman" w:hAnsi="Times New Roman"/>
                <w:sz w:val="16"/>
                <w:szCs w:val="16"/>
                <w:color w:val="auto"/>
                <w:vertAlign w:val="superscript"/>
              </w:rPr>
              <w:t>(3)(5)</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($56,156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7/12/2022</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+ 7.50%</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11.83%</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55,388</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56,437</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7/2028)</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Lithium Technologies, LLC</w:t>
            </w:r>
          </w:p>
        </w:tc>
        <w:tc>
          <w:tcPr>
            <w:tcW w:w="2320" w:type="dxa"/>
            <w:vAlign w:val="bottom"/>
            <w:shd w:val="clear" w:color="auto" w:fill="CFF0FC"/>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($61,483 par, due</w:t>
            </w:r>
          </w:p>
        </w:tc>
        <w:tc>
          <w:tcPr>
            <w:tcW w:w="800" w:type="dxa"/>
            <w:vAlign w:val="bottom"/>
            <w:shd w:val="clear" w:color="auto" w:fill="CFF0FC"/>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10/3/2017</w:t>
            </w:r>
          </w:p>
        </w:tc>
        <w:tc>
          <w:tcPr>
            <w:tcW w:w="1080" w:type="dxa"/>
            <w:vAlign w:val="bottom"/>
            <w:shd w:val="clear" w:color="auto" w:fill="CFF0FC"/>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w:t>
            </w:r>
          </w:p>
        </w:tc>
        <w:tc>
          <w:tcPr>
            <w:tcW w:w="1260" w:type="dxa"/>
            <w:vAlign w:val="bottom"/>
            <w:shd w:val="clear" w:color="auto" w:fill="CFF0FC"/>
          </w:tcPr>
          <w:p>
            <w:pPr>
              <w:jc w:val="right"/>
              <w:ind w:right="294"/>
              <w:spacing w:after="0" w:line="120" w:lineRule="exact"/>
              <w:rPr>
                <w:sz w:val="20"/>
                <w:szCs w:val="20"/>
                <w:color w:val="auto"/>
              </w:rPr>
            </w:pPr>
            <w:r>
              <w:rPr>
                <w:rFonts w:ascii="Times New Roman" w:cs="Times New Roman" w:eastAsia="Times New Roman" w:hAnsi="Times New Roman"/>
                <w:sz w:val="13"/>
                <w:szCs w:val="13"/>
                <w:color w:val="auto"/>
              </w:rPr>
              <w:t>15.59%</w:t>
            </w:r>
          </w:p>
        </w:tc>
        <w:tc>
          <w:tcPr>
            <w:tcW w:w="1280" w:type="dxa"/>
            <w:vAlign w:val="bottom"/>
            <w:shd w:val="clear" w:color="auto" w:fill="CFF0FC"/>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61,483</w:t>
            </w:r>
          </w:p>
        </w:tc>
        <w:tc>
          <w:tcPr>
            <w:tcW w:w="1540" w:type="dxa"/>
            <w:vAlign w:val="bottom"/>
            <w:shd w:val="clear" w:color="auto" w:fill="CFF0FC"/>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22,287</w:t>
            </w:r>
          </w:p>
        </w:tc>
        <w:tc>
          <w:tcPr>
            <w:tcW w:w="6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(3)(14)</w:t>
            </w:r>
          </w:p>
        </w:tc>
        <w:tc>
          <w:tcPr>
            <w:tcW w:w="23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1/2025)</w:t>
            </w:r>
          </w:p>
        </w:tc>
        <w:tc>
          <w:tcPr>
            <w:tcW w:w="800" w:type="dxa"/>
            <w:vAlign w:val="bottom"/>
            <w:shd w:val="clear" w:color="auto" w:fill="CFF0FC"/>
          </w:tcPr>
          <w:p>
            <w:pPr>
              <w:spacing w:after="0"/>
              <w:rPr>
                <w:sz w:val="9"/>
                <w:szCs w:val="9"/>
                <w:color w:val="auto"/>
              </w:rPr>
            </w:pPr>
          </w:p>
        </w:tc>
        <w:tc>
          <w:tcPr>
            <w:tcW w:w="1080" w:type="dxa"/>
            <w:vAlign w:val="bottom"/>
            <w:vMerge w:val="restart"/>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11.00%</w:t>
            </w:r>
          </w:p>
        </w:tc>
        <w:tc>
          <w:tcPr>
            <w:tcW w:w="126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60" w:type="dxa"/>
            <w:vAlign w:val="bottom"/>
            <w:shd w:val="clear" w:color="auto" w:fill="CFF0FC"/>
          </w:tcPr>
          <w:p>
            <w:pPr>
              <w:spacing w:after="0"/>
              <w:rPr>
                <w:sz w:val="7"/>
                <w:szCs w:val="7"/>
                <w:color w:val="auto"/>
              </w:rPr>
            </w:pPr>
          </w:p>
        </w:tc>
        <w:tc>
          <w:tcPr>
            <w:tcW w:w="2320" w:type="dxa"/>
            <w:vAlign w:val="bottom"/>
            <w:vMerge w:val="continue"/>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080" w:type="dxa"/>
            <w:vAlign w:val="bottom"/>
            <w:vMerge w:val="continue"/>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c>
          <w:tcPr>
            <w:tcW w:w="15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Lucidworks, Inc. </w:t>
            </w:r>
            <w:r>
              <w:rPr>
                <w:rFonts w:ascii="Times New Roman" w:cs="Times New Roman" w:eastAsia="Times New Roman" w:hAnsi="Times New Roman"/>
                <w:sz w:val="16"/>
                <w:szCs w:val="16"/>
                <w:color w:val="auto"/>
                <w:vertAlign w:val="superscript"/>
              </w:rPr>
              <w:t>(3)(5)</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($9,477 par, due 2/2027)</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2/11/2022</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SOFR + 7.50%</w:t>
            </w: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11.86% (incl.</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9,477</w:t>
            </w: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9,501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3.5% PIK)</w:t>
            </w: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Merit Software Finance</w:t>
            </w:r>
          </w:p>
        </w:tc>
        <w:tc>
          <w:tcPr>
            <w:tcW w:w="232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($43,214 par, due</w:t>
            </w:r>
          </w:p>
        </w:tc>
        <w:tc>
          <w:tcPr>
            <w:tcW w:w="80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6/20/2024</w:t>
            </w:r>
          </w:p>
        </w:tc>
        <w:tc>
          <w:tcPr>
            <w:tcW w:w="108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SOFR + 7.50%</w:t>
            </w:r>
          </w:p>
        </w:tc>
        <w:tc>
          <w:tcPr>
            <w:tcW w:w="1260" w:type="dxa"/>
            <w:vAlign w:val="bottom"/>
            <w:shd w:val="clear" w:color="auto" w:fill="CFF0FC"/>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11.85%</w:t>
            </w:r>
          </w:p>
        </w:tc>
        <w:tc>
          <w:tcPr>
            <w:tcW w:w="1280" w:type="dxa"/>
            <w:vAlign w:val="bottom"/>
            <w:shd w:val="clear" w:color="auto" w:fill="CFF0FC"/>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41,939</w:t>
            </w:r>
          </w:p>
        </w:tc>
        <w:tc>
          <w:tcPr>
            <w:tcW w:w="1540" w:type="dxa"/>
            <w:vAlign w:val="bottom"/>
            <w:shd w:val="clear" w:color="auto" w:fill="CFF0FC"/>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42,389</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Holdings, LLC </w:t>
            </w:r>
            <w:r>
              <w:rPr>
                <w:rFonts w:ascii="Times New Roman" w:cs="Times New Roman" w:eastAsia="Times New Roman" w:hAnsi="Times New Roman"/>
                <w:sz w:val="16"/>
                <w:szCs w:val="16"/>
                <w:color w:val="auto"/>
                <w:vertAlign w:val="superscript"/>
              </w:rPr>
              <w:t>(3)</w:t>
            </w: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6/2029)</w:t>
            </w:r>
          </w:p>
        </w:tc>
        <w:tc>
          <w:tcPr>
            <w:tcW w:w="8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SMA Technologies Holdings,</w:t>
            </w:r>
          </w:p>
        </w:tc>
        <w:tc>
          <w:tcPr>
            <w:tcW w:w="232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($53,991 par, due</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10/31/2022</w:t>
            </w:r>
          </w:p>
        </w:tc>
        <w:tc>
          <w:tcPr>
            <w:tcW w:w="1080" w:type="dxa"/>
            <w:vAlign w:val="bottom"/>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SOFR + 6.50%</w:t>
            </w:r>
          </w:p>
        </w:tc>
        <w:tc>
          <w:tcPr>
            <w:tcW w:w="1260" w:type="dxa"/>
            <w:vAlign w:val="bottom"/>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11.01%</w:t>
            </w:r>
          </w:p>
        </w:tc>
        <w:tc>
          <w:tcPr>
            <w:tcW w:w="1280" w:type="dxa"/>
            <w:vAlign w:val="bottom"/>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52,542</w:t>
            </w:r>
          </w:p>
        </w:tc>
        <w:tc>
          <w:tcPr>
            <w:tcW w:w="1540" w:type="dxa"/>
            <w:vAlign w:val="bottom"/>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54,678</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7"/>
                <w:szCs w:val="7"/>
                <w:color w:val="auto"/>
              </w:rPr>
              <w:t>(3)(5)</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10/2028)</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587,502</w:t>
            </w: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556,444</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2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Aptean, Inc. </w:t>
            </w:r>
            <w:r>
              <w:rPr>
                <w:rFonts w:ascii="Times New Roman" w:cs="Times New Roman" w:eastAsia="Times New Roman" w:hAnsi="Times New Roman"/>
                <w:sz w:val="16"/>
                <w:szCs w:val="16"/>
                <w:color w:val="auto"/>
                <w:vertAlign w:val="superscript"/>
              </w:rPr>
              <w:t>(3)</w:t>
            </w: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($8,835 par, due 1/2031)</w:t>
            </w: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1/30/2024</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SOFR + 5.00%</w:t>
            </w:r>
          </w:p>
        </w:tc>
        <w:tc>
          <w:tcPr>
            <w:tcW w:w="12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9.58%</w:t>
            </w:r>
          </w:p>
        </w:tc>
        <w:tc>
          <w:tcPr>
            <w:tcW w:w="128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8,748</w:t>
            </w: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8,860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ASP Unifrax Holdings, Inc.</w:t>
            </w:r>
          </w:p>
        </w:tc>
        <w:tc>
          <w:tcPr>
            <w:tcW w:w="232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($3,449 par, due</w:t>
            </w:r>
          </w:p>
        </w:tc>
        <w:tc>
          <w:tcPr>
            <w:tcW w:w="80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9/30/2024</w:t>
            </w:r>
          </w:p>
        </w:tc>
        <w:tc>
          <w:tcPr>
            <w:tcW w:w="1080" w:type="dxa"/>
            <w:vAlign w:val="bottom"/>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+ 7.75%</w:t>
            </w:r>
          </w:p>
        </w:tc>
        <w:tc>
          <w:tcPr>
            <w:tcW w:w="1260" w:type="dxa"/>
            <w:vAlign w:val="bottom"/>
          </w:tcPr>
          <w:p>
            <w:pPr>
              <w:jc w:val="right"/>
              <w:ind w:right="314"/>
              <w:spacing w:after="0" w:line="120" w:lineRule="exact"/>
              <w:rPr>
                <w:sz w:val="20"/>
                <w:szCs w:val="20"/>
                <w:color w:val="auto"/>
              </w:rPr>
            </w:pPr>
            <w:r>
              <w:rPr>
                <w:rFonts w:ascii="Times New Roman" w:cs="Times New Roman" w:eastAsia="Times New Roman" w:hAnsi="Times New Roman"/>
                <w:sz w:val="13"/>
                <w:szCs w:val="13"/>
                <w:color w:val="auto"/>
              </w:rPr>
              <w:t>12.08% (incl.</w:t>
            </w:r>
          </w:p>
        </w:tc>
        <w:tc>
          <w:tcPr>
            <w:tcW w:w="1280" w:type="dxa"/>
            <w:vAlign w:val="bottom"/>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3,376</w:t>
            </w:r>
          </w:p>
        </w:tc>
        <w:tc>
          <w:tcPr>
            <w:tcW w:w="154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3,484</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tcPr>
          <w:p>
            <w:pPr>
              <w:ind w:left="20"/>
              <w:spacing w:after="0"/>
              <w:rPr>
                <w:sz w:val="20"/>
                <w:szCs w:val="20"/>
                <w:color w:val="auto"/>
              </w:rPr>
            </w:pPr>
            <w:r>
              <w:rPr>
                <w:rFonts w:ascii="Times New Roman" w:cs="Times New Roman" w:eastAsia="Times New Roman" w:hAnsi="Times New Roman"/>
                <w:sz w:val="8"/>
                <w:szCs w:val="8"/>
                <w:color w:val="auto"/>
              </w:rPr>
              <w:t>(9)</w:t>
            </w:r>
          </w:p>
        </w:tc>
        <w:tc>
          <w:tcPr>
            <w:tcW w:w="23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9/2029)</w:t>
            </w:r>
            <w:r>
              <w:rPr>
                <w:rFonts w:ascii="Times New Roman" w:cs="Times New Roman" w:eastAsia="Times New Roman" w:hAnsi="Times New Roman"/>
                <w:sz w:val="16"/>
                <w:szCs w:val="16"/>
                <w:color w:val="auto"/>
                <w:vertAlign w:val="superscript"/>
              </w:rPr>
              <w:t>(3)</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color w:val="auto"/>
              </w:rPr>
              <w:t>4.75% PIK)</w:t>
            </w:r>
          </w:p>
        </w:tc>
        <w:tc>
          <w:tcPr>
            <w:tcW w:w="1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Second-lien note ($1,999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8/31/2023</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7.10%</w:t>
            </w:r>
          </w:p>
        </w:tc>
        <w:tc>
          <w:tcPr>
            <w:tcW w:w="1260" w:type="dxa"/>
            <w:vAlign w:val="bottom"/>
            <w:shd w:val="clear" w:color="auto" w:fill="CFF0FC"/>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7.10% (incl.</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1,513</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1,309</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9/2029)</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1.25% PIK)</w:t>
            </w: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Avalara, Inc. </w:t>
            </w:r>
            <w:r>
              <w:rPr>
                <w:rFonts w:ascii="Times New Roman" w:cs="Times New Roman" w:eastAsia="Times New Roman" w:hAnsi="Times New Roman"/>
                <w:sz w:val="16"/>
                <w:szCs w:val="16"/>
                <w:color w:val="auto"/>
                <w:vertAlign w:val="superscript"/>
              </w:rPr>
              <w:t>(3)</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($38,636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10/19/2022</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+ 6.25%</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10.58%</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37,889</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38,955</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10/2028)</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Heritage Environmental</w:t>
            </w:r>
          </w:p>
        </w:tc>
        <w:tc>
          <w:tcPr>
            <w:tcW w:w="232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($12,284 par, due</w:t>
            </w:r>
          </w:p>
        </w:tc>
        <w:tc>
          <w:tcPr>
            <w:tcW w:w="80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1/31/2024</w:t>
            </w:r>
          </w:p>
        </w:tc>
        <w:tc>
          <w:tcPr>
            <w:tcW w:w="108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SOFR + 5.25%</w:t>
            </w:r>
          </w:p>
        </w:tc>
        <w:tc>
          <w:tcPr>
            <w:tcW w:w="1260" w:type="dxa"/>
            <w:vAlign w:val="bottom"/>
            <w:shd w:val="clear" w:color="auto" w:fill="CFF0FC"/>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9.84%</w:t>
            </w:r>
          </w:p>
        </w:tc>
        <w:tc>
          <w:tcPr>
            <w:tcW w:w="1280" w:type="dxa"/>
            <w:vAlign w:val="bottom"/>
            <w:shd w:val="clear" w:color="auto" w:fill="CFF0FC"/>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12,221</w:t>
            </w:r>
          </w:p>
        </w:tc>
        <w:tc>
          <w:tcPr>
            <w:tcW w:w="1540" w:type="dxa"/>
            <w:vAlign w:val="bottom"/>
            <w:shd w:val="clear" w:color="auto" w:fill="CFF0FC"/>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12,425</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Services, Inc. </w:t>
            </w:r>
            <w:r>
              <w:rPr>
                <w:rFonts w:ascii="Times New Roman" w:cs="Times New Roman" w:eastAsia="Times New Roman" w:hAnsi="Times New Roman"/>
                <w:sz w:val="16"/>
                <w:szCs w:val="16"/>
                <w:color w:val="auto"/>
                <w:vertAlign w:val="superscript"/>
              </w:rPr>
              <w:t>(3)</w:t>
            </w: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1/2031)</w:t>
            </w:r>
          </w:p>
        </w:tc>
        <w:tc>
          <w:tcPr>
            <w:tcW w:w="8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($1,329 par, due 1/2031)</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1/31/2024</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SOFR + 5.00%</w:t>
            </w: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9.33%</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1,323</w:t>
            </w: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1,329</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Skylark UK DebtCo Limited</w:t>
            </w:r>
          </w:p>
        </w:tc>
        <w:tc>
          <w:tcPr>
            <w:tcW w:w="2320" w:type="dxa"/>
            <w:vAlign w:val="bottom"/>
            <w:shd w:val="clear" w:color="auto" w:fill="CFF0FC"/>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($16,340 par, due</w:t>
            </w:r>
          </w:p>
        </w:tc>
        <w:tc>
          <w:tcPr>
            <w:tcW w:w="80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9/7/2023</w:t>
            </w:r>
          </w:p>
        </w:tc>
        <w:tc>
          <w:tcPr>
            <w:tcW w:w="1080" w:type="dxa"/>
            <w:vAlign w:val="bottom"/>
            <w:shd w:val="clear" w:color="auto" w:fill="CFF0FC"/>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+ 5.66%</w:t>
            </w:r>
          </w:p>
        </w:tc>
        <w:tc>
          <w:tcPr>
            <w:tcW w:w="1260" w:type="dxa"/>
            <w:vAlign w:val="bottom"/>
            <w:shd w:val="clear" w:color="auto" w:fill="CFF0FC"/>
          </w:tcPr>
          <w:p>
            <w:pPr>
              <w:jc w:val="right"/>
              <w:ind w:right="294"/>
              <w:spacing w:after="0" w:line="120" w:lineRule="exact"/>
              <w:rPr>
                <w:sz w:val="20"/>
                <w:szCs w:val="20"/>
                <w:color w:val="auto"/>
              </w:rPr>
            </w:pPr>
            <w:r>
              <w:rPr>
                <w:rFonts w:ascii="Times New Roman" w:cs="Times New Roman" w:eastAsia="Times New Roman" w:hAnsi="Times New Roman"/>
                <w:sz w:val="13"/>
                <w:szCs w:val="13"/>
                <w:color w:val="auto"/>
              </w:rPr>
              <w:t>9.99%</w:t>
            </w:r>
          </w:p>
        </w:tc>
        <w:tc>
          <w:tcPr>
            <w:tcW w:w="1280" w:type="dxa"/>
            <w:vAlign w:val="bottom"/>
            <w:shd w:val="clear" w:color="auto" w:fill="CFF0FC"/>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15,951</w:t>
            </w:r>
          </w:p>
        </w:tc>
        <w:tc>
          <w:tcPr>
            <w:tcW w:w="1540" w:type="dxa"/>
            <w:vAlign w:val="bottom"/>
            <w:shd w:val="clear" w:color="auto" w:fill="CFF0FC"/>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16,503</w:t>
            </w:r>
          </w:p>
        </w:tc>
        <w:tc>
          <w:tcPr>
            <w:tcW w:w="6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(3)(4)</w:t>
            </w:r>
          </w:p>
        </w:tc>
        <w:tc>
          <w:tcPr>
            <w:tcW w:w="23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9/2030)</w:t>
            </w:r>
          </w:p>
        </w:tc>
        <w:tc>
          <w:tcPr>
            <w:tcW w:w="8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60" w:type="dxa"/>
            <w:vAlign w:val="bottom"/>
            <w:shd w:val="clear" w:color="auto" w:fill="CFF0FC"/>
          </w:tcPr>
          <w:p>
            <w:pPr>
              <w:spacing w:after="0"/>
              <w:rPr>
                <w:sz w:val="7"/>
                <w:szCs w:val="7"/>
                <w:color w:val="auto"/>
              </w:rPr>
            </w:pPr>
          </w:p>
        </w:tc>
        <w:tc>
          <w:tcPr>
            <w:tcW w:w="2320" w:type="dxa"/>
            <w:vAlign w:val="bottom"/>
            <w:vMerge w:val="continue"/>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c>
          <w:tcPr>
            <w:tcW w:w="15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4,851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9/7/2023</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E + 5.66%</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8.35%</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5,071</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5,074</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9/2030)</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(EUR 4,900)</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(GBP 16,640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9/7/2023</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 + 5.66%</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10.36%</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20,115</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21,117</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9/2030)</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(GBP 16,861)</w:t>
            </w: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Varinem German BidCo</w:t>
            </w:r>
          </w:p>
        </w:tc>
        <w:tc>
          <w:tcPr>
            <w:tcW w:w="232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(EUR 12,696 par, due</w:t>
            </w:r>
          </w:p>
        </w:tc>
        <w:tc>
          <w:tcPr>
            <w:tcW w:w="80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7/11/2024</w:t>
            </w:r>
          </w:p>
        </w:tc>
        <w:tc>
          <w:tcPr>
            <w:tcW w:w="1080" w:type="dxa"/>
            <w:vAlign w:val="bottom"/>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E + 5.75%</w:t>
            </w:r>
          </w:p>
        </w:tc>
        <w:tc>
          <w:tcPr>
            <w:tcW w:w="1260" w:type="dxa"/>
            <w:vAlign w:val="bottom"/>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9.42%</w:t>
            </w:r>
          </w:p>
        </w:tc>
        <w:tc>
          <w:tcPr>
            <w:tcW w:w="1280" w:type="dxa"/>
            <w:vAlign w:val="bottom"/>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13,681</w:t>
            </w:r>
          </w:p>
        </w:tc>
        <w:tc>
          <w:tcPr>
            <w:tcW w:w="1540" w:type="dxa"/>
            <w:vAlign w:val="bottom"/>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13,105</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GMBH</w:t>
            </w:r>
            <w:r>
              <w:rPr>
                <w:rFonts w:ascii="Times New Roman" w:cs="Times New Roman" w:eastAsia="Times New Roman" w:hAnsi="Times New Roman"/>
                <w:sz w:val="7"/>
                <w:szCs w:val="7"/>
                <w:color w:val="auto"/>
              </w:rPr>
              <w:t xml:space="preserve"> (3)(4)</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7/2031)</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(EUR 12,656)</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119,888</w:t>
            </w: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122,161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Office Products</w:t>
            </w:r>
          </w:p>
        </w:tc>
        <w:tc>
          <w:tcPr>
            <w:tcW w:w="2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USR Parent, Inc. </w:t>
            </w:r>
            <w:r>
              <w:rPr>
                <w:rFonts w:ascii="Times New Roman" w:cs="Times New Roman" w:eastAsia="Times New Roman" w:hAnsi="Times New Roman"/>
                <w:sz w:val="16"/>
                <w:szCs w:val="16"/>
                <w:color w:val="auto"/>
                <w:vertAlign w:val="superscript"/>
              </w:rPr>
              <w:t>(3)(5)</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ABL FILO term loan ($15,000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4/25/2022</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+ 6.50%</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11.05%</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14,781</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15,000</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4/2027)</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Oil, Gas and Consumable</w:t>
            </w: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Fuels</w:t>
            </w: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Laramie Energy, LLC </w:t>
            </w:r>
            <w:r>
              <w:rPr>
                <w:rFonts w:ascii="Times New Roman" w:cs="Times New Roman" w:eastAsia="Times New Roman" w:hAnsi="Times New Roman"/>
                <w:sz w:val="16"/>
                <w:szCs w:val="16"/>
                <w:color w:val="auto"/>
                <w:vertAlign w:val="superscript"/>
              </w:rPr>
              <w:t>(3)</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($27,317 par, due</w:t>
            </w:r>
          </w:p>
        </w:tc>
        <w:tc>
          <w:tcPr>
            <w:tcW w:w="8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2/21/2023</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+ 7.10%</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11.46%</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27,025</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27,590</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2/2027)</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Mach Natural Resources LP</w:t>
            </w:r>
            <w:r>
              <w:rPr>
                <w:rFonts w:ascii="Times New Roman" w:cs="Times New Roman" w:eastAsia="Times New Roman" w:hAnsi="Times New Roman"/>
                <w:sz w:val="13"/>
                <w:szCs w:val="13"/>
                <w:color w:val="auto"/>
                <w:vertAlign w:val="superscript"/>
              </w:rPr>
              <w:t>(3)</w:t>
            </w:r>
          </w:p>
        </w:tc>
        <w:tc>
          <w:tcPr>
            <w:tcW w:w="232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($4,625 par, due</w:t>
            </w:r>
          </w:p>
        </w:tc>
        <w:tc>
          <w:tcPr>
            <w:tcW w:w="8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12/28/2023</w:t>
            </w:r>
          </w:p>
        </w:tc>
        <w:tc>
          <w:tcPr>
            <w:tcW w:w="1080" w:type="dxa"/>
            <w:vAlign w:val="bottom"/>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+ 6.65%</w:t>
            </w:r>
          </w:p>
        </w:tc>
        <w:tc>
          <w:tcPr>
            <w:tcW w:w="1260" w:type="dxa"/>
            <w:vAlign w:val="bottom"/>
          </w:tcPr>
          <w:p>
            <w:pPr>
              <w:jc w:val="right"/>
              <w:ind w:right="294"/>
              <w:spacing w:after="0" w:line="120" w:lineRule="exact"/>
              <w:rPr>
                <w:sz w:val="20"/>
                <w:szCs w:val="20"/>
                <w:color w:val="auto"/>
              </w:rPr>
            </w:pPr>
            <w:r>
              <w:rPr>
                <w:rFonts w:ascii="Times New Roman" w:cs="Times New Roman" w:eastAsia="Times New Roman" w:hAnsi="Times New Roman"/>
                <w:sz w:val="13"/>
                <w:szCs w:val="13"/>
                <w:color w:val="auto"/>
              </w:rPr>
              <w:t>10.98%</w:t>
            </w:r>
          </w:p>
        </w:tc>
        <w:tc>
          <w:tcPr>
            <w:tcW w:w="1280" w:type="dxa"/>
            <w:vAlign w:val="bottom"/>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4,561</w:t>
            </w:r>
          </w:p>
        </w:tc>
        <w:tc>
          <w:tcPr>
            <w:tcW w:w="154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4,660</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23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12/2026)</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TRP Assets, LLC </w:t>
            </w:r>
            <w:r>
              <w:rPr>
                <w:rFonts w:ascii="Times New Roman" w:cs="Times New Roman" w:eastAsia="Times New Roman" w:hAnsi="Times New Roman"/>
                <w:sz w:val="16"/>
                <w:szCs w:val="16"/>
                <w:color w:val="auto"/>
                <w:vertAlign w:val="superscript"/>
              </w:rPr>
              <w:t>(3)</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($54,834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12/20/2024</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+ 7.00%</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11.33%</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53,540</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54,834</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12/2029)</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85,126</w:t>
            </w: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87,084</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Omnigo Software, LLC </w:t>
            </w:r>
            <w:r>
              <w:rPr>
                <w:rFonts w:ascii="Times New Roman" w:cs="Times New Roman" w:eastAsia="Times New Roman" w:hAnsi="Times New Roman"/>
                <w:sz w:val="16"/>
                <w:szCs w:val="16"/>
                <w:color w:val="auto"/>
                <w:vertAlign w:val="superscript"/>
              </w:rPr>
              <w:t>(3)(5)</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($39,533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3/31/2021</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+ 5.50%</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9.86%</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39,244</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39,533</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3/2027)</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Scorpio Bidco </w:t>
            </w:r>
            <w:r>
              <w:rPr>
                <w:rFonts w:ascii="Times New Roman" w:cs="Times New Roman" w:eastAsia="Times New Roman" w:hAnsi="Times New Roman"/>
                <w:sz w:val="16"/>
                <w:szCs w:val="16"/>
                <w:color w:val="auto"/>
                <w:vertAlign w:val="superscript"/>
              </w:rPr>
              <w:t>(3)(4)</w:t>
            </w: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2,511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4/4/2024</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E + 5.75%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8.43%</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2,671</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2,584</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4/2031)</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(EUR 2,496)</w:t>
            </w: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Sky Bidco S.p.A.</w:t>
            </w:r>
            <w:r>
              <w:rPr>
                <w:rFonts w:ascii="Times New Roman" w:cs="Times New Roman" w:eastAsia="Times New Roman" w:hAnsi="Times New Roman"/>
                <w:sz w:val="16"/>
                <w:szCs w:val="16"/>
                <w:color w:val="auto"/>
                <w:vertAlign w:val="superscript"/>
              </w:rPr>
              <w:t>(3)(4)</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note (EUR 6,368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10/29/2024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E + 5.25%</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8.20%</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6,671</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6,415</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10/2031)</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(EUR 6,195)</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note ($14,085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10/29/2024</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+ 5.25%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10.51%</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13,810</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13,838</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10/2031)</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62,396</w:t>
            </w: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62,370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Pharmaceuticals</w:t>
            </w:r>
          </w:p>
        </w:tc>
        <w:tc>
          <w:tcPr>
            <w:tcW w:w="2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Apellis Pharmaceuticals, Inc.</w:t>
            </w:r>
          </w:p>
        </w:tc>
        <w:tc>
          <w:tcPr>
            <w:tcW w:w="232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($19,737 par, due</w:t>
            </w:r>
          </w:p>
        </w:tc>
        <w:tc>
          <w:tcPr>
            <w:tcW w:w="80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5/13/2024</w:t>
            </w:r>
          </w:p>
        </w:tc>
        <w:tc>
          <w:tcPr>
            <w:tcW w:w="1080" w:type="dxa"/>
            <w:vAlign w:val="bottom"/>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+ 5.75%</w:t>
            </w:r>
          </w:p>
        </w:tc>
        <w:tc>
          <w:tcPr>
            <w:tcW w:w="1260" w:type="dxa"/>
            <w:vAlign w:val="bottom"/>
          </w:tcPr>
          <w:p>
            <w:pPr>
              <w:jc w:val="right"/>
              <w:ind w:right="294"/>
              <w:spacing w:after="0" w:line="120" w:lineRule="exact"/>
              <w:rPr>
                <w:sz w:val="20"/>
                <w:szCs w:val="20"/>
                <w:color w:val="auto"/>
              </w:rPr>
            </w:pPr>
            <w:r>
              <w:rPr>
                <w:rFonts w:ascii="Times New Roman" w:cs="Times New Roman" w:eastAsia="Times New Roman" w:hAnsi="Times New Roman"/>
                <w:sz w:val="13"/>
                <w:szCs w:val="13"/>
                <w:color w:val="auto"/>
              </w:rPr>
              <w:t>10.08%</w:t>
            </w:r>
          </w:p>
        </w:tc>
        <w:tc>
          <w:tcPr>
            <w:tcW w:w="1280" w:type="dxa"/>
            <w:vAlign w:val="bottom"/>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19,737</w:t>
            </w:r>
          </w:p>
        </w:tc>
        <w:tc>
          <w:tcPr>
            <w:tcW w:w="154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19,924</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tcPr>
          <w:p>
            <w:pPr>
              <w:ind w:left="20"/>
              <w:spacing w:after="0"/>
              <w:rPr>
                <w:sz w:val="20"/>
                <w:szCs w:val="20"/>
                <w:color w:val="auto"/>
              </w:rPr>
            </w:pPr>
            <w:r>
              <w:rPr>
                <w:rFonts w:ascii="Times New Roman" w:cs="Times New Roman" w:eastAsia="Times New Roman" w:hAnsi="Times New Roman"/>
                <w:sz w:val="8"/>
                <w:szCs w:val="8"/>
                <w:color w:val="auto"/>
              </w:rPr>
              <w:t>(3)(4)</w:t>
            </w:r>
          </w:p>
        </w:tc>
        <w:tc>
          <w:tcPr>
            <w:tcW w:w="23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Arrowhead Pharmaceuticals,</w:t>
            </w:r>
          </w:p>
        </w:tc>
        <w:tc>
          <w:tcPr>
            <w:tcW w:w="232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($33,059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8/7/2024</w:t>
            </w:r>
          </w:p>
        </w:tc>
        <w:tc>
          <w:tcPr>
            <w:tcW w:w="108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15.00%</w:t>
            </w:r>
          </w:p>
        </w:tc>
        <w:tc>
          <w:tcPr>
            <w:tcW w:w="1260" w:type="dxa"/>
            <w:vAlign w:val="bottom"/>
            <w:shd w:val="clear" w:color="auto" w:fill="CFF0FC"/>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15.00%</w:t>
            </w:r>
          </w:p>
        </w:tc>
        <w:tc>
          <w:tcPr>
            <w:tcW w:w="1280" w:type="dxa"/>
            <w:vAlign w:val="bottom"/>
            <w:shd w:val="clear" w:color="auto" w:fill="CFF0FC"/>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32,758</w:t>
            </w:r>
          </w:p>
        </w:tc>
        <w:tc>
          <w:tcPr>
            <w:tcW w:w="1540" w:type="dxa"/>
            <w:vAlign w:val="bottom"/>
            <w:shd w:val="clear" w:color="auto" w:fill="CFF0FC"/>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44,133</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(4)</w:t>
            </w: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8/2031)</w:t>
            </w:r>
          </w:p>
        </w:tc>
        <w:tc>
          <w:tcPr>
            <w:tcW w:w="8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Elysium BidCo Limited </w:t>
            </w:r>
            <w:r>
              <w:rPr>
                <w:rFonts w:ascii="Times New Roman" w:cs="Times New Roman" w:eastAsia="Times New Roman" w:hAnsi="Times New Roman"/>
                <w:sz w:val="16"/>
                <w:szCs w:val="16"/>
                <w:color w:val="auto"/>
                <w:vertAlign w:val="superscript"/>
              </w:rPr>
              <w:t>(3)(4)</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17,985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12/11/2024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E + 7.25%</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10.07%</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18,396</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18,204</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12/2030)</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(EUR 17,580)</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(GBP 9,953 par, due</w:t>
            </w:r>
          </w:p>
        </w:tc>
        <w:tc>
          <w:tcPr>
            <w:tcW w:w="8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12/11/2024</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 + 7.25%</w:t>
            </w:r>
          </w:p>
        </w:tc>
        <w:tc>
          <w:tcPr>
            <w:tcW w:w="126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11.95%</w:t>
            </w:r>
          </w:p>
        </w:tc>
        <w:tc>
          <w:tcPr>
            <w:tcW w:w="128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12,367</w:t>
            </w:r>
          </w:p>
        </w:tc>
        <w:tc>
          <w:tcPr>
            <w:tcW w:w="15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12,129</w:t>
            </w:r>
          </w:p>
        </w:tc>
        <w:tc>
          <w:tcPr>
            <w:tcW w:w="6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6/2030)</w:t>
            </w: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(GBP 9,684)</w:t>
            </w: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83,258</w:t>
            </w: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94,390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2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w w:val="99"/>
              </w:rPr>
              <w:t xml:space="preserve">Cirrus (BidCo) Limited </w:t>
            </w:r>
            <w:r>
              <w:rPr>
                <w:rFonts w:ascii="Times New Roman" w:cs="Times New Roman" w:eastAsia="Times New Roman" w:hAnsi="Times New Roman"/>
                <w:sz w:val="16"/>
                <w:szCs w:val="16"/>
                <w:color w:val="auto"/>
                <w:w w:val="99"/>
                <w:vertAlign w:val="superscript"/>
              </w:rPr>
              <w:t>(3)(4)(5)</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(GBP 675 par, due</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8/9/2024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 + 6.25%</w:t>
            </w:r>
          </w:p>
        </w:tc>
        <w:tc>
          <w:tcPr>
            <w:tcW w:w="1260" w:type="dxa"/>
            <w:vAlign w:val="bottom"/>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10.95% (incl.</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836</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836</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8/2030)</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3.00% PIK)</w:t>
            </w:r>
          </w:p>
        </w:tc>
        <w:tc>
          <w:tcPr>
            <w:tcW w:w="128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(GBP 667)</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Retail and Consumer</w:t>
            </w:r>
          </w:p>
        </w:tc>
        <w:tc>
          <w:tcPr>
            <w:tcW w:w="23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2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Acosta </w:t>
            </w:r>
            <w:r>
              <w:rPr>
                <w:rFonts w:ascii="Times New Roman" w:cs="Times New Roman" w:eastAsia="Times New Roman" w:hAnsi="Times New Roman"/>
                <w:sz w:val="16"/>
                <w:szCs w:val="16"/>
                <w:color w:val="auto"/>
                <w:vertAlign w:val="superscript"/>
              </w:rPr>
              <w:t>(3)(9)</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($10,000 par, due</w:t>
            </w:r>
          </w:p>
        </w:tc>
        <w:tc>
          <w:tcPr>
            <w:tcW w:w="8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8/20/2024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+ 5.60%</w:t>
            </w:r>
          </w:p>
        </w:tc>
        <w:tc>
          <w:tcPr>
            <w:tcW w:w="126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10.12%</w:t>
            </w:r>
          </w:p>
        </w:tc>
        <w:tc>
          <w:tcPr>
            <w:tcW w:w="128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9,806</w:t>
            </w:r>
          </w:p>
        </w:tc>
        <w:tc>
          <w:tcPr>
            <w:tcW w:w="15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9,925</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8/2031)</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American Achievement,</w:t>
            </w:r>
          </w:p>
        </w:tc>
        <w:tc>
          <w:tcPr>
            <w:tcW w:w="232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($26,864 par, due</w:t>
            </w:r>
          </w:p>
        </w:tc>
        <w:tc>
          <w:tcPr>
            <w:tcW w:w="80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9/30/2015</w:t>
            </w:r>
          </w:p>
        </w:tc>
        <w:tc>
          <w:tcPr>
            <w:tcW w:w="108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SOFR + 7.35%</w:t>
            </w:r>
          </w:p>
        </w:tc>
        <w:tc>
          <w:tcPr>
            <w:tcW w:w="1260" w:type="dxa"/>
            <w:vAlign w:val="bottom"/>
            <w:shd w:val="clear" w:color="auto" w:fill="CFF0FC"/>
          </w:tcPr>
          <w:p>
            <w:pPr>
              <w:jc w:val="right"/>
              <w:ind w:right="314"/>
              <w:spacing w:after="0" w:line="133" w:lineRule="exact"/>
              <w:rPr>
                <w:sz w:val="20"/>
                <w:szCs w:val="20"/>
                <w:color w:val="auto"/>
              </w:rPr>
            </w:pPr>
            <w:r>
              <w:rPr>
                <w:rFonts w:ascii="Times New Roman" w:cs="Times New Roman" w:eastAsia="Times New Roman" w:hAnsi="Times New Roman"/>
                <w:sz w:val="13"/>
                <w:szCs w:val="13"/>
                <w:color w:val="auto"/>
              </w:rPr>
              <w:t>11.90% (incl.</w:t>
            </w:r>
          </w:p>
        </w:tc>
        <w:tc>
          <w:tcPr>
            <w:tcW w:w="1280" w:type="dxa"/>
            <w:vAlign w:val="bottom"/>
            <w:shd w:val="clear" w:color="auto" w:fill="CFF0FC"/>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26,042</w:t>
            </w:r>
          </w:p>
        </w:tc>
        <w:tc>
          <w:tcPr>
            <w:tcW w:w="1540" w:type="dxa"/>
            <w:vAlign w:val="bottom"/>
            <w:shd w:val="clear" w:color="auto" w:fill="CFF0FC"/>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20,551</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Corp.</w:t>
            </w:r>
            <w:r>
              <w:rPr>
                <w:rFonts w:ascii="Times New Roman" w:cs="Times New Roman" w:eastAsia="Times New Roman" w:hAnsi="Times New Roman"/>
                <w:sz w:val="7"/>
                <w:szCs w:val="7"/>
                <w:color w:val="auto"/>
              </w:rPr>
              <w:t xml:space="preserve"> (3)(14)</w:t>
            </w:r>
          </w:p>
        </w:tc>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9/2026)</w:t>
            </w:r>
          </w:p>
        </w:tc>
        <w:tc>
          <w:tcPr>
            <w:tcW w:w="8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11.40% PIK)</w:t>
            </w: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56"/>
        </w:trPr>
        <w:tc>
          <w:tcPr>
            <w:tcW w:w="1660" w:type="dxa"/>
            <w:vAlign w:val="bottom"/>
          </w:tcPr>
          <w:p>
            <w:pPr>
              <w:spacing w:after="0"/>
              <w:rPr>
                <w:sz w:val="13"/>
                <w:szCs w:val="13"/>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($1,341 par, due 9/2026)</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6/10/2021</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SOFR +</w:t>
            </w: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19.65% (incl.</w:t>
            </w: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1,341</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101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15.10%</w:t>
            </w: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19.15% PIK)</w:t>
            </w: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Subordinated note ($4,740 par, due</w:t>
            </w:r>
          </w:p>
        </w:tc>
        <w:tc>
          <w:tcPr>
            <w:tcW w:w="7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3/16/2021</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+ 1.15%</w:t>
            </w:r>
          </w:p>
        </w:tc>
        <w:tc>
          <w:tcPr>
            <w:tcW w:w="12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5.74%</w:t>
            </w:r>
          </w:p>
        </w:tc>
        <w:tc>
          <w:tcPr>
            <w:tcW w:w="134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545</w:t>
            </w:r>
          </w:p>
        </w:tc>
        <w:tc>
          <w:tcPr>
            <w:tcW w:w="1500" w:type="dxa"/>
            <w:vAlign w:val="bottom"/>
            <w:shd w:val="clear" w:color="auto" w:fill="CFF0FC"/>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59</w:t>
            </w: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9/2026)</w:t>
            </w: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3"/>
                <w:szCs w:val="13"/>
                <w:color w:val="auto"/>
                <w:vertAlign w:val="superscript"/>
              </w:rPr>
              <w:t>(3)</w:t>
            </w:r>
          </w:p>
        </w:tc>
        <w:tc>
          <w:tcPr>
            <w:tcW w:w="234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ABL FILO term loan ($8,994 par, due</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9/2/2022</w:t>
            </w:r>
          </w:p>
        </w:tc>
        <w:tc>
          <w:tcPr>
            <w:tcW w:w="1080" w:type="dxa"/>
            <w:vAlign w:val="bottom"/>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+ 9.90%</w:t>
            </w:r>
          </w:p>
        </w:tc>
        <w:tc>
          <w:tcPr>
            <w:tcW w:w="120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14.26%</w:t>
            </w:r>
          </w:p>
        </w:tc>
        <w:tc>
          <w:tcPr>
            <w:tcW w:w="1340" w:type="dxa"/>
            <w:vAlign w:val="bottom"/>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8,856</w:t>
            </w:r>
          </w:p>
        </w:tc>
        <w:tc>
          <w:tcPr>
            <w:tcW w:w="1500" w:type="dxa"/>
            <w:vAlign w:val="bottom"/>
          </w:tcPr>
          <w:p>
            <w:pPr>
              <w:jc w:val="right"/>
              <w:ind w:right="194"/>
              <w:spacing w:after="0" w:line="120" w:lineRule="exact"/>
              <w:rPr>
                <w:sz w:val="20"/>
                <w:szCs w:val="20"/>
                <w:color w:val="auto"/>
              </w:rPr>
            </w:pPr>
            <w:r>
              <w:rPr>
                <w:rFonts w:ascii="Times New Roman" w:cs="Times New Roman" w:eastAsia="Times New Roman" w:hAnsi="Times New Roman"/>
                <w:sz w:val="13"/>
                <w:szCs w:val="13"/>
                <w:color w:val="auto"/>
              </w:rPr>
              <w:t>8,229</w:t>
            </w: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tcPr>
          <w:p>
            <w:pPr>
              <w:ind w:left="20"/>
              <w:spacing w:after="0"/>
              <w:rPr>
                <w:sz w:val="20"/>
                <w:szCs w:val="20"/>
                <w:color w:val="auto"/>
              </w:rPr>
            </w:pPr>
            <w:r>
              <w:rPr>
                <w:rFonts w:ascii="Times New Roman" w:cs="Times New Roman" w:eastAsia="Times New Roman" w:hAnsi="Times New Roman"/>
                <w:sz w:val="8"/>
                <w:szCs w:val="8"/>
                <w:color w:val="auto"/>
              </w:rPr>
              <w:t>(15)</w:t>
            </w:r>
          </w:p>
        </w:tc>
        <w:tc>
          <w:tcPr>
            <w:tcW w:w="23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8/2027)</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Roll Up DIP term loan ($24,924 par)</w:t>
            </w:r>
          </w:p>
        </w:tc>
        <w:tc>
          <w:tcPr>
            <w:tcW w:w="7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4/24/2023</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SOFR + 7.90%</w:t>
            </w:r>
          </w:p>
        </w:tc>
        <w:tc>
          <w:tcPr>
            <w:tcW w:w="120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12.26% PIK</w:t>
            </w:r>
          </w:p>
        </w:tc>
        <w:tc>
          <w:tcPr>
            <w:tcW w:w="134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24,924</w:t>
            </w:r>
          </w:p>
        </w:tc>
        <w:tc>
          <w:tcPr>
            <w:tcW w:w="15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22,806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Super-Priority DIP term loan</w:t>
            </w:r>
          </w:p>
        </w:tc>
        <w:tc>
          <w:tcPr>
            <w:tcW w:w="7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4/24/2023</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+ 7.90%</w:t>
            </w:r>
          </w:p>
        </w:tc>
        <w:tc>
          <w:tcPr>
            <w:tcW w:w="12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12.26%</w:t>
            </w:r>
          </w:p>
        </w:tc>
        <w:tc>
          <w:tcPr>
            <w:tcW w:w="134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3,988</w:t>
            </w:r>
          </w:p>
        </w:tc>
        <w:tc>
          <w:tcPr>
            <w:tcW w:w="1500" w:type="dxa"/>
            <w:vAlign w:val="bottom"/>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3,649</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($3,988 par)</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Belk, Inc. </w:t>
            </w:r>
            <w:r>
              <w:rPr>
                <w:rFonts w:ascii="Times New Roman" w:cs="Times New Roman" w:eastAsia="Times New Roman" w:hAnsi="Times New Roman"/>
                <w:sz w:val="16"/>
                <w:szCs w:val="16"/>
                <w:color w:val="auto"/>
                <w:vertAlign w:val="superscript"/>
              </w:rPr>
              <w:t>(3)</w:t>
            </w: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($49,375 par, due</w:t>
            </w:r>
          </w:p>
        </w:tc>
        <w:tc>
          <w:tcPr>
            <w:tcW w:w="7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7/22/2024</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+ 7.00%</w:t>
            </w:r>
          </w:p>
        </w:tc>
        <w:tc>
          <w:tcPr>
            <w:tcW w:w="12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11.51%</w:t>
            </w:r>
          </w:p>
        </w:tc>
        <w:tc>
          <w:tcPr>
            <w:tcW w:w="134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48,637</w:t>
            </w:r>
          </w:p>
        </w:tc>
        <w:tc>
          <w:tcPr>
            <w:tcW w:w="1500" w:type="dxa"/>
            <w:vAlign w:val="bottom"/>
            <w:shd w:val="clear" w:color="auto" w:fill="CFF0FC"/>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49,005</w:t>
            </w: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7/2029)</w:t>
            </w: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Cordance Operations, LLC </w:t>
            </w:r>
            <w:r>
              <w:rPr>
                <w:rFonts w:ascii="Times New Roman" w:cs="Times New Roman" w:eastAsia="Times New Roman" w:hAnsi="Times New Roman"/>
                <w:sz w:val="16"/>
                <w:szCs w:val="16"/>
                <w:color w:val="auto"/>
                <w:vertAlign w:val="superscript"/>
              </w:rPr>
              <w:t>(3)</w:t>
            </w: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($60,781 par, due</w:t>
            </w:r>
          </w:p>
        </w:tc>
        <w:tc>
          <w:tcPr>
            <w:tcW w:w="7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7/25/2022</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+ 9.25%</w:t>
            </w:r>
          </w:p>
        </w:tc>
        <w:tc>
          <w:tcPr>
            <w:tcW w:w="12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13.51%</w:t>
            </w:r>
          </w:p>
        </w:tc>
        <w:tc>
          <w:tcPr>
            <w:tcW w:w="134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59,808</w:t>
            </w:r>
          </w:p>
        </w:tc>
        <w:tc>
          <w:tcPr>
            <w:tcW w:w="1500" w:type="dxa"/>
            <w:vAlign w:val="bottom"/>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61,428</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7/2028)</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Neuintel, LLC </w:t>
            </w:r>
            <w:r>
              <w:rPr>
                <w:rFonts w:ascii="Times New Roman" w:cs="Times New Roman" w:eastAsia="Times New Roman" w:hAnsi="Times New Roman"/>
                <w:sz w:val="16"/>
                <w:szCs w:val="16"/>
                <w:color w:val="auto"/>
                <w:vertAlign w:val="superscript"/>
              </w:rPr>
              <w:t>(3)(5)</w:t>
            </w: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($55,038 par, due</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12/20/2021</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+ 6.85%</w:t>
            </w:r>
          </w:p>
        </w:tc>
        <w:tc>
          <w:tcPr>
            <w:tcW w:w="12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11.21%</w:t>
            </w:r>
          </w:p>
        </w:tc>
        <w:tc>
          <w:tcPr>
            <w:tcW w:w="134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54,520</w:t>
            </w:r>
          </w:p>
        </w:tc>
        <w:tc>
          <w:tcPr>
            <w:tcW w:w="1500" w:type="dxa"/>
            <w:vAlign w:val="bottom"/>
            <w:shd w:val="clear" w:color="auto" w:fill="CFF0FC"/>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55,176</w:t>
            </w: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12/2026)</w:t>
            </w: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PDI TA Holdings, Inc. </w:t>
            </w:r>
            <w:r>
              <w:rPr>
                <w:rFonts w:ascii="Times New Roman" w:cs="Times New Roman" w:eastAsia="Times New Roman" w:hAnsi="Times New Roman"/>
                <w:sz w:val="16"/>
                <w:szCs w:val="16"/>
                <w:color w:val="auto"/>
                <w:vertAlign w:val="superscript"/>
              </w:rPr>
              <w:t>(3)</w:t>
            </w: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($18,133 par, due</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+ 5.50%</w:t>
            </w:r>
          </w:p>
        </w:tc>
        <w:tc>
          <w:tcPr>
            <w:tcW w:w="12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10.09%</w:t>
            </w:r>
          </w:p>
        </w:tc>
        <w:tc>
          <w:tcPr>
            <w:tcW w:w="134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17,854</w:t>
            </w:r>
          </w:p>
        </w:tc>
        <w:tc>
          <w:tcPr>
            <w:tcW w:w="1500" w:type="dxa"/>
            <w:vAlign w:val="bottom"/>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18,241</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2/2031)</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Rapid Data GmbH</w:t>
            </w:r>
          </w:p>
        </w:tc>
        <w:tc>
          <w:tcPr>
            <w:tcW w:w="234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(EUR 7,378 par, due</w:t>
            </w:r>
          </w:p>
        </w:tc>
        <w:tc>
          <w:tcPr>
            <w:tcW w:w="7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7/11/2023</w:t>
            </w:r>
          </w:p>
        </w:tc>
        <w:tc>
          <w:tcPr>
            <w:tcW w:w="1080" w:type="dxa"/>
            <w:vAlign w:val="bottom"/>
            <w:shd w:val="clear" w:color="auto" w:fill="CFF0FC"/>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E + 6.25%</w:t>
            </w:r>
          </w:p>
        </w:tc>
        <w:tc>
          <w:tcPr>
            <w:tcW w:w="1200" w:type="dxa"/>
            <w:vAlign w:val="bottom"/>
            <w:shd w:val="clear" w:color="auto" w:fill="CFF0FC"/>
          </w:tcPr>
          <w:p>
            <w:pPr>
              <w:jc w:val="right"/>
              <w:ind w:right="254"/>
              <w:spacing w:after="0" w:line="133" w:lineRule="exact"/>
              <w:rPr>
                <w:sz w:val="20"/>
                <w:szCs w:val="20"/>
                <w:color w:val="auto"/>
              </w:rPr>
            </w:pPr>
            <w:r>
              <w:rPr>
                <w:rFonts w:ascii="Times New Roman" w:cs="Times New Roman" w:eastAsia="Times New Roman" w:hAnsi="Times New Roman"/>
                <w:sz w:val="13"/>
                <w:szCs w:val="13"/>
                <w:color w:val="auto"/>
              </w:rPr>
              <w:t>9.47% (incl.</w:t>
            </w:r>
          </w:p>
        </w:tc>
        <w:tc>
          <w:tcPr>
            <w:tcW w:w="1340" w:type="dxa"/>
            <w:vAlign w:val="bottom"/>
            <w:shd w:val="clear" w:color="auto" w:fill="CFF0FC"/>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7,885</w:t>
            </w:r>
          </w:p>
        </w:tc>
        <w:tc>
          <w:tcPr>
            <w:tcW w:w="1500" w:type="dxa"/>
            <w:vAlign w:val="bottom"/>
            <w:shd w:val="clear" w:color="auto" w:fill="CFF0FC"/>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rPr>
              <w:t>7,685</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7/2029)</w:t>
            </w:r>
          </w:p>
        </w:tc>
        <w:tc>
          <w:tcPr>
            <w:tcW w:w="7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3.00% PIK)</w:t>
            </w:r>
          </w:p>
        </w:tc>
        <w:tc>
          <w:tcPr>
            <w:tcW w:w="13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(EUR 7,422)</w:t>
            </w:r>
          </w:p>
        </w:tc>
        <w:tc>
          <w:tcPr>
            <w:tcW w:w="6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Tango Management</w:t>
            </w:r>
          </w:p>
        </w:tc>
        <w:tc>
          <w:tcPr>
            <w:tcW w:w="234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($69,218 par, due</w:t>
            </w:r>
          </w:p>
        </w:tc>
        <w:tc>
          <w:tcPr>
            <w:tcW w:w="78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12/1/2021</w:t>
            </w:r>
          </w:p>
        </w:tc>
        <w:tc>
          <w:tcPr>
            <w:tcW w:w="1080" w:type="dxa"/>
            <w:vAlign w:val="bottom"/>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rPr>
              <w:t>SOFR + 6.90%</w:t>
            </w:r>
          </w:p>
        </w:tc>
        <w:tc>
          <w:tcPr>
            <w:tcW w:w="1200" w:type="dxa"/>
            <w:vAlign w:val="bottom"/>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11.56%</w:t>
            </w:r>
          </w:p>
        </w:tc>
        <w:tc>
          <w:tcPr>
            <w:tcW w:w="1340" w:type="dxa"/>
            <w:vAlign w:val="bottom"/>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68,671</w:t>
            </w:r>
          </w:p>
        </w:tc>
        <w:tc>
          <w:tcPr>
            <w:tcW w:w="1500" w:type="dxa"/>
            <w:vAlign w:val="bottom"/>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rPr>
              <w:t>69,045</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Consulting, LLC </w:t>
            </w:r>
            <w:r>
              <w:rPr>
                <w:rFonts w:ascii="Times New Roman" w:cs="Times New Roman" w:eastAsia="Times New Roman" w:hAnsi="Times New Roman"/>
                <w:sz w:val="16"/>
                <w:szCs w:val="16"/>
                <w:color w:val="auto"/>
                <w:vertAlign w:val="superscript"/>
              </w:rPr>
              <w:t>(3)(5)</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12/2027)</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revolving loan ($2,454 par,</w:t>
            </w:r>
          </w:p>
        </w:tc>
        <w:tc>
          <w:tcPr>
            <w:tcW w:w="7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12/1/2021</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P + 6.75%</w:t>
            </w:r>
          </w:p>
        </w:tc>
        <w:tc>
          <w:tcPr>
            <w:tcW w:w="12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14.25%</w:t>
            </w:r>
          </w:p>
        </w:tc>
        <w:tc>
          <w:tcPr>
            <w:tcW w:w="134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2,408</w:t>
            </w:r>
          </w:p>
        </w:tc>
        <w:tc>
          <w:tcPr>
            <w:tcW w:w="1500" w:type="dxa"/>
            <w:vAlign w:val="bottom"/>
            <w:shd w:val="clear" w:color="auto" w:fill="CFF0FC"/>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2,444</w:t>
            </w: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due 12/2027)</w:t>
            </w: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335,285</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328,344</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Transportation</w:t>
            </w:r>
          </w:p>
        </w:tc>
        <w:tc>
          <w:tcPr>
            <w:tcW w:w="2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3"/>
                <w:szCs w:val="13"/>
                <w:color w:val="auto"/>
                <w:vertAlign w:val="superscript"/>
              </w:rPr>
              <w:t>(3)</w:t>
            </w:r>
          </w:p>
        </w:tc>
        <w:tc>
          <w:tcPr>
            <w:tcW w:w="234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($3,635 par, due 3/2028)</w:t>
            </w:r>
          </w:p>
        </w:tc>
        <w:tc>
          <w:tcPr>
            <w:tcW w:w="78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3/26/2024</w:t>
            </w:r>
          </w:p>
        </w:tc>
        <w:tc>
          <w:tcPr>
            <w:tcW w:w="1080" w:type="dxa"/>
            <w:vAlign w:val="bottom"/>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+ 5.25%</w:t>
            </w:r>
          </w:p>
        </w:tc>
        <w:tc>
          <w:tcPr>
            <w:tcW w:w="120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9.81%</w:t>
            </w:r>
          </w:p>
        </w:tc>
        <w:tc>
          <w:tcPr>
            <w:tcW w:w="1340" w:type="dxa"/>
            <w:vAlign w:val="bottom"/>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3,581</w:t>
            </w:r>
          </w:p>
        </w:tc>
        <w:tc>
          <w:tcPr>
            <w:tcW w:w="1500" w:type="dxa"/>
            <w:vAlign w:val="bottom"/>
          </w:tcPr>
          <w:p>
            <w:pPr>
              <w:jc w:val="right"/>
              <w:ind w:right="194"/>
              <w:spacing w:after="0" w:line="120" w:lineRule="exact"/>
              <w:rPr>
                <w:sz w:val="20"/>
                <w:szCs w:val="20"/>
                <w:color w:val="auto"/>
              </w:rPr>
            </w:pPr>
            <w:r>
              <w:rPr>
                <w:rFonts w:ascii="Times New Roman" w:cs="Times New Roman" w:eastAsia="Times New Roman" w:hAnsi="Times New Roman"/>
                <w:sz w:val="13"/>
                <w:szCs w:val="13"/>
                <w:color w:val="auto"/>
              </w:rPr>
              <w:t>3,610</w:t>
            </w: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2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Marcura Equities LTD </w:t>
            </w:r>
            <w:r>
              <w:rPr>
                <w:rFonts w:ascii="Times New Roman" w:cs="Times New Roman" w:eastAsia="Times New Roman" w:hAnsi="Times New Roman"/>
                <w:sz w:val="16"/>
                <w:szCs w:val="16"/>
                <w:color w:val="auto"/>
                <w:vertAlign w:val="superscript"/>
              </w:rPr>
              <w:t>(3)(4)</w:t>
            </w: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($33,874 par, due</w:t>
            </w:r>
          </w:p>
        </w:tc>
        <w:tc>
          <w:tcPr>
            <w:tcW w:w="7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8/11/2023</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+ 7.00%</w:t>
            </w:r>
          </w:p>
        </w:tc>
        <w:tc>
          <w:tcPr>
            <w:tcW w:w="12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11.33%</w:t>
            </w:r>
          </w:p>
        </w:tc>
        <w:tc>
          <w:tcPr>
            <w:tcW w:w="134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33,030</w:t>
            </w:r>
          </w:p>
        </w:tc>
        <w:tc>
          <w:tcPr>
            <w:tcW w:w="1500" w:type="dxa"/>
            <w:vAlign w:val="bottom"/>
            <w:shd w:val="clear" w:color="auto" w:fill="CFF0FC"/>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34,189</w:t>
            </w: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8/2029)</w:t>
            </w: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revolving loan ($2,333 par,</w:t>
            </w:r>
          </w:p>
        </w:tc>
        <w:tc>
          <w:tcPr>
            <w:tcW w:w="7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8/11/2023</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+ 7.00%</w:t>
            </w:r>
          </w:p>
        </w:tc>
        <w:tc>
          <w:tcPr>
            <w:tcW w:w="12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11.33%</w:t>
            </w:r>
          </w:p>
        </w:tc>
        <w:tc>
          <w:tcPr>
            <w:tcW w:w="134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2,269</w:t>
            </w:r>
          </w:p>
        </w:tc>
        <w:tc>
          <w:tcPr>
            <w:tcW w:w="1500" w:type="dxa"/>
            <w:vAlign w:val="bottom"/>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2,358</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8/2029)</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Project44, Inc. </w:t>
            </w:r>
            <w:r>
              <w:rPr>
                <w:rFonts w:ascii="Times New Roman" w:cs="Times New Roman" w:eastAsia="Times New Roman" w:hAnsi="Times New Roman"/>
                <w:sz w:val="16"/>
                <w:szCs w:val="16"/>
                <w:color w:val="auto"/>
                <w:vertAlign w:val="superscript"/>
              </w:rPr>
              <w:t>(3)(5)</w:t>
            </w: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($54,824 par, due</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11/12/2021</w:t>
            </w:r>
          </w:p>
        </w:tc>
        <w:tc>
          <w:tcPr>
            <w:tcW w:w="108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SOFR + 6.35%</w:t>
            </w:r>
          </w:p>
        </w:tc>
        <w:tc>
          <w:tcPr>
            <w:tcW w:w="120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10.75%</w:t>
            </w:r>
          </w:p>
        </w:tc>
        <w:tc>
          <w:tcPr>
            <w:tcW w:w="134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54,087</w:t>
            </w:r>
          </w:p>
        </w:tc>
        <w:tc>
          <w:tcPr>
            <w:tcW w:w="1500" w:type="dxa"/>
            <w:vAlign w:val="bottom"/>
            <w:shd w:val="clear" w:color="auto" w:fill="CFF0FC"/>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54,824</w:t>
            </w: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11/2027)</w:t>
            </w: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Shiftmove GMBH </w:t>
            </w:r>
            <w:r>
              <w:rPr>
                <w:rFonts w:ascii="Times New Roman" w:cs="Times New Roman" w:eastAsia="Times New Roman" w:hAnsi="Times New Roman"/>
                <w:sz w:val="16"/>
                <w:szCs w:val="16"/>
                <w:color w:val="auto"/>
                <w:vertAlign w:val="superscript"/>
              </w:rPr>
              <w:t>(3)(4)(5)</w:t>
            </w: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31,875 par, due</w:t>
            </w:r>
          </w:p>
        </w:tc>
        <w:tc>
          <w:tcPr>
            <w:tcW w:w="7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9/30/2024</w:t>
            </w:r>
          </w:p>
        </w:tc>
        <w:tc>
          <w:tcPr>
            <w:tcW w:w="108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E + 6.00%</w:t>
            </w:r>
          </w:p>
        </w:tc>
        <w:tc>
          <w:tcPr>
            <w:tcW w:w="12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8.68%</w:t>
            </w:r>
          </w:p>
        </w:tc>
        <w:tc>
          <w:tcPr>
            <w:tcW w:w="134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34,509</w:t>
            </w:r>
          </w:p>
        </w:tc>
        <w:tc>
          <w:tcPr>
            <w:tcW w:w="1500" w:type="dxa"/>
            <w:vAlign w:val="bottom"/>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32,191</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9/2030)</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(EUR 31,088)</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127,476</w:t>
            </w:r>
          </w:p>
        </w:tc>
        <w:tc>
          <w:tcPr>
            <w:tcW w:w="15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127,172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3,388,244</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3,361,439</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Equity and Other</w:t>
            </w:r>
          </w:p>
        </w:tc>
        <w:tc>
          <w:tcPr>
            <w:tcW w:w="2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2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Clarience Technologies, LLC</w:t>
            </w:r>
          </w:p>
        </w:tc>
        <w:tc>
          <w:tcPr>
            <w:tcW w:w="234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Class A Units (333 units)</w:t>
            </w:r>
          </w:p>
        </w:tc>
        <w:tc>
          <w:tcPr>
            <w:tcW w:w="78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2/12/2024</w:t>
            </w: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820</w:t>
            </w:r>
          </w:p>
        </w:tc>
        <w:tc>
          <w:tcPr>
            <w:tcW w:w="1500" w:type="dxa"/>
            <w:vAlign w:val="bottom"/>
          </w:tcPr>
          <w:p>
            <w:pPr>
              <w:jc w:val="right"/>
              <w:ind w:right="194"/>
              <w:spacing w:after="0" w:line="120" w:lineRule="exact"/>
              <w:rPr>
                <w:sz w:val="20"/>
                <w:szCs w:val="20"/>
                <w:color w:val="auto"/>
              </w:rPr>
            </w:pPr>
            <w:r>
              <w:rPr>
                <w:rFonts w:ascii="Times New Roman" w:cs="Times New Roman" w:eastAsia="Times New Roman" w:hAnsi="Times New Roman"/>
                <w:sz w:val="13"/>
                <w:szCs w:val="13"/>
                <w:color w:val="auto"/>
              </w:rPr>
              <w:t>820</w:t>
            </w: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tcPr>
          <w:p>
            <w:pPr>
              <w:ind w:left="20"/>
              <w:spacing w:after="0"/>
              <w:rPr>
                <w:sz w:val="20"/>
                <w:szCs w:val="20"/>
                <w:color w:val="auto"/>
              </w:rPr>
            </w:pPr>
            <w:r>
              <w:rPr>
                <w:rFonts w:ascii="Times New Roman" w:cs="Times New Roman" w:eastAsia="Times New Roman" w:hAnsi="Times New Roman"/>
                <w:sz w:val="8"/>
                <w:szCs w:val="8"/>
                <w:color w:val="auto"/>
              </w:rPr>
              <w:t>(11)(12)</w:t>
            </w:r>
          </w:p>
        </w:tc>
        <w:tc>
          <w:tcPr>
            <w:tcW w:w="2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2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Artisan Topco LP</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Class A Preferred Units</w:t>
            </w:r>
          </w:p>
        </w:tc>
        <w:tc>
          <w:tcPr>
            <w:tcW w:w="7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11/7/2023</w:t>
            </w: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2,117</w:t>
            </w:r>
          </w:p>
        </w:tc>
        <w:tc>
          <w:tcPr>
            <w:tcW w:w="1500" w:type="dxa"/>
            <w:vAlign w:val="bottom"/>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1,773</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(2,117,264 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Dye &amp; Durham, Ltd. </w:t>
            </w:r>
            <w:r>
              <w:rPr>
                <w:rFonts w:ascii="Times New Roman" w:cs="Times New Roman" w:eastAsia="Times New Roman" w:hAnsi="Times New Roman"/>
                <w:sz w:val="16"/>
                <w:szCs w:val="16"/>
                <w:color w:val="auto"/>
                <w:vertAlign w:val="superscript"/>
              </w:rPr>
              <w:t>(4)(10)</w:t>
            </w: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Common Shares (126,968 shares)</w:t>
            </w:r>
          </w:p>
        </w:tc>
        <w:tc>
          <w:tcPr>
            <w:tcW w:w="7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12/3/2021</w:t>
            </w: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34"/>
              <w:spacing w:after="0" w:line="144" w:lineRule="exact"/>
              <w:rPr>
                <w:sz w:val="20"/>
                <w:szCs w:val="20"/>
                <w:color w:val="auto"/>
              </w:rPr>
            </w:pPr>
            <w:r>
              <w:rPr>
                <w:rFonts w:ascii="Times New Roman" w:cs="Times New Roman" w:eastAsia="Times New Roman" w:hAnsi="Times New Roman"/>
                <w:sz w:val="13"/>
                <w:szCs w:val="13"/>
                <w:color w:val="auto"/>
              </w:rPr>
              <w:t>3,909</w:t>
            </w:r>
          </w:p>
        </w:tc>
        <w:tc>
          <w:tcPr>
            <w:tcW w:w="1500" w:type="dxa"/>
            <w:vAlign w:val="bottom"/>
            <w:shd w:val="clear" w:color="auto" w:fill="CFF0FC"/>
          </w:tcPr>
          <w:p>
            <w:pPr>
              <w:jc w:val="right"/>
              <w:ind w:right="194"/>
              <w:spacing w:after="0" w:line="144" w:lineRule="exact"/>
              <w:rPr>
                <w:sz w:val="20"/>
                <w:szCs w:val="20"/>
                <w:color w:val="auto"/>
              </w:rPr>
            </w:pPr>
            <w:r>
              <w:rPr>
                <w:rFonts w:ascii="Times New Roman" w:cs="Times New Roman" w:eastAsia="Times New Roman" w:hAnsi="Times New Roman"/>
                <w:sz w:val="13"/>
                <w:szCs w:val="13"/>
                <w:color w:val="auto"/>
              </w:rPr>
              <w:t>1,552</w:t>
            </w: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(CAD 2,232)</w:t>
            </w: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Insight Hideaway</w:t>
            </w:r>
          </w:p>
        </w:tc>
        <w:tc>
          <w:tcPr>
            <w:tcW w:w="234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Partnership Interest (329,861 units)</w:t>
            </w:r>
          </w:p>
        </w:tc>
        <w:tc>
          <w:tcPr>
            <w:tcW w:w="78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3/19/2024</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40" w:type="dxa"/>
            <w:vAlign w:val="bottom"/>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3,299</w:t>
            </w:r>
          </w:p>
        </w:tc>
        <w:tc>
          <w:tcPr>
            <w:tcW w:w="1500" w:type="dxa"/>
            <w:vAlign w:val="bottom"/>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rPr>
              <w:t>3,299</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Aggregator, L.P. </w:t>
            </w:r>
            <w:r>
              <w:rPr>
                <w:rFonts w:ascii="Times New Roman" w:cs="Times New Roman" w:eastAsia="Times New Roman" w:hAnsi="Times New Roman"/>
                <w:sz w:val="16"/>
                <w:szCs w:val="16"/>
                <w:color w:val="auto"/>
                <w:vertAlign w:val="superscript"/>
              </w:rPr>
              <w:t>(11)(12)</w:t>
            </w:r>
          </w:p>
        </w:tc>
        <w:tc>
          <w:tcPr>
            <w:tcW w:w="2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Mitnick TA Aggregator,</w:t>
            </w:r>
          </w:p>
        </w:tc>
        <w:tc>
          <w:tcPr>
            <w:tcW w:w="234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Membership Interest (0.43% ownership)</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5/2/2022</w:t>
            </w:r>
          </w:p>
        </w:tc>
        <w:tc>
          <w:tcPr>
            <w:tcW w:w="10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434"/>
              <w:spacing w:after="0" w:line="133" w:lineRule="exact"/>
              <w:rPr>
                <w:sz w:val="20"/>
                <w:szCs w:val="20"/>
                <w:color w:val="auto"/>
              </w:rPr>
            </w:pPr>
            <w:r>
              <w:rPr>
                <w:rFonts w:ascii="Times New Roman" w:cs="Times New Roman" w:eastAsia="Times New Roman" w:hAnsi="Times New Roman"/>
                <w:sz w:val="13"/>
                <w:szCs w:val="13"/>
                <w:color w:val="auto"/>
              </w:rPr>
              <w:t>5,247</w:t>
            </w:r>
          </w:p>
        </w:tc>
        <w:tc>
          <w:tcPr>
            <w:tcW w:w="1500" w:type="dxa"/>
            <w:vAlign w:val="bottom"/>
            <w:shd w:val="clear" w:color="auto" w:fill="CFF0FC"/>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rPr>
              <w:t>3,751</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L.P. </w:t>
            </w:r>
            <w:r>
              <w:rPr>
                <w:rFonts w:ascii="Times New Roman" w:cs="Times New Roman" w:eastAsia="Times New Roman" w:hAnsi="Times New Roman"/>
                <w:sz w:val="16"/>
                <w:szCs w:val="16"/>
                <w:color w:val="auto"/>
                <w:vertAlign w:val="superscript"/>
              </w:rPr>
              <w:t>(11)</w:t>
            </w:r>
          </w:p>
        </w:tc>
        <w:tc>
          <w:tcPr>
            <w:tcW w:w="23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Newark FP Co-Invest, L.P.</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Partnership (2,527,719 units)</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11/8/2023</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2,532</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2,254</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ReliaQuest, LLC </w:t>
            </w:r>
            <w:r>
              <w:rPr>
                <w:rFonts w:ascii="Times New Roman" w:cs="Times New Roman" w:eastAsia="Times New Roman" w:hAnsi="Times New Roman"/>
                <w:sz w:val="16"/>
                <w:szCs w:val="16"/>
                <w:color w:val="auto"/>
                <w:vertAlign w:val="superscript"/>
              </w:rPr>
              <w:t>(13)</w:t>
            </w:r>
          </w:p>
        </w:tc>
        <w:tc>
          <w:tcPr>
            <w:tcW w:w="234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3"/>
                <w:szCs w:val="13"/>
                <w:color w:val="auto"/>
              </w:rPr>
              <w:t xml:space="preserve">Class A-1 Units (637,713 units) </w:t>
            </w:r>
            <w:r>
              <w:rPr>
                <w:rFonts w:ascii="Times New Roman" w:cs="Times New Roman" w:eastAsia="Times New Roman" w:hAnsi="Times New Roman"/>
                <w:sz w:val="16"/>
                <w:szCs w:val="16"/>
                <w:color w:val="auto"/>
                <w:vertAlign w:val="superscript"/>
              </w:rPr>
              <w:t>(11)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11/23/2021</w:t>
            </w: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1,120</w:t>
            </w:r>
          </w:p>
        </w:tc>
        <w:tc>
          <w:tcPr>
            <w:tcW w:w="15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1,658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ind w:left="80"/>
              <w:spacing w:after="0" w:line="156" w:lineRule="exact"/>
              <w:rPr>
                <w:sz w:val="20"/>
                <w:szCs w:val="20"/>
                <w:color w:val="auto"/>
              </w:rPr>
            </w:pPr>
            <w:r>
              <w:rPr>
                <w:rFonts w:ascii="Times New Roman" w:cs="Times New Roman" w:eastAsia="Times New Roman" w:hAnsi="Times New Roman"/>
                <w:sz w:val="13"/>
                <w:szCs w:val="13"/>
                <w:color w:val="auto"/>
              </w:rPr>
              <w:t xml:space="preserve">Class A-2 Units (10,611 units) </w:t>
            </w:r>
            <w:r>
              <w:rPr>
                <w:rFonts w:ascii="Times New Roman" w:cs="Times New Roman" w:eastAsia="Times New Roman" w:hAnsi="Times New Roman"/>
                <w:sz w:val="16"/>
                <w:szCs w:val="16"/>
                <w:color w:val="auto"/>
                <w:vertAlign w:val="superscript"/>
              </w:rPr>
              <w:t>(11)(12)</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6/21/2022</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23</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35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3"/>
                <w:szCs w:val="13"/>
                <w:color w:val="auto"/>
              </w:rPr>
              <w:t xml:space="preserve">Class A-3 Units (16,957 units) </w:t>
            </w:r>
            <w:r>
              <w:rPr>
                <w:rFonts w:ascii="Times New Roman" w:cs="Times New Roman" w:eastAsia="Times New Roman" w:hAnsi="Times New Roman"/>
                <w:sz w:val="16"/>
                <w:szCs w:val="16"/>
                <w:color w:val="auto"/>
                <w:vertAlign w:val="superscript"/>
              </w:rPr>
              <w:t>(11)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11/10/2023</w:t>
            </w: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36</w:t>
            </w:r>
          </w:p>
        </w:tc>
        <w:tc>
          <w:tcPr>
            <w:tcW w:w="15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53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234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Series A Preferred Stock (1,667 units)</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12/20/2023</w:t>
            </w:r>
          </w:p>
        </w:tc>
        <w:tc>
          <w:tcPr>
            <w:tcW w:w="1080" w:type="dxa"/>
            <w:vAlign w:val="bottom"/>
          </w:tcPr>
          <w:p>
            <w:pPr>
              <w:jc w:val="right"/>
              <w:ind w:right="114"/>
              <w:spacing w:after="0" w:line="120"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tcPr>
          <w:p>
            <w:pPr>
              <w:jc w:val="right"/>
              <w:ind w:right="254"/>
              <w:spacing w:after="0" w:line="120" w:lineRule="exact"/>
              <w:rPr>
                <w:sz w:val="20"/>
                <w:szCs w:val="20"/>
                <w:color w:val="auto"/>
              </w:rPr>
            </w:pPr>
            <w:r>
              <w:rPr>
                <w:rFonts w:ascii="Times New Roman" w:cs="Times New Roman" w:eastAsia="Times New Roman" w:hAnsi="Times New Roman"/>
                <w:sz w:val="13"/>
                <w:szCs w:val="13"/>
                <w:color w:val="auto"/>
              </w:rPr>
              <w:t>16.60% PIK</w:t>
            </w:r>
          </w:p>
        </w:tc>
        <w:tc>
          <w:tcPr>
            <w:tcW w:w="1340" w:type="dxa"/>
            <w:vAlign w:val="bottom"/>
          </w:tcPr>
          <w:p>
            <w:pPr>
              <w:jc w:val="right"/>
              <w:ind w:right="434"/>
              <w:spacing w:after="0" w:line="120" w:lineRule="exact"/>
              <w:rPr>
                <w:sz w:val="20"/>
                <w:szCs w:val="20"/>
                <w:color w:val="auto"/>
              </w:rPr>
            </w:pPr>
            <w:r>
              <w:rPr>
                <w:rFonts w:ascii="Times New Roman" w:cs="Times New Roman" w:eastAsia="Times New Roman" w:hAnsi="Times New Roman"/>
                <w:sz w:val="13"/>
                <w:szCs w:val="13"/>
                <w:color w:val="auto"/>
              </w:rPr>
              <w:t>1,817</w:t>
            </w:r>
          </w:p>
        </w:tc>
        <w:tc>
          <w:tcPr>
            <w:tcW w:w="1500" w:type="dxa"/>
            <w:vAlign w:val="bottom"/>
          </w:tcPr>
          <w:p>
            <w:pPr>
              <w:jc w:val="right"/>
              <w:ind w:right="194"/>
              <w:spacing w:after="0" w:line="120" w:lineRule="exact"/>
              <w:rPr>
                <w:sz w:val="20"/>
                <w:szCs w:val="20"/>
                <w:color w:val="auto"/>
              </w:rPr>
            </w:pPr>
            <w:r>
              <w:rPr>
                <w:rFonts w:ascii="Times New Roman" w:cs="Times New Roman" w:eastAsia="Times New Roman" w:hAnsi="Times New Roman"/>
                <w:sz w:val="13"/>
                <w:szCs w:val="13"/>
                <w:color w:val="auto"/>
              </w:rPr>
              <w:t>1,989</w:t>
            </w: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(3)</w:t>
            </w:r>
          </w:p>
        </w:tc>
        <w:tc>
          <w:tcPr>
            <w:tcW w:w="780" w:type="dxa"/>
            <w:vAlign w:val="bottom"/>
          </w:tcPr>
          <w:p>
            <w:pPr>
              <w:spacing w:after="0"/>
              <w:rPr>
                <w:sz w:val="9"/>
                <w:szCs w:val="9"/>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12.00%</w:t>
            </w: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3"/>
                <w:szCs w:val="13"/>
                <w:color w:val="auto"/>
              </w:rPr>
              <w:t xml:space="preserve">Warrants (90,634 warrants) </w:t>
            </w:r>
            <w:r>
              <w:rPr>
                <w:rFonts w:ascii="Times New Roman" w:cs="Times New Roman" w:eastAsia="Times New Roman" w:hAnsi="Times New Roman"/>
                <w:sz w:val="16"/>
                <w:szCs w:val="16"/>
                <w:color w:val="auto"/>
                <w:vertAlign w:val="superscript"/>
              </w:rPr>
              <w:t>(11)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12/20/2023</w:t>
            </w: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102</w:t>
            </w:r>
          </w:p>
        </w:tc>
        <w:tc>
          <w:tcPr>
            <w:tcW w:w="15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126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Sprinklr, Inc. </w:t>
            </w:r>
            <w:r>
              <w:rPr>
                <w:rFonts w:ascii="Times New Roman" w:cs="Times New Roman" w:eastAsia="Times New Roman" w:hAnsi="Times New Roman"/>
                <w:sz w:val="16"/>
                <w:szCs w:val="16"/>
                <w:color w:val="auto"/>
                <w:vertAlign w:val="superscript"/>
              </w:rPr>
              <w:t>(10)(11)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Shares (283,499 shares)</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6/24/2021</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2,445</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2,395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Warrior TopCo LP</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 Units (423,729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7/7/2023</w:t>
            </w: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424</w:t>
            </w:r>
          </w:p>
        </w:tc>
        <w:tc>
          <w:tcPr>
            <w:tcW w:w="15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604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23,071</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19,489</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2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Celtra Technologies, Inc. </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A Units (1,250,000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11/19/2021</w:t>
            </w: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1,250</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1,250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8" w:right="66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IntelePeer Holdings, Inc. </w:t>
            </w:r>
            <w:r>
              <w:rPr>
                <w:rFonts w:ascii="Times New Roman" w:cs="Times New Roman" w:eastAsia="Times New Roman" w:hAnsi="Times New Roman"/>
                <w:sz w:val="16"/>
                <w:szCs w:val="16"/>
                <w:color w:val="auto"/>
                <w:vertAlign w:val="superscript"/>
              </w:rPr>
              <w:t>(11)</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Series C Preferred Shares</w:t>
            </w:r>
          </w:p>
        </w:tc>
        <w:tc>
          <w:tcPr>
            <w:tcW w:w="9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4/8/2021</w:t>
            </w:r>
          </w:p>
        </w:tc>
        <w:tc>
          <w:tcPr>
            <w:tcW w:w="10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1,816</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1,535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(1,816,295 shares)</w:t>
            </w:r>
          </w:p>
        </w:tc>
        <w:tc>
          <w:tcPr>
            <w:tcW w:w="9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Series D Preferred Shares</w:t>
            </w:r>
          </w:p>
        </w:tc>
        <w:tc>
          <w:tcPr>
            <w:tcW w:w="92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4/8/2021</w:t>
            </w: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right"/>
              <w:ind w:right="454"/>
              <w:spacing w:after="0" w:line="144" w:lineRule="exact"/>
              <w:rPr>
                <w:sz w:val="20"/>
                <w:szCs w:val="20"/>
                <w:color w:val="auto"/>
              </w:rPr>
            </w:pPr>
            <w:r>
              <w:rPr>
                <w:rFonts w:ascii="Times New Roman" w:cs="Times New Roman" w:eastAsia="Times New Roman" w:hAnsi="Times New Roman"/>
                <w:sz w:val="13"/>
                <w:szCs w:val="13"/>
                <w:color w:val="auto"/>
              </w:rPr>
              <w:t>2,925</w:t>
            </w:r>
          </w:p>
        </w:tc>
        <w:tc>
          <w:tcPr>
            <w:tcW w:w="1560" w:type="dxa"/>
            <w:vAlign w:val="bottom"/>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1,653</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(1,598,874 shares)</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Series C Warrants (280,000 warrants)</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2/28/2020</w:t>
            </w: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183</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Series D Warrants (106,592 warrants)</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4/8/2021</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6,174</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4,438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660" w:type="dxa"/>
            <w:vAlign w:val="bottom"/>
          </w:tcPr>
          <w:p>
            <w:pPr>
              <w:spacing w:after="0"/>
              <w:rPr>
                <w:sz w:val="6"/>
                <w:szCs w:val="6"/>
                <w:color w:val="auto"/>
              </w:rPr>
            </w:pPr>
          </w:p>
        </w:tc>
        <w:tc>
          <w:tcPr>
            <w:tcW w:w="2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Astra 2L Holdings II LLC </w:t>
            </w:r>
            <w:r>
              <w:rPr>
                <w:rFonts w:ascii="Times New Roman" w:cs="Times New Roman" w:eastAsia="Times New Roman" w:hAnsi="Times New Roman"/>
                <w:sz w:val="16"/>
                <w:szCs w:val="16"/>
                <w:color w:val="auto"/>
                <w:vertAlign w:val="superscript"/>
              </w:rPr>
              <w:t>(11)</w:t>
            </w: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Membership Interest (10.17%</w:t>
            </w:r>
          </w:p>
        </w:tc>
        <w:tc>
          <w:tcPr>
            <w:tcW w:w="92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1/13/2022</w:t>
            </w:r>
          </w:p>
        </w:tc>
        <w:tc>
          <w:tcPr>
            <w:tcW w:w="10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54"/>
              <w:spacing w:after="0" w:line="144" w:lineRule="exact"/>
              <w:rPr>
                <w:sz w:val="20"/>
                <w:szCs w:val="20"/>
                <w:color w:val="auto"/>
              </w:rPr>
            </w:pPr>
            <w:r>
              <w:rPr>
                <w:rFonts w:ascii="Times New Roman" w:cs="Times New Roman" w:eastAsia="Times New Roman" w:hAnsi="Times New Roman"/>
                <w:sz w:val="13"/>
                <w:szCs w:val="13"/>
                <w:color w:val="auto"/>
              </w:rPr>
              <w:t>3,255</w:t>
            </w:r>
          </w:p>
        </w:tc>
        <w:tc>
          <w:tcPr>
            <w:tcW w:w="1560" w:type="dxa"/>
            <w:vAlign w:val="bottom"/>
            <w:shd w:val="clear" w:color="auto" w:fill="CFF0FC"/>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ownership)</w:t>
            </w:r>
          </w:p>
        </w:tc>
        <w:tc>
          <w:tcPr>
            <w:tcW w:w="9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B Units (5,522,526 units)</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12/22/2021</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5,522</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2,830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RMCF IV CIV XXXV, LP.</w:t>
            </w:r>
          </w:p>
        </w:tc>
        <w:tc>
          <w:tcPr>
            <w:tcW w:w="2340" w:type="dxa"/>
            <w:vAlign w:val="bottom"/>
            <w:shd w:val="clear" w:color="auto" w:fill="CFF0FC"/>
          </w:tcPr>
          <w:p>
            <w:pPr>
              <w:ind w:left="80"/>
              <w:spacing w:after="0" w:line="120" w:lineRule="exact"/>
              <w:rPr>
                <w:sz w:val="20"/>
                <w:szCs w:val="20"/>
                <w:color w:val="auto"/>
              </w:rPr>
            </w:pPr>
            <w:r>
              <w:rPr>
                <w:rFonts w:ascii="Times New Roman" w:cs="Times New Roman" w:eastAsia="Times New Roman" w:hAnsi="Times New Roman"/>
                <w:sz w:val="13"/>
                <w:szCs w:val="13"/>
                <w:color w:val="auto"/>
              </w:rPr>
              <w:t>Partnership Interest (11.94% ownership)</w:t>
            </w:r>
          </w:p>
        </w:tc>
        <w:tc>
          <w:tcPr>
            <w:tcW w:w="920" w:type="dxa"/>
            <w:vAlign w:val="bottom"/>
            <w:shd w:val="clear" w:color="auto" w:fill="CFF0FC"/>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6/8/2021</w:t>
            </w:r>
          </w:p>
        </w:tc>
        <w:tc>
          <w:tcPr>
            <w:tcW w:w="10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80" w:type="dxa"/>
            <w:vAlign w:val="bottom"/>
            <w:shd w:val="clear" w:color="auto" w:fill="CFF0FC"/>
          </w:tcPr>
          <w:p>
            <w:pPr>
              <w:jc w:val="right"/>
              <w:ind w:right="454"/>
              <w:spacing w:after="0" w:line="120" w:lineRule="exact"/>
              <w:rPr>
                <w:sz w:val="20"/>
                <w:szCs w:val="20"/>
                <w:color w:val="auto"/>
              </w:rPr>
            </w:pPr>
            <w:r>
              <w:rPr>
                <w:rFonts w:ascii="Times New Roman" w:cs="Times New Roman" w:eastAsia="Times New Roman" w:hAnsi="Times New Roman"/>
                <w:sz w:val="13"/>
                <w:szCs w:val="13"/>
                <w:color w:val="auto"/>
              </w:rPr>
              <w:t>1,000</w:t>
            </w:r>
          </w:p>
        </w:tc>
        <w:tc>
          <w:tcPr>
            <w:tcW w:w="1560" w:type="dxa"/>
            <w:vAlign w:val="bottom"/>
            <w:shd w:val="clear" w:color="auto" w:fill="CFF0FC"/>
          </w:tcPr>
          <w:p>
            <w:pPr>
              <w:jc w:val="right"/>
              <w:ind w:right="274"/>
              <w:spacing w:after="0" w:line="120" w:lineRule="exact"/>
              <w:rPr>
                <w:sz w:val="20"/>
                <w:szCs w:val="20"/>
                <w:color w:val="auto"/>
              </w:rPr>
            </w:pPr>
            <w:r>
              <w:rPr>
                <w:rFonts w:ascii="Times New Roman" w:cs="Times New Roman" w:eastAsia="Times New Roman" w:hAnsi="Times New Roman"/>
                <w:sz w:val="13"/>
                <w:szCs w:val="13"/>
                <w:color w:val="auto"/>
              </w:rPr>
              <w:t>1,625</w:t>
            </w:r>
          </w:p>
        </w:tc>
        <w:tc>
          <w:tcPr>
            <w:tcW w:w="5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23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CFF0FC"/>
            </w:tcBorders>
            <w:shd w:val="clear" w:color="auto" w:fill="CFF0FC"/>
          </w:tcPr>
          <w:p>
            <w:pPr>
              <w:spacing w:after="0"/>
              <w:rPr>
                <w:sz w:val="10"/>
                <w:szCs w:val="10"/>
                <w:color w:val="auto"/>
              </w:rPr>
            </w:pPr>
          </w:p>
        </w:tc>
        <w:tc>
          <w:tcPr>
            <w:tcW w:w="114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spacing w:after="0"/>
              <w:rPr>
                <w:sz w:val="10"/>
                <w:szCs w:val="10"/>
                <w:color w:val="auto"/>
              </w:rPr>
            </w:pPr>
          </w:p>
        </w:tc>
        <w:tc>
          <w:tcPr>
            <w:tcW w:w="15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9,777</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4,455</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AF Eagle Parent, L.P.</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Partnership Units (121,329 units)</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11/27/2023</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4,091</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4,684</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CLGF Holdings, L.P.</w:t>
            </w:r>
            <w:r>
              <w:rPr>
                <w:rFonts w:ascii="Times New Roman" w:cs="Times New Roman" w:eastAsia="Times New Roman" w:hAnsi="Times New Roman"/>
                <w:sz w:val="16"/>
                <w:szCs w:val="16"/>
                <w:color w:val="auto"/>
                <w:vertAlign w:val="superscript"/>
              </w:rPr>
              <w:t>(4)(11)</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Warrants (334,682 warrants)</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11/7/2023</w:t>
            </w:r>
          </w:p>
        </w:tc>
        <w:tc>
          <w:tcPr>
            <w:tcW w:w="10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183</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330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Newport Parent Holdings,</w:t>
            </w:r>
          </w:p>
        </w:tc>
        <w:tc>
          <w:tcPr>
            <w:tcW w:w="234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Class A-2 Units (131,569 units)</w:t>
            </w:r>
          </w:p>
        </w:tc>
        <w:tc>
          <w:tcPr>
            <w:tcW w:w="92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12/10/2020</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jc w:val="right"/>
              <w:ind w:right="454"/>
              <w:spacing w:after="0" w:line="133" w:lineRule="exact"/>
              <w:rPr>
                <w:sz w:val="20"/>
                <w:szCs w:val="20"/>
                <w:color w:val="auto"/>
              </w:rPr>
            </w:pPr>
            <w:r>
              <w:rPr>
                <w:rFonts w:ascii="Times New Roman" w:cs="Times New Roman" w:eastAsia="Times New Roman" w:hAnsi="Times New Roman"/>
                <w:sz w:val="13"/>
                <w:szCs w:val="13"/>
                <w:color w:val="auto"/>
              </w:rPr>
              <w:t>4,177</w:t>
            </w:r>
          </w:p>
        </w:tc>
        <w:tc>
          <w:tcPr>
            <w:tcW w:w="1560" w:type="dxa"/>
            <w:vAlign w:val="bottom"/>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12,802</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L.P. </w:t>
            </w:r>
            <w:r>
              <w:rPr>
                <w:rFonts w:ascii="Times New Roman" w:cs="Times New Roman" w:eastAsia="Times New Roman" w:hAnsi="Times New Roman"/>
                <w:sz w:val="16"/>
                <w:szCs w:val="16"/>
                <w:color w:val="auto"/>
                <w:vertAlign w:val="superscript"/>
              </w:rPr>
              <w:t>(11)</w:t>
            </w:r>
          </w:p>
        </w:tc>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Oxford Square Capital Corp.</w:t>
            </w:r>
          </w:p>
        </w:tc>
        <w:tc>
          <w:tcPr>
            <w:tcW w:w="2340" w:type="dxa"/>
            <w:vAlign w:val="bottom"/>
            <w:shd w:val="clear" w:color="auto" w:fill="CFF0FC"/>
          </w:tcPr>
          <w:p>
            <w:pPr>
              <w:ind w:left="80"/>
              <w:spacing w:after="0" w:line="120" w:lineRule="exact"/>
              <w:rPr>
                <w:sz w:val="20"/>
                <w:szCs w:val="20"/>
                <w:color w:val="auto"/>
              </w:rPr>
            </w:pPr>
            <w:r>
              <w:rPr>
                <w:rFonts w:ascii="Times New Roman" w:cs="Times New Roman" w:eastAsia="Times New Roman" w:hAnsi="Times New Roman"/>
                <w:sz w:val="13"/>
                <w:szCs w:val="13"/>
                <w:color w:val="auto"/>
              </w:rPr>
              <w:t>Common Shares (1,620 shares)</w:t>
            </w:r>
          </w:p>
        </w:tc>
        <w:tc>
          <w:tcPr>
            <w:tcW w:w="920" w:type="dxa"/>
            <w:vAlign w:val="bottom"/>
            <w:shd w:val="clear" w:color="auto" w:fill="CFF0FC"/>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8/5/2015</w:t>
            </w:r>
          </w:p>
        </w:tc>
        <w:tc>
          <w:tcPr>
            <w:tcW w:w="10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80" w:type="dxa"/>
            <w:vAlign w:val="bottom"/>
            <w:shd w:val="clear" w:color="auto" w:fill="CFF0FC"/>
          </w:tcPr>
          <w:p>
            <w:pPr>
              <w:jc w:val="right"/>
              <w:ind w:right="454"/>
              <w:spacing w:after="0" w:line="120" w:lineRule="exact"/>
              <w:rPr>
                <w:sz w:val="20"/>
                <w:szCs w:val="20"/>
                <w:color w:val="auto"/>
              </w:rPr>
            </w:pPr>
            <w:r>
              <w:rPr>
                <w:rFonts w:ascii="Times New Roman" w:cs="Times New Roman" w:eastAsia="Times New Roman" w:hAnsi="Times New Roman"/>
                <w:sz w:val="13"/>
                <w:szCs w:val="13"/>
                <w:color w:val="auto"/>
              </w:rPr>
              <w:t>6</w:t>
            </w:r>
          </w:p>
        </w:tc>
        <w:tc>
          <w:tcPr>
            <w:tcW w:w="1560" w:type="dxa"/>
            <w:vAlign w:val="bottom"/>
            <w:shd w:val="clear" w:color="auto" w:fill="CFF0FC"/>
          </w:tcPr>
          <w:p>
            <w:pPr>
              <w:jc w:val="right"/>
              <w:ind w:right="274"/>
              <w:spacing w:after="0" w:line="120" w:lineRule="exact"/>
              <w:rPr>
                <w:sz w:val="20"/>
                <w:szCs w:val="20"/>
                <w:color w:val="auto"/>
              </w:rPr>
            </w:pPr>
            <w:r>
              <w:rPr>
                <w:rFonts w:ascii="Times New Roman" w:cs="Times New Roman" w:eastAsia="Times New Roman" w:hAnsi="Times New Roman"/>
                <w:sz w:val="13"/>
                <w:szCs w:val="13"/>
                <w:color w:val="auto"/>
              </w:rPr>
              <w:t>4</w:t>
            </w:r>
          </w:p>
        </w:tc>
        <w:tc>
          <w:tcPr>
            <w:tcW w:w="5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(4)(10)</w:t>
            </w:r>
          </w:p>
        </w:tc>
        <w:tc>
          <w:tcPr>
            <w:tcW w:w="23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CFF0FC"/>
            </w:tcBorders>
            <w:shd w:val="clear" w:color="auto" w:fill="CFF0FC"/>
          </w:tcPr>
          <w:p>
            <w:pPr>
              <w:spacing w:after="0"/>
              <w:rPr>
                <w:sz w:val="10"/>
                <w:szCs w:val="10"/>
                <w:color w:val="auto"/>
              </w:rPr>
            </w:pPr>
          </w:p>
        </w:tc>
        <w:tc>
          <w:tcPr>
            <w:tcW w:w="114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spacing w:after="0"/>
              <w:rPr>
                <w:sz w:val="10"/>
                <w:szCs w:val="10"/>
                <w:color w:val="auto"/>
              </w:rPr>
            </w:pPr>
          </w:p>
        </w:tc>
        <w:tc>
          <w:tcPr>
            <w:tcW w:w="15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Passport Labs, Inc. </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Warrants (17,534 warrants)</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4/28/2021</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192</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TradingScreen, Inc. </w:t>
            </w:r>
            <w:r>
              <w:rPr>
                <w:rFonts w:ascii="Times New Roman" w:cs="Times New Roman" w:eastAsia="Times New Roman" w:hAnsi="Times New Roman"/>
                <w:sz w:val="16"/>
                <w:szCs w:val="16"/>
                <w:color w:val="auto"/>
                <w:vertAlign w:val="superscript"/>
              </w:rPr>
              <w:t>(13)</w:t>
            </w:r>
          </w:p>
        </w:tc>
        <w:tc>
          <w:tcPr>
            <w:tcW w:w="234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3"/>
                <w:szCs w:val="13"/>
                <w:color w:val="auto"/>
              </w:rPr>
              <w:t xml:space="preserve">Class A Units (600,000 units) </w:t>
            </w:r>
            <w:r>
              <w:rPr>
                <w:rFonts w:ascii="Times New Roman" w:cs="Times New Roman" w:eastAsia="Times New Roman" w:hAnsi="Times New Roman"/>
                <w:sz w:val="16"/>
                <w:szCs w:val="16"/>
                <w:color w:val="auto"/>
                <w:vertAlign w:val="superscript"/>
              </w:rPr>
              <w:t>(11)</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5/14/2021</w:t>
            </w: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600</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600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ind w:left="80"/>
              <w:spacing w:after="0" w:line="156" w:lineRule="exact"/>
              <w:rPr>
                <w:sz w:val="20"/>
                <w:szCs w:val="20"/>
                <w:color w:val="auto"/>
              </w:rPr>
            </w:pPr>
            <w:r>
              <w:rPr>
                <w:rFonts w:ascii="Times New Roman" w:cs="Times New Roman" w:eastAsia="Times New Roman" w:hAnsi="Times New Roman"/>
                <w:sz w:val="13"/>
                <w:szCs w:val="13"/>
                <w:color w:val="auto"/>
              </w:rPr>
              <w:t xml:space="preserve">Class AA Units (19,093 units) </w:t>
            </w:r>
            <w:r>
              <w:rPr>
                <w:rFonts w:ascii="Times New Roman" w:cs="Times New Roman" w:eastAsia="Times New Roman" w:hAnsi="Times New Roman"/>
                <w:sz w:val="16"/>
                <w:szCs w:val="16"/>
                <w:color w:val="auto"/>
                <w:vertAlign w:val="superscript"/>
              </w:rPr>
              <w:t>(12)</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11/1/2024</w:t>
            </w:r>
          </w:p>
        </w:tc>
        <w:tc>
          <w:tcPr>
            <w:tcW w:w="1080" w:type="dxa"/>
            <w:vAlign w:val="bottom"/>
          </w:tcPr>
          <w:p>
            <w:pPr>
              <w:jc w:val="right"/>
              <w:ind w:right="248"/>
              <w:spacing w:after="0"/>
              <w:rPr>
                <w:sz w:val="20"/>
                <w:szCs w:val="20"/>
                <w:color w:val="auto"/>
              </w:rPr>
            </w:pPr>
            <w:r>
              <w:rPr>
                <w:rFonts w:ascii="Times New Roman" w:cs="Times New Roman" w:eastAsia="Times New Roman" w:hAnsi="Times New Roman"/>
                <w:sz w:val="13"/>
                <w:szCs w:val="13"/>
                <w:color w:val="auto"/>
              </w:rPr>
              <w:t>20.00%</w:t>
            </w: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20.00%</w:t>
            </w: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38</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38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9,287</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18,458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Caris Life Sciences, Inc. </w:t>
            </w:r>
            <w:r>
              <w:rPr>
                <w:rFonts w:ascii="Times New Roman" w:cs="Times New Roman" w:eastAsia="Times New Roman" w:hAnsi="Times New Roman"/>
                <w:sz w:val="16"/>
                <w:szCs w:val="16"/>
                <w:color w:val="auto"/>
                <w:vertAlign w:val="superscript"/>
              </w:rPr>
              <w:t>(11)</w:t>
            </w: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Series C Preferred Shares</w:t>
            </w:r>
          </w:p>
        </w:tc>
        <w:tc>
          <w:tcPr>
            <w:tcW w:w="92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10/13/2020</w:t>
            </w:r>
          </w:p>
        </w:tc>
        <w:tc>
          <w:tcPr>
            <w:tcW w:w="10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54"/>
              <w:spacing w:after="0" w:line="144" w:lineRule="exact"/>
              <w:rPr>
                <w:sz w:val="20"/>
                <w:szCs w:val="20"/>
                <w:color w:val="auto"/>
              </w:rPr>
            </w:pPr>
            <w:r>
              <w:rPr>
                <w:rFonts w:ascii="Times New Roman" w:cs="Times New Roman" w:eastAsia="Times New Roman" w:hAnsi="Times New Roman"/>
                <w:sz w:val="13"/>
                <w:szCs w:val="13"/>
                <w:color w:val="auto"/>
              </w:rPr>
              <w:t>3,500</w:t>
            </w:r>
          </w:p>
        </w:tc>
        <w:tc>
          <w:tcPr>
            <w:tcW w:w="1560" w:type="dxa"/>
            <w:vAlign w:val="bottom"/>
            <w:shd w:val="clear" w:color="auto" w:fill="CFF0FC"/>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8,137</w:t>
            </w:r>
          </w:p>
        </w:tc>
        <w:tc>
          <w:tcPr>
            <w:tcW w:w="5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(1,915,114 shares)</w:t>
            </w:r>
          </w:p>
        </w:tc>
        <w:tc>
          <w:tcPr>
            <w:tcW w:w="9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Series D Preferred Shares</w:t>
            </w:r>
          </w:p>
        </w:tc>
        <w:tc>
          <w:tcPr>
            <w:tcW w:w="9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5/11/2021</w:t>
            </w: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right"/>
              <w:ind w:right="454"/>
              <w:spacing w:after="0" w:line="144" w:lineRule="exact"/>
              <w:rPr>
                <w:sz w:val="20"/>
                <w:szCs w:val="20"/>
                <w:color w:val="auto"/>
              </w:rPr>
            </w:pPr>
            <w:r>
              <w:rPr>
                <w:rFonts w:ascii="Times New Roman" w:cs="Times New Roman" w:eastAsia="Times New Roman" w:hAnsi="Times New Roman"/>
                <w:sz w:val="13"/>
                <w:szCs w:val="13"/>
                <w:color w:val="auto"/>
              </w:rPr>
              <w:t>10,050</w:t>
            </w:r>
          </w:p>
        </w:tc>
        <w:tc>
          <w:tcPr>
            <w:tcW w:w="1560" w:type="dxa"/>
            <w:vAlign w:val="bottom"/>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9,924</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(1,240,740 shares)</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Warrants (633,376 warrants)</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9/21/2018</w:t>
            </w: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192</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1,672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Warrants (569,991 warrants)</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4/2/2020</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250</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1,321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Merative Topco L.P. </w:t>
            </w:r>
            <w:r>
              <w:rPr>
                <w:rFonts w:ascii="Times New Roman" w:cs="Times New Roman" w:eastAsia="Times New Roman" w:hAnsi="Times New Roman"/>
                <w:sz w:val="16"/>
                <w:szCs w:val="16"/>
                <w:color w:val="auto"/>
                <w:vertAlign w:val="superscript"/>
              </w:rPr>
              <w:t>(11)</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A-1 Units (989,691 units)</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6/30/2022</w:t>
            </w: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9,897</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9,600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Raptor US Buyer II Corp. </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Ordinary Shares (13,176 shares)</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3/24/2023</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2,033</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1,830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25,922</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32,484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IRGSE Holding Corp. </w:t>
            </w:r>
            <w:r>
              <w:rPr>
                <w:rFonts w:ascii="Times New Roman" w:cs="Times New Roman" w:eastAsia="Times New Roman" w:hAnsi="Times New Roman"/>
                <w:sz w:val="16"/>
                <w:szCs w:val="16"/>
                <w:color w:val="auto"/>
                <w:vertAlign w:val="superscript"/>
              </w:rPr>
              <w:t>(7)(11)</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 Units (33,790,171 units)</w:t>
            </w:r>
          </w:p>
        </w:tc>
        <w:tc>
          <w:tcPr>
            <w:tcW w:w="9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12/21/2018</w:t>
            </w: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21,842</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85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C-1 Units (8,800,000 units)</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12/21/2018</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100</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43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21,942</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128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Axonify, Inc. </w:t>
            </w:r>
            <w:r>
              <w:rPr>
                <w:rFonts w:ascii="Times New Roman" w:cs="Times New Roman" w:eastAsia="Times New Roman" w:hAnsi="Times New Roman"/>
                <w:sz w:val="16"/>
                <w:szCs w:val="16"/>
                <w:color w:val="auto"/>
                <w:vertAlign w:val="superscript"/>
              </w:rPr>
              <w:t>(4)(11)(13)</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A-1 Units (3,780,000 units)</w:t>
            </w:r>
          </w:p>
        </w:tc>
        <w:tc>
          <w:tcPr>
            <w:tcW w:w="9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5/5/2021</w:t>
            </w: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3,780</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4,848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A-1 Units (2,393,509 units)</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11/7/2022</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2,393</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5,062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DaySmart Holdings, LLC </w:t>
            </w:r>
            <w:r>
              <w:rPr>
                <w:rFonts w:ascii="Times New Roman" w:cs="Times New Roman" w:eastAsia="Times New Roman" w:hAnsi="Times New Roman"/>
                <w:sz w:val="16"/>
                <w:szCs w:val="16"/>
                <w:color w:val="auto"/>
                <w:vertAlign w:val="superscript"/>
              </w:rPr>
              <w:t>(11)</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 Units (166,811 units)</w:t>
            </w:r>
          </w:p>
        </w:tc>
        <w:tc>
          <w:tcPr>
            <w:tcW w:w="9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12/18/2020</w:t>
            </w: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1,347</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2,148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Employment Hero Holdings</w:t>
            </w:r>
          </w:p>
        </w:tc>
        <w:tc>
          <w:tcPr>
            <w:tcW w:w="234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Series E Preferred Shares</w:t>
            </w:r>
          </w:p>
        </w:tc>
        <w:tc>
          <w:tcPr>
            <w:tcW w:w="92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3/1/2022</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jc w:val="right"/>
              <w:ind w:right="454"/>
              <w:spacing w:after="0" w:line="133" w:lineRule="exact"/>
              <w:rPr>
                <w:sz w:val="20"/>
                <w:szCs w:val="20"/>
                <w:color w:val="auto"/>
              </w:rPr>
            </w:pPr>
            <w:r>
              <w:rPr>
                <w:rFonts w:ascii="Times New Roman" w:cs="Times New Roman" w:eastAsia="Times New Roman" w:hAnsi="Times New Roman"/>
                <w:sz w:val="13"/>
                <w:szCs w:val="13"/>
                <w:color w:val="auto"/>
              </w:rPr>
              <w:t>2,134</w:t>
            </w:r>
          </w:p>
        </w:tc>
        <w:tc>
          <w:tcPr>
            <w:tcW w:w="1560" w:type="dxa"/>
            <w:vAlign w:val="bottom"/>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2,819</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Pty Ltd. </w:t>
            </w:r>
            <w:r>
              <w:rPr>
                <w:rFonts w:ascii="Times New Roman" w:cs="Times New Roman" w:eastAsia="Times New Roman" w:hAnsi="Times New Roman"/>
                <w:sz w:val="16"/>
                <w:szCs w:val="16"/>
                <w:color w:val="auto"/>
                <w:vertAlign w:val="superscript"/>
              </w:rPr>
              <w:t>(4)(11)</w:t>
            </w: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(113,250 shares)</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(AUD 4,552)</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9,654</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14,877</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Bayshore Intermediate #2,</w:t>
            </w:r>
          </w:p>
        </w:tc>
        <w:tc>
          <w:tcPr>
            <w:tcW w:w="234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Co-Invest Common Units</w:t>
            </w:r>
          </w:p>
        </w:tc>
        <w:tc>
          <w:tcPr>
            <w:tcW w:w="92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10/1/2021</w:t>
            </w:r>
          </w:p>
        </w:tc>
        <w:tc>
          <w:tcPr>
            <w:tcW w:w="10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454"/>
              <w:spacing w:after="0" w:line="133" w:lineRule="exact"/>
              <w:rPr>
                <w:sz w:val="20"/>
                <w:szCs w:val="20"/>
                <w:color w:val="auto"/>
              </w:rPr>
            </w:pPr>
            <w:r>
              <w:rPr>
                <w:rFonts w:ascii="Times New Roman" w:cs="Times New Roman" w:eastAsia="Times New Roman" w:hAnsi="Times New Roman"/>
                <w:sz w:val="13"/>
                <w:szCs w:val="13"/>
                <w:color w:val="auto"/>
              </w:rPr>
              <w:t>8,837</w:t>
            </w:r>
          </w:p>
        </w:tc>
        <w:tc>
          <w:tcPr>
            <w:tcW w:w="1560" w:type="dxa"/>
            <w:vAlign w:val="bottom"/>
            <w:shd w:val="clear" w:color="auto" w:fill="CFF0FC"/>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10,870</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L.P.</w:t>
            </w:r>
            <w:r>
              <w:rPr>
                <w:rFonts w:ascii="Times New Roman" w:cs="Times New Roman" w:eastAsia="Times New Roman" w:hAnsi="Times New Roman"/>
                <w:sz w:val="7"/>
                <w:szCs w:val="7"/>
                <w:color w:val="auto"/>
              </w:rPr>
              <w:t xml:space="preserve"> (11)(13)</w:t>
            </w: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(8,837,008 units)</w:t>
            </w:r>
          </w:p>
        </w:tc>
        <w:tc>
          <w:tcPr>
            <w:tcW w:w="9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Co-Invest 2 Common Units</w:t>
            </w:r>
          </w:p>
        </w:tc>
        <w:tc>
          <w:tcPr>
            <w:tcW w:w="9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10/1/2021</w:t>
            </w: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right"/>
              <w:ind w:right="454"/>
              <w:spacing w:after="0" w:line="144" w:lineRule="exact"/>
              <w:rPr>
                <w:sz w:val="20"/>
                <w:szCs w:val="20"/>
                <w:color w:val="auto"/>
              </w:rPr>
            </w:pPr>
            <w:r>
              <w:rPr>
                <w:rFonts w:ascii="Times New Roman" w:cs="Times New Roman" w:eastAsia="Times New Roman" w:hAnsi="Times New Roman"/>
                <w:sz w:val="13"/>
                <w:szCs w:val="13"/>
                <w:color w:val="auto"/>
              </w:rPr>
              <w:t>3,494</w:t>
            </w:r>
          </w:p>
        </w:tc>
        <w:tc>
          <w:tcPr>
            <w:tcW w:w="1560" w:type="dxa"/>
            <w:vAlign w:val="bottom"/>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4,297</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(3,493,701 units)</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Lucidworks, Inc. </w:t>
            </w:r>
            <w:r>
              <w:rPr>
                <w:rFonts w:ascii="Times New Roman" w:cs="Times New Roman" w:eastAsia="Times New Roman" w:hAnsi="Times New Roman"/>
                <w:sz w:val="16"/>
                <w:szCs w:val="16"/>
                <w:color w:val="auto"/>
                <w:vertAlign w:val="superscript"/>
              </w:rPr>
              <w:t>(11)</w:t>
            </w: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Series F Preferred Shares</w:t>
            </w:r>
          </w:p>
        </w:tc>
        <w:tc>
          <w:tcPr>
            <w:tcW w:w="92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8/2/2019</w:t>
            </w:r>
          </w:p>
        </w:tc>
        <w:tc>
          <w:tcPr>
            <w:tcW w:w="10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54"/>
              <w:spacing w:after="0" w:line="144" w:lineRule="exact"/>
              <w:rPr>
                <w:sz w:val="20"/>
                <w:szCs w:val="20"/>
                <w:color w:val="auto"/>
              </w:rPr>
            </w:pPr>
            <w:r>
              <w:rPr>
                <w:rFonts w:ascii="Times New Roman" w:cs="Times New Roman" w:eastAsia="Times New Roman" w:hAnsi="Times New Roman"/>
                <w:sz w:val="13"/>
                <w:szCs w:val="13"/>
                <w:color w:val="auto"/>
              </w:rPr>
              <w:t>800</w:t>
            </w:r>
          </w:p>
        </w:tc>
        <w:tc>
          <w:tcPr>
            <w:tcW w:w="1560" w:type="dxa"/>
            <w:vAlign w:val="bottom"/>
            <w:shd w:val="clear" w:color="auto" w:fill="CFF0FC"/>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776</w:t>
            </w:r>
          </w:p>
        </w:tc>
        <w:tc>
          <w:tcPr>
            <w:tcW w:w="5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(199,054 shares)</w:t>
            </w:r>
          </w:p>
        </w:tc>
        <w:tc>
          <w:tcPr>
            <w:tcW w:w="9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Piano Software, Inc. </w:t>
            </w:r>
            <w:r>
              <w:rPr>
                <w:rFonts w:ascii="Times New Roman" w:cs="Times New Roman" w:eastAsia="Times New Roman" w:hAnsi="Times New Roman"/>
                <w:sz w:val="16"/>
                <w:szCs w:val="16"/>
                <w:color w:val="auto"/>
                <w:vertAlign w:val="superscript"/>
              </w:rPr>
              <w:t>(11)</w:t>
            </w:r>
          </w:p>
        </w:tc>
        <w:tc>
          <w:tcPr>
            <w:tcW w:w="23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Series C-1 Preferred Shares</w:t>
            </w:r>
          </w:p>
        </w:tc>
        <w:tc>
          <w:tcPr>
            <w:tcW w:w="92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12/22/2021</w:t>
            </w: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right"/>
              <w:ind w:right="454"/>
              <w:spacing w:after="0" w:line="144" w:lineRule="exact"/>
              <w:rPr>
                <w:sz w:val="20"/>
                <w:szCs w:val="20"/>
                <w:color w:val="auto"/>
              </w:rPr>
            </w:pPr>
            <w:r>
              <w:rPr>
                <w:rFonts w:ascii="Times New Roman" w:cs="Times New Roman" w:eastAsia="Times New Roman" w:hAnsi="Times New Roman"/>
                <w:sz w:val="13"/>
                <w:szCs w:val="13"/>
                <w:color w:val="auto"/>
              </w:rPr>
              <w:t>3,000</w:t>
            </w:r>
          </w:p>
        </w:tc>
        <w:tc>
          <w:tcPr>
            <w:tcW w:w="1560" w:type="dxa"/>
            <w:vAlign w:val="bottom"/>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2,400</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(418,527 shares)</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FF0FC"/>
          </w:tcPr>
          <w:p>
            <w:pPr>
              <w:spacing w:after="0"/>
              <w:rPr>
                <w:sz w:val="12"/>
                <w:szCs w:val="12"/>
                <w:color w:val="auto"/>
              </w:rPr>
            </w:pPr>
          </w:p>
        </w:tc>
        <w:tc>
          <w:tcPr>
            <w:tcW w:w="234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Series C-2 Preferred Shares</w:t>
            </w:r>
          </w:p>
        </w:tc>
        <w:tc>
          <w:tcPr>
            <w:tcW w:w="92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11/18/2022</w:t>
            </w:r>
          </w:p>
        </w:tc>
        <w:tc>
          <w:tcPr>
            <w:tcW w:w="10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54"/>
              <w:spacing w:after="0" w:line="144" w:lineRule="exact"/>
              <w:rPr>
                <w:sz w:val="20"/>
                <w:szCs w:val="20"/>
                <w:color w:val="auto"/>
              </w:rPr>
            </w:pPr>
            <w:r>
              <w:rPr>
                <w:rFonts w:ascii="Times New Roman" w:cs="Times New Roman" w:eastAsia="Times New Roman" w:hAnsi="Times New Roman"/>
                <w:sz w:val="13"/>
                <w:szCs w:val="13"/>
                <w:color w:val="auto"/>
              </w:rPr>
              <w:t>198</w:t>
            </w:r>
          </w:p>
        </w:tc>
        <w:tc>
          <w:tcPr>
            <w:tcW w:w="1560" w:type="dxa"/>
            <w:vAlign w:val="bottom"/>
            <w:shd w:val="clear" w:color="auto" w:fill="CFF0FC"/>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317</w:t>
            </w:r>
          </w:p>
        </w:tc>
        <w:tc>
          <w:tcPr>
            <w:tcW w:w="5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FF0FC"/>
          </w:tcPr>
          <w:p>
            <w:pPr>
              <w:spacing w:after="0"/>
              <w:rPr>
                <w:sz w:val="14"/>
                <w:szCs w:val="14"/>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(27,588 shares)</w:t>
            </w:r>
          </w:p>
        </w:tc>
        <w:tc>
          <w:tcPr>
            <w:tcW w:w="9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SMA Technologies Holdings,</w:t>
            </w:r>
          </w:p>
        </w:tc>
        <w:tc>
          <w:tcPr>
            <w:tcW w:w="234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Class A Units (1,584 units)</w:t>
            </w:r>
          </w:p>
        </w:tc>
        <w:tc>
          <w:tcPr>
            <w:tcW w:w="92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11/21/2022</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jc w:val="right"/>
              <w:ind w:right="454"/>
              <w:spacing w:after="0" w:line="133" w:lineRule="exact"/>
              <w:rPr>
                <w:sz w:val="20"/>
                <w:szCs w:val="20"/>
                <w:color w:val="auto"/>
              </w:rPr>
            </w:pPr>
            <w:r>
              <w:rPr>
                <w:rFonts w:ascii="Times New Roman" w:cs="Times New Roman" w:eastAsia="Times New Roman" w:hAnsi="Times New Roman"/>
                <w:sz w:val="13"/>
                <w:szCs w:val="13"/>
                <w:color w:val="auto"/>
              </w:rPr>
              <w:t>1,584</w:t>
            </w:r>
          </w:p>
        </w:tc>
        <w:tc>
          <w:tcPr>
            <w:tcW w:w="1560" w:type="dxa"/>
            <w:vAlign w:val="bottom"/>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2,297</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7"/>
                <w:szCs w:val="7"/>
                <w:color w:val="auto"/>
              </w:rPr>
              <w:t xml:space="preserve"> (11)(12)</w:t>
            </w:r>
          </w:p>
        </w:tc>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B Units (1,124,813 units)</w:t>
            </w:r>
          </w:p>
        </w:tc>
        <w:tc>
          <w:tcPr>
            <w:tcW w:w="9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11/21/2022</w:t>
            </w: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68</w:t>
            </w:r>
          </w:p>
        </w:tc>
        <w:tc>
          <w:tcPr>
            <w:tcW w:w="15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99</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17,981</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21,056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Marketing Services</w:t>
            </w:r>
          </w:p>
        </w:tc>
        <w:tc>
          <w:tcPr>
            <w:tcW w:w="2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1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6"/>
                <w:szCs w:val="16"/>
                <w:color w:val="auto"/>
              </w:rPr>
              <w:t>F-12</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660" w:type="dxa"/>
            <w:vAlign w:val="bottom"/>
            <w:tcBorders>
              <w:bottom w:val="single" w:sz="8" w:color="EEEEEE"/>
            </w:tcBorders>
          </w:tcPr>
          <w:p>
            <w:pPr>
              <w:spacing w:after="0"/>
              <w:rPr>
                <w:sz w:val="24"/>
                <w:szCs w:val="24"/>
                <w:color w:val="auto"/>
              </w:rPr>
            </w:pPr>
          </w:p>
        </w:tc>
        <w:tc>
          <w:tcPr>
            <w:tcW w:w="23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Validity, Inc. </w:t>
            </w:r>
            <w:r>
              <w:rPr>
                <w:rFonts w:ascii="Times New Roman" w:cs="Times New Roman" w:eastAsia="Times New Roman" w:hAnsi="Times New Roman"/>
                <w:sz w:val="16"/>
                <w:szCs w:val="16"/>
                <w:color w:val="auto"/>
                <w:vertAlign w:val="superscript"/>
              </w:rPr>
              <w:t>(11)</w:t>
            </w:r>
          </w:p>
        </w:tc>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 Preferred Shares</w:t>
            </w:r>
          </w:p>
        </w:tc>
        <w:tc>
          <w:tcPr>
            <w:tcW w:w="7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5/31/2018</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10,752</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(3,840,000 shares)</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Oil, Gas and Consumable</w:t>
            </w:r>
          </w:p>
        </w:tc>
        <w:tc>
          <w:tcPr>
            <w:tcW w:w="16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Fuels</w:t>
            </w:r>
          </w:p>
        </w:tc>
        <w:tc>
          <w:tcPr>
            <w:tcW w:w="16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7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Murchison Oil and Gas, LLC</w:t>
            </w:r>
          </w:p>
        </w:tc>
        <w:tc>
          <w:tcPr>
            <w:tcW w:w="168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Preferred Units (13,355 units)</w:t>
            </w:r>
          </w:p>
        </w:tc>
        <w:tc>
          <w:tcPr>
            <w:tcW w:w="700" w:type="dxa"/>
            <w:vAlign w:val="bottom"/>
          </w:tcPr>
          <w:p>
            <w:pPr>
              <w:spacing w:after="0"/>
              <w:rPr>
                <w:sz w:val="10"/>
                <w:szCs w:val="10"/>
                <w:color w:val="auto"/>
              </w:rPr>
            </w:pPr>
          </w:p>
        </w:tc>
        <w:tc>
          <w:tcPr>
            <w:tcW w:w="68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6/30/2022</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right"/>
              <w:ind w:righ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2,137</w:t>
            </w:r>
          </w:p>
        </w:tc>
        <w:tc>
          <w:tcPr>
            <w:tcW w:w="92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1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720" w:type="dxa"/>
            <w:vAlign w:val="bottom"/>
          </w:tcPr>
          <w:p>
            <w:pPr>
              <w:spacing w:after="0"/>
              <w:rPr>
                <w:sz w:val="3"/>
                <w:szCs w:val="3"/>
                <w:color w:val="auto"/>
              </w:rPr>
            </w:pPr>
          </w:p>
        </w:tc>
        <w:tc>
          <w:tcPr>
            <w:tcW w:w="238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TRP Assets, LLC </w:t>
            </w:r>
            <w:r>
              <w:rPr>
                <w:rFonts w:ascii="Times New Roman" w:cs="Times New Roman" w:eastAsia="Times New Roman" w:hAnsi="Times New Roman"/>
                <w:sz w:val="16"/>
                <w:szCs w:val="16"/>
                <w:color w:val="auto"/>
                <w:vertAlign w:val="superscript"/>
              </w:rPr>
              <w:t>(13)</w:t>
            </w:r>
          </w:p>
        </w:tc>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Partnership Interest (1.89% ownership)</w:t>
            </w:r>
          </w:p>
        </w:tc>
        <w:tc>
          <w:tcPr>
            <w:tcW w:w="6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8/25/2022</w:t>
            </w: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8,820</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7,475</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9,612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Pharmaceuticals</w:t>
            </w:r>
          </w:p>
        </w:tc>
        <w:tc>
          <w:tcPr>
            <w:tcW w:w="16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TherapeuticsMD, Inc. </w:t>
            </w:r>
            <w:r>
              <w:rPr>
                <w:rFonts w:ascii="Times New Roman" w:cs="Times New Roman" w:eastAsia="Times New Roman" w:hAnsi="Times New Roman"/>
                <w:sz w:val="16"/>
                <w:szCs w:val="16"/>
                <w:color w:val="auto"/>
                <w:vertAlign w:val="superscript"/>
              </w:rPr>
              <w:t>(4)(11)</w:t>
            </w:r>
          </w:p>
        </w:tc>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(14,256 warrants)</w:t>
            </w:r>
          </w:p>
        </w:tc>
        <w:tc>
          <w:tcPr>
            <w:tcW w:w="7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8/5/2020</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7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3"/>
                <w:szCs w:val="13"/>
                <w:color w:val="auto"/>
                <w:vertAlign w:val="superscript"/>
              </w:rPr>
              <w:t>(4)(11)</w:t>
            </w:r>
          </w:p>
        </w:tc>
        <w:tc>
          <w:tcPr>
            <w:tcW w:w="168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Convertible Preference Shares</w:t>
            </w:r>
          </w:p>
        </w:tc>
        <w:tc>
          <w:tcPr>
            <w:tcW w:w="7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12/11/2024</w:t>
            </w:r>
          </w:p>
        </w:tc>
        <w:tc>
          <w:tcPr>
            <w:tcW w:w="9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6,341</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6,341</w:t>
            </w:r>
          </w:p>
        </w:tc>
        <w:tc>
          <w:tcPr>
            <w:tcW w:w="920" w:type="dxa"/>
            <w:vAlign w:val="bottom"/>
            <w:gridSpan w:val="3"/>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16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(4,976,563 Shares)</w:t>
            </w:r>
          </w:p>
        </w:tc>
        <w:tc>
          <w:tcPr>
            <w:tcW w:w="7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5,063)</w:t>
            </w: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20" w:type="dxa"/>
            <w:vAlign w:val="bottom"/>
            <w:shd w:val="clear" w:color="auto" w:fill="CFF0FC"/>
          </w:tcPr>
          <w:p>
            <w:pPr>
              <w:spacing w:after="0"/>
              <w:rPr>
                <w:sz w:val="7"/>
                <w:szCs w:val="7"/>
                <w:color w:val="auto"/>
              </w:rPr>
            </w:pPr>
          </w:p>
        </w:tc>
        <w:tc>
          <w:tcPr>
            <w:tcW w:w="1680" w:type="dxa"/>
            <w:vAlign w:val="bottom"/>
            <w:vMerge w:val="continue"/>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320" w:type="dxa"/>
            <w:vAlign w:val="bottom"/>
            <w:gridSpan w:val="3"/>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6,341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Retail and Consumer</w:t>
            </w:r>
          </w:p>
        </w:tc>
        <w:tc>
          <w:tcPr>
            <w:tcW w:w="16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16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American Achievement,</w:t>
            </w:r>
          </w:p>
        </w:tc>
        <w:tc>
          <w:tcPr>
            <w:tcW w:w="16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 Units (687 units)</w:t>
            </w:r>
          </w:p>
        </w:tc>
        <w:tc>
          <w:tcPr>
            <w:tcW w:w="700" w:type="dxa"/>
            <w:vAlign w:val="bottom"/>
          </w:tcPr>
          <w:p>
            <w:pPr>
              <w:spacing w:after="0"/>
              <w:rPr>
                <w:sz w:val="11"/>
                <w:szCs w:val="11"/>
                <w:color w:val="auto"/>
              </w:rPr>
            </w:pPr>
          </w:p>
        </w:tc>
        <w:tc>
          <w:tcPr>
            <w:tcW w:w="68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3/16/2021</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50</w:t>
            </w:r>
          </w:p>
        </w:tc>
        <w:tc>
          <w:tcPr>
            <w:tcW w:w="92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7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Corp. </w:t>
            </w:r>
            <w:r>
              <w:rPr>
                <w:rFonts w:ascii="Times New Roman" w:cs="Times New Roman" w:eastAsia="Times New Roman" w:hAnsi="Times New Roman"/>
                <w:sz w:val="16"/>
                <w:szCs w:val="16"/>
                <w:color w:val="auto"/>
                <w:vertAlign w:val="superscript"/>
              </w:rPr>
              <w:t>(11)</w:t>
            </w:r>
          </w:p>
        </w:tc>
        <w:tc>
          <w:tcPr>
            <w:tcW w:w="1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Copper Bidco, LLC </w:t>
            </w:r>
            <w:r>
              <w:rPr>
                <w:rFonts w:ascii="Times New Roman" w:cs="Times New Roman" w:eastAsia="Times New Roman" w:hAnsi="Times New Roman"/>
                <w:sz w:val="16"/>
                <w:szCs w:val="16"/>
                <w:color w:val="auto"/>
                <w:vertAlign w:val="superscript"/>
              </w:rPr>
              <w:t>(9)</w:t>
            </w:r>
          </w:p>
        </w:tc>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Trust Certificates (996,958 Certificates)</w:t>
            </w:r>
          </w:p>
        </w:tc>
        <w:tc>
          <w:tcPr>
            <w:tcW w:w="6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1/30/2021</w:t>
            </w: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11,963</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Neuintel, LLC </w:t>
            </w:r>
            <w:r>
              <w:rPr>
                <w:rFonts w:ascii="Times New Roman" w:cs="Times New Roman" w:eastAsia="Times New Roman" w:hAnsi="Times New Roman"/>
                <w:sz w:val="16"/>
                <w:szCs w:val="16"/>
                <w:color w:val="auto"/>
                <w:vertAlign w:val="superscript"/>
              </w:rPr>
              <w:t>(11)(13)</w:t>
            </w:r>
          </w:p>
        </w:tc>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Class A Units (1,176,494 units)</w:t>
            </w:r>
          </w:p>
        </w:tc>
        <w:tc>
          <w:tcPr>
            <w:tcW w:w="7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12/20/2021</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4,751</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12,591</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Structured Credit</w:t>
            </w: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Dryden Senior Loan Fund,</w:t>
            </w:r>
          </w:p>
        </w:tc>
        <w:tc>
          <w:tcPr>
            <w:tcW w:w="238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Structured Credit ($1,500 par, due</w:t>
            </w:r>
          </w:p>
        </w:tc>
        <w:tc>
          <w:tcPr>
            <w:tcW w:w="6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8/17/2022</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SOFR + 6.76%</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11.41%</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1,472</w:t>
            </w:r>
          </w:p>
        </w:tc>
        <w:tc>
          <w:tcPr>
            <w:tcW w:w="92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7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2020-86A </w:t>
            </w:r>
            <w:r>
              <w:rPr>
                <w:rFonts w:ascii="Times New Roman" w:cs="Times New Roman" w:eastAsia="Times New Roman" w:hAnsi="Times New Roman"/>
                <w:sz w:val="16"/>
                <w:szCs w:val="16"/>
                <w:color w:val="auto"/>
                <w:vertAlign w:val="superscript"/>
              </w:rPr>
              <w:t>(3)(4)(9)</w:t>
            </w: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7/2034)</w:t>
            </w:r>
          </w:p>
        </w:tc>
        <w:tc>
          <w:tcPr>
            <w:tcW w:w="7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Total Equity and Other</w:t>
            </w:r>
          </w:p>
        </w:tc>
        <w:tc>
          <w:tcPr>
            <w:tcW w:w="16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150,909</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3"/>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156,973</w:t>
            </w:r>
          </w:p>
        </w:tc>
        <w:tc>
          <w:tcPr>
            <w:tcW w:w="920" w:type="dxa"/>
            <w:vAlign w:val="bottom"/>
            <w:gridSpan w:val="3"/>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6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3,539,153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3,518,412</w:t>
            </w:r>
          </w:p>
        </w:tc>
        <w:tc>
          <w:tcPr>
            <w:tcW w:w="10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gridSpan w:val="9"/>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Upfront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6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0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168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9"/>
              </w:rPr>
              <w:t>Pays</w:t>
            </w:r>
          </w:p>
        </w:tc>
        <w:tc>
          <w:tcPr>
            <w:tcW w:w="164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00" w:type="dxa"/>
            <w:vAlign w:val="bottom"/>
          </w:tcPr>
          <w:p>
            <w:pPr>
              <w:spacing w:after="0"/>
              <w:rPr>
                <w:sz w:val="14"/>
                <w:szCs w:val="14"/>
                <w:color w:val="auto"/>
              </w:rPr>
            </w:pPr>
          </w:p>
        </w:tc>
        <w:tc>
          <w:tcPr>
            <w:tcW w:w="116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2.50%</w:t>
            </w:r>
          </w:p>
        </w:tc>
        <w:tc>
          <w:tcPr>
            <w:tcW w:w="1380" w:type="dxa"/>
            <w:vAlign w:val="bottom"/>
            <w:gridSpan w:val="2"/>
            <w:shd w:val="clear" w:color="auto" w:fill="CFF0FC"/>
          </w:tcPr>
          <w:p>
            <w:pPr>
              <w:jc w:val="center"/>
              <w:ind w:right="514"/>
              <w:spacing w:after="0"/>
              <w:rPr>
                <w:sz w:val="20"/>
                <w:szCs w:val="20"/>
                <w:color w:val="auto"/>
              </w:rPr>
            </w:pPr>
            <w:r>
              <w:rPr>
                <w:rFonts w:ascii="Times New Roman" w:cs="Times New Roman" w:eastAsia="Times New Roman" w:hAnsi="Times New Roman"/>
                <w:sz w:val="13"/>
                <w:szCs w:val="13"/>
                <w:color w:val="auto"/>
              </w:rPr>
              <w:t>SOFR + 2.17%</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8/1/2026</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4"/>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(17,618)</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42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8,493</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6.95%</w:t>
            </w:r>
          </w:p>
        </w:tc>
        <w:tc>
          <w:tcPr>
            <w:tcW w:w="1380" w:type="dxa"/>
            <w:vAlign w:val="bottom"/>
            <w:gridSpan w:val="2"/>
          </w:tcPr>
          <w:p>
            <w:pPr>
              <w:jc w:val="center"/>
              <w:ind w:right="514"/>
              <w:spacing w:after="0"/>
              <w:rPr>
                <w:sz w:val="20"/>
                <w:szCs w:val="20"/>
                <w:color w:val="auto"/>
              </w:rPr>
            </w:pPr>
            <w:r>
              <w:rPr>
                <w:rFonts w:ascii="Times New Roman" w:cs="Times New Roman" w:eastAsia="Times New Roman" w:hAnsi="Times New Roman"/>
                <w:sz w:val="13"/>
                <w:szCs w:val="13"/>
                <w:color w:val="auto"/>
              </w:rPr>
              <w:t>SOFR + 2.99%</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8/14/2028</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4"/>
          </w:tcPr>
          <w:p>
            <w:pPr>
              <w:jc w:val="right"/>
              <w:ind w:right="94"/>
              <w:spacing w:after="0"/>
              <w:rPr>
                <w:sz w:val="20"/>
                <w:szCs w:val="20"/>
                <w:color w:val="auto"/>
              </w:rPr>
            </w:pPr>
            <w:r>
              <w:rPr>
                <w:rFonts w:ascii="Times New Roman" w:cs="Times New Roman" w:eastAsia="Times New Roman" w:hAnsi="Times New Roman"/>
                <w:sz w:val="13"/>
                <w:szCs w:val="13"/>
                <w:color w:val="auto"/>
              </w:rPr>
              <w:t>(1,377)</w:t>
            </w:r>
          </w:p>
        </w:tc>
        <w:tc>
          <w:tcPr>
            <w:tcW w:w="120" w:type="dxa"/>
            <w:vAlign w:val="bottom"/>
          </w:tcPr>
          <w:p>
            <w:pPr>
              <w:spacing w:after="0"/>
              <w:rPr>
                <w:sz w:val="13"/>
                <w:szCs w:val="13"/>
                <w:color w:val="auto"/>
              </w:rPr>
            </w:pPr>
          </w:p>
        </w:tc>
        <w:tc>
          <w:tcPr>
            <w:tcW w:w="90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(6,057)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6.125%</w:t>
            </w:r>
          </w:p>
        </w:tc>
        <w:tc>
          <w:tcPr>
            <w:tcW w:w="1380" w:type="dxa"/>
            <w:vAlign w:val="bottom"/>
            <w:gridSpan w:val="2"/>
            <w:shd w:val="clear" w:color="auto" w:fill="CFF0FC"/>
          </w:tcPr>
          <w:p>
            <w:pPr>
              <w:jc w:val="center"/>
              <w:ind w:right="514"/>
              <w:spacing w:after="0"/>
              <w:rPr>
                <w:sz w:val="20"/>
                <w:szCs w:val="20"/>
                <w:color w:val="auto"/>
              </w:rPr>
            </w:pPr>
            <w:r>
              <w:rPr>
                <w:rFonts w:ascii="Times New Roman" w:cs="Times New Roman" w:eastAsia="Times New Roman" w:hAnsi="Times New Roman"/>
                <w:sz w:val="13"/>
                <w:szCs w:val="13"/>
                <w:color w:val="auto"/>
              </w:rPr>
              <w:t>SOFR + 2.44%</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3/1/2029</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4"/>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(5,243)</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(5,243)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4"/>
          </w:tcPr>
          <w:p>
            <w:pPr>
              <w:jc w:val="right"/>
              <w:ind w:right="94"/>
              <w:spacing w:after="0"/>
              <w:rPr>
                <w:sz w:val="20"/>
                <w:szCs w:val="20"/>
                <w:color w:val="auto"/>
              </w:rPr>
            </w:pPr>
            <w:r>
              <w:rPr>
                <w:rFonts w:ascii="Times New Roman" w:cs="Times New Roman" w:eastAsia="Times New Roman" w:hAnsi="Times New Roman"/>
                <w:sz w:val="13"/>
                <w:szCs w:val="13"/>
                <w:color w:val="auto"/>
              </w:rPr>
              <w:t>(24,238)</w:t>
            </w:r>
          </w:p>
        </w:tc>
        <w:tc>
          <w:tcPr>
            <w:tcW w:w="120" w:type="dxa"/>
            <w:vAlign w:val="bottom"/>
          </w:tcPr>
          <w:p>
            <w:pPr>
              <w:spacing w:after="0"/>
              <w:rPr>
                <w:sz w:val="13"/>
                <w:szCs w:val="13"/>
                <w:color w:val="auto"/>
              </w:rPr>
            </w:pPr>
          </w:p>
        </w:tc>
        <w:tc>
          <w:tcPr>
            <w:tcW w:w="90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(2,807)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collateral</w:t>
            </w:r>
          </w:p>
        </w:tc>
        <w:tc>
          <w:tcPr>
            <w:tcW w:w="16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46,601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950,000</w:t>
            </w:r>
          </w:p>
        </w:tc>
        <w:tc>
          <w:tcPr>
            <w:tcW w:w="120" w:type="dxa"/>
            <w:vAlign w:val="bottom"/>
          </w:tcPr>
          <w:p>
            <w:pPr>
              <w:spacing w:after="0"/>
              <w:rPr>
                <w:sz w:val="13"/>
                <w:szCs w:val="13"/>
                <w:color w:val="auto"/>
              </w:rPr>
            </w:pPr>
          </w:p>
        </w:tc>
        <w:tc>
          <w:tcPr>
            <w:tcW w:w="2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22,363</w:t>
            </w:r>
          </w:p>
        </w:tc>
        <w:tc>
          <w:tcPr>
            <w:tcW w:w="2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ind w:left="780"/>
              <w:spacing w:after="0" w:line="136" w:lineRule="exact"/>
              <w:rPr>
                <w:sz w:val="20"/>
                <w:szCs w:val="20"/>
                <w:color w:val="auto"/>
              </w:rPr>
            </w:pPr>
            <w:r>
              <w:rPr>
                <w:rFonts w:ascii="Times New Roman" w:cs="Times New Roman" w:eastAsia="Times New Roman" w:hAnsi="Times New Roman"/>
                <w:sz w:val="13"/>
                <w:szCs w:val="13"/>
                <w:color w:val="auto"/>
                <w:w w:val="76"/>
              </w:rPr>
              <w:t>—</w:t>
            </w:r>
          </w:p>
        </w:tc>
        <w:tc>
          <w:tcPr>
            <w:tcW w:w="420" w:type="dxa"/>
            <w:vAlign w:val="bottom"/>
            <w:gridSpan w:val="2"/>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(2,807 </w:t>
            </w:r>
            <w:r>
              <w:rPr>
                <w:rFonts w:ascii="Times New Roman" w:cs="Times New Roman" w:eastAsia="Times New Roman" w:hAnsi="Times New Roman"/>
                <w:sz w:val="15"/>
                <w:szCs w:val="15"/>
                <w:color w:val="auto"/>
                <w:vertAlign w:val="subscript"/>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4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101" w:name="page102"/>
    <w:bookmarkEnd w:id="101"/>
    <w:p>
      <w:pPr>
        <w:ind w:right="140"/>
        <w:spacing w:after="0" w:line="238"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spacing w:after="0" w:line="4"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December 31, 2024.</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2024 in which the issuer was an Affiliated Person of and was deemed to Control a portfolio company are as follows: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Controlled, Affiliated Investments during the year ended December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Value at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74"/>
              <w:spacing w:after="0" w:line="144" w:lineRule="exact"/>
              <w:rPr>
                <w:sz w:val="20"/>
                <w:szCs w:val="20"/>
                <w:color w:val="auto"/>
              </w:rPr>
            </w:pPr>
            <w:r>
              <w:rPr>
                <w:rFonts w:ascii="Times New Roman" w:cs="Times New Roman" w:eastAsia="Times New Roman" w:hAnsi="Times New Roman"/>
                <w:sz w:val="13"/>
                <w:szCs w:val="13"/>
                <w:b w:val="1"/>
                <w:bCs w:val="1"/>
                <w:color w:val="auto"/>
                <w:w w:val="98"/>
              </w:rPr>
              <w:t>Value 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Net Change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Additions</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Reductions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 Unrealized</w:t>
            </w:r>
          </w:p>
        </w:tc>
        <w:tc>
          <w:tcPr>
            <w:tcW w:w="120" w:type="dxa"/>
            <w:vAlign w:val="bottom"/>
          </w:tcPr>
          <w:p>
            <w:pPr>
              <w:spacing w:after="0"/>
              <w:rPr>
                <w:sz w:val="14"/>
                <w:szCs w:val="14"/>
                <w:color w:val="auto"/>
              </w:rPr>
            </w:pPr>
          </w:p>
        </w:tc>
        <w:tc>
          <w:tcPr>
            <w:tcW w:w="6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70"/>
        </w:trPr>
        <w:tc>
          <w:tcPr>
            <w:tcW w:w="212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40" w:type="dxa"/>
            <w:vAlign w:val="bottom"/>
          </w:tcPr>
          <w:p>
            <w:pPr>
              <w:spacing w:after="0"/>
              <w:rPr>
                <w:sz w:val="14"/>
                <w:szCs w:val="14"/>
                <w:color w:val="auto"/>
              </w:rPr>
            </w:pPr>
          </w:p>
        </w:tc>
        <w:tc>
          <w:tcPr>
            <w:tcW w:w="7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5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56"/>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IRGSE Holding Corp.</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59,913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10,351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(5,169 )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65,095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59,913</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10,351</w:t>
            </w:r>
          </w:p>
        </w:tc>
        <w:tc>
          <w:tcPr>
            <w:tcW w:w="3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ind w:left="46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b w:val="1"/>
                <w:bCs w:val="1"/>
                <w:color w:val="auto"/>
              </w:rPr>
              <w:t xml:space="preserve">(5,169 </w:t>
            </w:r>
            <w:r>
              <w:rPr>
                <w:rFonts w:ascii="Times New Roman" w:cs="Times New Roman" w:eastAsia="Times New Roman" w:hAnsi="Times New Roman"/>
                <w:sz w:val="15"/>
                <w:szCs w:val="15"/>
                <w:b w:val="1"/>
                <w:bCs w:val="1"/>
                <w:color w:val="auto"/>
                <w:vertAlign w:val="subscript"/>
              </w:rPr>
              <w:t>)</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ind w:left="54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50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65,095</w:t>
            </w:r>
          </w:p>
        </w:tc>
        <w:tc>
          <w:tcPr>
            <w:tcW w:w="2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13</w:t>
            </w:r>
          </w:p>
        </w:tc>
        <w:tc>
          <w:tcPr>
            <w:tcW w:w="360" w:type="dxa"/>
            <w:vAlign w:val="bottom"/>
            <w:gridSpan w:val="2"/>
          </w:tcPr>
          <w:p>
            <w:pPr>
              <w:jc w:val="right"/>
              <w:ind w:right="34"/>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9,428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8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7"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6"/>
          <w:szCs w:val="16"/>
          <w:color w:val="auto"/>
        </w:rPr>
        <w:t>(7)As of December 31, 2024, the estimated cost basis of investments for U.S. federal tax purposes was $3,535,963 resulting in estimated gross unrealized gains and losses of $207,435 and $216,975, respectively.</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6"/>
          <w:szCs w:val="16"/>
          <w:color w:val="auto"/>
        </w:rPr>
        <w:t xml:space="preserve">(8)In accordance with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37" w:lineRule="auto"/>
        <w:rPr>
          <w:sz w:val="20"/>
          <w:szCs w:val="20"/>
          <w:color w:val="auto"/>
        </w:rPr>
      </w:pPr>
      <w:r>
        <w:rPr>
          <w:rFonts w:ascii="Times New Roman" w:cs="Times New Roman" w:eastAsia="Times New Roman" w:hAnsi="Times New Roman"/>
          <w:sz w:val="16"/>
          <w:szCs w:val="16"/>
          <w:color w:val="auto"/>
        </w:rPr>
        <w:t>(9)This investment is valued using observable inputs and is considered a Level 2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(10)This investment is valued using observable inputs and is considered a Level 1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(11)This investment is non-income producing.</w:t>
      </w:r>
    </w:p>
    <w:p>
      <w:pPr>
        <w:ind w:right="50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December 31, 2024, the aggregate fair value of these securities is $12,926, or 0.8%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December 31, 2024.</w:t>
      </w:r>
    </w:p>
    <w:p>
      <w:pPr>
        <w:ind w:right="2580"/>
        <w:spacing w:after="0" w:line="236"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$13.7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1"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56"/>
        </w:trPr>
        <w:tc>
          <w:tcPr>
            <w:tcW w:w="1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Reference</w:t>
            </w: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w:t>
            </w:r>
          </w:p>
        </w:tc>
        <w:tc>
          <w:tcPr>
            <w:tcW w:w="2540" w:type="dxa"/>
            <w:vAlign w:val="bottom"/>
            <w:vMerge w:val="restart"/>
          </w:tcPr>
          <w:p>
            <w:pPr>
              <w:ind w:left="9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Rate and</w:t>
            </w:r>
          </w:p>
        </w:tc>
        <w:tc>
          <w:tcPr>
            <w:tcW w:w="1260" w:type="dxa"/>
            <w:vAlign w:val="bottom"/>
            <w:vMerge w:val="restart"/>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3"/>
                <w:szCs w:val="13"/>
                <w:color w:val="auto"/>
              </w:rPr>
            </w:pP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260" w:type="dxa"/>
            <w:vAlign w:val="bottom"/>
            <w:vMerge w:val="continue"/>
          </w:tcPr>
          <w:p>
            <w:pPr>
              <w:spacing w:after="0"/>
              <w:rPr>
                <w:sz w:val="14"/>
                <w:szCs w:val="14"/>
                <w:color w:val="auto"/>
              </w:rPr>
            </w:pPr>
          </w:p>
        </w:tc>
        <w:tc>
          <w:tcPr>
            <w:tcW w:w="960" w:type="dxa"/>
            <w:vAlign w:val="bottom"/>
          </w:tcPr>
          <w:p>
            <w:pPr>
              <w:jc w:val="right"/>
              <w:ind w:right="255"/>
              <w:spacing w:after="0" w:line="171" w:lineRule="exact"/>
              <w:rPr>
                <w:sz w:val="20"/>
                <w:szCs w:val="20"/>
                <w:color w:val="auto"/>
              </w:rPr>
            </w:pPr>
            <w:r>
              <w:rPr>
                <w:rFonts w:ascii="Times New Roman" w:cs="Times New Roman" w:eastAsia="Times New Roman" w:hAnsi="Times New Roman"/>
                <w:sz w:val="19"/>
                <w:szCs w:val="19"/>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200" w:type="dxa"/>
            <w:vAlign w:val="bottom"/>
          </w:tcPr>
          <w:p>
            <w:pPr>
              <w:spacing w:after="0"/>
              <w:rPr>
                <w:sz w:val="14"/>
                <w:szCs w:val="14"/>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(8)</w:t>
            </w: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of Net Assets</w:t>
            </w: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25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Bestpass, Inc. </w:t>
            </w:r>
            <w:r>
              <w:rPr>
                <w:rFonts w:ascii="Times New Roman" w:cs="Times New Roman" w:eastAsia="Times New Roman" w:hAnsi="Times New Roman"/>
                <w:sz w:val="16"/>
                <w:szCs w:val="16"/>
                <w:color w:val="auto"/>
                <w:vertAlign w:val="superscript"/>
              </w:rPr>
              <w:t>(3)(5)</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First-lien loan ($44,800 par, due 5/2029)</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5/26/2023</w:t>
            </w:r>
          </w:p>
        </w:tc>
        <w:tc>
          <w:tcPr>
            <w:tcW w:w="11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SOFR + 5.75%</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11.11 %  $</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43,571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44,240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5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 xml:space="preserve">Acceo Solutions, Inc. </w:t>
            </w:r>
            <w:r>
              <w:rPr>
                <w:rFonts w:ascii="Times New Roman" w:cs="Times New Roman" w:eastAsia="Times New Roman" w:hAnsi="Times New Roman"/>
                <w:sz w:val="13"/>
                <w:szCs w:val="13"/>
                <w:color w:val="auto"/>
                <w:vertAlign w:val="superscript"/>
              </w:rPr>
              <w:t>(3)(4)</w:t>
            </w:r>
          </w:p>
        </w:tc>
        <w:tc>
          <w:tcPr>
            <w:tcW w:w="254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3"/>
                <w:szCs w:val="13"/>
                <w:color w:val="auto"/>
              </w:rPr>
              <w:t>First-lien loan (CAD 52,941 par, due</w:t>
            </w:r>
          </w:p>
        </w:tc>
        <w:tc>
          <w:tcPr>
            <w:tcW w:w="880" w:type="dxa"/>
            <w:vAlign w:val="bottom"/>
            <w:shd w:val="clear" w:color="auto" w:fill="CFF0FC"/>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7/6/2018</w:t>
            </w:r>
          </w:p>
        </w:tc>
        <w:tc>
          <w:tcPr>
            <w:tcW w:w="1120" w:type="dxa"/>
            <w:vAlign w:val="bottom"/>
            <w:shd w:val="clear" w:color="auto" w:fill="CFF0FC"/>
          </w:tcPr>
          <w:p>
            <w:pPr>
              <w:jc w:val="right"/>
              <w:ind w:right="154"/>
              <w:spacing w:after="0" w:line="120" w:lineRule="exact"/>
              <w:rPr>
                <w:sz w:val="20"/>
                <w:szCs w:val="20"/>
                <w:color w:val="auto"/>
              </w:rPr>
            </w:pPr>
            <w:r>
              <w:rPr>
                <w:rFonts w:ascii="Times New Roman" w:cs="Times New Roman" w:eastAsia="Times New Roman" w:hAnsi="Times New Roman"/>
                <w:sz w:val="13"/>
                <w:szCs w:val="13"/>
                <w:color w:val="auto"/>
              </w:rPr>
              <w:t>C + 4.75%</w:t>
            </w:r>
          </w:p>
        </w:tc>
        <w:tc>
          <w:tcPr>
            <w:tcW w:w="1260" w:type="dxa"/>
            <w:vAlign w:val="bottom"/>
            <w:shd w:val="clear" w:color="auto" w:fill="CFF0FC"/>
          </w:tcPr>
          <w:p>
            <w:pPr>
              <w:jc w:val="right"/>
              <w:ind w:right="214"/>
              <w:spacing w:after="0" w:line="120" w:lineRule="exact"/>
              <w:rPr>
                <w:sz w:val="20"/>
                <w:szCs w:val="20"/>
                <w:color w:val="auto"/>
              </w:rPr>
            </w:pPr>
            <w:r>
              <w:rPr>
                <w:rFonts w:ascii="Times New Roman" w:cs="Times New Roman" w:eastAsia="Times New Roman" w:hAnsi="Times New Roman"/>
                <w:sz w:val="13"/>
                <w:szCs w:val="13"/>
                <w:color w:val="auto"/>
              </w:rPr>
              <w:t>10.21 %</w:t>
            </w:r>
          </w:p>
        </w:tc>
        <w:tc>
          <w:tcPr>
            <w:tcW w:w="960" w:type="dxa"/>
            <w:vAlign w:val="bottom"/>
            <w:shd w:val="clear" w:color="auto" w:fill="CFF0FC"/>
          </w:tcPr>
          <w:p>
            <w:pPr>
              <w:jc w:val="right"/>
              <w:ind w:right="55"/>
              <w:spacing w:after="0" w:line="120" w:lineRule="exact"/>
              <w:rPr>
                <w:sz w:val="20"/>
                <w:szCs w:val="20"/>
                <w:color w:val="auto"/>
              </w:rPr>
            </w:pPr>
            <w:r>
              <w:rPr>
                <w:rFonts w:ascii="Times New Roman" w:cs="Times New Roman" w:eastAsia="Times New Roman" w:hAnsi="Times New Roman"/>
                <w:sz w:val="13"/>
                <w:szCs w:val="13"/>
                <w:color w:val="auto"/>
              </w:rPr>
              <w:t>40,026</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40,150</w:t>
            </w:r>
          </w:p>
        </w:tc>
        <w:tc>
          <w:tcPr>
            <w:tcW w:w="12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2.7 %</w:t>
            </w:r>
          </w:p>
        </w:tc>
        <w:tc>
          <w:tcPr>
            <w:tcW w:w="0" w:type="dxa"/>
            <w:vAlign w:val="bottom"/>
          </w:tcPr>
          <w:p>
            <w:pPr>
              <w:spacing w:after="0"/>
              <w:rPr>
                <w:sz w:val="1"/>
                <w:szCs w:val="1"/>
                <w:color w:val="auto"/>
              </w:rPr>
            </w:pPr>
          </w:p>
        </w:tc>
      </w:tr>
      <w:tr>
        <w:trPr>
          <w:trHeight w:val="107"/>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254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10/2025)</w:t>
            </w:r>
          </w:p>
        </w:tc>
        <w:tc>
          <w:tcPr>
            <w:tcW w:w="88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rPr>
              <w:t>(CAD</w:t>
            </w: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shd w:val="clear" w:color="auto" w:fill="CFF0FC"/>
          </w:tcPr>
          <w:p>
            <w:pPr>
              <w:spacing w:after="0"/>
              <w:rPr>
                <w:sz w:val="6"/>
                <w:szCs w:val="6"/>
                <w:color w:val="auto"/>
              </w:rPr>
            </w:pPr>
          </w:p>
        </w:tc>
        <w:tc>
          <w:tcPr>
            <w:tcW w:w="2540" w:type="dxa"/>
            <w:vAlign w:val="bottom"/>
            <w:vMerge w:val="continue"/>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26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2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FF0FC"/>
          </w:tcPr>
          <w:p>
            <w:pPr>
              <w:spacing w:after="0"/>
              <w:rPr>
                <w:sz w:val="14"/>
                <w:szCs w:val="14"/>
                <w:color w:val="auto"/>
              </w:rPr>
            </w:pPr>
          </w:p>
        </w:tc>
        <w:tc>
          <w:tcPr>
            <w:tcW w:w="2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52,941)</w:t>
            </w: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Alpha Midco, Inc. </w:t>
            </w:r>
            <w:r>
              <w:rPr>
                <w:rFonts w:ascii="Times New Roman" w:cs="Times New Roman" w:eastAsia="Times New Roman" w:hAnsi="Times New Roman"/>
                <w:sz w:val="16"/>
                <w:szCs w:val="16"/>
                <w:color w:val="auto"/>
                <w:vertAlign w:val="superscript"/>
              </w:rPr>
              <w:t>(3)(5)</w:t>
            </w: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($68,885 par, due 8/2025)</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8/15/2019</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SOFR + 7.63%</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12.97 %</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68,287</w:t>
            </w:r>
          </w:p>
        </w:tc>
        <w:tc>
          <w:tcPr>
            <w:tcW w:w="200" w:type="dxa"/>
            <w:vAlign w:val="bottom"/>
          </w:tcPr>
          <w:p>
            <w:pPr>
              <w:spacing w:after="0"/>
              <w:rPr>
                <w:sz w:val="13"/>
                <w:szCs w:val="13"/>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69,751</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Artisan Bidco, Inc.</w:t>
            </w:r>
            <w:r>
              <w:rPr>
                <w:rFonts w:ascii="Times New Roman" w:cs="Times New Roman" w:eastAsia="Times New Roman" w:hAnsi="Times New Roman"/>
                <w:sz w:val="16"/>
                <w:szCs w:val="16"/>
                <w:color w:val="auto"/>
                <w:vertAlign w:val="superscript"/>
              </w:rPr>
              <w:t>(3)</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First-lien loan ($38,112 par, due 11/2029)</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11/7/2023</w:t>
            </w:r>
          </w:p>
        </w:tc>
        <w:tc>
          <w:tcPr>
            <w:tcW w:w="11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SOFR + 7.00%</w:t>
            </w:r>
          </w:p>
        </w:tc>
        <w:tc>
          <w:tcPr>
            <w:tcW w:w="126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12.38 %</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37,250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37,563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25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loan (EUR 17,735 par, due</w:t>
            </w:r>
          </w:p>
        </w:tc>
        <w:tc>
          <w:tcPr>
            <w:tcW w:w="8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11/7/2023</w:t>
            </w:r>
          </w:p>
        </w:tc>
        <w:tc>
          <w:tcPr>
            <w:tcW w:w="11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E + 7.00%</w:t>
            </w:r>
          </w:p>
        </w:tc>
        <w:tc>
          <w:tcPr>
            <w:tcW w:w="1260" w:type="dxa"/>
            <w:vAlign w:val="bottom"/>
          </w:tcPr>
          <w:p>
            <w:pPr>
              <w:jc w:val="right"/>
              <w:ind w:right="214"/>
              <w:spacing w:after="0" w:line="144" w:lineRule="exact"/>
              <w:rPr>
                <w:sz w:val="20"/>
                <w:szCs w:val="20"/>
                <w:color w:val="auto"/>
              </w:rPr>
            </w:pPr>
            <w:r>
              <w:rPr>
                <w:rFonts w:ascii="Times New Roman" w:cs="Times New Roman" w:eastAsia="Times New Roman" w:hAnsi="Times New Roman"/>
                <w:sz w:val="13"/>
                <w:szCs w:val="13"/>
                <w:color w:val="auto"/>
              </w:rPr>
              <w:t>10.96 %</w:t>
            </w:r>
          </w:p>
        </w:tc>
        <w:tc>
          <w:tcPr>
            <w:tcW w:w="960" w:type="dxa"/>
            <w:vAlign w:val="bottom"/>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18,681</w:t>
            </w:r>
          </w:p>
        </w:tc>
        <w:tc>
          <w:tcPr>
            <w:tcW w:w="200" w:type="dxa"/>
            <w:vAlign w:val="bottom"/>
          </w:tcPr>
          <w:p>
            <w:pPr>
              <w:spacing w:after="0"/>
              <w:rPr>
                <w:sz w:val="12"/>
                <w:szCs w:val="12"/>
                <w:color w:val="auto"/>
              </w:rPr>
            </w:pP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19,346</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11/2029)</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w w:val="98"/>
              </w:rPr>
              <w:t>(EUR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17,513)</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BCTO Ignition Purchaser,</w:t>
            </w:r>
          </w:p>
        </w:tc>
        <w:tc>
          <w:tcPr>
            <w:tcW w:w="254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holdco loan ($31,935 par, due</w:t>
            </w:r>
          </w:p>
        </w:tc>
        <w:tc>
          <w:tcPr>
            <w:tcW w:w="8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4/18/2023</w:t>
            </w:r>
          </w:p>
        </w:tc>
        <w:tc>
          <w:tcPr>
            <w:tcW w:w="112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SOFR + 9.00%</w:t>
            </w:r>
          </w:p>
        </w:tc>
        <w:tc>
          <w:tcPr>
            <w:tcW w:w="1260" w:type="dxa"/>
            <w:vAlign w:val="bottom"/>
            <w:shd w:val="clear" w:color="auto" w:fill="CFF0FC"/>
          </w:tcPr>
          <w:p>
            <w:pPr>
              <w:jc w:val="right"/>
              <w:ind w:right="354"/>
              <w:spacing w:after="0" w:line="133" w:lineRule="exact"/>
              <w:rPr>
                <w:sz w:val="20"/>
                <w:szCs w:val="20"/>
                <w:color w:val="auto"/>
              </w:rPr>
            </w:pPr>
            <w:r>
              <w:rPr>
                <w:rFonts w:ascii="Times New Roman" w:cs="Times New Roman" w:eastAsia="Times New Roman" w:hAnsi="Times New Roman"/>
                <w:sz w:val="13"/>
                <w:szCs w:val="13"/>
                <w:color w:val="auto"/>
              </w:rPr>
              <w:t>14.40% PIK</w:t>
            </w:r>
          </w:p>
        </w:tc>
        <w:tc>
          <w:tcPr>
            <w:tcW w:w="960" w:type="dxa"/>
            <w:vAlign w:val="bottom"/>
            <w:shd w:val="clear" w:color="auto" w:fill="CFF0FC"/>
          </w:tcPr>
          <w:p>
            <w:pPr>
              <w:jc w:val="right"/>
              <w:ind w:right="55"/>
              <w:spacing w:after="0" w:line="133" w:lineRule="exact"/>
              <w:rPr>
                <w:sz w:val="20"/>
                <w:szCs w:val="20"/>
                <w:color w:val="auto"/>
              </w:rPr>
            </w:pPr>
            <w:r>
              <w:rPr>
                <w:rFonts w:ascii="Times New Roman" w:cs="Times New Roman" w:eastAsia="Times New Roman" w:hAnsi="Times New Roman"/>
                <w:sz w:val="13"/>
                <w:szCs w:val="13"/>
                <w:color w:val="auto"/>
              </w:rPr>
              <w:t>31,086</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31,775</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(3)</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10/2030)</w:t>
            </w:r>
          </w:p>
        </w:tc>
        <w:tc>
          <w:tcPr>
            <w:tcW w:w="8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Crewline Buyer, Inc.</w:t>
            </w:r>
            <w:r>
              <w:rPr>
                <w:rFonts w:ascii="Times New Roman" w:cs="Times New Roman" w:eastAsia="Times New Roman" w:hAnsi="Times New Roman"/>
                <w:sz w:val="16"/>
                <w:szCs w:val="16"/>
                <w:color w:val="auto"/>
                <w:vertAlign w:val="superscript"/>
              </w:rPr>
              <w:t>(3)</w:t>
            </w: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($56,324 par, due 11/2030)</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11/8/2023</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SOFR + 6.75%</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12.10 %</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54,781</w:t>
            </w:r>
          </w:p>
        </w:tc>
        <w:tc>
          <w:tcPr>
            <w:tcW w:w="200" w:type="dxa"/>
            <w:vAlign w:val="bottom"/>
          </w:tcPr>
          <w:p>
            <w:pPr>
              <w:spacing w:after="0"/>
              <w:rPr>
                <w:sz w:val="13"/>
                <w:szCs w:val="13"/>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55,236</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0" w:type="dxa"/>
            <w:vAlign w:val="bottom"/>
          </w:tcPr>
          <w:p>
            <w:pPr>
              <w:spacing w:after="0"/>
              <w:rPr>
                <w:sz w:val="1"/>
                <w:szCs w:val="1"/>
                <w:color w:val="auto"/>
              </w:rPr>
            </w:pPr>
          </w:p>
        </w:tc>
      </w:tr>
      <w:tr>
        <w:trPr>
          <w:trHeight w:val="144"/>
        </w:trPr>
        <w:tc>
          <w:tcPr>
            <w:tcW w:w="150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Dye &amp; Durham Corp. </w:t>
            </w:r>
            <w:r>
              <w:rPr>
                <w:rFonts w:ascii="Times New Roman" w:cs="Times New Roman" w:eastAsia="Times New Roman" w:hAnsi="Times New Roman"/>
                <w:sz w:val="16"/>
                <w:szCs w:val="16"/>
                <w:color w:val="auto"/>
                <w:vertAlign w:val="superscript"/>
              </w:rPr>
              <w:t>(3)(4)</w:t>
            </w:r>
          </w:p>
        </w:tc>
        <w:tc>
          <w:tcPr>
            <w:tcW w:w="25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loan (CAD 37,874 par, due</w:t>
            </w:r>
          </w:p>
        </w:tc>
        <w:tc>
          <w:tcPr>
            <w:tcW w:w="8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12/3/2021</w:t>
            </w:r>
          </w:p>
        </w:tc>
        <w:tc>
          <w:tcPr>
            <w:tcW w:w="112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C + 5.75%</w:t>
            </w:r>
          </w:p>
        </w:tc>
        <w:tc>
          <w:tcPr>
            <w:tcW w:w="1260" w:type="dxa"/>
            <w:vAlign w:val="bottom"/>
            <w:shd w:val="clear" w:color="auto" w:fill="CFF0FC"/>
          </w:tcPr>
          <w:p>
            <w:pPr>
              <w:jc w:val="right"/>
              <w:ind w:right="214"/>
              <w:spacing w:after="0" w:line="144" w:lineRule="exact"/>
              <w:rPr>
                <w:sz w:val="20"/>
                <w:szCs w:val="20"/>
                <w:color w:val="auto"/>
              </w:rPr>
            </w:pPr>
            <w:r>
              <w:rPr>
                <w:rFonts w:ascii="Times New Roman" w:cs="Times New Roman" w:eastAsia="Times New Roman" w:hAnsi="Times New Roman"/>
                <w:sz w:val="13"/>
                <w:szCs w:val="13"/>
                <w:color w:val="auto"/>
              </w:rPr>
              <w:t>11.20 %</w:t>
            </w:r>
          </w:p>
        </w:tc>
        <w:tc>
          <w:tcPr>
            <w:tcW w:w="960" w:type="dxa"/>
            <w:vAlign w:val="bottom"/>
            <w:shd w:val="clear" w:color="auto" w:fill="CFF0FC"/>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28,873</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28,938</w:t>
            </w:r>
          </w:p>
        </w:tc>
        <w:tc>
          <w:tcPr>
            <w:tcW w:w="12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spacing w:after="0"/>
              <w:rPr>
                <w:sz w:val="13"/>
                <w:szCs w:val="13"/>
                <w:color w:val="auto"/>
              </w:rPr>
            </w:pP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12/2027)</w:t>
            </w: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rPr>
              <w:t>(CAD</w:t>
            </w: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FF0FC"/>
          </w:tcPr>
          <w:p>
            <w:pPr>
              <w:spacing w:after="0"/>
              <w:rPr>
                <w:sz w:val="14"/>
                <w:szCs w:val="14"/>
                <w:color w:val="auto"/>
              </w:rPr>
            </w:pPr>
          </w:p>
        </w:tc>
        <w:tc>
          <w:tcPr>
            <w:tcW w:w="2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38,158)</w:t>
            </w: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25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revolving loan (CAD 1,086 par,</w:t>
            </w:r>
          </w:p>
        </w:tc>
        <w:tc>
          <w:tcPr>
            <w:tcW w:w="8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12/3/2021</w:t>
            </w:r>
          </w:p>
        </w:tc>
        <w:tc>
          <w:tcPr>
            <w:tcW w:w="11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C + 5.75%</w:t>
            </w:r>
          </w:p>
        </w:tc>
        <w:tc>
          <w:tcPr>
            <w:tcW w:w="1260" w:type="dxa"/>
            <w:vAlign w:val="bottom"/>
          </w:tcPr>
          <w:p>
            <w:pPr>
              <w:jc w:val="right"/>
              <w:ind w:right="214"/>
              <w:spacing w:after="0" w:line="144" w:lineRule="exact"/>
              <w:rPr>
                <w:sz w:val="20"/>
                <w:szCs w:val="20"/>
                <w:color w:val="auto"/>
              </w:rPr>
            </w:pPr>
            <w:r>
              <w:rPr>
                <w:rFonts w:ascii="Times New Roman" w:cs="Times New Roman" w:eastAsia="Times New Roman" w:hAnsi="Times New Roman"/>
                <w:sz w:val="13"/>
                <w:szCs w:val="13"/>
                <w:color w:val="auto"/>
              </w:rPr>
              <w:t>11.20 %</w:t>
            </w:r>
          </w:p>
        </w:tc>
        <w:tc>
          <w:tcPr>
            <w:tcW w:w="960" w:type="dxa"/>
            <w:vAlign w:val="bottom"/>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693</w:t>
            </w:r>
          </w:p>
        </w:tc>
        <w:tc>
          <w:tcPr>
            <w:tcW w:w="200" w:type="dxa"/>
            <w:vAlign w:val="bottom"/>
          </w:tcPr>
          <w:p>
            <w:pPr>
              <w:spacing w:after="0"/>
              <w:rPr>
                <w:sz w:val="12"/>
                <w:szCs w:val="12"/>
                <w:color w:val="auto"/>
              </w:rPr>
            </w:pP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824</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due 12/2026)</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(CAD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1,086)</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ExtraHop Networks,</w:t>
            </w:r>
          </w:p>
        </w:tc>
        <w:tc>
          <w:tcPr>
            <w:tcW w:w="254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loan ($66,197 par, due 7/2027)</w:t>
            </w:r>
          </w:p>
        </w:tc>
        <w:tc>
          <w:tcPr>
            <w:tcW w:w="8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7/22/2021</w:t>
            </w:r>
          </w:p>
        </w:tc>
        <w:tc>
          <w:tcPr>
            <w:tcW w:w="112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SOFR + 7.60%</w:t>
            </w:r>
          </w:p>
        </w:tc>
        <w:tc>
          <w:tcPr>
            <w:tcW w:w="1260" w:type="dxa"/>
            <w:vAlign w:val="bottom"/>
            <w:shd w:val="clear" w:color="auto" w:fill="CFF0FC"/>
          </w:tcPr>
          <w:p>
            <w:pPr>
              <w:jc w:val="right"/>
              <w:ind w:right="214"/>
              <w:spacing w:after="0" w:line="133" w:lineRule="exact"/>
              <w:rPr>
                <w:sz w:val="20"/>
                <w:szCs w:val="20"/>
                <w:color w:val="auto"/>
              </w:rPr>
            </w:pPr>
            <w:r>
              <w:rPr>
                <w:rFonts w:ascii="Times New Roman" w:cs="Times New Roman" w:eastAsia="Times New Roman" w:hAnsi="Times New Roman"/>
                <w:sz w:val="13"/>
                <w:szCs w:val="13"/>
                <w:color w:val="auto"/>
              </w:rPr>
              <w:t>12.96 %</w:t>
            </w:r>
          </w:p>
        </w:tc>
        <w:tc>
          <w:tcPr>
            <w:tcW w:w="960" w:type="dxa"/>
            <w:vAlign w:val="bottom"/>
            <w:shd w:val="clear" w:color="auto" w:fill="CFF0FC"/>
          </w:tcPr>
          <w:p>
            <w:pPr>
              <w:jc w:val="right"/>
              <w:ind w:right="55"/>
              <w:spacing w:after="0" w:line="133" w:lineRule="exact"/>
              <w:rPr>
                <w:sz w:val="20"/>
                <w:szCs w:val="20"/>
                <w:color w:val="auto"/>
              </w:rPr>
            </w:pPr>
            <w:r>
              <w:rPr>
                <w:rFonts w:ascii="Times New Roman" w:cs="Times New Roman" w:eastAsia="Times New Roman" w:hAnsi="Times New Roman"/>
                <w:sz w:val="13"/>
                <w:szCs w:val="13"/>
                <w:color w:val="auto"/>
              </w:rPr>
              <w:t>65,245</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65,866</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Inc.</w:t>
            </w:r>
            <w:r>
              <w:rPr>
                <w:rFonts w:ascii="Times New Roman" w:cs="Times New Roman" w:eastAsia="Times New Roman" w:hAnsi="Times New Roman"/>
                <w:sz w:val="7"/>
                <w:szCs w:val="7"/>
                <w:color w:val="auto"/>
              </w:rPr>
              <w:t xml:space="preserve"> (3)(5)</w:t>
            </w:r>
          </w:p>
        </w:tc>
        <w:tc>
          <w:tcPr>
            <w:tcW w:w="25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5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ForeScout Technologies,</w:t>
            </w:r>
          </w:p>
        </w:tc>
        <w:tc>
          <w:tcPr>
            <w:tcW w:w="2540" w:type="dxa"/>
            <w:vAlign w:val="bottom"/>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loan ($5,476 par, due 8/2026)</w:t>
            </w:r>
          </w:p>
        </w:tc>
        <w:tc>
          <w:tcPr>
            <w:tcW w:w="88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7/1/2022</w:t>
            </w:r>
          </w:p>
        </w:tc>
        <w:tc>
          <w:tcPr>
            <w:tcW w:w="1120" w:type="dxa"/>
            <w:vAlign w:val="bottom"/>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SOFR + 8.10%</w:t>
            </w:r>
          </w:p>
        </w:tc>
        <w:tc>
          <w:tcPr>
            <w:tcW w:w="1260" w:type="dxa"/>
            <w:vAlign w:val="bottom"/>
          </w:tcPr>
          <w:p>
            <w:pPr>
              <w:jc w:val="right"/>
              <w:ind w:right="214"/>
              <w:spacing w:after="0" w:line="133" w:lineRule="exact"/>
              <w:rPr>
                <w:sz w:val="20"/>
                <w:szCs w:val="20"/>
                <w:color w:val="auto"/>
              </w:rPr>
            </w:pPr>
            <w:r>
              <w:rPr>
                <w:rFonts w:ascii="Times New Roman" w:cs="Times New Roman" w:eastAsia="Times New Roman" w:hAnsi="Times New Roman"/>
                <w:sz w:val="13"/>
                <w:szCs w:val="13"/>
                <w:color w:val="auto"/>
              </w:rPr>
              <w:t>13.45 %</w:t>
            </w:r>
          </w:p>
        </w:tc>
        <w:tc>
          <w:tcPr>
            <w:tcW w:w="960" w:type="dxa"/>
            <w:vAlign w:val="bottom"/>
          </w:tcPr>
          <w:p>
            <w:pPr>
              <w:jc w:val="right"/>
              <w:ind w:right="55"/>
              <w:spacing w:after="0" w:line="133" w:lineRule="exact"/>
              <w:rPr>
                <w:sz w:val="20"/>
                <w:szCs w:val="20"/>
                <w:color w:val="auto"/>
              </w:rPr>
            </w:pPr>
            <w:r>
              <w:rPr>
                <w:rFonts w:ascii="Times New Roman" w:cs="Times New Roman" w:eastAsia="Times New Roman" w:hAnsi="Times New Roman"/>
                <w:sz w:val="13"/>
                <w:szCs w:val="13"/>
                <w:color w:val="auto"/>
              </w:rPr>
              <w:t>5,420</w:t>
            </w:r>
          </w:p>
        </w:tc>
        <w:tc>
          <w:tcPr>
            <w:tcW w:w="200" w:type="dxa"/>
            <w:vAlign w:val="bottom"/>
          </w:tcPr>
          <w:p>
            <w:pPr>
              <w:spacing w:after="0"/>
              <w:rPr>
                <w:sz w:val="11"/>
                <w:szCs w:val="11"/>
                <w:color w:val="auto"/>
              </w:rPr>
            </w:pPr>
          </w:p>
        </w:tc>
        <w:tc>
          <w:tcPr>
            <w:tcW w:w="8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5,498</w:t>
            </w: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79"/>
        </w:trPr>
        <w:tc>
          <w:tcPr>
            <w:tcW w:w="150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(3)</w:t>
            </w:r>
          </w:p>
        </w:tc>
        <w:tc>
          <w:tcPr>
            <w:tcW w:w="2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Galileo Parent, Inc. </w:t>
            </w:r>
            <w:r>
              <w:rPr>
                <w:rFonts w:ascii="Times New Roman" w:cs="Times New Roman" w:eastAsia="Times New Roman" w:hAnsi="Times New Roman"/>
                <w:sz w:val="16"/>
                <w:szCs w:val="16"/>
                <w:color w:val="auto"/>
                <w:vertAlign w:val="superscript"/>
              </w:rPr>
              <w:t>(3)</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First-lien loan ($64,742 par, due 5/2030)</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5/3/2023</w:t>
            </w:r>
          </w:p>
        </w:tc>
        <w:tc>
          <w:tcPr>
            <w:tcW w:w="11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SOFR + 7.25%</w:t>
            </w:r>
          </w:p>
        </w:tc>
        <w:tc>
          <w:tcPr>
            <w:tcW w:w="126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12.60 %</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62,920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63,770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25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revolving loan ($3,317 par, due</w:t>
            </w:r>
          </w:p>
        </w:tc>
        <w:tc>
          <w:tcPr>
            <w:tcW w:w="8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5/3/2023</w:t>
            </w:r>
          </w:p>
        </w:tc>
        <w:tc>
          <w:tcPr>
            <w:tcW w:w="11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SOFR + 7.25%</w:t>
            </w:r>
          </w:p>
        </w:tc>
        <w:tc>
          <w:tcPr>
            <w:tcW w:w="1260" w:type="dxa"/>
            <w:vAlign w:val="bottom"/>
          </w:tcPr>
          <w:p>
            <w:pPr>
              <w:jc w:val="right"/>
              <w:ind w:right="214"/>
              <w:spacing w:after="0" w:line="144" w:lineRule="exact"/>
              <w:rPr>
                <w:sz w:val="20"/>
                <w:szCs w:val="20"/>
                <w:color w:val="auto"/>
              </w:rPr>
            </w:pPr>
            <w:r>
              <w:rPr>
                <w:rFonts w:ascii="Times New Roman" w:cs="Times New Roman" w:eastAsia="Times New Roman" w:hAnsi="Times New Roman"/>
                <w:sz w:val="13"/>
                <w:szCs w:val="13"/>
                <w:color w:val="auto"/>
              </w:rPr>
              <w:t>12.60 %</w:t>
            </w:r>
          </w:p>
        </w:tc>
        <w:tc>
          <w:tcPr>
            <w:tcW w:w="960" w:type="dxa"/>
            <w:vAlign w:val="bottom"/>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3,048</w:t>
            </w:r>
          </w:p>
        </w:tc>
        <w:tc>
          <w:tcPr>
            <w:tcW w:w="200" w:type="dxa"/>
            <w:vAlign w:val="bottom"/>
          </w:tcPr>
          <w:p>
            <w:pPr>
              <w:spacing w:after="0"/>
              <w:rPr>
                <w:sz w:val="12"/>
                <w:szCs w:val="12"/>
                <w:color w:val="auto"/>
              </w:rPr>
            </w:pP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3,166</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5/2029)</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Hornetsecurity Holding</w:t>
            </w:r>
          </w:p>
        </w:tc>
        <w:tc>
          <w:tcPr>
            <w:tcW w:w="254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loan (EUR 3,150 par, due</w:t>
            </w:r>
          </w:p>
        </w:tc>
        <w:tc>
          <w:tcPr>
            <w:tcW w:w="8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11/14/2022</w:t>
            </w:r>
          </w:p>
        </w:tc>
        <w:tc>
          <w:tcPr>
            <w:tcW w:w="112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E + 6.50%</w:t>
            </w:r>
          </w:p>
        </w:tc>
        <w:tc>
          <w:tcPr>
            <w:tcW w:w="1260" w:type="dxa"/>
            <w:vAlign w:val="bottom"/>
            <w:shd w:val="clear" w:color="auto" w:fill="CFF0FC"/>
          </w:tcPr>
          <w:p>
            <w:pPr>
              <w:jc w:val="right"/>
              <w:ind w:right="214"/>
              <w:spacing w:after="0" w:line="133" w:lineRule="exact"/>
              <w:rPr>
                <w:sz w:val="20"/>
                <w:szCs w:val="20"/>
                <w:color w:val="auto"/>
              </w:rPr>
            </w:pPr>
            <w:r>
              <w:rPr>
                <w:rFonts w:ascii="Times New Roman" w:cs="Times New Roman" w:eastAsia="Times New Roman" w:hAnsi="Times New Roman"/>
                <w:sz w:val="13"/>
                <w:szCs w:val="13"/>
                <w:color w:val="auto"/>
              </w:rPr>
              <w:t>10.50 %</w:t>
            </w:r>
          </w:p>
        </w:tc>
        <w:tc>
          <w:tcPr>
            <w:tcW w:w="960" w:type="dxa"/>
            <w:vAlign w:val="bottom"/>
            <w:shd w:val="clear" w:color="auto" w:fill="CFF0FC"/>
          </w:tcPr>
          <w:p>
            <w:pPr>
              <w:jc w:val="right"/>
              <w:ind w:right="55"/>
              <w:spacing w:after="0" w:line="133" w:lineRule="exact"/>
              <w:rPr>
                <w:sz w:val="20"/>
                <w:szCs w:val="20"/>
                <w:color w:val="auto"/>
              </w:rPr>
            </w:pPr>
            <w:r>
              <w:rPr>
                <w:rFonts w:ascii="Times New Roman" w:cs="Times New Roman" w:eastAsia="Times New Roman" w:hAnsi="Times New Roman"/>
                <w:sz w:val="13"/>
                <w:szCs w:val="13"/>
                <w:color w:val="auto"/>
              </w:rPr>
              <w:t>3,154</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3,536</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67"/>
        </w:trPr>
        <w:tc>
          <w:tcPr>
            <w:tcW w:w="15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9"/>
                <w:szCs w:val="19"/>
                <w:color w:val="auto"/>
                <w:vertAlign w:val="subscript"/>
              </w:rPr>
              <w:t>GmbH</w:t>
            </w:r>
            <w:r>
              <w:rPr>
                <w:rFonts w:ascii="Times New Roman" w:cs="Times New Roman" w:eastAsia="Times New Roman" w:hAnsi="Times New Roman"/>
                <w:sz w:val="7"/>
                <w:szCs w:val="7"/>
                <w:color w:val="auto"/>
              </w:rPr>
              <w:t xml:space="preserve"> (3)(4)</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11/2029)</w:t>
            </w:r>
          </w:p>
        </w:tc>
        <w:tc>
          <w:tcPr>
            <w:tcW w:w="8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w w:val="98"/>
              </w:rPr>
              <w:t>(EUR</w:t>
            </w: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FF0FC"/>
          </w:tcPr>
          <w:p>
            <w:pPr>
              <w:spacing w:after="0"/>
              <w:rPr>
                <w:sz w:val="14"/>
                <w:szCs w:val="14"/>
                <w:color w:val="auto"/>
              </w:rPr>
            </w:pPr>
          </w:p>
        </w:tc>
        <w:tc>
          <w:tcPr>
            <w:tcW w:w="2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3,201)</w:t>
            </w: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Information</w:t>
            </w:r>
          </w:p>
        </w:tc>
        <w:tc>
          <w:tcPr>
            <w:tcW w:w="25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loan ($17,640 par, due 12/2026)</w:t>
            </w:r>
          </w:p>
        </w:tc>
        <w:tc>
          <w:tcPr>
            <w:tcW w:w="8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12/20/2021</w:t>
            </w:r>
          </w:p>
        </w:tc>
        <w:tc>
          <w:tcPr>
            <w:tcW w:w="11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SOFR + 6.65%</w:t>
            </w:r>
          </w:p>
        </w:tc>
        <w:tc>
          <w:tcPr>
            <w:tcW w:w="1260" w:type="dxa"/>
            <w:vAlign w:val="bottom"/>
          </w:tcPr>
          <w:p>
            <w:pPr>
              <w:jc w:val="right"/>
              <w:ind w:right="214"/>
              <w:spacing w:after="0" w:line="144" w:lineRule="exact"/>
              <w:rPr>
                <w:sz w:val="20"/>
                <w:szCs w:val="20"/>
                <w:color w:val="auto"/>
              </w:rPr>
            </w:pPr>
            <w:r>
              <w:rPr>
                <w:rFonts w:ascii="Times New Roman" w:cs="Times New Roman" w:eastAsia="Times New Roman" w:hAnsi="Times New Roman"/>
                <w:sz w:val="13"/>
                <w:szCs w:val="13"/>
                <w:color w:val="auto"/>
              </w:rPr>
              <w:t>12.02 %</w:t>
            </w:r>
          </w:p>
        </w:tc>
        <w:tc>
          <w:tcPr>
            <w:tcW w:w="960" w:type="dxa"/>
            <w:vAlign w:val="bottom"/>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17,342</w:t>
            </w:r>
          </w:p>
        </w:tc>
        <w:tc>
          <w:tcPr>
            <w:tcW w:w="200" w:type="dxa"/>
            <w:vAlign w:val="bottom"/>
          </w:tcPr>
          <w:p>
            <w:pPr>
              <w:spacing w:after="0"/>
              <w:rPr>
                <w:sz w:val="12"/>
                <w:szCs w:val="12"/>
                <w:color w:val="auto"/>
              </w:rPr>
            </w:pP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17,598</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Clearinghouse, LLC and</w:t>
            </w:r>
          </w:p>
        </w:tc>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MS Market Service, LLC</w:t>
            </w:r>
          </w:p>
        </w:tc>
        <w:tc>
          <w:tcPr>
            <w:tcW w:w="2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(3)(5)</w:t>
            </w:r>
          </w:p>
        </w:tc>
        <w:tc>
          <w:tcPr>
            <w:tcW w:w="2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5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Mitnick Corporate</w:t>
            </w:r>
          </w:p>
        </w:tc>
        <w:tc>
          <w:tcPr>
            <w:tcW w:w="254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loan ($329 par, due 5/2029)</w:t>
            </w:r>
          </w:p>
        </w:tc>
        <w:tc>
          <w:tcPr>
            <w:tcW w:w="8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5/2/2022</w:t>
            </w:r>
          </w:p>
        </w:tc>
        <w:tc>
          <w:tcPr>
            <w:tcW w:w="112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SOFR + 4.50%</w:t>
            </w:r>
          </w:p>
        </w:tc>
        <w:tc>
          <w:tcPr>
            <w:tcW w:w="1260" w:type="dxa"/>
            <w:vAlign w:val="bottom"/>
            <w:shd w:val="clear" w:color="auto" w:fill="CFF0FC"/>
          </w:tcPr>
          <w:p>
            <w:pPr>
              <w:jc w:val="right"/>
              <w:ind w:right="214"/>
              <w:spacing w:after="0" w:line="133" w:lineRule="exact"/>
              <w:rPr>
                <w:sz w:val="20"/>
                <w:szCs w:val="20"/>
                <w:color w:val="auto"/>
              </w:rPr>
            </w:pPr>
            <w:r>
              <w:rPr>
                <w:rFonts w:ascii="Times New Roman" w:cs="Times New Roman" w:eastAsia="Times New Roman" w:hAnsi="Times New Roman"/>
                <w:sz w:val="13"/>
                <w:szCs w:val="13"/>
                <w:color w:val="auto"/>
              </w:rPr>
              <w:t>9.98 %</w:t>
            </w:r>
          </w:p>
        </w:tc>
        <w:tc>
          <w:tcPr>
            <w:tcW w:w="960" w:type="dxa"/>
            <w:vAlign w:val="bottom"/>
            <w:shd w:val="clear" w:color="auto" w:fill="CFF0FC"/>
          </w:tcPr>
          <w:p>
            <w:pPr>
              <w:jc w:val="right"/>
              <w:ind w:right="55"/>
              <w:spacing w:after="0" w:line="133" w:lineRule="exact"/>
              <w:rPr>
                <w:sz w:val="20"/>
                <w:szCs w:val="20"/>
                <w:color w:val="auto"/>
              </w:rPr>
            </w:pPr>
            <w:r>
              <w:rPr>
                <w:rFonts w:ascii="Times New Roman" w:cs="Times New Roman" w:eastAsia="Times New Roman" w:hAnsi="Times New Roman"/>
                <w:sz w:val="13"/>
                <w:szCs w:val="13"/>
                <w:color w:val="auto"/>
              </w:rPr>
              <w:t>329</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310</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219"/>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Purchaser, Inc. </w:t>
            </w:r>
            <w:r>
              <w:rPr>
                <w:rFonts w:ascii="Times New Roman" w:cs="Times New Roman" w:eastAsia="Times New Roman" w:hAnsi="Times New Roman"/>
                <w:sz w:val="16"/>
                <w:szCs w:val="16"/>
                <w:color w:val="auto"/>
                <w:vertAlign w:val="superscript"/>
              </w:rPr>
              <w:t>(3)(9)</w:t>
            </w:r>
          </w:p>
        </w:tc>
        <w:tc>
          <w:tcPr>
            <w:tcW w:w="2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500" w:type="dxa"/>
            <w:vAlign w:val="bottom"/>
            <w:shd w:val="clear" w:color="auto" w:fill="CFF0FC"/>
          </w:tcPr>
          <w:p>
            <w:pPr>
              <w:spacing w:after="0"/>
              <w:rPr>
                <w:sz w:val="5"/>
                <w:szCs w:val="5"/>
                <w:color w:val="auto"/>
              </w:rPr>
            </w:pPr>
          </w:p>
        </w:tc>
        <w:tc>
          <w:tcPr>
            <w:tcW w:w="254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6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Netwrix Corp. </w:t>
            </w:r>
            <w:r>
              <w:rPr>
                <w:rFonts w:ascii="Times New Roman" w:cs="Times New Roman" w:eastAsia="Times New Roman" w:hAnsi="Times New Roman"/>
                <w:sz w:val="16"/>
                <w:szCs w:val="16"/>
                <w:color w:val="auto"/>
                <w:vertAlign w:val="superscript"/>
              </w:rPr>
              <w:t>(3)</w:t>
            </w: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($36,594 par, due 6/2029)</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6/9/2022</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SOFR + 5.00%</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10.39 %</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36,074</w:t>
            </w:r>
          </w:p>
        </w:tc>
        <w:tc>
          <w:tcPr>
            <w:tcW w:w="200" w:type="dxa"/>
            <w:vAlign w:val="bottom"/>
          </w:tcPr>
          <w:p>
            <w:pPr>
              <w:spacing w:after="0"/>
              <w:rPr>
                <w:sz w:val="13"/>
                <w:szCs w:val="13"/>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36,842</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0" w:type="dxa"/>
            <w:vAlign w:val="bottom"/>
          </w:tcPr>
          <w:p>
            <w:pPr>
              <w:spacing w:after="0"/>
              <w:rPr>
                <w:sz w:val="1"/>
                <w:szCs w:val="1"/>
                <w:color w:val="auto"/>
              </w:rPr>
            </w:pPr>
          </w:p>
        </w:tc>
      </w:tr>
      <w:tr>
        <w:trPr>
          <w:trHeight w:val="133"/>
        </w:trPr>
        <w:tc>
          <w:tcPr>
            <w:tcW w:w="15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OutSystems Luxco</w:t>
            </w:r>
          </w:p>
        </w:tc>
        <w:tc>
          <w:tcPr>
            <w:tcW w:w="254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loan (EUR 3,004 par, due</w:t>
            </w:r>
          </w:p>
        </w:tc>
        <w:tc>
          <w:tcPr>
            <w:tcW w:w="8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12/8/2022</w:t>
            </w:r>
          </w:p>
        </w:tc>
        <w:tc>
          <w:tcPr>
            <w:tcW w:w="112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E + 5.75%</w:t>
            </w:r>
          </w:p>
        </w:tc>
        <w:tc>
          <w:tcPr>
            <w:tcW w:w="1260" w:type="dxa"/>
            <w:vAlign w:val="bottom"/>
            <w:shd w:val="clear" w:color="auto" w:fill="CFF0FC"/>
          </w:tcPr>
          <w:p>
            <w:pPr>
              <w:jc w:val="right"/>
              <w:ind w:right="214"/>
              <w:spacing w:after="0" w:line="133" w:lineRule="exact"/>
              <w:rPr>
                <w:sz w:val="20"/>
                <w:szCs w:val="20"/>
                <w:color w:val="auto"/>
              </w:rPr>
            </w:pPr>
            <w:r>
              <w:rPr>
                <w:rFonts w:ascii="Times New Roman" w:cs="Times New Roman" w:eastAsia="Times New Roman" w:hAnsi="Times New Roman"/>
                <w:sz w:val="13"/>
                <w:szCs w:val="13"/>
                <w:color w:val="auto"/>
              </w:rPr>
              <w:t>9.59 %</w:t>
            </w:r>
          </w:p>
        </w:tc>
        <w:tc>
          <w:tcPr>
            <w:tcW w:w="960" w:type="dxa"/>
            <w:vAlign w:val="bottom"/>
            <w:shd w:val="clear" w:color="auto" w:fill="CFF0FC"/>
          </w:tcPr>
          <w:p>
            <w:pPr>
              <w:jc w:val="right"/>
              <w:ind w:right="55"/>
              <w:spacing w:after="0" w:line="133" w:lineRule="exact"/>
              <w:rPr>
                <w:sz w:val="20"/>
                <w:szCs w:val="20"/>
                <w:color w:val="auto"/>
              </w:rPr>
            </w:pPr>
            <w:r>
              <w:rPr>
                <w:rFonts w:ascii="Times New Roman" w:cs="Times New Roman" w:eastAsia="Times New Roman" w:hAnsi="Times New Roman"/>
                <w:sz w:val="13"/>
                <w:szCs w:val="13"/>
                <w:color w:val="auto"/>
              </w:rPr>
              <w:t>3,091</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3,332</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67"/>
        </w:trPr>
        <w:tc>
          <w:tcPr>
            <w:tcW w:w="15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9"/>
                <w:szCs w:val="19"/>
                <w:color w:val="auto"/>
                <w:vertAlign w:val="subscript"/>
              </w:rPr>
              <w:t>SARL</w:t>
            </w:r>
            <w:r>
              <w:rPr>
                <w:rFonts w:ascii="Times New Roman" w:cs="Times New Roman" w:eastAsia="Times New Roman" w:hAnsi="Times New Roman"/>
                <w:sz w:val="7"/>
                <w:szCs w:val="7"/>
                <w:color w:val="auto"/>
              </w:rPr>
              <w:t>(3)(4)(5)</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12/2028)</w:t>
            </w:r>
          </w:p>
        </w:tc>
        <w:tc>
          <w:tcPr>
            <w:tcW w:w="8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w w:val="98"/>
              </w:rPr>
              <w:t>(EUR</w:t>
            </w: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FF0FC"/>
          </w:tcPr>
          <w:p>
            <w:pPr>
              <w:spacing w:after="0"/>
              <w:rPr>
                <w:sz w:val="14"/>
                <w:szCs w:val="14"/>
                <w:color w:val="auto"/>
              </w:rPr>
            </w:pPr>
          </w:p>
        </w:tc>
        <w:tc>
          <w:tcPr>
            <w:tcW w:w="2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3,016)</w:t>
            </w: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0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6"/>
                <w:szCs w:val="16"/>
                <w:color w:val="auto"/>
                <w:vertAlign w:val="superscript"/>
              </w:rPr>
              <w:t>(3)(4)</w:t>
            </w:r>
          </w:p>
        </w:tc>
        <w:tc>
          <w:tcPr>
            <w:tcW w:w="25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loan (EUR 910 par, due 10/2029)</w:t>
            </w:r>
          </w:p>
        </w:tc>
        <w:tc>
          <w:tcPr>
            <w:tcW w:w="8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10/27/2023</w:t>
            </w:r>
          </w:p>
        </w:tc>
        <w:tc>
          <w:tcPr>
            <w:tcW w:w="11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E + 7.00%</w:t>
            </w:r>
          </w:p>
        </w:tc>
        <w:tc>
          <w:tcPr>
            <w:tcW w:w="1260" w:type="dxa"/>
            <w:vAlign w:val="bottom"/>
          </w:tcPr>
          <w:p>
            <w:pPr>
              <w:jc w:val="right"/>
              <w:ind w:right="214"/>
              <w:spacing w:after="0" w:line="144" w:lineRule="exact"/>
              <w:rPr>
                <w:sz w:val="20"/>
                <w:szCs w:val="20"/>
                <w:color w:val="auto"/>
              </w:rPr>
            </w:pPr>
            <w:r>
              <w:rPr>
                <w:rFonts w:ascii="Times New Roman" w:cs="Times New Roman" w:eastAsia="Times New Roman" w:hAnsi="Times New Roman"/>
                <w:sz w:val="13"/>
                <w:szCs w:val="13"/>
                <w:color w:val="auto"/>
              </w:rPr>
              <w:t>10.94 %</w:t>
            </w:r>
          </w:p>
        </w:tc>
        <w:tc>
          <w:tcPr>
            <w:tcW w:w="960" w:type="dxa"/>
            <w:vAlign w:val="bottom"/>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962</w:t>
            </w:r>
          </w:p>
        </w:tc>
        <w:tc>
          <w:tcPr>
            <w:tcW w:w="200" w:type="dxa"/>
            <w:vAlign w:val="bottom"/>
          </w:tcPr>
          <w:p>
            <w:pPr>
              <w:spacing w:after="0"/>
              <w:rPr>
                <w:sz w:val="12"/>
                <w:szCs w:val="12"/>
                <w:color w:val="auto"/>
              </w:rPr>
            </w:pP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983</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(EUR 890)</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ReliaQuest Holdings,</w:t>
            </w:r>
          </w:p>
        </w:tc>
        <w:tc>
          <w:tcPr>
            <w:tcW w:w="254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loan ($82,626 par, due 10/2026)</w:t>
            </w:r>
          </w:p>
        </w:tc>
        <w:tc>
          <w:tcPr>
            <w:tcW w:w="8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10/8/2020</w:t>
            </w:r>
          </w:p>
        </w:tc>
        <w:tc>
          <w:tcPr>
            <w:tcW w:w="112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SOFR + 7.25%</w:t>
            </w:r>
          </w:p>
        </w:tc>
        <w:tc>
          <w:tcPr>
            <w:tcW w:w="1260" w:type="dxa"/>
            <w:vAlign w:val="bottom"/>
            <w:shd w:val="clear" w:color="auto" w:fill="CFF0FC"/>
          </w:tcPr>
          <w:p>
            <w:pPr>
              <w:jc w:val="right"/>
              <w:ind w:right="214"/>
              <w:spacing w:after="0" w:line="133" w:lineRule="exact"/>
              <w:rPr>
                <w:sz w:val="20"/>
                <w:szCs w:val="20"/>
                <w:color w:val="auto"/>
              </w:rPr>
            </w:pPr>
            <w:r>
              <w:rPr>
                <w:rFonts w:ascii="Times New Roman" w:cs="Times New Roman" w:eastAsia="Times New Roman" w:hAnsi="Times New Roman"/>
                <w:sz w:val="13"/>
                <w:szCs w:val="13"/>
                <w:color w:val="auto"/>
              </w:rPr>
              <w:t>12.63 %</w:t>
            </w:r>
          </w:p>
        </w:tc>
        <w:tc>
          <w:tcPr>
            <w:tcW w:w="960" w:type="dxa"/>
            <w:vAlign w:val="bottom"/>
            <w:shd w:val="clear" w:color="auto" w:fill="CFF0FC"/>
          </w:tcPr>
          <w:p>
            <w:pPr>
              <w:jc w:val="right"/>
              <w:ind w:right="55"/>
              <w:spacing w:after="0" w:line="133" w:lineRule="exact"/>
              <w:rPr>
                <w:sz w:val="20"/>
                <w:szCs w:val="20"/>
                <w:color w:val="auto"/>
              </w:rPr>
            </w:pPr>
            <w:r>
              <w:rPr>
                <w:rFonts w:ascii="Times New Roman" w:cs="Times New Roman" w:eastAsia="Times New Roman" w:hAnsi="Times New Roman"/>
                <w:sz w:val="13"/>
                <w:szCs w:val="13"/>
                <w:color w:val="auto"/>
              </w:rPr>
              <w:t>81,711</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83,658</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5.6 %</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7"/>
                <w:szCs w:val="7"/>
                <w:color w:val="auto"/>
              </w:rPr>
              <w:t xml:space="preserve"> (3)(5)</w:t>
            </w:r>
          </w:p>
        </w:tc>
        <w:tc>
          <w:tcPr>
            <w:tcW w:w="25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Wrangler TopCo, LLC </w:t>
            </w:r>
            <w:r>
              <w:rPr>
                <w:rFonts w:ascii="Times New Roman" w:cs="Times New Roman" w:eastAsia="Times New Roman" w:hAnsi="Times New Roman"/>
                <w:sz w:val="16"/>
                <w:szCs w:val="16"/>
                <w:color w:val="auto"/>
                <w:vertAlign w:val="superscript"/>
              </w:rPr>
              <w:t>(3)</w:t>
            </w: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($4,153 par, due 7/2029)</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7/7/2023</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SOFR + 7.50%</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12.88 %</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4,044</w:t>
            </w:r>
          </w:p>
        </w:tc>
        <w:tc>
          <w:tcPr>
            <w:tcW w:w="200" w:type="dxa"/>
            <w:vAlign w:val="bottom"/>
          </w:tcPr>
          <w:p>
            <w:pPr>
              <w:spacing w:after="0"/>
              <w:rPr>
                <w:sz w:val="13"/>
                <w:szCs w:val="13"/>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4,118</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spacing w:after="0"/>
              <w:rPr>
                <w:sz w:val="13"/>
                <w:szCs w:val="13"/>
                <w:color w:val="auto"/>
              </w:rPr>
            </w:pPr>
          </w:p>
        </w:tc>
        <w:tc>
          <w:tcPr>
            <w:tcW w:w="25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563,017</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572,260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38.3 %</w:t>
            </w: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Chemicals</w:t>
            </w:r>
          </w:p>
        </w:tc>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5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Erling Lux Bidco SARL</w:t>
            </w:r>
            <w:r>
              <w:rPr>
                <w:rFonts w:ascii="Times New Roman" w:cs="Times New Roman" w:eastAsia="Times New Roman" w:hAnsi="Times New Roman"/>
                <w:sz w:val="13"/>
                <w:szCs w:val="13"/>
                <w:color w:val="auto"/>
                <w:vertAlign w:val="superscript"/>
              </w:rPr>
              <w:t>(3)</w:t>
            </w:r>
          </w:p>
        </w:tc>
        <w:tc>
          <w:tcPr>
            <w:tcW w:w="254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3"/>
                <w:szCs w:val="13"/>
                <w:color w:val="auto"/>
              </w:rPr>
              <w:t>First-lien loan (EUR 7,239 par, due 9/2028)</w:t>
            </w:r>
          </w:p>
        </w:tc>
        <w:tc>
          <w:tcPr>
            <w:tcW w:w="880" w:type="dxa"/>
            <w:vAlign w:val="bottom"/>
            <w:shd w:val="clear" w:color="auto" w:fill="CFF0FC"/>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9/6/2022</w:t>
            </w:r>
          </w:p>
        </w:tc>
        <w:tc>
          <w:tcPr>
            <w:tcW w:w="1120" w:type="dxa"/>
            <w:vAlign w:val="bottom"/>
            <w:shd w:val="clear" w:color="auto" w:fill="CFF0FC"/>
          </w:tcPr>
          <w:p>
            <w:pPr>
              <w:jc w:val="right"/>
              <w:ind w:right="154"/>
              <w:spacing w:after="0" w:line="120" w:lineRule="exact"/>
              <w:rPr>
                <w:sz w:val="20"/>
                <w:szCs w:val="20"/>
                <w:color w:val="auto"/>
              </w:rPr>
            </w:pPr>
            <w:r>
              <w:rPr>
                <w:rFonts w:ascii="Times New Roman" w:cs="Times New Roman" w:eastAsia="Times New Roman" w:hAnsi="Times New Roman"/>
                <w:sz w:val="13"/>
                <w:szCs w:val="13"/>
                <w:color w:val="auto"/>
              </w:rPr>
              <w:t>E + 6.75%</w:t>
            </w:r>
          </w:p>
        </w:tc>
        <w:tc>
          <w:tcPr>
            <w:tcW w:w="1260" w:type="dxa"/>
            <w:vAlign w:val="bottom"/>
            <w:shd w:val="clear" w:color="auto" w:fill="CFF0FC"/>
          </w:tcPr>
          <w:p>
            <w:pPr>
              <w:jc w:val="right"/>
              <w:ind w:right="214"/>
              <w:spacing w:after="0" w:line="120" w:lineRule="exact"/>
              <w:rPr>
                <w:sz w:val="20"/>
                <w:szCs w:val="20"/>
                <w:color w:val="auto"/>
              </w:rPr>
            </w:pPr>
            <w:r>
              <w:rPr>
                <w:rFonts w:ascii="Times New Roman" w:cs="Times New Roman" w:eastAsia="Times New Roman" w:hAnsi="Times New Roman"/>
                <w:sz w:val="13"/>
                <w:szCs w:val="13"/>
                <w:color w:val="auto"/>
              </w:rPr>
              <w:t>10.70 %</w:t>
            </w:r>
          </w:p>
        </w:tc>
        <w:tc>
          <w:tcPr>
            <w:tcW w:w="960" w:type="dxa"/>
            <w:vAlign w:val="bottom"/>
            <w:shd w:val="clear" w:color="auto" w:fill="CFF0FC"/>
          </w:tcPr>
          <w:p>
            <w:pPr>
              <w:jc w:val="right"/>
              <w:ind w:right="55"/>
              <w:spacing w:after="0" w:line="120" w:lineRule="exact"/>
              <w:rPr>
                <w:sz w:val="20"/>
                <w:szCs w:val="20"/>
                <w:color w:val="auto"/>
              </w:rPr>
            </w:pPr>
            <w:r>
              <w:rPr>
                <w:rFonts w:ascii="Times New Roman" w:cs="Times New Roman" w:eastAsia="Times New Roman" w:hAnsi="Times New Roman"/>
                <w:sz w:val="13"/>
                <w:szCs w:val="13"/>
                <w:color w:val="auto"/>
              </w:rPr>
              <w:t>6,954</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8,053</w:t>
            </w:r>
          </w:p>
        </w:tc>
        <w:tc>
          <w:tcPr>
            <w:tcW w:w="12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07"/>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25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w w:val="98"/>
              </w:rPr>
              <w:t>(EUR</w:t>
            </w: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shd w:val="clear" w:color="auto" w:fill="CFF0FC"/>
          </w:tcPr>
          <w:p>
            <w:pPr>
              <w:spacing w:after="0"/>
              <w:rPr>
                <w:sz w:val="6"/>
                <w:szCs w:val="6"/>
                <w:color w:val="auto"/>
              </w:rPr>
            </w:pPr>
          </w:p>
        </w:tc>
        <w:tc>
          <w:tcPr>
            <w:tcW w:w="254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26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2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FF0FC"/>
          </w:tcPr>
          <w:p>
            <w:pPr>
              <w:spacing w:after="0"/>
              <w:rPr>
                <w:sz w:val="14"/>
                <w:szCs w:val="14"/>
                <w:color w:val="auto"/>
              </w:rPr>
            </w:pPr>
          </w:p>
        </w:tc>
        <w:tc>
          <w:tcPr>
            <w:tcW w:w="2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7,290)</w:t>
            </w: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25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loan (GBP 12,287 par, due</w:t>
            </w:r>
          </w:p>
        </w:tc>
        <w:tc>
          <w:tcPr>
            <w:tcW w:w="88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9/6/2022</w:t>
            </w:r>
          </w:p>
        </w:tc>
        <w:tc>
          <w:tcPr>
            <w:tcW w:w="11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S + 6.75%</w:t>
            </w:r>
          </w:p>
        </w:tc>
        <w:tc>
          <w:tcPr>
            <w:tcW w:w="1260" w:type="dxa"/>
            <w:vAlign w:val="bottom"/>
          </w:tcPr>
          <w:p>
            <w:pPr>
              <w:jc w:val="right"/>
              <w:ind w:right="214"/>
              <w:spacing w:after="0" w:line="144" w:lineRule="exact"/>
              <w:rPr>
                <w:sz w:val="20"/>
                <w:szCs w:val="20"/>
                <w:color w:val="auto"/>
              </w:rPr>
            </w:pPr>
            <w:r>
              <w:rPr>
                <w:rFonts w:ascii="Times New Roman" w:cs="Times New Roman" w:eastAsia="Times New Roman" w:hAnsi="Times New Roman"/>
                <w:sz w:val="13"/>
                <w:szCs w:val="13"/>
                <w:color w:val="auto"/>
              </w:rPr>
              <w:t>11.98 %</w:t>
            </w:r>
          </w:p>
        </w:tc>
        <w:tc>
          <w:tcPr>
            <w:tcW w:w="960" w:type="dxa"/>
            <w:vAlign w:val="bottom"/>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13,860</w:t>
            </w:r>
          </w:p>
        </w:tc>
        <w:tc>
          <w:tcPr>
            <w:tcW w:w="200" w:type="dxa"/>
            <w:vAlign w:val="bottom"/>
          </w:tcPr>
          <w:p>
            <w:pPr>
              <w:spacing w:after="0"/>
              <w:rPr>
                <w:sz w:val="12"/>
                <w:szCs w:val="12"/>
                <w:color w:val="auto"/>
              </w:rPr>
            </w:pP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15,742</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9/2028)</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(GBP</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12,349)</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FF0FC"/>
          </w:tcPr>
          <w:p>
            <w:pPr>
              <w:spacing w:after="0"/>
              <w:rPr>
                <w:sz w:val="12"/>
                <w:szCs w:val="12"/>
                <w:color w:val="auto"/>
              </w:rPr>
            </w:pPr>
          </w:p>
        </w:tc>
        <w:tc>
          <w:tcPr>
            <w:tcW w:w="25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First-lien revolving loan (GBP 312 par, due</w:t>
            </w:r>
          </w:p>
        </w:tc>
        <w:tc>
          <w:tcPr>
            <w:tcW w:w="8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9/6/2022</w:t>
            </w:r>
          </w:p>
        </w:tc>
        <w:tc>
          <w:tcPr>
            <w:tcW w:w="112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S + 6.75%</w:t>
            </w:r>
          </w:p>
        </w:tc>
        <w:tc>
          <w:tcPr>
            <w:tcW w:w="1260" w:type="dxa"/>
            <w:vAlign w:val="bottom"/>
            <w:shd w:val="clear" w:color="auto" w:fill="CFF0FC"/>
          </w:tcPr>
          <w:p>
            <w:pPr>
              <w:jc w:val="right"/>
              <w:ind w:right="214"/>
              <w:spacing w:after="0" w:line="144" w:lineRule="exact"/>
              <w:rPr>
                <w:sz w:val="20"/>
                <w:szCs w:val="20"/>
                <w:color w:val="auto"/>
              </w:rPr>
            </w:pPr>
            <w:r>
              <w:rPr>
                <w:rFonts w:ascii="Times New Roman" w:cs="Times New Roman" w:eastAsia="Times New Roman" w:hAnsi="Times New Roman"/>
                <w:sz w:val="13"/>
                <w:szCs w:val="13"/>
                <w:color w:val="auto"/>
              </w:rPr>
              <w:t>11.98 %</w:t>
            </w:r>
          </w:p>
        </w:tc>
        <w:tc>
          <w:tcPr>
            <w:tcW w:w="960" w:type="dxa"/>
            <w:vAlign w:val="bottom"/>
            <w:shd w:val="clear" w:color="auto" w:fill="CFF0FC"/>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400</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399</w:t>
            </w:r>
          </w:p>
        </w:tc>
        <w:tc>
          <w:tcPr>
            <w:tcW w:w="12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68"/>
        </w:trPr>
        <w:tc>
          <w:tcPr>
            <w:tcW w:w="1500" w:type="dxa"/>
            <w:vAlign w:val="bottom"/>
            <w:shd w:val="clear" w:color="auto" w:fill="CFF0FC"/>
          </w:tcPr>
          <w:p>
            <w:pPr>
              <w:spacing w:after="0"/>
              <w:rPr>
                <w:sz w:val="14"/>
                <w:szCs w:val="14"/>
                <w:color w:val="auto"/>
              </w:rPr>
            </w:pP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9/2028)</w:t>
            </w:r>
          </w:p>
        </w:tc>
        <w:tc>
          <w:tcPr>
            <w:tcW w:w="8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(GBP 313)</w:t>
            </w: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21,214</w:t>
            </w:r>
          </w:p>
        </w:tc>
        <w:tc>
          <w:tcPr>
            <w:tcW w:w="200" w:type="dxa"/>
            <w:vAlign w:val="bottom"/>
          </w:tcPr>
          <w:p>
            <w:pPr>
              <w:spacing w:after="0"/>
              <w:rPr>
                <w:sz w:val="13"/>
                <w:szCs w:val="13"/>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24,194</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25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Banyan Software</w:t>
            </w:r>
          </w:p>
        </w:tc>
        <w:tc>
          <w:tcPr>
            <w:tcW w:w="2540" w:type="dxa"/>
            <w:vAlign w:val="bottom"/>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loan ($29,739 par, due 10/2026)</w:t>
            </w:r>
          </w:p>
        </w:tc>
        <w:tc>
          <w:tcPr>
            <w:tcW w:w="88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1/27/2023</w:t>
            </w:r>
          </w:p>
        </w:tc>
        <w:tc>
          <w:tcPr>
            <w:tcW w:w="1120" w:type="dxa"/>
            <w:vAlign w:val="bottom"/>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SOFR + 7.35%</w:t>
            </w:r>
          </w:p>
        </w:tc>
        <w:tc>
          <w:tcPr>
            <w:tcW w:w="1260" w:type="dxa"/>
            <w:vAlign w:val="bottom"/>
          </w:tcPr>
          <w:p>
            <w:pPr>
              <w:jc w:val="right"/>
              <w:ind w:right="214"/>
              <w:spacing w:after="0" w:line="133" w:lineRule="exact"/>
              <w:rPr>
                <w:sz w:val="20"/>
                <w:szCs w:val="20"/>
                <w:color w:val="auto"/>
              </w:rPr>
            </w:pPr>
            <w:r>
              <w:rPr>
                <w:rFonts w:ascii="Times New Roman" w:cs="Times New Roman" w:eastAsia="Times New Roman" w:hAnsi="Times New Roman"/>
                <w:sz w:val="13"/>
                <w:szCs w:val="13"/>
                <w:color w:val="auto"/>
              </w:rPr>
              <w:t>12.71 %</w:t>
            </w:r>
          </w:p>
        </w:tc>
        <w:tc>
          <w:tcPr>
            <w:tcW w:w="960" w:type="dxa"/>
            <w:vAlign w:val="bottom"/>
          </w:tcPr>
          <w:p>
            <w:pPr>
              <w:jc w:val="right"/>
              <w:ind w:right="55"/>
              <w:spacing w:after="0" w:line="133" w:lineRule="exact"/>
              <w:rPr>
                <w:sz w:val="20"/>
                <w:szCs w:val="20"/>
                <w:color w:val="auto"/>
              </w:rPr>
            </w:pPr>
            <w:r>
              <w:rPr>
                <w:rFonts w:ascii="Times New Roman" w:cs="Times New Roman" w:eastAsia="Times New Roman" w:hAnsi="Times New Roman"/>
                <w:sz w:val="13"/>
                <w:szCs w:val="13"/>
                <w:color w:val="auto"/>
              </w:rPr>
              <w:t>28,771</w:t>
            </w:r>
          </w:p>
        </w:tc>
        <w:tc>
          <w:tcPr>
            <w:tcW w:w="200" w:type="dxa"/>
            <w:vAlign w:val="bottom"/>
          </w:tcPr>
          <w:p>
            <w:pPr>
              <w:spacing w:after="0"/>
              <w:rPr>
                <w:sz w:val="11"/>
                <w:szCs w:val="11"/>
                <w:color w:val="auto"/>
              </w:rPr>
            </w:pPr>
          </w:p>
        </w:tc>
        <w:tc>
          <w:tcPr>
            <w:tcW w:w="8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29,739</w:t>
            </w: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2.0 %</w:t>
            </w:r>
          </w:p>
        </w:tc>
        <w:tc>
          <w:tcPr>
            <w:tcW w:w="0" w:type="dxa"/>
            <w:vAlign w:val="bottom"/>
          </w:tcPr>
          <w:p>
            <w:pPr>
              <w:spacing w:after="0"/>
              <w:rPr>
                <w:sz w:val="1"/>
                <w:szCs w:val="1"/>
                <w:color w:val="auto"/>
              </w:rPr>
            </w:pPr>
          </w:p>
        </w:tc>
      </w:tr>
      <w:tr>
        <w:trPr>
          <w:trHeight w:val="179"/>
        </w:trPr>
        <w:tc>
          <w:tcPr>
            <w:tcW w:w="150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Holdings, LLC </w:t>
            </w:r>
            <w:r>
              <w:rPr>
                <w:rFonts w:ascii="Times New Roman" w:cs="Times New Roman" w:eastAsia="Times New Roman" w:hAnsi="Times New Roman"/>
                <w:sz w:val="16"/>
                <w:szCs w:val="16"/>
                <w:color w:val="auto"/>
                <w:vertAlign w:val="superscript"/>
              </w:rPr>
              <w:t>(3)(4)</w:t>
            </w:r>
          </w:p>
        </w:tc>
        <w:tc>
          <w:tcPr>
            <w:tcW w:w="2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5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Celtra Technologies, Inc.</w:t>
            </w:r>
          </w:p>
        </w:tc>
        <w:tc>
          <w:tcPr>
            <w:tcW w:w="254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3"/>
                <w:szCs w:val="13"/>
                <w:color w:val="auto"/>
              </w:rPr>
              <w:t>First-lien loan ($34,038 par, due 11/2026)</w:t>
            </w:r>
          </w:p>
        </w:tc>
        <w:tc>
          <w:tcPr>
            <w:tcW w:w="880" w:type="dxa"/>
            <w:vAlign w:val="bottom"/>
            <w:shd w:val="clear" w:color="auto" w:fill="CFF0FC"/>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11/19/2021</w:t>
            </w:r>
          </w:p>
        </w:tc>
        <w:tc>
          <w:tcPr>
            <w:tcW w:w="1120" w:type="dxa"/>
            <w:vAlign w:val="bottom"/>
            <w:shd w:val="clear" w:color="auto" w:fill="CFF0FC"/>
          </w:tcPr>
          <w:p>
            <w:pPr>
              <w:jc w:val="right"/>
              <w:ind w:right="154"/>
              <w:spacing w:after="0" w:line="120" w:lineRule="exact"/>
              <w:rPr>
                <w:sz w:val="20"/>
                <w:szCs w:val="20"/>
                <w:color w:val="auto"/>
              </w:rPr>
            </w:pPr>
            <w:r>
              <w:rPr>
                <w:rFonts w:ascii="Times New Roman" w:cs="Times New Roman" w:eastAsia="Times New Roman" w:hAnsi="Times New Roman"/>
                <w:sz w:val="13"/>
                <w:szCs w:val="13"/>
                <w:color w:val="auto"/>
              </w:rPr>
              <w:t>SOFR + 6.35%</w:t>
            </w:r>
          </w:p>
        </w:tc>
        <w:tc>
          <w:tcPr>
            <w:tcW w:w="1260" w:type="dxa"/>
            <w:vAlign w:val="bottom"/>
            <w:shd w:val="clear" w:color="auto" w:fill="CFF0FC"/>
          </w:tcPr>
          <w:p>
            <w:pPr>
              <w:jc w:val="right"/>
              <w:ind w:right="214"/>
              <w:spacing w:after="0" w:line="120" w:lineRule="exact"/>
              <w:rPr>
                <w:sz w:val="20"/>
                <w:szCs w:val="20"/>
                <w:color w:val="auto"/>
              </w:rPr>
            </w:pPr>
            <w:r>
              <w:rPr>
                <w:rFonts w:ascii="Times New Roman" w:cs="Times New Roman" w:eastAsia="Times New Roman" w:hAnsi="Times New Roman"/>
                <w:sz w:val="13"/>
                <w:szCs w:val="13"/>
                <w:color w:val="auto"/>
              </w:rPr>
              <w:t>11.71 %</w:t>
            </w:r>
          </w:p>
        </w:tc>
        <w:tc>
          <w:tcPr>
            <w:tcW w:w="960" w:type="dxa"/>
            <w:vAlign w:val="bottom"/>
            <w:shd w:val="clear" w:color="auto" w:fill="CFF0FC"/>
          </w:tcPr>
          <w:p>
            <w:pPr>
              <w:jc w:val="right"/>
              <w:ind w:right="55"/>
              <w:spacing w:after="0" w:line="120" w:lineRule="exact"/>
              <w:rPr>
                <w:sz w:val="20"/>
                <w:szCs w:val="20"/>
                <w:color w:val="auto"/>
              </w:rPr>
            </w:pPr>
            <w:r>
              <w:rPr>
                <w:rFonts w:ascii="Times New Roman" w:cs="Times New Roman" w:eastAsia="Times New Roman" w:hAnsi="Times New Roman"/>
                <w:sz w:val="13"/>
                <w:szCs w:val="13"/>
                <w:color w:val="auto"/>
              </w:rPr>
              <w:t>33,357</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34,038</w:t>
            </w:r>
          </w:p>
        </w:tc>
        <w:tc>
          <w:tcPr>
            <w:tcW w:w="12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2.3 %</w:t>
            </w:r>
          </w:p>
        </w:tc>
        <w:tc>
          <w:tcPr>
            <w:tcW w:w="0" w:type="dxa"/>
            <w:vAlign w:val="bottom"/>
          </w:tcPr>
          <w:p>
            <w:pPr>
              <w:spacing w:after="0"/>
              <w:rPr>
                <w:sz w:val="1"/>
                <w:szCs w:val="1"/>
                <w:color w:val="auto"/>
              </w:rPr>
            </w:pPr>
          </w:p>
        </w:tc>
      </w:tr>
      <w:tr>
        <w:trPr>
          <w:trHeight w:val="124"/>
        </w:trPr>
        <w:tc>
          <w:tcPr>
            <w:tcW w:w="1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(3)(5)</w:t>
            </w:r>
          </w:p>
        </w:tc>
        <w:tc>
          <w:tcPr>
            <w:tcW w:w="254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c>
          <w:tcPr>
            <w:tcW w:w="112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IntelePeer Holdings, Inc.</w:t>
            </w:r>
          </w:p>
        </w:tc>
        <w:tc>
          <w:tcPr>
            <w:tcW w:w="2540" w:type="dxa"/>
            <w:vAlign w:val="bottom"/>
          </w:tcPr>
          <w:p>
            <w:pPr>
              <w:ind w:left="100"/>
              <w:spacing w:after="0" w:line="156" w:lineRule="exact"/>
              <w:rPr>
                <w:sz w:val="20"/>
                <w:szCs w:val="20"/>
                <w:color w:val="auto"/>
              </w:rPr>
            </w:pPr>
            <w:r>
              <w:rPr>
                <w:rFonts w:ascii="Times New Roman" w:cs="Times New Roman" w:eastAsia="Times New Roman" w:hAnsi="Times New Roman"/>
                <w:sz w:val="13"/>
                <w:szCs w:val="13"/>
                <w:color w:val="auto"/>
              </w:rPr>
              <w:t xml:space="preserve">First-lien loan ($33,646 par, due 12/2024) </w:t>
            </w:r>
            <w:r>
              <w:rPr>
                <w:rFonts w:ascii="Times New Roman" w:cs="Times New Roman" w:eastAsia="Times New Roman" w:hAnsi="Times New Roman"/>
                <w:sz w:val="16"/>
                <w:szCs w:val="16"/>
                <w:color w:val="auto"/>
                <w:vertAlign w:val="superscript"/>
              </w:rPr>
              <w:t>(3)</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12/2/2019</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SOFR + 8.40%</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13.75 %</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33,625</w:t>
            </w:r>
          </w:p>
        </w:tc>
        <w:tc>
          <w:tcPr>
            <w:tcW w:w="200" w:type="dxa"/>
            <w:vAlign w:val="bottom"/>
          </w:tcPr>
          <w:p>
            <w:pPr>
              <w:spacing w:after="0"/>
              <w:rPr>
                <w:sz w:val="13"/>
                <w:szCs w:val="13"/>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33,394</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spacing w:after="0"/>
              <w:rPr>
                <w:sz w:val="13"/>
                <w:szCs w:val="13"/>
                <w:color w:val="auto"/>
              </w:rPr>
            </w:pP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Convertible note ($4,700 par, due 5/2028)</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5/12/2021</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7.50 %</w:t>
            </w:r>
          </w:p>
        </w:tc>
        <w:tc>
          <w:tcPr>
            <w:tcW w:w="126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7.50% PIK</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4,674</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4,994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100,427</w:t>
            </w:r>
          </w:p>
        </w:tc>
        <w:tc>
          <w:tcPr>
            <w:tcW w:w="200" w:type="dxa"/>
            <w:vAlign w:val="bottom"/>
          </w:tcPr>
          <w:p>
            <w:pPr>
              <w:spacing w:after="0"/>
              <w:rPr>
                <w:sz w:val="14"/>
                <w:szCs w:val="14"/>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102,165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25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Astra Acquisition Corp. </w:t>
            </w:r>
            <w:r>
              <w:rPr>
                <w:rFonts w:ascii="Times New Roman" w:cs="Times New Roman" w:eastAsia="Times New Roman" w:hAnsi="Times New Roman"/>
                <w:sz w:val="16"/>
                <w:szCs w:val="16"/>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Second-lien loan ($43,479 par, due 10/2029)</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10/22/2021</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+ 9.14%</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14.48 %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42,814</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27,174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Destiny Solutions Parent</w:t>
            </w:r>
          </w:p>
        </w:tc>
        <w:tc>
          <w:tcPr>
            <w:tcW w:w="258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($59,550 par, due 6/2026)</w:t>
            </w:r>
          </w:p>
        </w:tc>
        <w:tc>
          <w:tcPr>
            <w:tcW w:w="82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6/8/2021</w:t>
            </w:r>
          </w:p>
        </w:tc>
        <w:tc>
          <w:tcPr>
            <w:tcW w:w="1140" w:type="dxa"/>
            <w:vAlign w:val="bottom"/>
            <w:shd w:val="clear" w:color="auto" w:fill="CFF0FC"/>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rPr>
              <w:t>SOFR + 5.85%</w:t>
            </w:r>
          </w:p>
        </w:tc>
        <w:tc>
          <w:tcPr>
            <w:tcW w:w="1300" w:type="dxa"/>
            <w:vAlign w:val="bottom"/>
            <w:shd w:val="clear" w:color="auto" w:fill="CFF0FC"/>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11.21 %</w:t>
            </w:r>
          </w:p>
        </w:tc>
        <w:tc>
          <w:tcPr>
            <w:tcW w:w="9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58,858</w:t>
            </w:r>
          </w:p>
        </w:tc>
        <w:tc>
          <w:tcPr>
            <w:tcW w:w="1340" w:type="dxa"/>
            <w:vAlign w:val="bottom"/>
            <w:shd w:val="clear" w:color="auto" w:fill="CFF0FC"/>
          </w:tcPr>
          <w:p>
            <w:pPr>
              <w:jc w:val="right"/>
              <w:ind w:right="474"/>
              <w:spacing w:after="0" w:line="133" w:lineRule="exact"/>
              <w:rPr>
                <w:sz w:val="20"/>
                <w:szCs w:val="20"/>
                <w:color w:val="auto"/>
              </w:rPr>
            </w:pPr>
            <w:r>
              <w:rPr>
                <w:rFonts w:ascii="Times New Roman" w:cs="Times New Roman" w:eastAsia="Times New Roman" w:hAnsi="Times New Roman"/>
                <w:sz w:val="13"/>
                <w:szCs w:val="13"/>
                <w:color w:val="auto"/>
              </w:rPr>
              <w:t>59,252</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Holding Company </w:t>
            </w:r>
            <w:r>
              <w:rPr>
                <w:rFonts w:ascii="Times New Roman" w:cs="Times New Roman" w:eastAsia="Times New Roman" w:hAnsi="Times New Roman"/>
                <w:sz w:val="16"/>
                <w:szCs w:val="16"/>
                <w:color w:val="auto"/>
                <w:vertAlign w:val="superscript"/>
              </w:rPr>
              <w:t>(3)(5)</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6"/>
                <w:szCs w:val="16"/>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($56,216 par, due 12/2027)</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12/22/2021</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+ 6.35%</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11.71 %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55,288</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55,079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3.7 %</w:t>
            </w: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Kangaroo Bidco AS </w:t>
            </w:r>
            <w:r>
              <w:rPr>
                <w:rFonts w:ascii="Times New Roman" w:cs="Times New Roman" w:eastAsia="Times New Roman" w:hAnsi="Times New Roman"/>
                <w:sz w:val="16"/>
                <w:szCs w:val="16"/>
                <w:color w:val="auto"/>
                <w:vertAlign w:val="superscript"/>
              </w:rPr>
              <w:t>(3)(4)</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($25,582 par, due 11/2030)</w:t>
            </w: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11/2/2023</w:t>
            </w:r>
          </w:p>
        </w:tc>
        <w:tc>
          <w:tcPr>
            <w:tcW w:w="11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SOFR + 7.50%</w:t>
            </w:r>
          </w:p>
        </w:tc>
        <w:tc>
          <w:tcPr>
            <w:tcW w:w="130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12.94 %</w:t>
            </w:r>
          </w:p>
        </w:tc>
        <w:tc>
          <w:tcPr>
            <w:tcW w:w="9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24,621</w:t>
            </w: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24,794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56"/>
        </w:trPr>
        <w:tc>
          <w:tcPr>
            <w:tcW w:w="1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181,581</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166,299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11.2 %</w:t>
            </w: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5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44"/>
        </w:trPr>
        <w:tc>
          <w:tcPr>
            <w:tcW w:w="152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Alaska Bidco Oy </w:t>
            </w:r>
            <w:r>
              <w:rPr>
                <w:rFonts w:ascii="Times New Roman" w:cs="Times New Roman" w:eastAsia="Times New Roman" w:hAnsi="Times New Roman"/>
                <w:sz w:val="16"/>
                <w:szCs w:val="16"/>
                <w:color w:val="auto"/>
                <w:vertAlign w:val="superscript"/>
              </w:rPr>
              <w:t>(3)(4)</w:t>
            </w:r>
          </w:p>
        </w:tc>
        <w:tc>
          <w:tcPr>
            <w:tcW w:w="25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8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5/30/2023</w:t>
            </w:r>
          </w:p>
        </w:tc>
        <w:tc>
          <w:tcPr>
            <w:tcW w:w="1140" w:type="dxa"/>
            <w:vAlign w:val="bottom"/>
          </w:tcPr>
          <w:p>
            <w:pPr>
              <w:jc w:val="right"/>
              <w:ind w:right="174"/>
              <w:spacing w:after="0" w:line="144" w:lineRule="exact"/>
              <w:rPr>
                <w:sz w:val="20"/>
                <w:szCs w:val="20"/>
                <w:color w:val="auto"/>
              </w:rPr>
            </w:pPr>
            <w:r>
              <w:rPr>
                <w:rFonts w:ascii="Times New Roman" w:cs="Times New Roman" w:eastAsia="Times New Roman" w:hAnsi="Times New Roman"/>
                <w:sz w:val="13"/>
                <w:szCs w:val="13"/>
                <w:color w:val="auto"/>
              </w:rPr>
              <w:t>E + 6.25%</w:t>
            </w:r>
          </w:p>
        </w:tc>
        <w:tc>
          <w:tcPr>
            <w:tcW w:w="1300" w:type="dxa"/>
            <w:vAlign w:val="bottom"/>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10.39 %</w:t>
            </w:r>
          </w:p>
        </w:tc>
        <w:tc>
          <w:tcPr>
            <w:tcW w:w="9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755</w:t>
            </w:r>
          </w:p>
        </w:tc>
        <w:tc>
          <w:tcPr>
            <w:tcW w:w="134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796</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68"/>
        </w:trPr>
        <w:tc>
          <w:tcPr>
            <w:tcW w:w="1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(EUR 720)</w:t>
            </w:r>
          </w:p>
        </w:tc>
        <w:tc>
          <w:tcPr>
            <w:tcW w:w="880" w:type="dxa"/>
            <w:vAlign w:val="bottom"/>
          </w:tcPr>
          <w:p>
            <w:pPr>
              <w:spacing w:after="0"/>
              <w:rPr>
                <w:sz w:val="14"/>
                <w:szCs w:val="14"/>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BCTO Bluebill Buyer,</w:t>
            </w:r>
          </w:p>
        </w:tc>
        <w:tc>
          <w:tcPr>
            <w:tcW w:w="258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($28,640 par, due 7/2029)</w:t>
            </w:r>
          </w:p>
        </w:tc>
        <w:tc>
          <w:tcPr>
            <w:tcW w:w="82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7/20/2023</w:t>
            </w:r>
          </w:p>
        </w:tc>
        <w:tc>
          <w:tcPr>
            <w:tcW w:w="1140" w:type="dxa"/>
            <w:vAlign w:val="bottom"/>
            <w:shd w:val="clear" w:color="auto" w:fill="CFF0FC"/>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rPr>
              <w:t>SOFR + 7.25%</w:t>
            </w:r>
          </w:p>
        </w:tc>
        <w:tc>
          <w:tcPr>
            <w:tcW w:w="1300" w:type="dxa"/>
            <w:vAlign w:val="bottom"/>
            <w:shd w:val="clear" w:color="auto" w:fill="CFF0FC"/>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12.60 %</w:t>
            </w:r>
          </w:p>
        </w:tc>
        <w:tc>
          <w:tcPr>
            <w:tcW w:w="9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27,635</w:t>
            </w:r>
          </w:p>
        </w:tc>
        <w:tc>
          <w:tcPr>
            <w:tcW w:w="1340" w:type="dxa"/>
            <w:vAlign w:val="bottom"/>
            <w:shd w:val="clear" w:color="auto" w:fill="CFF0FC"/>
          </w:tcPr>
          <w:p>
            <w:pPr>
              <w:jc w:val="right"/>
              <w:ind w:right="474"/>
              <w:spacing w:after="0" w:line="133" w:lineRule="exact"/>
              <w:rPr>
                <w:sz w:val="20"/>
                <w:szCs w:val="20"/>
                <w:color w:val="auto"/>
              </w:rPr>
            </w:pPr>
            <w:r>
              <w:rPr>
                <w:rFonts w:ascii="Times New Roman" w:cs="Times New Roman" w:eastAsia="Times New Roman" w:hAnsi="Times New Roman"/>
                <w:sz w:val="13"/>
                <w:szCs w:val="13"/>
                <w:color w:val="auto"/>
              </w:rPr>
              <w:t>27,996</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1.9 %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Inc.</w:t>
            </w:r>
            <w:r>
              <w:rPr>
                <w:rFonts w:ascii="Times New Roman" w:cs="Times New Roman" w:eastAsia="Times New Roman" w:hAnsi="Times New Roman"/>
                <w:sz w:val="7"/>
                <w:szCs w:val="7"/>
                <w:color w:val="auto"/>
              </w:rPr>
              <w:t xml:space="preserve"> (3)(5)</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BTRS Holdings, Inc.</w:t>
            </w:r>
            <w:r>
              <w:rPr>
                <w:rFonts w:ascii="Times New Roman" w:cs="Times New Roman" w:eastAsia="Times New Roman" w:hAnsi="Times New Roman"/>
                <w:sz w:val="16"/>
                <w:szCs w:val="16"/>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($47,051 par, due 12/2028)</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12/16/2022</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+ 8.00%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13.38 %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45,931</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47,168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144"/>
        </w:trPr>
        <w:tc>
          <w:tcPr>
            <w:tcW w:w="152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revolving loan ($1,205 par, due</w:t>
            </w:r>
          </w:p>
        </w:tc>
        <w:tc>
          <w:tcPr>
            <w:tcW w:w="82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12/16/2022</w:t>
            </w:r>
          </w:p>
        </w:tc>
        <w:tc>
          <w:tcPr>
            <w:tcW w:w="1140" w:type="dxa"/>
            <w:vAlign w:val="bottom"/>
            <w:shd w:val="clear" w:color="auto" w:fill="CFF0FC"/>
          </w:tcPr>
          <w:p>
            <w:pPr>
              <w:jc w:val="right"/>
              <w:ind w:right="174"/>
              <w:spacing w:after="0" w:line="144" w:lineRule="exact"/>
              <w:rPr>
                <w:sz w:val="20"/>
                <w:szCs w:val="20"/>
                <w:color w:val="auto"/>
              </w:rPr>
            </w:pPr>
            <w:r>
              <w:rPr>
                <w:rFonts w:ascii="Times New Roman" w:cs="Times New Roman" w:eastAsia="Times New Roman" w:hAnsi="Times New Roman"/>
                <w:sz w:val="13"/>
                <w:szCs w:val="13"/>
                <w:color w:val="auto"/>
              </w:rPr>
              <w:t>SOFR + 7.25%</w:t>
            </w:r>
          </w:p>
        </w:tc>
        <w:tc>
          <w:tcPr>
            <w:tcW w:w="1300" w:type="dxa"/>
            <w:vAlign w:val="bottom"/>
            <w:shd w:val="clear" w:color="auto" w:fill="CFF0FC"/>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12.63 %</w:t>
            </w:r>
          </w:p>
        </w:tc>
        <w:tc>
          <w:tcPr>
            <w:tcW w:w="9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1,085</w:t>
            </w:r>
          </w:p>
        </w:tc>
        <w:tc>
          <w:tcPr>
            <w:tcW w:w="134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1,217</w:t>
            </w:r>
          </w:p>
        </w:tc>
        <w:tc>
          <w:tcPr>
            <w:tcW w:w="8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68"/>
        </w:trPr>
        <w:tc>
          <w:tcPr>
            <w:tcW w:w="1520" w:type="dxa"/>
            <w:vAlign w:val="bottom"/>
            <w:shd w:val="clear" w:color="auto" w:fill="CFF0FC"/>
          </w:tcPr>
          <w:p>
            <w:pPr>
              <w:spacing w:after="0"/>
              <w:rPr>
                <w:sz w:val="14"/>
                <w:szCs w:val="14"/>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12/2028)</w:t>
            </w:r>
          </w:p>
        </w:tc>
        <w:tc>
          <w:tcPr>
            <w:tcW w:w="8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Bear OpCo, LLC </w:t>
            </w:r>
            <w:r>
              <w:rPr>
                <w:rFonts w:ascii="Times New Roman" w:cs="Times New Roman" w:eastAsia="Times New Roman" w:hAnsi="Times New Roman"/>
                <w:sz w:val="16"/>
                <w:szCs w:val="16"/>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($21,392 par, due 10/2024)</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10/10/2019</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+ 7.65%</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13.01 %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21,294</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21,713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BlueSnap, Inc. </w:t>
            </w:r>
            <w:r>
              <w:rPr>
                <w:rFonts w:ascii="Times New Roman" w:cs="Times New Roman" w:eastAsia="Times New Roman" w:hAnsi="Times New Roman"/>
                <w:sz w:val="16"/>
                <w:szCs w:val="16"/>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($41,895 par, due 10/2025)</w:t>
            </w: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10/25/2019</w:t>
            </w:r>
          </w:p>
        </w:tc>
        <w:tc>
          <w:tcPr>
            <w:tcW w:w="11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SOFR + 7.15%</w:t>
            </w:r>
          </w:p>
        </w:tc>
        <w:tc>
          <w:tcPr>
            <w:tcW w:w="130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12.50 %</w:t>
            </w:r>
          </w:p>
        </w:tc>
        <w:tc>
          <w:tcPr>
            <w:tcW w:w="9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41,516</w:t>
            </w: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42,117</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CLGF Holdco 2, LLC</w:t>
            </w:r>
            <w:r>
              <w:rPr>
                <w:rFonts w:ascii="Times New Roman" w:cs="Times New Roman" w:eastAsia="Times New Roman" w:hAnsi="Times New Roman"/>
                <w:sz w:val="16"/>
                <w:szCs w:val="16"/>
                <w:color w:val="auto"/>
                <w:vertAlign w:val="superscript"/>
              </w:rPr>
              <w:t>(3)(4)</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($3,916 par, due 11/2027)</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11/7/2023</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+ 8.50%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13.85 %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3,845</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3,867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44"/>
        </w:trPr>
        <w:tc>
          <w:tcPr>
            <w:tcW w:w="152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Second-lien loan ($3,357 par, due 11/2028)</w:t>
            </w:r>
          </w:p>
        </w:tc>
        <w:tc>
          <w:tcPr>
            <w:tcW w:w="82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11/7/2023</w:t>
            </w:r>
          </w:p>
        </w:tc>
        <w:tc>
          <w:tcPr>
            <w:tcW w:w="1140" w:type="dxa"/>
            <w:vAlign w:val="bottom"/>
            <w:shd w:val="clear" w:color="auto" w:fill="CFF0FC"/>
          </w:tcPr>
          <w:p>
            <w:pPr>
              <w:jc w:val="right"/>
              <w:ind w:right="174"/>
              <w:spacing w:after="0" w:line="144" w:lineRule="exact"/>
              <w:rPr>
                <w:sz w:val="20"/>
                <w:szCs w:val="20"/>
                <w:color w:val="auto"/>
              </w:rPr>
            </w:pPr>
            <w:r>
              <w:rPr>
                <w:rFonts w:ascii="Times New Roman" w:cs="Times New Roman" w:eastAsia="Times New Roman" w:hAnsi="Times New Roman"/>
                <w:sz w:val="13"/>
                <w:szCs w:val="13"/>
                <w:color w:val="auto"/>
              </w:rPr>
              <w:t>SOFR +</w:t>
            </w:r>
          </w:p>
        </w:tc>
        <w:tc>
          <w:tcPr>
            <w:tcW w:w="1300" w:type="dxa"/>
            <w:vAlign w:val="bottom"/>
            <w:shd w:val="clear" w:color="auto" w:fill="CFF0FC"/>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17.35 %</w:t>
            </w:r>
          </w:p>
        </w:tc>
        <w:tc>
          <w:tcPr>
            <w:tcW w:w="9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3,116</w:t>
            </w:r>
          </w:p>
        </w:tc>
        <w:tc>
          <w:tcPr>
            <w:tcW w:w="134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3,164</w:t>
            </w:r>
          </w:p>
        </w:tc>
        <w:tc>
          <w:tcPr>
            <w:tcW w:w="8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0.2 %</w:t>
            </w:r>
          </w:p>
        </w:tc>
      </w:tr>
      <w:tr>
        <w:trPr>
          <w:trHeight w:val="168"/>
        </w:trPr>
        <w:tc>
          <w:tcPr>
            <w:tcW w:w="15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12.00%</w:t>
            </w:r>
          </w:p>
        </w:tc>
        <w:tc>
          <w:tcPr>
            <w:tcW w:w="1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Fullsteam Operations,</w:t>
            </w:r>
          </w:p>
        </w:tc>
        <w:tc>
          <w:tcPr>
            <w:tcW w:w="25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($29,663 par, due 11/2029)</w:t>
            </w:r>
          </w:p>
        </w:tc>
        <w:tc>
          <w:tcPr>
            <w:tcW w:w="82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11/27/2023</w:t>
            </w:r>
          </w:p>
        </w:tc>
        <w:tc>
          <w:tcPr>
            <w:tcW w:w="1140" w:type="dxa"/>
            <w:vAlign w:val="bottom"/>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rPr>
              <w:t>SOFR + 8.40%</w:t>
            </w:r>
          </w:p>
        </w:tc>
        <w:tc>
          <w:tcPr>
            <w:tcW w:w="1300" w:type="dxa"/>
            <w:vAlign w:val="bottom"/>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13.78 %</w:t>
            </w:r>
          </w:p>
        </w:tc>
        <w:tc>
          <w:tcPr>
            <w:tcW w:w="9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28,611</w:t>
            </w:r>
          </w:p>
        </w:tc>
        <w:tc>
          <w:tcPr>
            <w:tcW w:w="1340" w:type="dxa"/>
            <w:vAlign w:val="bottom"/>
          </w:tcPr>
          <w:p>
            <w:pPr>
              <w:jc w:val="right"/>
              <w:ind w:right="474"/>
              <w:spacing w:after="0" w:line="133" w:lineRule="exact"/>
              <w:rPr>
                <w:sz w:val="20"/>
                <w:szCs w:val="20"/>
                <w:color w:val="auto"/>
              </w:rPr>
            </w:pPr>
            <w:r>
              <w:rPr>
                <w:rFonts w:ascii="Times New Roman" w:cs="Times New Roman" w:eastAsia="Times New Roman" w:hAnsi="Times New Roman"/>
                <w:sz w:val="13"/>
                <w:szCs w:val="13"/>
                <w:color w:val="auto"/>
              </w:rPr>
              <w:t>29,049</w:t>
            </w: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1.9 %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LLC</w:t>
            </w:r>
            <w:r>
              <w:rPr>
                <w:rFonts w:ascii="Times New Roman" w:cs="Times New Roman" w:eastAsia="Times New Roman" w:hAnsi="Times New Roman"/>
                <w:sz w:val="16"/>
                <w:szCs w:val="16"/>
                <w:color w:val="auto"/>
                <w:vertAlign w:val="superscript"/>
              </w:rPr>
              <w:t>(3)</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Ibis Intermediate Co. </w:t>
            </w:r>
            <w:r>
              <w:rPr>
                <w:rFonts w:ascii="Times New Roman" w:cs="Times New Roman" w:eastAsia="Times New Roman" w:hAnsi="Times New Roman"/>
                <w:sz w:val="16"/>
                <w:szCs w:val="16"/>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($1,201 par, due 5/2027)</w:t>
            </w: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5/28/2021</w:t>
            </w:r>
          </w:p>
        </w:tc>
        <w:tc>
          <w:tcPr>
            <w:tcW w:w="11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SOFR + 4.65%</w:t>
            </w:r>
          </w:p>
        </w:tc>
        <w:tc>
          <w:tcPr>
            <w:tcW w:w="130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10.04 %</w:t>
            </w:r>
          </w:p>
        </w:tc>
        <w:tc>
          <w:tcPr>
            <w:tcW w:w="9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1,066</w:t>
            </w: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1,257</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Ibis US Blocker Co. </w:t>
            </w:r>
            <w:r>
              <w:rPr>
                <w:rFonts w:ascii="Times New Roman" w:cs="Times New Roman" w:eastAsia="Times New Roman" w:hAnsi="Times New Roman"/>
                <w:sz w:val="16"/>
                <w:szCs w:val="16"/>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($15,958 par, due 5/2028)</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5/28/2021</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+ 8.40%</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13.79% PIK</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15,743</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15,838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44"/>
        </w:trPr>
        <w:tc>
          <w:tcPr>
            <w:tcW w:w="15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Kyriba Corp. </w:t>
            </w:r>
            <w:r>
              <w:rPr>
                <w:rFonts w:ascii="Times New Roman" w:cs="Times New Roman" w:eastAsia="Times New Roman" w:hAnsi="Times New Roman"/>
                <w:sz w:val="16"/>
                <w:szCs w:val="16"/>
                <w:color w:val="auto"/>
                <w:vertAlign w:val="superscript"/>
              </w:rPr>
              <w:t>(3)</w:t>
            </w:r>
          </w:p>
        </w:tc>
        <w:tc>
          <w:tcPr>
            <w:tcW w:w="258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($35,634 par, due 4/2028)</w:t>
            </w:r>
          </w:p>
        </w:tc>
        <w:tc>
          <w:tcPr>
            <w:tcW w:w="82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12/21/2023</w:t>
            </w:r>
          </w:p>
        </w:tc>
        <w:tc>
          <w:tcPr>
            <w:tcW w:w="1140" w:type="dxa"/>
            <w:vAlign w:val="bottom"/>
            <w:shd w:val="clear" w:color="auto" w:fill="CFF0FC"/>
          </w:tcPr>
          <w:p>
            <w:pPr>
              <w:jc w:val="right"/>
              <w:ind w:right="174"/>
              <w:spacing w:after="0" w:line="144" w:lineRule="exact"/>
              <w:rPr>
                <w:sz w:val="20"/>
                <w:szCs w:val="20"/>
                <w:color w:val="auto"/>
              </w:rPr>
            </w:pPr>
            <w:r>
              <w:rPr>
                <w:rFonts w:ascii="Times New Roman" w:cs="Times New Roman" w:eastAsia="Times New Roman" w:hAnsi="Times New Roman"/>
                <w:sz w:val="13"/>
                <w:szCs w:val="13"/>
                <w:color w:val="auto"/>
              </w:rPr>
              <w:t>SOFR + 8.50%</w:t>
            </w:r>
          </w:p>
        </w:tc>
        <w:tc>
          <w:tcPr>
            <w:tcW w:w="1300" w:type="dxa"/>
            <w:vAlign w:val="bottom"/>
            <w:shd w:val="clear" w:color="auto" w:fill="CFF0FC"/>
          </w:tcPr>
          <w:p>
            <w:pPr>
              <w:jc w:val="right"/>
              <w:ind w:right="414"/>
              <w:spacing w:after="0" w:line="144" w:lineRule="exact"/>
              <w:rPr>
                <w:sz w:val="20"/>
                <w:szCs w:val="20"/>
                <w:color w:val="auto"/>
              </w:rPr>
            </w:pPr>
            <w:r>
              <w:rPr>
                <w:rFonts w:ascii="Times New Roman" w:cs="Times New Roman" w:eastAsia="Times New Roman" w:hAnsi="Times New Roman"/>
                <w:sz w:val="13"/>
                <w:szCs w:val="13"/>
                <w:color w:val="auto"/>
              </w:rPr>
              <w:t>13.87% (incl.</w:t>
            </w:r>
          </w:p>
        </w:tc>
        <w:tc>
          <w:tcPr>
            <w:tcW w:w="9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34,875</w:t>
            </w:r>
          </w:p>
        </w:tc>
        <w:tc>
          <w:tcPr>
            <w:tcW w:w="134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34,871</w:t>
            </w:r>
          </w:p>
        </w:tc>
        <w:tc>
          <w:tcPr>
            <w:tcW w:w="8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2.3 %</w:t>
            </w:r>
          </w:p>
        </w:tc>
      </w:tr>
      <w:tr>
        <w:trPr>
          <w:trHeight w:val="168"/>
        </w:trPr>
        <w:tc>
          <w:tcPr>
            <w:tcW w:w="15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3"/>
                <w:szCs w:val="13"/>
                <w:color w:val="auto"/>
              </w:rPr>
              <w:t>8.50% PIK)</w:t>
            </w:r>
          </w:p>
        </w:tc>
        <w:tc>
          <w:tcPr>
            <w:tcW w:w="9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44"/>
        </w:trPr>
        <w:tc>
          <w:tcPr>
            <w:tcW w:w="1520" w:type="dxa"/>
            <w:vAlign w:val="bottom"/>
          </w:tcPr>
          <w:p>
            <w:pPr>
              <w:spacing w:after="0"/>
              <w:rPr>
                <w:sz w:val="12"/>
                <w:szCs w:val="12"/>
                <w:color w:val="auto"/>
              </w:rPr>
            </w:pPr>
          </w:p>
        </w:tc>
        <w:tc>
          <w:tcPr>
            <w:tcW w:w="25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10,924 par, due</w:t>
            </w:r>
          </w:p>
        </w:tc>
        <w:tc>
          <w:tcPr>
            <w:tcW w:w="8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12/21/2023</w:t>
            </w:r>
          </w:p>
        </w:tc>
        <w:tc>
          <w:tcPr>
            <w:tcW w:w="1140" w:type="dxa"/>
            <w:vAlign w:val="bottom"/>
          </w:tcPr>
          <w:p>
            <w:pPr>
              <w:jc w:val="right"/>
              <w:ind w:right="174"/>
              <w:spacing w:after="0" w:line="144" w:lineRule="exact"/>
              <w:rPr>
                <w:sz w:val="20"/>
                <w:szCs w:val="20"/>
                <w:color w:val="auto"/>
              </w:rPr>
            </w:pPr>
            <w:r>
              <w:rPr>
                <w:rFonts w:ascii="Times New Roman" w:cs="Times New Roman" w:eastAsia="Times New Roman" w:hAnsi="Times New Roman"/>
                <w:sz w:val="13"/>
                <w:szCs w:val="13"/>
                <w:color w:val="auto"/>
              </w:rPr>
              <w:t>E + 8.50%</w:t>
            </w:r>
          </w:p>
        </w:tc>
        <w:tc>
          <w:tcPr>
            <w:tcW w:w="1300" w:type="dxa"/>
            <w:vAlign w:val="bottom"/>
          </w:tcPr>
          <w:p>
            <w:pPr>
              <w:jc w:val="right"/>
              <w:ind w:right="414"/>
              <w:spacing w:after="0" w:line="144" w:lineRule="exact"/>
              <w:rPr>
                <w:sz w:val="20"/>
                <w:szCs w:val="20"/>
                <w:color w:val="auto"/>
              </w:rPr>
            </w:pPr>
            <w:r>
              <w:rPr>
                <w:rFonts w:ascii="Times New Roman" w:cs="Times New Roman" w:eastAsia="Times New Roman" w:hAnsi="Times New Roman"/>
                <w:sz w:val="13"/>
                <w:szCs w:val="13"/>
                <w:color w:val="auto"/>
              </w:rPr>
              <w:t>12.42% (incl.</w:t>
            </w:r>
          </w:p>
        </w:tc>
        <w:tc>
          <w:tcPr>
            <w:tcW w:w="9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11,766</w:t>
            </w:r>
          </w:p>
        </w:tc>
        <w:tc>
          <w:tcPr>
            <w:tcW w:w="134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11,825</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0.8 %</w:t>
            </w:r>
          </w:p>
        </w:tc>
      </w:tr>
      <w:tr>
        <w:trPr>
          <w:trHeight w:val="156"/>
        </w:trPr>
        <w:tc>
          <w:tcPr>
            <w:tcW w:w="1520" w:type="dxa"/>
            <w:vAlign w:val="bottom"/>
          </w:tcPr>
          <w:p>
            <w:pPr>
              <w:spacing w:after="0"/>
              <w:rPr>
                <w:sz w:val="13"/>
                <w:szCs w:val="1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4/2028)</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8.50% PIK)</w:t>
            </w:r>
          </w:p>
        </w:tc>
        <w:tc>
          <w:tcPr>
            <w:tcW w:w="980" w:type="dxa"/>
            <w:vAlign w:val="bottom"/>
          </w:tcPr>
          <w:p>
            <w:pPr>
              <w:spacing w:after="0"/>
              <w:rPr>
                <w:sz w:val="13"/>
                <w:szCs w:val="13"/>
                <w:color w:val="auto"/>
              </w:rPr>
            </w:pP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(EUR</w:t>
            </w:r>
          </w:p>
        </w:tc>
        <w:tc>
          <w:tcPr>
            <w:tcW w:w="880" w:type="dxa"/>
            <w:vAlign w:val="bottom"/>
          </w:tcPr>
          <w:p>
            <w:pPr>
              <w:spacing w:after="0"/>
              <w:rPr>
                <w:sz w:val="13"/>
                <w:szCs w:val="13"/>
                <w:color w:val="auto"/>
              </w:rPr>
            </w:pPr>
          </w:p>
        </w:tc>
      </w:tr>
      <w:tr>
        <w:trPr>
          <w:trHeight w:val="168"/>
        </w:trPr>
        <w:tc>
          <w:tcPr>
            <w:tcW w:w="1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10,705)</w:t>
            </w:r>
          </w:p>
        </w:tc>
        <w:tc>
          <w:tcPr>
            <w:tcW w:w="880" w:type="dxa"/>
            <w:vAlign w:val="bottom"/>
          </w:tcPr>
          <w:p>
            <w:pPr>
              <w:spacing w:after="0"/>
              <w:rPr>
                <w:sz w:val="14"/>
                <w:szCs w:val="14"/>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Passport Labs, Inc.</w:t>
            </w:r>
          </w:p>
        </w:tc>
        <w:tc>
          <w:tcPr>
            <w:tcW w:w="258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3"/>
                <w:szCs w:val="13"/>
                <w:color w:val="auto"/>
              </w:rPr>
              <w:t xml:space="preserve">First-lien loan ($24,603 par, due 4/2026) </w:t>
            </w:r>
            <w:r>
              <w:rPr>
                <w:rFonts w:ascii="Times New Roman" w:cs="Times New Roman" w:eastAsia="Times New Roman" w:hAnsi="Times New Roman"/>
                <w:sz w:val="16"/>
                <w:szCs w:val="16"/>
                <w:color w:val="auto"/>
                <w:vertAlign w:val="superscript"/>
              </w:rPr>
              <w:t>(3)</w:t>
            </w: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4/28/2021</w:t>
            </w:r>
          </w:p>
        </w:tc>
        <w:tc>
          <w:tcPr>
            <w:tcW w:w="11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SOFR + 8.40%</w:t>
            </w:r>
          </w:p>
        </w:tc>
        <w:tc>
          <w:tcPr>
            <w:tcW w:w="130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13.75 %</w:t>
            </w:r>
          </w:p>
        </w:tc>
        <w:tc>
          <w:tcPr>
            <w:tcW w:w="9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24,444</w:t>
            </w: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24,555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44"/>
        </w:trPr>
        <w:tc>
          <w:tcPr>
            <w:tcW w:w="1520" w:type="dxa"/>
            <w:vAlign w:val="bottom"/>
          </w:tcPr>
          <w:p>
            <w:pPr>
              <w:spacing w:after="0"/>
              <w:rPr>
                <w:sz w:val="12"/>
                <w:szCs w:val="12"/>
                <w:color w:val="auto"/>
              </w:rPr>
            </w:pPr>
          </w:p>
        </w:tc>
        <w:tc>
          <w:tcPr>
            <w:tcW w:w="25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Convertible Promissory Note A ($1,086 par,</w:t>
            </w:r>
          </w:p>
        </w:tc>
        <w:tc>
          <w:tcPr>
            <w:tcW w:w="8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3/2/2023</w:t>
            </w:r>
          </w:p>
        </w:tc>
        <w:tc>
          <w:tcPr>
            <w:tcW w:w="11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8.00 %</w:t>
            </w:r>
          </w:p>
        </w:tc>
        <w:tc>
          <w:tcPr>
            <w:tcW w:w="1300" w:type="dxa"/>
            <w:vAlign w:val="bottom"/>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8.00 %</w:t>
            </w:r>
          </w:p>
        </w:tc>
        <w:tc>
          <w:tcPr>
            <w:tcW w:w="9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1,086</w:t>
            </w:r>
          </w:p>
        </w:tc>
        <w:tc>
          <w:tcPr>
            <w:tcW w:w="134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2,025</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68"/>
        </w:trPr>
        <w:tc>
          <w:tcPr>
            <w:tcW w:w="152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8/2026)</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Ping Identity Holding</w:t>
            </w:r>
          </w:p>
        </w:tc>
        <w:tc>
          <w:tcPr>
            <w:tcW w:w="258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($22,727 par, due 10/2029)</w:t>
            </w:r>
          </w:p>
        </w:tc>
        <w:tc>
          <w:tcPr>
            <w:tcW w:w="82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10/17/2022</w:t>
            </w:r>
          </w:p>
        </w:tc>
        <w:tc>
          <w:tcPr>
            <w:tcW w:w="1140" w:type="dxa"/>
            <w:vAlign w:val="bottom"/>
            <w:shd w:val="clear" w:color="auto" w:fill="CFF0FC"/>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rPr>
              <w:t>SOFR + 7.00%</w:t>
            </w:r>
          </w:p>
        </w:tc>
        <w:tc>
          <w:tcPr>
            <w:tcW w:w="1300" w:type="dxa"/>
            <w:vAlign w:val="bottom"/>
            <w:shd w:val="clear" w:color="auto" w:fill="CFF0FC"/>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12.36 %</w:t>
            </w:r>
          </w:p>
        </w:tc>
        <w:tc>
          <w:tcPr>
            <w:tcW w:w="980" w:type="dxa"/>
            <w:vAlign w:val="bottom"/>
            <w:shd w:val="clear" w:color="auto" w:fill="CFF0FC"/>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22,183</w:t>
            </w:r>
          </w:p>
        </w:tc>
        <w:tc>
          <w:tcPr>
            <w:tcW w:w="1340" w:type="dxa"/>
            <w:vAlign w:val="bottom"/>
            <w:shd w:val="clear" w:color="auto" w:fill="CFF0FC"/>
          </w:tcPr>
          <w:p>
            <w:pPr>
              <w:jc w:val="right"/>
              <w:ind w:right="474"/>
              <w:spacing w:after="0" w:line="133" w:lineRule="exact"/>
              <w:rPr>
                <w:sz w:val="20"/>
                <w:szCs w:val="20"/>
                <w:color w:val="auto"/>
              </w:rPr>
            </w:pPr>
            <w:r>
              <w:rPr>
                <w:rFonts w:ascii="Times New Roman" w:cs="Times New Roman" w:eastAsia="Times New Roman" w:hAnsi="Times New Roman"/>
                <w:sz w:val="13"/>
                <w:szCs w:val="13"/>
                <w:color w:val="auto"/>
              </w:rPr>
              <w:t>23,165</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1.5 %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Corp. </w:t>
            </w:r>
            <w:r>
              <w:rPr>
                <w:rFonts w:ascii="Times New Roman" w:cs="Times New Roman" w:eastAsia="Times New Roman" w:hAnsi="Times New Roman"/>
                <w:sz w:val="16"/>
                <w:szCs w:val="16"/>
                <w:color w:val="auto"/>
                <w:vertAlign w:val="superscript"/>
              </w:rPr>
              <w:t>(3)</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PrimeRevenue, Inc. </w:t>
            </w:r>
            <w:r>
              <w:rPr>
                <w:rFonts w:ascii="Times New Roman" w:cs="Times New Roman" w:eastAsia="Times New Roman" w:hAnsi="Times New Roman"/>
                <w:sz w:val="16"/>
                <w:szCs w:val="16"/>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($9,007 par, due 12/2024)</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12/31/2018</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+ 7.10%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12.46 %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8,996</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9,083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TradingScreen, Inc. </w:t>
            </w:r>
            <w:r>
              <w:rPr>
                <w:rFonts w:ascii="Times New Roman" w:cs="Times New Roman" w:eastAsia="Times New Roman" w:hAnsi="Times New Roman"/>
                <w:sz w:val="16"/>
                <w:szCs w:val="16"/>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($47,198 par, due 4/2027)</w:t>
            </w: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4/30/2021</w:t>
            </w:r>
          </w:p>
        </w:tc>
        <w:tc>
          <w:tcPr>
            <w:tcW w:w="11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SOFR + 6.35%</w:t>
            </w:r>
          </w:p>
        </w:tc>
        <w:tc>
          <w:tcPr>
            <w:tcW w:w="130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11.73 %</w:t>
            </w:r>
          </w:p>
        </w:tc>
        <w:tc>
          <w:tcPr>
            <w:tcW w:w="9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46,360</w:t>
            </w: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47,080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56"/>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Volante Technologies, Inc.</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($2,604 par, due 9/2028)</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9/29/2023</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16.50 %</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16.50% PIK</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2,578</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2,598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56"/>
        </w:trPr>
        <w:tc>
          <w:tcPr>
            <w:tcW w:w="15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342,885</w:t>
            </w: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349,384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23.4 %</w:t>
            </w:r>
          </w:p>
        </w:tc>
      </w:tr>
      <w:tr>
        <w:trPr>
          <w:trHeight w:val="156"/>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20"/>
        </w:trPr>
        <w:tc>
          <w:tcPr>
            <w:tcW w:w="15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BCTO Ace Purchaser, Inc.</w:t>
            </w:r>
          </w:p>
        </w:tc>
        <w:tc>
          <w:tcPr>
            <w:tcW w:w="2580" w:type="dxa"/>
            <w:vAlign w:val="bottom"/>
            <w:shd w:val="clear" w:color="auto" w:fill="CFF0FC"/>
          </w:tcPr>
          <w:p>
            <w:pPr>
              <w:ind w:left="80"/>
              <w:spacing w:after="0" w:line="120" w:lineRule="exact"/>
              <w:rPr>
                <w:sz w:val="20"/>
                <w:szCs w:val="20"/>
                <w:color w:val="auto"/>
              </w:rPr>
            </w:pPr>
            <w:r>
              <w:rPr>
                <w:rFonts w:ascii="Times New Roman" w:cs="Times New Roman" w:eastAsia="Times New Roman" w:hAnsi="Times New Roman"/>
                <w:sz w:val="11"/>
                <w:szCs w:val="11"/>
                <w:color w:val="auto"/>
              </w:rPr>
              <w:t xml:space="preserve">First-lien loan ($69,231 par, due 11/2027) </w:t>
            </w:r>
            <w:r>
              <w:rPr>
                <w:rFonts w:ascii="Times New Roman" w:cs="Times New Roman" w:eastAsia="Times New Roman" w:hAnsi="Times New Roman"/>
                <w:sz w:val="13"/>
                <w:szCs w:val="13"/>
                <w:color w:val="auto"/>
                <w:vertAlign w:val="superscript"/>
              </w:rPr>
              <w:t>(5)</w:t>
            </w:r>
          </w:p>
        </w:tc>
        <w:tc>
          <w:tcPr>
            <w:tcW w:w="820" w:type="dxa"/>
            <w:vAlign w:val="bottom"/>
            <w:shd w:val="clear" w:color="auto" w:fill="CFF0FC"/>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11/23/2020</w:t>
            </w:r>
          </w:p>
        </w:tc>
        <w:tc>
          <w:tcPr>
            <w:tcW w:w="1140" w:type="dxa"/>
            <w:vAlign w:val="bottom"/>
            <w:shd w:val="clear" w:color="auto" w:fill="CFF0FC"/>
          </w:tcPr>
          <w:p>
            <w:pPr>
              <w:jc w:val="right"/>
              <w:ind w:right="174"/>
              <w:spacing w:after="0" w:line="120" w:lineRule="exact"/>
              <w:rPr>
                <w:sz w:val="20"/>
                <w:szCs w:val="20"/>
                <w:color w:val="auto"/>
              </w:rPr>
            </w:pPr>
            <w:r>
              <w:rPr>
                <w:rFonts w:ascii="Times New Roman" w:cs="Times New Roman" w:eastAsia="Times New Roman" w:hAnsi="Times New Roman"/>
                <w:sz w:val="13"/>
                <w:szCs w:val="13"/>
                <w:color w:val="auto"/>
              </w:rPr>
              <w:t>SOFR + 7.45%</w:t>
            </w:r>
          </w:p>
        </w:tc>
        <w:tc>
          <w:tcPr>
            <w:tcW w:w="1300" w:type="dxa"/>
            <w:vAlign w:val="bottom"/>
            <w:shd w:val="clear" w:color="auto" w:fill="CFF0FC"/>
          </w:tcPr>
          <w:p>
            <w:pPr>
              <w:jc w:val="right"/>
              <w:ind w:right="274"/>
              <w:spacing w:after="0" w:line="120" w:lineRule="exact"/>
              <w:rPr>
                <w:sz w:val="20"/>
                <w:szCs w:val="20"/>
                <w:color w:val="auto"/>
              </w:rPr>
            </w:pPr>
            <w:r>
              <w:rPr>
                <w:rFonts w:ascii="Times New Roman" w:cs="Times New Roman" w:eastAsia="Times New Roman" w:hAnsi="Times New Roman"/>
                <w:sz w:val="13"/>
                <w:szCs w:val="13"/>
                <w:color w:val="auto"/>
              </w:rPr>
              <w:t>12.84 %</w:t>
            </w:r>
          </w:p>
        </w:tc>
        <w:tc>
          <w:tcPr>
            <w:tcW w:w="980" w:type="dxa"/>
            <w:vAlign w:val="bottom"/>
            <w:shd w:val="clear" w:color="auto" w:fill="CFF0FC"/>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68,325</w:t>
            </w:r>
          </w:p>
        </w:tc>
        <w:tc>
          <w:tcPr>
            <w:tcW w:w="1340" w:type="dxa"/>
            <w:vAlign w:val="bottom"/>
            <w:shd w:val="clear" w:color="auto" w:fill="CFF0FC"/>
          </w:tcPr>
          <w:p>
            <w:pPr>
              <w:jc w:val="right"/>
              <w:ind w:right="474"/>
              <w:spacing w:after="0" w:line="120" w:lineRule="exact"/>
              <w:rPr>
                <w:sz w:val="20"/>
                <w:szCs w:val="20"/>
                <w:color w:val="auto"/>
              </w:rPr>
            </w:pPr>
            <w:r>
              <w:rPr>
                <w:rFonts w:ascii="Times New Roman" w:cs="Times New Roman" w:eastAsia="Times New Roman" w:hAnsi="Times New Roman"/>
                <w:sz w:val="13"/>
                <w:szCs w:val="13"/>
                <w:color w:val="auto"/>
              </w:rPr>
              <w:t>69,746</w:t>
            </w:r>
          </w:p>
        </w:tc>
        <w:tc>
          <w:tcPr>
            <w:tcW w:w="8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4.7 %</w:t>
            </w:r>
          </w:p>
        </w:tc>
      </w:tr>
      <w:tr>
        <w:trPr>
          <w:trHeight w:val="124"/>
        </w:trPr>
        <w:tc>
          <w:tcPr>
            <w:tcW w:w="1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258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114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134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25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Second-lien loan ($5,623 par, due 1/2030)</w:t>
            </w:r>
          </w:p>
        </w:tc>
        <w:tc>
          <w:tcPr>
            <w:tcW w:w="8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1/23/2023</w:t>
            </w:r>
          </w:p>
        </w:tc>
        <w:tc>
          <w:tcPr>
            <w:tcW w:w="1140" w:type="dxa"/>
            <w:vAlign w:val="bottom"/>
          </w:tcPr>
          <w:p>
            <w:pPr>
              <w:jc w:val="right"/>
              <w:ind w:right="174"/>
              <w:spacing w:after="0" w:line="144" w:lineRule="exact"/>
              <w:rPr>
                <w:sz w:val="20"/>
                <w:szCs w:val="20"/>
                <w:color w:val="auto"/>
              </w:rPr>
            </w:pPr>
            <w:r>
              <w:rPr>
                <w:rFonts w:ascii="Times New Roman" w:cs="Times New Roman" w:eastAsia="Times New Roman" w:hAnsi="Times New Roman"/>
                <w:sz w:val="13"/>
                <w:szCs w:val="13"/>
                <w:color w:val="auto"/>
              </w:rPr>
              <w:t>SOFR +</w:t>
            </w:r>
          </w:p>
        </w:tc>
        <w:tc>
          <w:tcPr>
            <w:tcW w:w="1300" w:type="dxa"/>
            <w:vAlign w:val="bottom"/>
          </w:tcPr>
          <w:p>
            <w:pPr>
              <w:jc w:val="right"/>
              <w:ind w:right="274"/>
              <w:spacing w:after="0" w:line="144" w:lineRule="exact"/>
              <w:rPr>
                <w:sz w:val="20"/>
                <w:szCs w:val="20"/>
                <w:color w:val="auto"/>
              </w:rPr>
            </w:pPr>
            <w:r>
              <w:rPr>
                <w:rFonts w:ascii="Times New Roman" w:cs="Times New Roman" w:eastAsia="Times New Roman" w:hAnsi="Times New Roman"/>
                <w:sz w:val="13"/>
                <w:szCs w:val="13"/>
                <w:color w:val="auto"/>
              </w:rPr>
              <w:t>16.10 %</w:t>
            </w:r>
          </w:p>
        </w:tc>
        <w:tc>
          <w:tcPr>
            <w:tcW w:w="9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5,493</w:t>
            </w:r>
          </w:p>
        </w:tc>
        <w:tc>
          <w:tcPr>
            <w:tcW w:w="1340" w:type="dxa"/>
            <w:vAlign w:val="bottom"/>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5,637</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0.4 %</w:t>
            </w:r>
          </w:p>
        </w:tc>
      </w:tr>
      <w:tr>
        <w:trPr>
          <w:trHeight w:val="168"/>
        </w:trPr>
        <w:tc>
          <w:tcPr>
            <w:tcW w:w="1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10.70%</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4"/>
        </w:trPr>
        <w:tc>
          <w:tcPr>
            <w:tcW w:w="15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Edge Bidco B.V. </w:t>
            </w:r>
            <w:r>
              <w:rPr>
                <w:rFonts w:ascii="Times New Roman" w:cs="Times New Roman" w:eastAsia="Times New Roman" w:hAnsi="Times New Roman"/>
                <w:sz w:val="16"/>
                <w:szCs w:val="16"/>
                <w:color w:val="auto"/>
                <w:vertAlign w:val="superscript"/>
              </w:rPr>
              <w:t>(3)(4)(5)</w:t>
            </w:r>
          </w:p>
        </w:tc>
        <w:tc>
          <w:tcPr>
            <w:tcW w:w="258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(EUR 3,850 par, due 2/2029)</w:t>
            </w:r>
          </w:p>
        </w:tc>
        <w:tc>
          <w:tcPr>
            <w:tcW w:w="82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2/24/2023</w:t>
            </w:r>
          </w:p>
        </w:tc>
        <w:tc>
          <w:tcPr>
            <w:tcW w:w="1140" w:type="dxa"/>
            <w:vAlign w:val="bottom"/>
            <w:shd w:val="clear" w:color="auto" w:fill="CFF0FC"/>
          </w:tcPr>
          <w:p>
            <w:pPr>
              <w:jc w:val="right"/>
              <w:ind w:right="174"/>
              <w:spacing w:after="0" w:line="144" w:lineRule="exact"/>
              <w:rPr>
                <w:sz w:val="20"/>
                <w:szCs w:val="20"/>
                <w:color w:val="auto"/>
              </w:rPr>
            </w:pPr>
            <w:r>
              <w:rPr>
                <w:rFonts w:ascii="Times New Roman" w:cs="Times New Roman" w:eastAsia="Times New Roman" w:hAnsi="Times New Roman"/>
                <w:sz w:val="13"/>
                <w:szCs w:val="13"/>
                <w:color w:val="auto"/>
              </w:rPr>
              <w:t>E + 7.00%</w:t>
            </w:r>
          </w:p>
        </w:tc>
        <w:tc>
          <w:tcPr>
            <w:tcW w:w="1300" w:type="dxa"/>
            <w:vAlign w:val="bottom"/>
            <w:shd w:val="clear" w:color="auto" w:fill="CFF0FC"/>
          </w:tcPr>
          <w:p>
            <w:pPr>
              <w:jc w:val="right"/>
              <w:ind w:right="414"/>
              <w:spacing w:after="0" w:line="144" w:lineRule="exact"/>
              <w:rPr>
                <w:sz w:val="20"/>
                <w:szCs w:val="20"/>
                <w:color w:val="auto"/>
              </w:rPr>
            </w:pPr>
            <w:r>
              <w:rPr>
                <w:rFonts w:ascii="Times New Roman" w:cs="Times New Roman" w:eastAsia="Times New Roman" w:hAnsi="Times New Roman"/>
                <w:sz w:val="13"/>
                <w:szCs w:val="13"/>
                <w:color w:val="auto"/>
              </w:rPr>
              <w:t>16.10% (incl.</w:t>
            </w:r>
          </w:p>
        </w:tc>
        <w:tc>
          <w:tcPr>
            <w:tcW w:w="9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3,951</w:t>
            </w:r>
          </w:p>
        </w:tc>
        <w:tc>
          <w:tcPr>
            <w:tcW w:w="1340" w:type="dxa"/>
            <w:vAlign w:val="bottom"/>
            <w:shd w:val="clear" w:color="auto" w:fill="CFF0FC"/>
          </w:tcPr>
          <w:p>
            <w:pPr>
              <w:jc w:val="right"/>
              <w:ind w:right="474"/>
              <w:spacing w:after="0" w:line="144" w:lineRule="exact"/>
              <w:rPr>
                <w:sz w:val="20"/>
                <w:szCs w:val="20"/>
                <w:color w:val="auto"/>
              </w:rPr>
            </w:pPr>
            <w:r>
              <w:rPr>
                <w:rFonts w:ascii="Times New Roman" w:cs="Times New Roman" w:eastAsia="Times New Roman" w:hAnsi="Times New Roman"/>
                <w:sz w:val="13"/>
                <w:szCs w:val="13"/>
                <w:color w:val="auto"/>
              </w:rPr>
              <w:t>4,266</w:t>
            </w:r>
          </w:p>
        </w:tc>
        <w:tc>
          <w:tcPr>
            <w:tcW w:w="8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0.3 %</w:t>
            </w:r>
          </w:p>
        </w:tc>
      </w:tr>
      <w:tr>
        <w:trPr>
          <w:trHeight w:val="156"/>
        </w:trPr>
        <w:tc>
          <w:tcPr>
            <w:tcW w:w="15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3"/>
                <w:szCs w:val="13"/>
                <w:color w:val="auto"/>
              </w:rPr>
              <w:t>3.25% PIK)</w:t>
            </w:r>
          </w:p>
        </w:tc>
        <w:tc>
          <w:tcPr>
            <w:tcW w:w="9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(EUR</w:t>
            </w:r>
          </w:p>
        </w:tc>
        <w:tc>
          <w:tcPr>
            <w:tcW w:w="880" w:type="dxa"/>
            <w:vAlign w:val="bottom"/>
            <w:shd w:val="clear" w:color="auto" w:fill="CFF0FC"/>
          </w:tcPr>
          <w:p>
            <w:pPr>
              <w:spacing w:after="0"/>
              <w:rPr>
                <w:sz w:val="13"/>
                <w:szCs w:val="13"/>
                <w:color w:val="auto"/>
              </w:rPr>
            </w:pPr>
          </w:p>
        </w:tc>
      </w:tr>
      <w:tr>
        <w:trPr>
          <w:trHeight w:val="168"/>
        </w:trPr>
        <w:tc>
          <w:tcPr>
            <w:tcW w:w="15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3,862)</w:t>
            </w:r>
          </w:p>
        </w:tc>
        <w:tc>
          <w:tcPr>
            <w:tcW w:w="880" w:type="dxa"/>
            <w:vAlign w:val="bottom"/>
            <w:shd w:val="clear" w:color="auto" w:fill="CFF0FC"/>
          </w:tcPr>
          <w:p>
            <w:pPr>
              <w:spacing w:after="0"/>
              <w:rPr>
                <w:sz w:val="14"/>
                <w:szCs w:val="14"/>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Homecare Software</w:t>
            </w:r>
          </w:p>
        </w:tc>
        <w:tc>
          <w:tcPr>
            <w:tcW w:w="25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($65,000 par, due 10/2026)</w:t>
            </w:r>
          </w:p>
        </w:tc>
        <w:tc>
          <w:tcPr>
            <w:tcW w:w="82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10/6/2021</w:t>
            </w:r>
          </w:p>
        </w:tc>
        <w:tc>
          <w:tcPr>
            <w:tcW w:w="1140" w:type="dxa"/>
            <w:vAlign w:val="bottom"/>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rPr>
              <w:t>SOFR + 5.70%</w:t>
            </w:r>
          </w:p>
        </w:tc>
        <w:tc>
          <w:tcPr>
            <w:tcW w:w="1300" w:type="dxa"/>
            <w:vAlign w:val="bottom"/>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11.06 %</w:t>
            </w:r>
          </w:p>
        </w:tc>
        <w:tc>
          <w:tcPr>
            <w:tcW w:w="9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rPr>
              <w:t>64,017</w:t>
            </w:r>
          </w:p>
        </w:tc>
        <w:tc>
          <w:tcPr>
            <w:tcW w:w="1340" w:type="dxa"/>
            <w:vAlign w:val="bottom"/>
          </w:tcPr>
          <w:p>
            <w:pPr>
              <w:jc w:val="right"/>
              <w:ind w:right="474"/>
              <w:spacing w:after="0" w:line="133" w:lineRule="exact"/>
              <w:rPr>
                <w:sz w:val="20"/>
                <w:szCs w:val="20"/>
                <w:color w:val="auto"/>
              </w:rPr>
            </w:pPr>
            <w:r>
              <w:rPr>
                <w:rFonts w:ascii="Times New Roman" w:cs="Times New Roman" w:eastAsia="Times New Roman" w:hAnsi="Times New Roman"/>
                <w:sz w:val="13"/>
                <w:szCs w:val="13"/>
                <w:color w:val="auto"/>
              </w:rPr>
              <w:t>64,838</w:t>
            </w: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4.3 %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Solutions, LLC </w:t>
            </w:r>
            <w:r>
              <w:rPr>
                <w:rFonts w:ascii="Times New Roman" w:cs="Times New Roman" w:eastAsia="Times New Roman" w:hAnsi="Times New Roman"/>
                <w:sz w:val="16"/>
                <w:szCs w:val="16"/>
                <w:color w:val="auto"/>
                <w:vertAlign w:val="superscript"/>
              </w:rPr>
              <w:t>(3)(5)</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Merative L.P. </w:t>
            </w:r>
            <w:r>
              <w:rPr>
                <w:rFonts w:ascii="Times New Roman" w:cs="Times New Roman" w:eastAsia="Times New Roman" w:hAnsi="Times New Roman"/>
                <w:sz w:val="16"/>
                <w:szCs w:val="16"/>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($70,103 par, due 6/2028)</w:t>
            </w: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6/30/2022</w:t>
            </w:r>
          </w:p>
        </w:tc>
        <w:tc>
          <w:tcPr>
            <w:tcW w:w="11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SOFR + 7.25%</w:t>
            </w:r>
          </w:p>
        </w:tc>
        <w:tc>
          <w:tcPr>
            <w:tcW w:w="130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12.60 %</w:t>
            </w:r>
          </w:p>
        </w:tc>
        <w:tc>
          <w:tcPr>
            <w:tcW w:w="9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68,205</w:t>
            </w: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69,753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4.7 %</w:t>
            </w:r>
          </w:p>
        </w:tc>
      </w:tr>
      <w:tr>
        <w:trPr>
          <w:trHeight w:val="120"/>
        </w:trPr>
        <w:tc>
          <w:tcPr>
            <w:tcW w:w="15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Raptor US Buyer II Corp.</w:t>
            </w:r>
          </w:p>
        </w:tc>
        <w:tc>
          <w:tcPr>
            <w:tcW w:w="258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($15,569 par, due 3/2029)</w:t>
            </w:r>
          </w:p>
        </w:tc>
        <w:tc>
          <w:tcPr>
            <w:tcW w:w="82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3/24/2023</w:t>
            </w:r>
          </w:p>
        </w:tc>
        <w:tc>
          <w:tcPr>
            <w:tcW w:w="1140" w:type="dxa"/>
            <w:vAlign w:val="bottom"/>
          </w:tcPr>
          <w:p>
            <w:pPr>
              <w:jc w:val="right"/>
              <w:ind w:right="174"/>
              <w:spacing w:after="0" w:line="120" w:lineRule="exact"/>
              <w:rPr>
                <w:sz w:val="20"/>
                <w:szCs w:val="20"/>
                <w:color w:val="auto"/>
              </w:rPr>
            </w:pPr>
            <w:r>
              <w:rPr>
                <w:rFonts w:ascii="Times New Roman" w:cs="Times New Roman" w:eastAsia="Times New Roman" w:hAnsi="Times New Roman"/>
                <w:sz w:val="13"/>
                <w:szCs w:val="13"/>
                <w:color w:val="auto"/>
              </w:rPr>
              <w:t>SOFR + 6.75%</w:t>
            </w:r>
          </w:p>
        </w:tc>
        <w:tc>
          <w:tcPr>
            <w:tcW w:w="1300" w:type="dxa"/>
            <w:vAlign w:val="bottom"/>
          </w:tcPr>
          <w:p>
            <w:pPr>
              <w:jc w:val="right"/>
              <w:ind w:right="274"/>
              <w:spacing w:after="0" w:line="120" w:lineRule="exact"/>
              <w:rPr>
                <w:sz w:val="20"/>
                <w:szCs w:val="20"/>
                <w:color w:val="auto"/>
              </w:rPr>
            </w:pPr>
            <w:r>
              <w:rPr>
                <w:rFonts w:ascii="Times New Roman" w:cs="Times New Roman" w:eastAsia="Times New Roman" w:hAnsi="Times New Roman"/>
                <w:sz w:val="13"/>
                <w:szCs w:val="13"/>
                <w:color w:val="auto"/>
              </w:rPr>
              <w:t>12.10 %</w:t>
            </w:r>
          </w:p>
        </w:tc>
        <w:tc>
          <w:tcPr>
            <w:tcW w:w="980" w:type="dxa"/>
            <w:vAlign w:val="bottom"/>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15,070</w:t>
            </w:r>
          </w:p>
        </w:tc>
        <w:tc>
          <w:tcPr>
            <w:tcW w:w="1340" w:type="dxa"/>
            <w:vAlign w:val="bottom"/>
          </w:tcPr>
          <w:p>
            <w:pPr>
              <w:jc w:val="right"/>
              <w:ind w:right="474"/>
              <w:spacing w:after="0" w:line="120" w:lineRule="exact"/>
              <w:rPr>
                <w:sz w:val="20"/>
                <w:szCs w:val="20"/>
                <w:color w:val="auto"/>
              </w:rPr>
            </w:pPr>
            <w:r>
              <w:rPr>
                <w:rFonts w:ascii="Times New Roman" w:cs="Times New Roman" w:eastAsia="Times New Roman" w:hAnsi="Times New Roman"/>
                <w:sz w:val="13"/>
                <w:szCs w:val="13"/>
                <w:color w:val="auto"/>
              </w:rPr>
              <w:t>15,491</w:t>
            </w:r>
          </w:p>
        </w:tc>
        <w:tc>
          <w:tcPr>
            <w:tcW w:w="8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1.0 %</w:t>
            </w:r>
          </w:p>
        </w:tc>
      </w:tr>
      <w:tr>
        <w:trPr>
          <w:trHeight w:val="107"/>
        </w:trPr>
        <w:tc>
          <w:tcPr>
            <w:tcW w:w="1520" w:type="dxa"/>
            <w:vAlign w:val="bottom"/>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37"/>
        </w:trPr>
        <w:tc>
          <w:tcPr>
            <w:tcW w:w="15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SL Buyer Corp. </w:t>
            </w:r>
            <w:r>
              <w:rPr>
                <w:rFonts w:ascii="Times New Roman" w:cs="Times New Roman" w:eastAsia="Times New Roman" w:hAnsi="Times New Roman"/>
                <w:sz w:val="16"/>
                <w:szCs w:val="16"/>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($31,475 par, due 7/2029)</w:t>
            </w: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7/7/2023</w:t>
            </w:r>
          </w:p>
        </w:tc>
        <w:tc>
          <w:tcPr>
            <w:tcW w:w="11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SOFR + 7.00%</w:t>
            </w:r>
          </w:p>
        </w:tc>
        <w:tc>
          <w:tcPr>
            <w:tcW w:w="130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12.36 %</w:t>
            </w:r>
          </w:p>
        </w:tc>
        <w:tc>
          <w:tcPr>
            <w:tcW w:w="9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30,139</w:t>
            </w:r>
          </w:p>
        </w:tc>
        <w:tc>
          <w:tcPr>
            <w:tcW w:w="134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30,902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56"/>
        </w:trPr>
        <w:tc>
          <w:tcPr>
            <w:tcW w:w="1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255,200</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260,633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17.5 %</w:t>
            </w:r>
          </w:p>
        </w:tc>
      </w:tr>
      <w:tr>
        <w:trPr>
          <w:trHeight w:val="142"/>
        </w:trPr>
        <w:tc>
          <w:tcPr>
            <w:tcW w:w="15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Hotel, Gaming and</w:t>
            </w:r>
          </w:p>
        </w:tc>
        <w:tc>
          <w:tcPr>
            <w:tcW w:w="25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r>
      <w:tr>
        <w:trPr>
          <w:trHeight w:val="170"/>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Leisure</w:t>
            </w:r>
          </w:p>
        </w:tc>
        <w:tc>
          <w:tcPr>
            <w:tcW w:w="2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219"/>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ASG II, LLC </w:t>
            </w:r>
            <w:r>
              <w:rPr>
                <w:rFonts w:ascii="Times New Roman" w:cs="Times New Roman" w:eastAsia="Times New Roman" w:hAnsi="Times New Roman"/>
                <w:sz w:val="16"/>
                <w:szCs w:val="16"/>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($61,609 par, due 5/2028)</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5/25/2022</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+ 6.40%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11.77 %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60,383</w:t>
            </w: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61,934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4.1 %</w:t>
            </w:r>
          </w:p>
        </w:tc>
      </w:tr>
    </w:tbl>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184"/>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IRGSE Holding Corp. </w:t>
            </w:r>
            <w:r>
              <w:rPr>
                <w:rFonts w:ascii="Times New Roman" w:cs="Times New Roman" w:eastAsia="Times New Roman" w:hAnsi="Times New Roman"/>
                <w:sz w:val="16"/>
                <w:szCs w:val="16"/>
                <w:color w:val="auto"/>
                <w:vertAlign w:val="superscript"/>
              </w:rPr>
              <w:t>(3)(6)</w:t>
            </w: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($30,261 par, due 6/2024)</w:t>
            </w:r>
          </w:p>
        </w:tc>
      </w:tr>
      <w:tr>
        <w:trPr>
          <w:trHeight w:val="156"/>
        </w:trPr>
        <w:tc>
          <w:tcPr>
            <w:tcW w:w="1480" w:type="dxa"/>
            <w:vAlign w:val="bottom"/>
          </w:tcPr>
          <w:p>
            <w:pPr>
              <w:spacing w:after="0"/>
              <w:rPr>
                <w:sz w:val="13"/>
                <w:szCs w:val="13"/>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revolving loan ($27,622 par, due</w:t>
            </w:r>
          </w:p>
        </w:tc>
      </w:tr>
      <w:tr>
        <w:trPr>
          <w:trHeight w:val="172"/>
        </w:trPr>
        <w:tc>
          <w:tcPr>
            <w:tcW w:w="148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6/2024)</w:t>
            </w:r>
          </w:p>
        </w:tc>
      </w:tr>
      <w:tr>
        <w:trPr>
          <w:trHeight w:val="294"/>
        </w:trPr>
        <w:tc>
          <w:tcPr>
            <w:tcW w:w="1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Human Resource</w:t>
            </w:r>
          </w:p>
        </w:tc>
        <w:tc>
          <w:tcPr>
            <w:tcW w:w="2340" w:type="dxa"/>
            <w:vAlign w:val="bottom"/>
          </w:tcPr>
          <w:p>
            <w:pPr>
              <w:spacing w:after="0"/>
              <w:rPr>
                <w:sz w:val="24"/>
                <w:szCs w:val="24"/>
                <w:color w:val="auto"/>
              </w:rPr>
            </w:pPr>
          </w:p>
        </w:tc>
      </w:tr>
      <w:tr>
        <w:trPr>
          <w:trHeight w:val="147"/>
        </w:trPr>
        <w:tc>
          <w:tcPr>
            <w:tcW w:w="148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Support Services</w:t>
            </w:r>
          </w:p>
        </w:tc>
        <w:tc>
          <w:tcPr>
            <w:tcW w:w="2340" w:type="dxa"/>
            <w:vAlign w:val="bottom"/>
          </w:tcPr>
          <w:p>
            <w:pPr>
              <w:spacing w:after="0"/>
              <w:rPr>
                <w:sz w:val="12"/>
                <w:szCs w:val="12"/>
                <w:color w:val="auto"/>
              </w:rPr>
            </w:pPr>
          </w:p>
        </w:tc>
      </w:tr>
      <w:tr>
        <w:trPr>
          <w:trHeight w:val="156"/>
        </w:trPr>
        <w:tc>
          <w:tcPr>
            <w:tcW w:w="14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Axonify, Inc. </w:t>
            </w:r>
            <w:r>
              <w:rPr>
                <w:rFonts w:ascii="Times New Roman" w:cs="Times New Roman" w:eastAsia="Times New Roman" w:hAnsi="Times New Roman"/>
                <w:sz w:val="16"/>
                <w:szCs w:val="16"/>
                <w:color w:val="auto"/>
                <w:vertAlign w:val="superscript"/>
              </w:rPr>
              <w:t>(3)(4)(5)</w:t>
            </w: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($41,607 par, due 5/2027)</w:t>
            </w:r>
          </w:p>
        </w:tc>
      </w:tr>
      <w:tr>
        <w:trPr>
          <w:trHeight w:val="156"/>
        </w:trPr>
        <w:tc>
          <w:tcPr>
            <w:tcW w:w="14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(3)(5)</w:t>
            </w: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($44,358 par, due 11/2028)</w:t>
            </w:r>
          </w:p>
        </w:tc>
      </w:tr>
      <w:tr>
        <w:trPr>
          <w:trHeight w:val="219"/>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Elysian Finco Ltd. </w:t>
            </w:r>
            <w:r>
              <w:rPr>
                <w:rFonts w:ascii="Times New Roman" w:cs="Times New Roman" w:eastAsia="Times New Roman" w:hAnsi="Times New Roman"/>
                <w:sz w:val="16"/>
                <w:szCs w:val="16"/>
                <w:color w:val="auto"/>
                <w:vertAlign w:val="superscript"/>
              </w:rPr>
              <w:t>(3)(4)(5)</w:t>
            </w: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($19,519 par, due 1/2028)</w:t>
            </w:r>
          </w:p>
        </w:tc>
      </w:tr>
      <w:tr>
        <w:trPr>
          <w:trHeight w:val="249"/>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Employment Hero</w:t>
            </w: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(AUD 50,000 par, due</w:t>
            </w:r>
          </w:p>
        </w:tc>
      </w:tr>
      <w:tr>
        <w:trPr>
          <w:trHeight w:val="219"/>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Holdings Pty Ltd. </w:t>
            </w:r>
            <w:r>
              <w:rPr>
                <w:rFonts w:ascii="Times New Roman" w:cs="Times New Roman" w:eastAsia="Times New Roman" w:hAnsi="Times New Roman"/>
                <w:sz w:val="16"/>
                <w:szCs w:val="16"/>
                <w:color w:val="auto"/>
                <w:vertAlign w:val="superscript"/>
              </w:rPr>
              <w:t>(3)(4)</w:t>
            </w: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12/2026)</w:t>
            </w: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7"/>
              </w:rPr>
              <w:t>12/21/2018</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SOFR + 9.65%</w:t>
            </w: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15.00 %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28,594</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30,109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7"/>
              </w:rPr>
              <w:t>12/21/2018</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SOFR + 9.65%</w:t>
            </w: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15.03 %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27,622</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27,480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312"/>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116,599</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119,523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7.9 %</w:t>
            </w:r>
          </w:p>
        </w:tc>
      </w:tr>
      <w:tr>
        <w:trPr>
          <w:trHeight w:val="453"/>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5/5/2021</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SOFR + 7.65%</w:t>
            </w: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13.04 %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41,035</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41,718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11/7/2022</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SOFR + 6.63%</w:t>
            </w: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12.03 %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43,236</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44,802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1/31/2021</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SOFR + 6.65%</w:t>
            </w:r>
          </w:p>
        </w:tc>
        <w:tc>
          <w:tcPr>
            <w:tcW w:w="136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12.03% (incl.</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19,112</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19,987</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56"/>
        </w:trPr>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6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6.50% PIK)</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12/6/2021</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B + 6.25%</w:t>
            </w: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10.67 %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34,834</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34,117</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56"/>
        </w:trPr>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(AUD</w:t>
            </w:r>
          </w:p>
        </w:tc>
        <w:tc>
          <w:tcPr>
            <w:tcW w:w="860" w:type="dxa"/>
            <w:vAlign w:val="bottom"/>
          </w:tcPr>
          <w:p>
            <w:pPr>
              <w:spacing w:after="0"/>
              <w:rPr>
                <w:sz w:val="13"/>
                <w:szCs w:val="13"/>
                <w:color w:val="auto"/>
              </w:rPr>
            </w:pPr>
          </w:p>
        </w:tc>
      </w:tr>
      <w:tr>
        <w:trPr>
          <w:trHeight w:val="172"/>
        </w:trPr>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50,000)</w:t>
            </w: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-1290320</wp:posOffset>
            </wp:positionV>
            <wp:extent cx="6707505" cy="990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-992505</wp:posOffset>
            </wp:positionV>
            <wp:extent cx="6707505" cy="990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-695325</wp:posOffset>
            </wp:positionV>
            <wp:extent cx="6707505" cy="990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-497205</wp:posOffset>
            </wp:positionV>
            <wp:extent cx="6707505" cy="1981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spacing w:after="0" w:line="4" w:lineRule="exact"/>
        <w:rPr>
          <w:sz w:val="20"/>
          <w:szCs w:val="20"/>
          <w:color w:val="auto"/>
        </w:rPr>
      </w:pPr>
    </w:p>
    <w:p>
      <w:pPr>
        <w:sectPr>
          <w:pgSz w:w="11900" w:h="16840" w:orient="portrait"/>
          <w:cols w:equalWidth="0" w:num="2">
            <w:col w:w="3840" w:space="400"/>
            <w:col w:w="6320"/>
          </w:cols>
          <w:pgMar w:left="660" w:top="1310" w:right="680" w:bottom="1440" w:gutter="0" w:footer="0" w:header="0"/>
        </w:sectPr>
      </w:pPr>
    </w:p>
    <w:tbl>
      <w:tblPr>
        <w:tblLayout w:type="fixed"/>
        <w:tblInd w:w="0" w:type="dxa"/>
        <w:tblCellMar>
          <w:top w:w="0" w:type="dxa"/>
          <w:left w:w="0" w:type="dxa"/>
          <w:bottom w:w="0" w:type="dxa"/>
          <w:right w:w="0" w:type="dxa"/>
        </w:tblCellMar>
      </w:tblPr>
      <w:tr>
        <w:trPr>
          <w:trHeight w:val="184"/>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HireVue, Inc.</w:t>
            </w:r>
            <w:r>
              <w:rPr>
                <w:rFonts w:ascii="Times New Roman" w:cs="Times New Roman" w:eastAsia="Times New Roman" w:hAnsi="Times New Roman"/>
                <w:sz w:val="16"/>
                <w:szCs w:val="16"/>
                <w:color w:val="auto"/>
                <w:vertAlign w:val="superscript"/>
              </w:rPr>
              <w:t>(3)</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($54,113 par, due 5/2029)</w:t>
            </w: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5/3/2023</w:t>
            </w:r>
          </w:p>
        </w:tc>
        <w:tc>
          <w:tcPr>
            <w:tcW w:w="128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SOFR + 7.25%</w:t>
            </w:r>
          </w:p>
        </w:tc>
        <w:tc>
          <w:tcPr>
            <w:tcW w:w="12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12.63 %</w:t>
            </w:r>
          </w:p>
        </w:tc>
        <w:tc>
          <w:tcPr>
            <w:tcW w:w="10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52,478</w:t>
            </w:r>
          </w:p>
        </w:tc>
        <w:tc>
          <w:tcPr>
            <w:tcW w:w="126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53,808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3.6 %</w:t>
            </w: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Madcap Software, Inc.</w:t>
            </w:r>
            <w:r>
              <w:rPr>
                <w:rFonts w:ascii="Times New Roman" w:cs="Times New Roman" w:eastAsia="Times New Roman" w:hAnsi="Times New Roman"/>
                <w:sz w:val="16"/>
                <w:szCs w:val="16"/>
                <w:color w:val="auto"/>
                <w:vertAlign w:val="superscript"/>
              </w:rPr>
              <w:t>(3)(5)</w:t>
            </w:r>
          </w:p>
        </w:tc>
        <w:tc>
          <w:tcPr>
            <w:tcW w:w="2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($32,500 par, due 12/2026)</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12/15/2023</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SOFR + 6.10%</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11.46 %</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31,713</w:t>
            </w: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31,769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44"/>
        </w:trPr>
        <w:tc>
          <w:tcPr>
            <w:tcW w:w="15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w w:val="99"/>
              </w:rPr>
              <w:t xml:space="preserve">PageUp People, Ltd. </w:t>
            </w:r>
            <w:r>
              <w:rPr>
                <w:rFonts w:ascii="Times New Roman" w:cs="Times New Roman" w:eastAsia="Times New Roman" w:hAnsi="Times New Roman"/>
                <w:sz w:val="16"/>
                <w:szCs w:val="16"/>
                <w:color w:val="auto"/>
                <w:w w:val="99"/>
                <w:vertAlign w:val="superscript"/>
              </w:rPr>
              <w:t>(3)(4)(5)</w:t>
            </w:r>
          </w:p>
        </w:tc>
        <w:tc>
          <w:tcPr>
            <w:tcW w:w="250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(AUD 13,400 par, due</w:t>
            </w:r>
          </w:p>
        </w:tc>
        <w:tc>
          <w:tcPr>
            <w:tcW w:w="90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1/11/2018</w:t>
            </w:r>
          </w:p>
        </w:tc>
        <w:tc>
          <w:tcPr>
            <w:tcW w:w="1280" w:type="dxa"/>
            <w:vAlign w:val="bottom"/>
            <w:shd w:val="clear" w:color="auto" w:fill="CFF0FC"/>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B + 5.00%</w:t>
            </w:r>
          </w:p>
        </w:tc>
        <w:tc>
          <w:tcPr>
            <w:tcW w:w="1200" w:type="dxa"/>
            <w:vAlign w:val="bottom"/>
            <w:shd w:val="clear" w:color="auto" w:fill="CFF0FC"/>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9.36 %</w:t>
            </w:r>
          </w:p>
        </w:tc>
        <w:tc>
          <w:tcPr>
            <w:tcW w:w="1040" w:type="dxa"/>
            <w:vAlign w:val="bottom"/>
            <w:shd w:val="clear" w:color="auto" w:fill="CFF0FC"/>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10,114</w:t>
            </w:r>
          </w:p>
        </w:tc>
        <w:tc>
          <w:tcPr>
            <w:tcW w:w="1260" w:type="dxa"/>
            <w:vAlign w:val="bottom"/>
            <w:shd w:val="clear" w:color="auto" w:fill="CFF0FC"/>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9,143</w:t>
            </w: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0.6 %</w:t>
            </w:r>
          </w:p>
        </w:tc>
      </w:tr>
      <w:tr>
        <w:trPr>
          <w:trHeight w:val="156"/>
        </w:trPr>
        <w:tc>
          <w:tcPr>
            <w:tcW w:w="1520" w:type="dxa"/>
            <w:vAlign w:val="bottom"/>
            <w:shd w:val="clear" w:color="auto" w:fill="CFF0FC"/>
          </w:tcPr>
          <w:p>
            <w:pPr>
              <w:spacing w:after="0"/>
              <w:rPr>
                <w:sz w:val="13"/>
                <w:szCs w:val="13"/>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12/2025)</w:t>
            </w:r>
          </w:p>
        </w:tc>
        <w:tc>
          <w:tcPr>
            <w:tcW w:w="9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(AUD</w:t>
            </w:r>
          </w:p>
        </w:tc>
        <w:tc>
          <w:tcPr>
            <w:tcW w:w="860" w:type="dxa"/>
            <w:vAlign w:val="bottom"/>
            <w:shd w:val="clear" w:color="auto" w:fill="CFF0FC"/>
          </w:tcPr>
          <w:p>
            <w:pPr>
              <w:spacing w:after="0"/>
              <w:rPr>
                <w:sz w:val="13"/>
                <w:szCs w:val="13"/>
                <w:color w:val="auto"/>
              </w:rPr>
            </w:pPr>
          </w:p>
        </w:tc>
      </w:tr>
      <w:tr>
        <w:trPr>
          <w:trHeight w:val="168"/>
        </w:trPr>
        <w:tc>
          <w:tcPr>
            <w:tcW w:w="152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13,400)</w:t>
            </w:r>
          </w:p>
        </w:tc>
        <w:tc>
          <w:tcPr>
            <w:tcW w:w="860" w:type="dxa"/>
            <w:vAlign w:val="bottom"/>
            <w:shd w:val="clear" w:color="auto" w:fill="CFF0FC"/>
          </w:tcPr>
          <w:p>
            <w:pPr>
              <w:spacing w:after="0"/>
              <w:rPr>
                <w:sz w:val="14"/>
                <w:szCs w:val="14"/>
                <w:color w:val="auto"/>
              </w:rPr>
            </w:pPr>
          </w:p>
        </w:tc>
      </w:tr>
      <w:tr>
        <w:trPr>
          <w:trHeight w:val="144"/>
        </w:trPr>
        <w:tc>
          <w:tcPr>
            <w:tcW w:w="1520" w:type="dxa"/>
            <w:vAlign w:val="bottom"/>
          </w:tcPr>
          <w:p>
            <w:pPr>
              <w:spacing w:after="0"/>
              <w:rPr>
                <w:sz w:val="12"/>
                <w:szCs w:val="12"/>
                <w:color w:val="auto"/>
              </w:rPr>
            </w:pPr>
          </w:p>
        </w:tc>
        <w:tc>
          <w:tcPr>
            <w:tcW w:w="25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First-lien loan (GBP 3,104 par, due</w:t>
            </w:r>
          </w:p>
        </w:tc>
        <w:tc>
          <w:tcPr>
            <w:tcW w:w="90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10/28/2021</w:t>
            </w:r>
          </w:p>
        </w:tc>
        <w:tc>
          <w:tcPr>
            <w:tcW w:w="1280" w:type="dxa"/>
            <w:vAlign w:val="bottom"/>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S + 5.03%</w:t>
            </w:r>
          </w:p>
        </w:tc>
        <w:tc>
          <w:tcPr>
            <w:tcW w:w="1200" w:type="dxa"/>
            <w:vAlign w:val="bottom"/>
          </w:tcPr>
          <w:p>
            <w:pPr>
              <w:jc w:val="right"/>
              <w:ind w:right="314"/>
              <w:spacing w:after="0" w:line="144" w:lineRule="exact"/>
              <w:rPr>
                <w:sz w:val="20"/>
                <w:szCs w:val="20"/>
                <w:color w:val="auto"/>
              </w:rPr>
            </w:pPr>
            <w:r>
              <w:rPr>
                <w:rFonts w:ascii="Times New Roman" w:cs="Times New Roman" w:eastAsia="Times New Roman" w:hAnsi="Times New Roman"/>
                <w:sz w:val="13"/>
                <w:szCs w:val="13"/>
                <w:color w:val="auto"/>
              </w:rPr>
              <w:t>10.22 %</w:t>
            </w:r>
          </w:p>
        </w:tc>
        <w:tc>
          <w:tcPr>
            <w:tcW w:w="104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color w:val="auto"/>
              </w:rPr>
              <w:t>4,276</w:t>
            </w:r>
          </w:p>
        </w:tc>
        <w:tc>
          <w:tcPr>
            <w:tcW w:w="1260" w:type="dxa"/>
            <w:vAlign w:val="bottom"/>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3,957</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0.3 %</w:t>
            </w:r>
          </w:p>
        </w:tc>
      </w:tr>
      <w:tr>
        <w:trPr>
          <w:trHeight w:val="156"/>
        </w:trPr>
        <w:tc>
          <w:tcPr>
            <w:tcW w:w="1520" w:type="dxa"/>
            <w:vAlign w:val="bottom"/>
          </w:tcPr>
          <w:p>
            <w:pPr>
              <w:spacing w:after="0"/>
              <w:rPr>
                <w:sz w:val="13"/>
                <w:szCs w:val="13"/>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12/2025)</w:t>
            </w: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(GBP</w:t>
            </w:r>
          </w:p>
        </w:tc>
        <w:tc>
          <w:tcPr>
            <w:tcW w:w="860" w:type="dxa"/>
            <w:vAlign w:val="bottom"/>
          </w:tcPr>
          <w:p>
            <w:pPr>
              <w:spacing w:after="0"/>
              <w:rPr>
                <w:sz w:val="13"/>
                <w:szCs w:val="13"/>
                <w:color w:val="auto"/>
              </w:rPr>
            </w:pPr>
          </w:p>
        </w:tc>
      </w:tr>
      <w:tr>
        <w:trPr>
          <w:trHeight w:val="168"/>
        </w:trPr>
        <w:tc>
          <w:tcPr>
            <w:tcW w:w="1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3,104)</w:t>
            </w:r>
          </w:p>
        </w:tc>
        <w:tc>
          <w:tcPr>
            <w:tcW w:w="860" w:type="dxa"/>
            <w:vAlign w:val="bottom"/>
          </w:tcPr>
          <w:p>
            <w:pPr>
              <w:spacing w:after="0"/>
              <w:rPr>
                <w:sz w:val="14"/>
                <w:szCs w:val="14"/>
                <w:color w:val="auto"/>
              </w:rPr>
            </w:pPr>
          </w:p>
        </w:tc>
      </w:tr>
      <w:tr>
        <w:trPr>
          <w:trHeight w:val="156"/>
        </w:trPr>
        <w:tc>
          <w:tcPr>
            <w:tcW w:w="1520" w:type="dxa"/>
            <w:vAlign w:val="bottom"/>
            <w:shd w:val="clear" w:color="auto" w:fill="CFF0FC"/>
          </w:tcPr>
          <w:p>
            <w:pPr>
              <w:spacing w:after="0"/>
              <w:rPr>
                <w:sz w:val="13"/>
                <w:szCs w:val="13"/>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($10,557 par, due 12/2025)</w:t>
            </w: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10/28/2021</w:t>
            </w:r>
          </w:p>
        </w:tc>
        <w:tc>
          <w:tcPr>
            <w:tcW w:w="128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SOFR + 5.10%</w:t>
            </w:r>
          </w:p>
        </w:tc>
        <w:tc>
          <w:tcPr>
            <w:tcW w:w="12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10.45 %</w:t>
            </w:r>
          </w:p>
        </w:tc>
        <w:tc>
          <w:tcPr>
            <w:tcW w:w="10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10,549</w:t>
            </w:r>
          </w:p>
        </w:tc>
        <w:tc>
          <w:tcPr>
            <w:tcW w:w="126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10,557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0.7 %</w:t>
            </w:r>
          </w:p>
        </w:tc>
      </w:tr>
      <w:tr>
        <w:trPr>
          <w:trHeight w:val="120"/>
        </w:trPr>
        <w:tc>
          <w:tcPr>
            <w:tcW w:w="152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 xml:space="preserve">PayScale Holdings, Inc. </w:t>
            </w:r>
            <w:r>
              <w:rPr>
                <w:rFonts w:ascii="Times New Roman" w:cs="Times New Roman" w:eastAsia="Times New Roman" w:hAnsi="Times New Roman"/>
                <w:sz w:val="13"/>
                <w:szCs w:val="13"/>
                <w:color w:val="auto"/>
                <w:vertAlign w:val="superscript"/>
              </w:rPr>
              <w:t>(3)</w:t>
            </w:r>
          </w:p>
        </w:tc>
        <w:tc>
          <w:tcPr>
            <w:tcW w:w="2500" w:type="dxa"/>
            <w:vAlign w:val="bottom"/>
          </w:tcPr>
          <w:p>
            <w:pPr>
              <w:ind w:left="80"/>
              <w:spacing w:after="0" w:line="120" w:lineRule="exact"/>
              <w:rPr>
                <w:sz w:val="20"/>
                <w:szCs w:val="20"/>
                <w:color w:val="auto"/>
              </w:rPr>
            </w:pPr>
            <w:r>
              <w:rPr>
                <w:rFonts w:ascii="Times New Roman" w:cs="Times New Roman" w:eastAsia="Times New Roman" w:hAnsi="Times New Roman"/>
                <w:sz w:val="13"/>
                <w:szCs w:val="13"/>
                <w:color w:val="auto"/>
              </w:rPr>
              <w:t>First-lien loan ($71,196 par, due 5/2027)</w:t>
            </w:r>
          </w:p>
        </w:tc>
        <w:tc>
          <w:tcPr>
            <w:tcW w:w="900" w:type="dxa"/>
            <w:vAlign w:val="bottom"/>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5/3/2019</w:t>
            </w:r>
          </w:p>
        </w:tc>
        <w:tc>
          <w:tcPr>
            <w:tcW w:w="1280" w:type="dxa"/>
            <w:vAlign w:val="bottom"/>
          </w:tcPr>
          <w:p>
            <w:pPr>
              <w:jc w:val="right"/>
              <w:ind w:right="314"/>
              <w:spacing w:after="0" w:line="120" w:lineRule="exact"/>
              <w:rPr>
                <w:sz w:val="20"/>
                <w:szCs w:val="20"/>
                <w:color w:val="auto"/>
              </w:rPr>
            </w:pPr>
            <w:r>
              <w:rPr>
                <w:rFonts w:ascii="Times New Roman" w:cs="Times New Roman" w:eastAsia="Times New Roman" w:hAnsi="Times New Roman"/>
                <w:sz w:val="13"/>
                <w:szCs w:val="13"/>
                <w:color w:val="auto"/>
              </w:rPr>
              <w:t>SOFR + 6.35%</w:t>
            </w:r>
          </w:p>
        </w:tc>
        <w:tc>
          <w:tcPr>
            <w:tcW w:w="1200" w:type="dxa"/>
            <w:vAlign w:val="bottom"/>
          </w:tcPr>
          <w:p>
            <w:pPr>
              <w:jc w:val="right"/>
              <w:ind w:right="314"/>
              <w:spacing w:after="0" w:line="120" w:lineRule="exact"/>
              <w:rPr>
                <w:sz w:val="20"/>
                <w:szCs w:val="20"/>
                <w:color w:val="auto"/>
              </w:rPr>
            </w:pPr>
            <w:r>
              <w:rPr>
                <w:rFonts w:ascii="Times New Roman" w:cs="Times New Roman" w:eastAsia="Times New Roman" w:hAnsi="Times New Roman"/>
                <w:sz w:val="13"/>
                <w:szCs w:val="13"/>
                <w:color w:val="auto"/>
              </w:rPr>
              <w:t>11.70 %</w:t>
            </w:r>
          </w:p>
        </w:tc>
        <w:tc>
          <w:tcPr>
            <w:tcW w:w="104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color w:val="auto"/>
              </w:rPr>
              <w:t>70,826</w:t>
            </w:r>
          </w:p>
        </w:tc>
        <w:tc>
          <w:tcPr>
            <w:tcW w:w="1260" w:type="dxa"/>
            <w:vAlign w:val="bottom"/>
          </w:tcPr>
          <w:p>
            <w:pPr>
              <w:jc w:val="right"/>
              <w:ind w:right="494"/>
              <w:spacing w:after="0" w:line="120" w:lineRule="exact"/>
              <w:rPr>
                <w:sz w:val="20"/>
                <w:szCs w:val="20"/>
                <w:color w:val="auto"/>
              </w:rPr>
            </w:pPr>
            <w:r>
              <w:rPr>
                <w:rFonts w:ascii="Times New Roman" w:cs="Times New Roman" w:eastAsia="Times New Roman" w:hAnsi="Times New Roman"/>
                <w:sz w:val="13"/>
                <w:szCs w:val="13"/>
                <w:color w:val="auto"/>
              </w:rPr>
              <w:t>71,374</w:t>
            </w:r>
          </w:p>
        </w:tc>
        <w:tc>
          <w:tcPr>
            <w:tcW w:w="8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4.8 %</w:t>
            </w:r>
          </w:p>
        </w:tc>
      </w:tr>
      <w:tr>
        <w:trPr>
          <w:trHeight w:val="107"/>
        </w:trPr>
        <w:tc>
          <w:tcPr>
            <w:tcW w:w="152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2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37"/>
        </w:trPr>
        <w:tc>
          <w:tcPr>
            <w:tcW w:w="15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PrimePay Intermediate,</w:t>
            </w:r>
          </w:p>
        </w:tc>
        <w:tc>
          <w:tcPr>
            <w:tcW w:w="250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($34,375 par, due 12/2026)</w:t>
            </w:r>
          </w:p>
        </w:tc>
        <w:tc>
          <w:tcPr>
            <w:tcW w:w="90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12/17/2021</w:t>
            </w:r>
          </w:p>
        </w:tc>
        <w:tc>
          <w:tcPr>
            <w:tcW w:w="1280" w:type="dxa"/>
            <w:vAlign w:val="bottom"/>
            <w:shd w:val="clear" w:color="auto" w:fill="CFF0FC"/>
          </w:tcPr>
          <w:p>
            <w:pPr>
              <w:jc w:val="right"/>
              <w:ind w:right="314"/>
              <w:spacing w:after="0" w:line="133" w:lineRule="exact"/>
              <w:rPr>
                <w:sz w:val="20"/>
                <w:szCs w:val="20"/>
                <w:color w:val="auto"/>
              </w:rPr>
            </w:pPr>
            <w:r>
              <w:rPr>
                <w:rFonts w:ascii="Times New Roman" w:cs="Times New Roman" w:eastAsia="Times New Roman" w:hAnsi="Times New Roman"/>
                <w:sz w:val="13"/>
                <w:szCs w:val="13"/>
                <w:color w:val="auto"/>
              </w:rPr>
              <w:t>SOFR + 7.15%</w:t>
            </w:r>
          </w:p>
        </w:tc>
        <w:tc>
          <w:tcPr>
            <w:tcW w:w="1200" w:type="dxa"/>
            <w:vAlign w:val="bottom"/>
            <w:shd w:val="clear" w:color="auto" w:fill="CFF0FC"/>
          </w:tcPr>
          <w:p>
            <w:pPr>
              <w:jc w:val="right"/>
              <w:ind w:right="314"/>
              <w:spacing w:after="0" w:line="133" w:lineRule="exact"/>
              <w:rPr>
                <w:sz w:val="20"/>
                <w:szCs w:val="20"/>
                <w:color w:val="auto"/>
              </w:rPr>
            </w:pPr>
            <w:r>
              <w:rPr>
                <w:rFonts w:ascii="Times New Roman" w:cs="Times New Roman" w:eastAsia="Times New Roman" w:hAnsi="Times New Roman"/>
                <w:sz w:val="13"/>
                <w:szCs w:val="13"/>
                <w:color w:val="auto"/>
              </w:rPr>
              <w:t>12.54 %</w:t>
            </w:r>
          </w:p>
        </w:tc>
        <w:tc>
          <w:tcPr>
            <w:tcW w:w="1040" w:type="dxa"/>
            <w:vAlign w:val="bottom"/>
            <w:shd w:val="clear" w:color="auto" w:fill="CFF0FC"/>
          </w:tcPr>
          <w:p>
            <w:pPr>
              <w:jc w:val="right"/>
              <w:ind w:right="234"/>
              <w:spacing w:after="0" w:line="133" w:lineRule="exact"/>
              <w:rPr>
                <w:sz w:val="20"/>
                <w:szCs w:val="20"/>
                <w:color w:val="auto"/>
              </w:rPr>
            </w:pPr>
            <w:r>
              <w:rPr>
                <w:rFonts w:ascii="Times New Roman" w:cs="Times New Roman" w:eastAsia="Times New Roman" w:hAnsi="Times New Roman"/>
                <w:sz w:val="13"/>
                <w:szCs w:val="13"/>
                <w:color w:val="auto"/>
              </w:rPr>
              <w:t>33,672</w:t>
            </w:r>
          </w:p>
        </w:tc>
        <w:tc>
          <w:tcPr>
            <w:tcW w:w="126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34,375</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2.3 %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7"/>
                <w:szCs w:val="7"/>
                <w:color w:val="auto"/>
              </w:rPr>
              <w:t xml:space="preserve"> (3)(5)</w:t>
            </w:r>
          </w:p>
        </w:tc>
        <w:tc>
          <w:tcPr>
            <w:tcW w:w="25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bl>
    <w:p>
      <w:pPr>
        <w:spacing w:after="0" w:line="1" w:lineRule="exact"/>
        <w:rPr>
          <w:sz w:val="20"/>
          <w:szCs w:val="20"/>
          <w:color w:val="auto"/>
        </w:rPr>
      </w:pPr>
    </w:p>
    <w:p>
      <w:pPr>
        <w:sectPr>
          <w:pgSz w:w="11900" w:h="16840" w:orient="portrait"/>
          <w:cols w:equalWidth="0" w:num="1">
            <w:col w:w="10560"/>
          </w:cols>
          <w:pgMar w:left="660" w:top="1310" w:right="680" w:bottom="1440" w:gutter="0" w:footer="0" w:header="0"/>
          <w:type w:val="continuous"/>
        </w:sectPr>
      </w:pP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line="165" w:lineRule="exact"/>
              <w:rPr>
                <w:sz w:val="20"/>
                <w:szCs w:val="20"/>
                <w:color w:val="auto"/>
              </w:rPr>
            </w:pPr>
            <w:r>
              <w:rPr>
                <w:rFonts w:ascii="Times New Roman" w:cs="Times New Roman" w:eastAsia="Times New Roman" w:hAnsi="Times New Roman"/>
                <w:sz w:val="13"/>
                <w:szCs w:val="13"/>
                <w:color w:val="auto"/>
              </w:rPr>
              <w:t xml:space="preserve">Disco Parent, Inc. </w:t>
            </w:r>
            <w:r>
              <w:rPr>
                <w:rFonts w:ascii="Times New Roman" w:cs="Times New Roman" w:eastAsia="Times New Roman" w:hAnsi="Times New Roman"/>
                <w:sz w:val="16"/>
                <w:szCs w:val="16"/>
                <w:color w:val="auto"/>
                <w:vertAlign w:val="superscript"/>
              </w:rPr>
              <w:t>(3)</w:t>
            </w: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($4,545 par, due 3/2029)</w:t>
            </w:r>
          </w:p>
        </w:tc>
        <w:tc>
          <w:tcPr>
            <w:tcW w:w="0" w:type="dxa"/>
            <w:vAlign w:val="bottom"/>
          </w:tcPr>
          <w:p>
            <w:pPr>
              <w:spacing w:after="0"/>
              <w:rPr>
                <w:sz w:val="1"/>
                <w:szCs w:val="1"/>
                <w:color w:val="auto"/>
              </w:rPr>
            </w:pPr>
          </w:p>
        </w:tc>
      </w:tr>
      <w:tr>
        <w:trPr>
          <w:trHeight w:val="147"/>
        </w:trPr>
        <w:tc>
          <w:tcPr>
            <w:tcW w:w="148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Arrow Buyer, Inc. </w:t>
            </w:r>
            <w:r>
              <w:rPr>
                <w:rFonts w:ascii="Times New Roman" w:cs="Times New Roman" w:eastAsia="Times New Roman" w:hAnsi="Times New Roman"/>
                <w:sz w:val="16"/>
                <w:szCs w:val="16"/>
                <w:color w:val="auto"/>
                <w:vertAlign w:val="superscript"/>
              </w:rPr>
              <w:t>(3)</w:t>
            </w: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($33,125 par, due 7/2030)</w:t>
            </w:r>
          </w:p>
        </w:tc>
        <w:tc>
          <w:tcPr>
            <w:tcW w:w="0" w:type="dxa"/>
            <w:vAlign w:val="bottom"/>
          </w:tcPr>
          <w:p>
            <w:pPr>
              <w:spacing w:after="0"/>
              <w:rPr>
                <w:sz w:val="1"/>
                <w:szCs w:val="1"/>
                <w:color w:val="auto"/>
              </w:rPr>
            </w:pPr>
          </w:p>
        </w:tc>
      </w:tr>
      <w:tr>
        <w:trPr>
          <w:trHeight w:val="145"/>
        </w:trPr>
        <w:tc>
          <w:tcPr>
            <w:tcW w:w="14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Bayshore Intermediate #2,</w:t>
            </w:r>
          </w:p>
        </w:tc>
        <w:tc>
          <w:tcPr>
            <w:tcW w:w="238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auto"/>
              </w:rPr>
              <w:t>First-lien loan ($36,629 par, due 10/2028)</w:t>
            </w:r>
          </w:p>
        </w:tc>
        <w:tc>
          <w:tcPr>
            <w:tcW w:w="0" w:type="dxa"/>
            <w:vAlign w:val="bottom"/>
          </w:tcPr>
          <w:p>
            <w:pPr>
              <w:spacing w:after="0"/>
              <w:rPr>
                <w:sz w:val="1"/>
                <w:szCs w:val="1"/>
                <w:color w:val="auto"/>
              </w:rPr>
            </w:pPr>
          </w:p>
        </w:tc>
      </w:tr>
      <w:tr>
        <w:trPr>
          <w:trHeight w:val="219"/>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L.P. </w:t>
            </w:r>
            <w:r>
              <w:rPr>
                <w:rFonts w:ascii="Times New Roman" w:cs="Times New Roman" w:eastAsia="Times New Roman" w:hAnsi="Times New Roman"/>
                <w:sz w:val="16"/>
                <w:szCs w:val="16"/>
                <w:color w:val="auto"/>
                <w:vertAlign w:val="superscript"/>
              </w:rPr>
              <w:t>(3)</w:t>
            </w: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First-lien revolving loan ($480 par, due</w:t>
            </w:r>
          </w:p>
        </w:tc>
        <w:tc>
          <w:tcPr>
            <w:tcW w:w="0" w:type="dxa"/>
            <w:vAlign w:val="bottom"/>
          </w:tcPr>
          <w:p>
            <w:pPr>
              <w:spacing w:after="0"/>
              <w:rPr>
                <w:sz w:val="1"/>
                <w:szCs w:val="1"/>
                <w:color w:val="auto"/>
              </w:rPr>
            </w:pPr>
          </w:p>
        </w:tc>
      </w:tr>
      <w:tr>
        <w:trPr>
          <w:trHeight w:val="104"/>
        </w:trPr>
        <w:tc>
          <w:tcPr>
            <w:tcW w:w="148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Coupa Holdings, LLC </w:t>
            </w:r>
            <w:r>
              <w:rPr>
                <w:rFonts w:ascii="Times New Roman" w:cs="Times New Roman" w:eastAsia="Times New Roman" w:hAnsi="Times New Roman"/>
                <w:sz w:val="16"/>
                <w:szCs w:val="16"/>
                <w:color w:val="auto"/>
                <w:vertAlign w:val="superscript"/>
              </w:rPr>
              <w:t>(3)</w:t>
            </w: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10/2027)</w:t>
            </w:r>
          </w:p>
        </w:tc>
        <w:tc>
          <w:tcPr>
            <w:tcW w:w="0" w:type="dxa"/>
            <w:vAlign w:val="bottom"/>
          </w:tcPr>
          <w:p>
            <w:pPr>
              <w:spacing w:after="0"/>
              <w:rPr>
                <w:sz w:val="1"/>
                <w:szCs w:val="1"/>
                <w:color w:val="auto"/>
              </w:rPr>
            </w:pPr>
          </w:p>
        </w:tc>
      </w:tr>
      <w:tr>
        <w:trPr>
          <w:trHeight w:val="156"/>
        </w:trPr>
        <w:tc>
          <w:tcPr>
            <w:tcW w:w="1480" w:type="dxa"/>
            <w:vAlign w:val="bottom"/>
            <w:vMerge w:val="continue"/>
          </w:tcPr>
          <w:p>
            <w:pPr>
              <w:spacing w:after="0"/>
              <w:rPr>
                <w:sz w:val="13"/>
                <w:szCs w:val="13"/>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($43,191 par, due 2/2030)</w:t>
            </w:r>
          </w:p>
        </w:tc>
        <w:tc>
          <w:tcPr>
            <w:tcW w:w="0" w:type="dxa"/>
            <w:vAlign w:val="bottom"/>
          </w:tcPr>
          <w:p>
            <w:pPr>
              <w:spacing w:after="0"/>
              <w:rPr>
                <w:sz w:val="1"/>
                <w:szCs w:val="1"/>
                <w:color w:val="auto"/>
              </w:rPr>
            </w:pPr>
          </w:p>
        </w:tc>
      </w:tr>
      <w:tr>
        <w:trPr>
          <w:trHeight w:val="145"/>
        </w:trPr>
        <w:tc>
          <w:tcPr>
            <w:tcW w:w="14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CrunchTime Information,</w:t>
            </w:r>
          </w:p>
        </w:tc>
        <w:tc>
          <w:tcPr>
            <w:tcW w:w="238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auto"/>
              </w:rPr>
              <w:t>First-lien loan ($59,500 par, due 6/2028)</w:t>
            </w:r>
          </w:p>
        </w:tc>
        <w:tc>
          <w:tcPr>
            <w:tcW w:w="0" w:type="dxa"/>
            <w:vAlign w:val="bottom"/>
          </w:tcPr>
          <w:p>
            <w:pPr>
              <w:spacing w:after="0"/>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Systems, Inc. </w:t>
            </w:r>
            <w:r>
              <w:rPr>
                <w:rFonts w:ascii="Times New Roman" w:cs="Times New Roman" w:eastAsia="Times New Roman" w:hAnsi="Times New Roman"/>
                <w:sz w:val="16"/>
                <w:szCs w:val="16"/>
                <w:color w:val="auto"/>
                <w:vertAlign w:val="superscript"/>
              </w:rPr>
              <w:t>(3)(5)</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EDB Parent, LLC </w:t>
            </w:r>
            <w:r>
              <w:rPr>
                <w:rFonts w:ascii="Times New Roman" w:cs="Times New Roman" w:eastAsia="Times New Roman" w:hAnsi="Times New Roman"/>
                <w:sz w:val="16"/>
                <w:szCs w:val="16"/>
                <w:color w:val="auto"/>
                <w:vertAlign w:val="superscript"/>
              </w:rPr>
              <w:t>(3)(5)</w:t>
            </w: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($63,508 par, due 7/2028)</w:t>
            </w:r>
          </w:p>
        </w:tc>
        <w:tc>
          <w:tcPr>
            <w:tcW w:w="0" w:type="dxa"/>
            <w:vAlign w:val="bottom"/>
          </w:tcPr>
          <w:p>
            <w:pPr>
              <w:spacing w:after="0"/>
              <w:rPr>
                <w:sz w:val="1"/>
                <w:szCs w:val="1"/>
                <w:color w:val="auto"/>
              </w:rPr>
            </w:pPr>
          </w:p>
        </w:tc>
      </w:tr>
      <w:tr>
        <w:trPr>
          <w:trHeight w:val="167"/>
        </w:trPr>
        <w:tc>
          <w:tcPr>
            <w:tcW w:w="14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Higher Logic, LLC </w:t>
            </w:r>
            <w:r>
              <w:rPr>
                <w:rFonts w:ascii="Times New Roman" w:cs="Times New Roman" w:eastAsia="Times New Roman" w:hAnsi="Times New Roman"/>
                <w:sz w:val="16"/>
                <w:szCs w:val="16"/>
                <w:color w:val="auto"/>
                <w:vertAlign w:val="superscript"/>
              </w:rPr>
              <w:t>(3)(5)</w:t>
            </w: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($52,937 par, due 1/2025)</w:t>
            </w:r>
          </w:p>
        </w:tc>
        <w:tc>
          <w:tcPr>
            <w:tcW w:w="0" w:type="dxa"/>
            <w:vAlign w:val="bottom"/>
          </w:tcPr>
          <w:p>
            <w:pPr>
              <w:spacing w:after="0"/>
              <w:rPr>
                <w:sz w:val="1"/>
                <w:szCs w:val="1"/>
                <w:color w:val="auto"/>
              </w:rPr>
            </w:pPr>
          </w:p>
        </w:tc>
      </w:tr>
      <w:tr>
        <w:trPr>
          <w:trHeight w:val="132"/>
        </w:trPr>
        <w:tc>
          <w:tcPr>
            <w:tcW w:w="14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LeanTaaS Holdings, Inc.</w:t>
            </w:r>
          </w:p>
        </w:tc>
        <w:tc>
          <w:tcPr>
            <w:tcW w:w="238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color w:val="auto"/>
              </w:rPr>
              <w:t>First-lien loan ($36,966 par, due 7/2028)</w:t>
            </w:r>
          </w:p>
        </w:tc>
        <w:tc>
          <w:tcPr>
            <w:tcW w:w="0" w:type="dxa"/>
            <w:vAlign w:val="bottom"/>
          </w:tcPr>
          <w:p>
            <w:pPr>
              <w:spacing w:after="0"/>
              <w:rPr>
                <w:sz w:val="1"/>
                <w:szCs w:val="1"/>
                <w:color w:val="auto"/>
              </w:rPr>
            </w:pPr>
          </w:p>
        </w:tc>
      </w:tr>
      <w:tr>
        <w:trPr>
          <w:trHeight w:val="107"/>
        </w:trPr>
        <w:tc>
          <w:tcPr>
            <w:tcW w:w="1480" w:type="dxa"/>
            <w:vAlign w:val="bottom"/>
          </w:tcPr>
          <w:p>
            <w:pPr>
              <w:spacing w:after="0"/>
              <w:rPr>
                <w:sz w:val="20"/>
                <w:szCs w:val="20"/>
                <w:color w:val="auto"/>
              </w:rPr>
            </w:pPr>
            <w:r>
              <w:rPr>
                <w:rFonts w:ascii="Times New Roman" w:cs="Times New Roman" w:eastAsia="Times New Roman" w:hAnsi="Times New Roman"/>
                <w:sz w:val="8"/>
                <w:szCs w:val="8"/>
                <w:color w:val="auto"/>
              </w:rPr>
              <w:t>(3)(5)</w:t>
            </w: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Lithium Technologies,</w:t>
            </w: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($57,665 par, due 1/2025)</w:t>
            </w:r>
          </w:p>
        </w:tc>
        <w:tc>
          <w:tcPr>
            <w:tcW w:w="0" w:type="dxa"/>
            <w:vAlign w:val="bottom"/>
          </w:tcPr>
          <w:p>
            <w:pPr>
              <w:spacing w:after="0"/>
              <w:rPr>
                <w:sz w:val="1"/>
                <w:szCs w:val="1"/>
                <w:color w:val="auto"/>
              </w:rPr>
            </w:pPr>
          </w:p>
        </w:tc>
      </w:tr>
      <w:tr>
        <w:trPr>
          <w:trHeight w:val="156"/>
        </w:trPr>
        <w:tc>
          <w:tcPr>
            <w:tcW w:w="14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Lucidworks, Inc. </w:t>
            </w:r>
            <w:r>
              <w:rPr>
                <w:rFonts w:ascii="Times New Roman" w:cs="Times New Roman" w:eastAsia="Times New Roman" w:hAnsi="Times New Roman"/>
                <w:sz w:val="16"/>
                <w:szCs w:val="16"/>
                <w:color w:val="auto"/>
                <w:vertAlign w:val="superscript"/>
              </w:rPr>
              <w:t>(3)(5)</w:t>
            </w: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($8,912 par, due 2/2027)</w:t>
            </w: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Piano Software, Inc. </w:t>
            </w:r>
            <w:r>
              <w:rPr>
                <w:rFonts w:ascii="Times New Roman" w:cs="Times New Roman" w:eastAsia="Times New Roman" w:hAnsi="Times New Roman"/>
                <w:sz w:val="16"/>
                <w:szCs w:val="16"/>
                <w:color w:val="auto"/>
                <w:vertAlign w:val="superscript"/>
              </w:rPr>
              <w:t>(3)(5)</w:t>
            </w: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($50,889 par, due 2/2026)</w:t>
            </w:r>
          </w:p>
        </w:tc>
        <w:tc>
          <w:tcPr>
            <w:tcW w:w="0" w:type="dxa"/>
            <w:vAlign w:val="bottom"/>
          </w:tcPr>
          <w:p>
            <w:pPr>
              <w:spacing w:after="0"/>
              <w:rPr>
                <w:sz w:val="1"/>
                <w:szCs w:val="1"/>
                <w:color w:val="auto"/>
              </w:rPr>
            </w:pPr>
          </w:p>
        </w:tc>
      </w:tr>
      <w:tr>
        <w:trPr>
          <w:trHeight w:val="145"/>
        </w:trPr>
        <w:tc>
          <w:tcPr>
            <w:tcW w:w="14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SMA Technologies</w:t>
            </w:r>
          </w:p>
        </w:tc>
        <w:tc>
          <w:tcPr>
            <w:tcW w:w="238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auto"/>
              </w:rPr>
              <w:t>First-lien loan ($36,833 par, due 10/2028)</w:t>
            </w:r>
          </w:p>
        </w:tc>
        <w:tc>
          <w:tcPr>
            <w:tcW w:w="0" w:type="dxa"/>
            <w:vAlign w:val="bottom"/>
          </w:tcPr>
          <w:p>
            <w:pPr>
              <w:spacing w:after="0"/>
              <w:rPr>
                <w:sz w:val="1"/>
                <w:szCs w:val="1"/>
                <w:color w:val="auto"/>
              </w:rPr>
            </w:pPr>
          </w:p>
        </w:tc>
      </w:tr>
      <w:tr>
        <w:trPr>
          <w:trHeight w:val="219"/>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Holdings, LLC</w:t>
            </w:r>
            <w:r>
              <w:rPr>
                <w:rFonts w:ascii="Times New Roman" w:cs="Times New Roman" w:eastAsia="Times New Roman" w:hAnsi="Times New Roman"/>
                <w:sz w:val="16"/>
                <w:szCs w:val="16"/>
                <w:color w:val="auto"/>
                <w:vertAlign w:val="superscript"/>
              </w:rPr>
              <w:t>(3)(5)</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w w:val="99"/>
              </w:rPr>
              <w:t xml:space="preserve">First-lien loan ($1,130 par, due 12/2025) </w:t>
            </w:r>
            <w:r>
              <w:rPr>
                <w:rFonts w:ascii="Times New Roman" w:cs="Times New Roman" w:eastAsia="Times New Roman" w:hAnsi="Times New Roman"/>
                <w:sz w:val="16"/>
                <w:szCs w:val="16"/>
                <w:color w:val="auto"/>
                <w:w w:val="99"/>
                <w:vertAlign w:val="superscript"/>
              </w:rPr>
              <w:t>(3)</w:t>
            </w:r>
          </w:p>
        </w:tc>
        <w:tc>
          <w:tcPr>
            <w:tcW w:w="0" w:type="dxa"/>
            <w:vAlign w:val="bottom"/>
          </w:tcPr>
          <w:p>
            <w:pPr>
              <w:spacing w:after="0"/>
              <w:rPr>
                <w:sz w:val="1"/>
                <w:szCs w:val="1"/>
                <w:color w:val="auto"/>
              </w:rPr>
            </w:pPr>
          </w:p>
        </w:tc>
      </w:tr>
      <w:tr>
        <w:trPr>
          <w:trHeight w:val="145"/>
        </w:trPr>
        <w:tc>
          <w:tcPr>
            <w:tcW w:w="14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ASP Unifrax Holdings,</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(9)</w:t>
            </w: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First-lien loan (EUR 1,023 par, due</w:t>
            </w:r>
          </w:p>
        </w:tc>
        <w:tc>
          <w:tcPr>
            <w:tcW w:w="0" w:type="dxa"/>
            <w:vAlign w:val="bottom"/>
          </w:tcPr>
          <w:p>
            <w:pPr>
              <w:spacing w:after="0"/>
              <w:rPr>
                <w:sz w:val="1"/>
                <w:szCs w:val="1"/>
                <w:color w:val="auto"/>
              </w:rPr>
            </w:pPr>
          </w:p>
        </w:tc>
      </w:tr>
      <w:tr>
        <w:trPr>
          <w:trHeight w:val="93"/>
        </w:trPr>
        <w:tc>
          <w:tcPr>
            <w:tcW w:w="148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480" w:type="dxa"/>
            <w:vAlign w:val="bottom"/>
          </w:tcPr>
          <w:p>
            <w:pPr>
              <w:spacing w:after="0"/>
              <w:rPr>
                <w:sz w:val="14"/>
                <w:szCs w:val="14"/>
                <w:color w:val="auto"/>
              </w:rPr>
            </w:pPr>
          </w:p>
        </w:tc>
        <w:tc>
          <w:tcPr>
            <w:tcW w:w="2380" w:type="dxa"/>
            <w:vAlign w:val="bottom"/>
          </w:tcPr>
          <w:p>
            <w:pPr>
              <w:ind w:left="100"/>
              <w:spacing w:after="0" w:line="168" w:lineRule="exact"/>
              <w:rPr>
                <w:sz w:val="20"/>
                <w:szCs w:val="20"/>
                <w:color w:val="auto"/>
              </w:rPr>
            </w:pPr>
            <w:r>
              <w:rPr>
                <w:rFonts w:ascii="Times New Roman" w:cs="Times New Roman" w:eastAsia="Times New Roman" w:hAnsi="Times New Roman"/>
                <w:sz w:val="13"/>
                <w:szCs w:val="13"/>
                <w:color w:val="auto"/>
              </w:rPr>
              <w:t xml:space="preserve">12/2025) </w:t>
            </w:r>
            <w:r>
              <w:rPr>
                <w:rFonts w:ascii="Times New Roman" w:cs="Times New Roman" w:eastAsia="Times New Roman" w:hAnsi="Times New Roman"/>
                <w:sz w:val="16"/>
                <w:szCs w:val="16"/>
                <w:color w:val="auto"/>
                <w:vertAlign w:val="superscript"/>
              </w:rPr>
              <w:t>(3)</w:t>
            </w: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Secured Note ($91 par, due 9/2028)</w:t>
            </w:r>
          </w:p>
        </w:tc>
        <w:tc>
          <w:tcPr>
            <w:tcW w:w="0" w:type="dxa"/>
            <w:vAlign w:val="bottom"/>
          </w:tcPr>
          <w:p>
            <w:pPr>
              <w:spacing w:after="0"/>
              <w:rPr>
                <w:sz w:val="1"/>
                <w:szCs w:val="1"/>
                <w:color w:val="auto"/>
              </w:rPr>
            </w:pPr>
          </w:p>
        </w:tc>
      </w:tr>
      <w:tr>
        <w:trPr>
          <w:trHeight w:val="172"/>
        </w:trPr>
        <w:tc>
          <w:tcPr>
            <w:tcW w:w="1480" w:type="dxa"/>
            <w:vAlign w:val="bottom"/>
          </w:tcPr>
          <w:p>
            <w:pPr>
              <w:spacing w:after="0"/>
              <w:rPr>
                <w:sz w:val="14"/>
                <w:szCs w:val="1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Unsecured Note ($1,059 par, due 9/2029)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351,845</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355,607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23.7 %</w:t>
            </w:r>
          </w:p>
        </w:tc>
      </w:tr>
      <w:tr>
        <w:trPr>
          <w:trHeight w:val="300"/>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3/30/2023</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+ 7.50%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12.89 %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4,436</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4,533</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6/30/2023</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+ 6.50%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11.85 %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32,249</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32,820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10/1/2021</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+ 7.60%</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12.96% PIK</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36,129</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36,446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31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10/1/2021</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+ 6.60%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12.01 %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446</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468</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2/27/2023</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+ 7.50%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12.86 %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42,135</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43,441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6/17/2022</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+ 6.00%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11.36 %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58,477</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59,947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7/7/2022</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+ 6.75%</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12.10 %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62,301</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63,032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6/18/2018</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+ 6.75%</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12.10 %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52,781</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53,069</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7/12/2022</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+ 7.50%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12.85 %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36,190</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37,411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248"/>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10/3/2017</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+ 9.00%</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14.39% (incl.</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57,673</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56,367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56"/>
        </w:trPr>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4.50% PIK)</w:t>
            </w: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2/11/2022</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+ 7.50%</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12.86% (incl.</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8,912</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8,912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r>
      <w:tr>
        <w:trPr>
          <w:trHeight w:val="156"/>
        </w:trPr>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3.50% PIK)</w:t>
            </w: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2/25/2021</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+ 7.10%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12.45 %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50,282</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50,508</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7"/>
              </w:rPr>
              <w:t>10/31/2022</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+ 6.75%</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12.11 %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35,459</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37,110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312"/>
        </w:trPr>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473,034</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479,531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31.9 %</w:t>
            </w:r>
          </w:p>
        </w:tc>
      </w:tr>
      <w:tr>
        <w:trPr>
          <w:trHeight w:val="31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8/25/2023</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SOFR + 3.90%</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9.25 %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1,053</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1,051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9/14/2023</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E + 3.75%</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7.68 %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998</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1,030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56"/>
        </w:trPr>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(EUR 932)</w:t>
            </w:r>
          </w:p>
        </w:tc>
        <w:tc>
          <w:tcPr>
            <w:tcW w:w="900" w:type="dxa"/>
            <w:vAlign w:val="bottom"/>
          </w:tcPr>
          <w:p>
            <w:pPr>
              <w:spacing w:after="0"/>
              <w:rPr>
                <w:sz w:val="13"/>
                <w:szCs w:val="13"/>
                <w:color w:val="auto"/>
              </w:rPr>
            </w:pP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7"/>
              </w:rPr>
              <w:t>12/19/2023</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5.25 %</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5.25 %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62</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66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8/31/2023</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7.50 %</w:t>
            </w: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7.50 %</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570</w:t>
            </w: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540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-2943860</wp:posOffset>
            </wp:positionV>
            <wp:extent cx="6707505" cy="990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-2745740</wp:posOffset>
            </wp:positionV>
            <wp:extent cx="6707505" cy="990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-2547620</wp:posOffset>
            </wp:positionV>
            <wp:extent cx="6707505" cy="1981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-2151380</wp:posOffset>
            </wp:positionV>
            <wp:extent cx="6707505" cy="990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-1854200</wp:posOffset>
            </wp:positionV>
            <wp:extent cx="6707505" cy="990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-1656080</wp:posOffset>
            </wp:positionV>
            <wp:extent cx="6707505" cy="167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-1290320</wp:posOffset>
            </wp:positionV>
            <wp:extent cx="6707505" cy="1981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-992505</wp:posOffset>
            </wp:positionV>
            <wp:extent cx="6707505" cy="1981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-695325</wp:posOffset>
            </wp:positionV>
            <wp:extent cx="6707505" cy="990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-398145</wp:posOffset>
            </wp:positionV>
            <wp:extent cx="6707505" cy="1981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-100965</wp:posOffset>
            </wp:positionV>
            <wp:extent cx="6707505" cy="990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75" w:lineRule="exact"/>
        <w:rPr>
          <w:sz w:val="20"/>
          <w:szCs w:val="20"/>
          <w:color w:val="auto"/>
        </w:rPr>
      </w:pPr>
    </w:p>
    <w:p>
      <w:pPr>
        <w:sectPr>
          <w:pgSz w:w="11900" w:h="16840" w:orient="portrait"/>
          <w:cols w:equalWidth="0" w:num="2">
            <w:col w:w="3880" w:space="360"/>
            <w:col w:w="6320"/>
          </w:cols>
          <w:pgMar w:left="660" w:top="1310" w:right="68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434340</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0" w:right="680"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Avalara, Inc. </w:t>
            </w:r>
            <w:r>
              <w:rPr>
                <w:rFonts w:ascii="Times New Roman" w:cs="Times New Roman" w:eastAsia="Times New Roman" w:hAnsi="Times New Roman"/>
                <w:sz w:val="16"/>
                <w:szCs w:val="16"/>
                <w:color w:val="auto"/>
                <w:vertAlign w:val="superscript"/>
              </w:rPr>
              <w:t>(3)</w:t>
            </w:r>
          </w:p>
        </w:tc>
        <w:tc>
          <w:tcPr>
            <w:tcW w:w="2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($38,636 par, due 10/2028)</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Skylark UK DebtCo</w:t>
            </w:r>
          </w:p>
        </w:tc>
        <w:tc>
          <w:tcPr>
            <w:tcW w:w="244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First-lien loan ($16,340 par, due 9/2030)</w:t>
            </w:r>
          </w:p>
        </w:tc>
        <w:tc>
          <w:tcPr>
            <w:tcW w:w="0" w:type="dxa"/>
            <w:vAlign w:val="bottom"/>
          </w:tcPr>
          <w:p>
            <w:pPr>
              <w:spacing w:after="0"/>
              <w:rPr>
                <w:sz w:val="1"/>
                <w:szCs w:val="1"/>
                <w:color w:val="auto"/>
              </w:rPr>
            </w:pPr>
          </w:p>
        </w:tc>
      </w:tr>
      <w:tr>
        <w:trPr>
          <w:trHeight w:val="219"/>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Limited </w:t>
            </w:r>
            <w:r>
              <w:rPr>
                <w:rFonts w:ascii="Times New Roman" w:cs="Times New Roman" w:eastAsia="Times New Roman" w:hAnsi="Times New Roman"/>
                <w:sz w:val="16"/>
                <w:szCs w:val="16"/>
                <w:color w:val="auto"/>
                <w:vertAlign w:val="superscript"/>
              </w:rPr>
              <w:t>(3)(4)</w:t>
            </w:r>
          </w:p>
        </w:tc>
        <w:tc>
          <w:tcPr>
            <w:tcW w:w="24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First-lien loan (EUR 4,851 par, due 9/2030)</w:t>
            </w: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8"/>
        </w:trPr>
        <w:tc>
          <w:tcPr>
            <w:tcW w:w="15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First-lien loan (GBP 16,640 par, due 9/2030)</w:t>
            </w:r>
          </w:p>
        </w:tc>
        <w:tc>
          <w:tcPr>
            <w:tcW w:w="0" w:type="dxa"/>
            <w:vAlign w:val="bottom"/>
          </w:tcPr>
          <w:p>
            <w:pPr>
              <w:spacing w:after="0"/>
              <w:rPr>
                <w:sz w:val="1"/>
                <w:szCs w:val="1"/>
                <w:color w:val="auto"/>
              </w:rPr>
            </w:pPr>
          </w:p>
        </w:tc>
      </w:tr>
      <w:tr>
        <w:trPr>
          <w:trHeight w:val="597"/>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Office Products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5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USR Parent, Inc. </w:t>
            </w:r>
            <w:r>
              <w:rPr>
                <w:rFonts w:ascii="Times New Roman" w:cs="Times New Roman" w:eastAsia="Times New Roman" w:hAnsi="Times New Roman"/>
                <w:sz w:val="16"/>
                <w:szCs w:val="16"/>
                <w:color w:val="auto"/>
                <w:vertAlign w:val="superscript"/>
              </w:rPr>
              <w:t>(3)(5)</w:t>
            </w:r>
          </w:p>
        </w:tc>
        <w:tc>
          <w:tcPr>
            <w:tcW w:w="2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ABL FILO term loan ($17,000 par, due</w:t>
            </w:r>
          </w:p>
        </w:tc>
        <w:tc>
          <w:tcPr>
            <w:tcW w:w="0" w:type="dxa"/>
            <w:vAlign w:val="bottom"/>
          </w:tcPr>
          <w:p>
            <w:pPr>
              <w:spacing w:after="0"/>
              <w:rPr>
                <w:sz w:val="1"/>
                <w:szCs w:val="1"/>
                <w:color w:val="auto"/>
              </w:rPr>
            </w:pPr>
          </w:p>
        </w:tc>
      </w:tr>
      <w:tr>
        <w:trPr>
          <w:trHeight w:val="172"/>
        </w:trPr>
        <w:tc>
          <w:tcPr>
            <w:tcW w:w="1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Oil, Gas and Consumable</w:t>
            </w:r>
          </w:p>
        </w:tc>
        <w:tc>
          <w:tcPr>
            <w:tcW w:w="2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4/2027)</w:t>
            </w:r>
          </w:p>
        </w:tc>
        <w:tc>
          <w:tcPr>
            <w:tcW w:w="0" w:type="dxa"/>
            <w:vAlign w:val="bottom"/>
          </w:tcPr>
          <w:p>
            <w:pPr>
              <w:spacing w:after="0"/>
              <w:rPr>
                <w:sz w:val="1"/>
                <w:szCs w:val="1"/>
                <w:color w:val="auto"/>
              </w:rPr>
            </w:pPr>
          </w:p>
        </w:tc>
      </w:tr>
      <w:tr>
        <w:trPr>
          <w:trHeight w:val="138"/>
        </w:trPr>
        <w:tc>
          <w:tcPr>
            <w:tcW w:w="150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0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Fuels</w:t>
            </w: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Laramie Energy, LLC </w:t>
            </w:r>
            <w:r>
              <w:rPr>
                <w:rFonts w:ascii="Times New Roman" w:cs="Times New Roman" w:eastAsia="Times New Roman" w:hAnsi="Times New Roman"/>
                <w:sz w:val="16"/>
                <w:szCs w:val="16"/>
                <w:color w:val="auto"/>
                <w:vertAlign w:val="superscript"/>
              </w:rPr>
              <w:t>(3)</w:t>
            </w:r>
          </w:p>
        </w:tc>
        <w:tc>
          <w:tcPr>
            <w:tcW w:w="2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($27,317 par, due 2/2027)</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Mach Natural Resources</w:t>
            </w:r>
          </w:p>
        </w:tc>
        <w:tc>
          <w:tcPr>
            <w:tcW w:w="244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First-lien loan ($5,000 par, due 12/2026)</w:t>
            </w:r>
          </w:p>
        </w:tc>
        <w:tc>
          <w:tcPr>
            <w:tcW w:w="0" w:type="dxa"/>
            <w:vAlign w:val="bottom"/>
          </w:tcPr>
          <w:p>
            <w:pPr>
              <w:spacing w:after="0"/>
              <w:rPr>
                <w:sz w:val="1"/>
                <w:szCs w:val="1"/>
                <w:color w:val="auto"/>
              </w:rPr>
            </w:pPr>
          </w:p>
        </w:tc>
      </w:tr>
      <w:tr>
        <w:trPr>
          <w:trHeight w:val="167"/>
        </w:trPr>
        <w:tc>
          <w:tcPr>
            <w:tcW w:w="1500" w:type="dxa"/>
            <w:vAlign w:val="bottom"/>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LP</w:t>
            </w:r>
            <w:r>
              <w:rPr>
                <w:rFonts w:ascii="Times New Roman" w:cs="Times New Roman" w:eastAsia="Times New Roman" w:hAnsi="Times New Roman"/>
                <w:sz w:val="7"/>
                <w:szCs w:val="7"/>
                <w:color w:val="auto"/>
              </w:rPr>
              <w:t>(3)(4)</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Murchison Oil and Gas,</w:t>
            </w:r>
          </w:p>
        </w:tc>
        <w:tc>
          <w:tcPr>
            <w:tcW w:w="244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First-lien loan ($27,849 par, due 6/2026)</w:t>
            </w:r>
          </w:p>
        </w:tc>
        <w:tc>
          <w:tcPr>
            <w:tcW w:w="0" w:type="dxa"/>
            <w:vAlign w:val="bottom"/>
          </w:tcPr>
          <w:p>
            <w:pPr>
              <w:spacing w:after="0"/>
              <w:rPr>
                <w:sz w:val="1"/>
                <w:szCs w:val="1"/>
                <w:color w:val="auto"/>
              </w:rPr>
            </w:pPr>
          </w:p>
        </w:tc>
      </w:tr>
      <w:tr>
        <w:trPr>
          <w:trHeight w:val="156"/>
        </w:trPr>
        <w:tc>
          <w:tcPr>
            <w:tcW w:w="150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(3)</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TRP Assets, LLC </w:t>
            </w:r>
            <w:r>
              <w:rPr>
                <w:rFonts w:ascii="Times New Roman" w:cs="Times New Roman" w:eastAsia="Times New Roman" w:hAnsi="Times New Roman"/>
                <w:sz w:val="16"/>
                <w:szCs w:val="16"/>
                <w:color w:val="auto"/>
                <w:vertAlign w:val="superscript"/>
              </w:rPr>
              <w:t>(3)</w:t>
            </w:r>
          </w:p>
        </w:tc>
        <w:tc>
          <w:tcPr>
            <w:tcW w:w="2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($65,000 par, due 12/2025)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7"/>
              </w:rPr>
              <w:t>10/19/2022</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SOFR + 7.25%</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12.60 %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37,736</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38,743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9/7/2023</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SOFR + 6.25%</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11.60 %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15,722</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15,812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9/7/2023</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E + 6.25%</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10.18 %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5,055</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5,238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r>
      <w:tr>
        <w:trPr>
          <w:trHeight w:val="156"/>
        </w:trPr>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(EUR</w:t>
            </w:r>
          </w:p>
        </w:tc>
        <w:tc>
          <w:tcPr>
            <w:tcW w:w="86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4,742)</w:t>
            </w:r>
          </w:p>
        </w:tc>
        <w:tc>
          <w:tcPr>
            <w:tcW w:w="860" w:type="dxa"/>
            <w:vAlign w:val="bottom"/>
          </w:tcPr>
          <w:p>
            <w:pPr>
              <w:spacing w:after="0"/>
              <w:rPr>
                <w:sz w:val="13"/>
                <w:szCs w:val="13"/>
                <w:color w:val="auto"/>
              </w:rPr>
            </w:pP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9/7/2023</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 + 6.25%</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11.52 %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20,207</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20,735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56"/>
        </w:trPr>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(GBP</w:t>
            </w:r>
          </w:p>
        </w:tc>
        <w:tc>
          <w:tcPr>
            <w:tcW w:w="86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16,265)</w:t>
            </w:r>
          </w:p>
        </w:tc>
        <w:tc>
          <w:tcPr>
            <w:tcW w:w="860" w:type="dxa"/>
            <w:vAlign w:val="bottom"/>
          </w:tcPr>
          <w:p>
            <w:pPr>
              <w:spacing w:after="0"/>
              <w:rPr>
                <w:sz w:val="13"/>
                <w:szCs w:val="13"/>
                <w:color w:val="auto"/>
              </w:rPr>
            </w:pPr>
          </w:p>
        </w:tc>
      </w:tr>
      <w:tr>
        <w:trPr>
          <w:trHeight w:val="172"/>
        </w:trPr>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81,403</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83,215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5.7 %</w:t>
            </w:r>
          </w:p>
        </w:tc>
      </w:tr>
      <w:tr>
        <w:trPr>
          <w:trHeight w:val="31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4/25/2022</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SOFR + 6.50%</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11.84 %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16,703</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16,914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609"/>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2/21/2023</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SOFR + 7.10%</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12.46 %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26,768</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27,142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7"/>
              </w:rPr>
              <w:t>12/28/2023</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SOFR + 6.65%</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12.00 %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4,900</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4,900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31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6/30/2022</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SOFR + 8.65%</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14.00 %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27,453</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28,267</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12/3/2021</w:t>
            </w: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SOFR + 7.76%</w:t>
            </w: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13.11 %</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64,372</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66,980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r>
      <w:tr>
        <w:trPr>
          <w:trHeight w:val="170"/>
        </w:trPr>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123,493</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127,289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-2081530</wp:posOffset>
            </wp:positionV>
            <wp:extent cx="6707505" cy="1981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-1586230</wp:posOffset>
            </wp:positionV>
            <wp:extent cx="6707505" cy="297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29718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-1189990</wp:posOffset>
            </wp:positionV>
            <wp:extent cx="6707505" cy="99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-892810</wp:posOffset>
            </wp:positionV>
            <wp:extent cx="6707505" cy="1981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-595630</wp:posOffset>
            </wp:positionV>
            <wp:extent cx="6707505" cy="1981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-198755</wp:posOffset>
            </wp:positionV>
            <wp:extent cx="6707505" cy="99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-635</wp:posOffset>
            </wp:positionV>
            <wp:extent cx="6707505" cy="99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3940" w:space="280"/>
            <w:col w:w="6320"/>
          </w:cols>
          <w:pgMar w:left="680" w:top="1310" w:right="680" w:bottom="1440" w:gutter="0" w:footer="0" w:header="0"/>
        </w:sectPr>
      </w:pPr>
    </w:p>
    <w:p>
      <w:pPr>
        <w:spacing w:after="0" w:line="222" w:lineRule="auto"/>
        <w:rPr>
          <w:sz w:val="20"/>
          <w:szCs w:val="20"/>
          <w:color w:val="auto"/>
        </w:rPr>
      </w:pPr>
      <w:r>
        <w:rPr>
          <w:rFonts w:ascii="Times New Roman" w:cs="Times New Roman" w:eastAsia="Times New Roman" w:hAnsi="Times New Roman"/>
          <w:sz w:val="13"/>
          <w:szCs w:val="13"/>
          <w:b w:val="1"/>
          <w:bCs w:val="1"/>
          <w:color w:val="auto"/>
        </w:rPr>
        <w:t>Other</w:t>
      </w:r>
    </w:p>
    <w:p>
      <w:pPr>
        <w:spacing w:after="0" w:line="193" w:lineRule="auto"/>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13"/>
          <w:szCs w:val="13"/>
          <w:color w:val="auto"/>
          <w:vertAlign w:val="superscript"/>
        </w:rPr>
        <w:t>(3)</w:t>
      </w:r>
    </w:p>
    <w:p>
      <w:pPr>
        <w:spacing w:after="0"/>
        <w:rPr>
          <w:sz w:val="20"/>
          <w:szCs w:val="20"/>
          <w:color w:val="auto"/>
        </w:rPr>
      </w:pPr>
      <w:r>
        <w:rPr>
          <w:rFonts w:ascii="Times New Roman" w:cs="Times New Roman" w:eastAsia="Times New Roman" w:hAnsi="Times New Roman"/>
          <w:sz w:val="8"/>
          <w:szCs w:val="8"/>
          <w:color w:val="auto"/>
        </w:rPr>
        <w:t>(5)</w:t>
      </w:r>
    </w:p>
    <w:p>
      <w:pPr>
        <w:spacing w:after="0" w:line="53"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3"/>
          <w:szCs w:val="13"/>
          <w:b w:val="1"/>
          <w:bCs w:val="1"/>
          <w:color w:val="auto"/>
        </w:rPr>
        <w:t>Retail and Consumer Products</w:t>
      </w:r>
    </w:p>
    <w:p>
      <w:pPr>
        <w:spacing w:after="0" w:line="195" w:lineRule="auto"/>
        <w:rPr>
          <w:sz w:val="20"/>
          <w:szCs w:val="20"/>
          <w:color w:val="auto"/>
        </w:rPr>
      </w:pPr>
      <w:r>
        <w:rPr>
          <w:rFonts w:ascii="Times New Roman" w:cs="Times New Roman" w:eastAsia="Times New Roman" w:hAnsi="Times New Roman"/>
          <w:sz w:val="11"/>
          <w:szCs w:val="11"/>
          <w:color w:val="auto"/>
        </w:rPr>
        <w:t>99 Cents Only Stores LLC</w:t>
      </w:r>
    </w:p>
    <w:p>
      <w:pPr>
        <w:spacing w:after="0"/>
        <w:rPr>
          <w:sz w:val="20"/>
          <w:szCs w:val="20"/>
          <w:color w:val="auto"/>
        </w:rPr>
      </w:pPr>
      <w:r>
        <w:rPr>
          <w:rFonts w:ascii="Times New Roman" w:cs="Times New Roman" w:eastAsia="Times New Roman" w:hAnsi="Times New Roman"/>
          <w:sz w:val="8"/>
          <w:szCs w:val="8"/>
          <w:color w:val="auto"/>
        </w:rPr>
        <w:t>(3)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American Achievement,</w:t>
      </w:r>
    </w:p>
    <w:p>
      <w:pPr>
        <w:spacing w:after="0" w:line="185" w:lineRule="auto"/>
        <w:rPr>
          <w:sz w:val="20"/>
          <w:szCs w:val="20"/>
          <w:color w:val="auto"/>
        </w:rPr>
      </w:pPr>
      <w:r>
        <w:rPr>
          <w:rFonts w:ascii="Times New Roman" w:cs="Times New Roman" w:eastAsia="Times New Roman" w:hAnsi="Times New Roman"/>
          <w:sz w:val="20"/>
          <w:szCs w:val="20"/>
          <w:color w:val="auto"/>
          <w:vertAlign w:val="subscript"/>
        </w:rPr>
        <w:t>Corp.</w:t>
      </w:r>
      <w:r>
        <w:rPr>
          <w:rFonts w:ascii="Times New Roman" w:cs="Times New Roman" w:eastAsia="Times New Roman" w:hAnsi="Times New Roman"/>
          <w:sz w:val="7"/>
          <w:szCs w:val="7"/>
          <w:color w:val="auto"/>
        </w:rPr>
        <w:t xml:space="preserve"> (3)(14)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Bed Bath and Beyond Inc.</w:t>
      </w:r>
    </w:p>
    <w:p>
      <w:pPr>
        <w:spacing w:after="0"/>
        <w:rPr>
          <w:sz w:val="20"/>
          <w:szCs w:val="20"/>
          <w:color w:val="auto"/>
        </w:rPr>
      </w:pPr>
      <w:r>
        <w:rPr>
          <w:rFonts w:ascii="Times New Roman" w:cs="Times New Roman" w:eastAsia="Times New Roman" w:hAnsi="Times New Roman"/>
          <w:sz w:val="8"/>
          <w:szCs w:val="8"/>
          <w:color w:val="auto"/>
        </w:rPr>
        <w:t>(3)(15)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Cordance Operations, LLC</w:t>
      </w:r>
    </w:p>
    <w:p>
      <w:pPr>
        <w:spacing w:after="0"/>
        <w:rPr>
          <w:sz w:val="20"/>
          <w:szCs w:val="20"/>
          <w:color w:val="auto"/>
        </w:rPr>
      </w:pPr>
      <w:r>
        <w:rPr>
          <w:rFonts w:ascii="Times New Roman" w:cs="Times New Roman" w:eastAsia="Times New Roman" w:hAnsi="Times New Roman"/>
          <w:sz w:val="8"/>
          <w:szCs w:val="8"/>
          <w:color w:val="auto"/>
        </w:rPr>
        <w:t>(3)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Neuintel, LLC </w:t>
      </w:r>
      <w:r>
        <w:rPr>
          <w:rFonts w:ascii="Times New Roman" w:cs="Times New Roman" w:eastAsia="Times New Roman" w:hAnsi="Times New Roman"/>
          <w:sz w:val="16"/>
          <w:szCs w:val="16"/>
          <w:color w:val="auto"/>
          <w:vertAlign w:val="superscript"/>
        </w:rPr>
        <w:t>(3)(5)</w:t>
      </w:r>
    </w:p>
    <w:p>
      <w:pPr>
        <w:spacing w:after="0" w:line="222" w:lineRule="auto"/>
        <w:rPr>
          <w:sz w:val="20"/>
          <w:szCs w:val="20"/>
          <w:color w:val="auto"/>
        </w:rPr>
      </w:pPr>
      <w:r>
        <w:rPr>
          <w:rFonts w:ascii="Times New Roman" w:cs="Times New Roman" w:eastAsia="Times New Roman" w:hAnsi="Times New Roman"/>
          <w:sz w:val="13"/>
          <w:szCs w:val="13"/>
          <w:color w:val="auto"/>
        </w:rPr>
        <w:t>Rapid Data GmbH</w:t>
      </w:r>
    </w:p>
    <w:p>
      <w:pPr>
        <w:spacing w:after="0" w:line="193" w:lineRule="auto"/>
        <w:rPr>
          <w:sz w:val="20"/>
          <w:szCs w:val="20"/>
          <w:color w:val="auto"/>
        </w:rPr>
      </w:pPr>
      <w:r>
        <w:rPr>
          <w:rFonts w:ascii="Times New Roman" w:cs="Times New Roman" w:eastAsia="Times New Roman" w:hAnsi="Times New Roman"/>
          <w:sz w:val="11"/>
          <w:szCs w:val="11"/>
          <w:color w:val="auto"/>
        </w:rPr>
        <w:t xml:space="preserve">Unternehmensberatung </w:t>
      </w:r>
      <w:r>
        <w:rPr>
          <w:rFonts w:ascii="Times New Roman" w:cs="Times New Roman" w:eastAsia="Times New Roman" w:hAnsi="Times New Roman"/>
          <w:sz w:val="13"/>
          <w:szCs w:val="13"/>
          <w:color w:val="auto"/>
          <w:vertAlign w:val="superscript"/>
        </w:rPr>
        <w:t>(3)</w:t>
      </w:r>
    </w:p>
    <w:p>
      <w:pPr>
        <w:spacing w:after="0"/>
        <w:rPr>
          <w:sz w:val="20"/>
          <w:szCs w:val="20"/>
          <w:color w:val="auto"/>
        </w:rPr>
      </w:pPr>
      <w:r>
        <w:rPr>
          <w:rFonts w:ascii="Times New Roman" w:cs="Times New Roman" w:eastAsia="Times New Roman" w:hAnsi="Times New Roman"/>
          <w:sz w:val="8"/>
          <w:szCs w:val="8"/>
          <w:color w:val="auto"/>
        </w:rPr>
        <w:t>(4)</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First-lien loan ($39,943 par, due 3/2026)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ABL FILO term loan ($25,000 par, due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First-lien loan ($27,046 par, due 9/2026)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First-lien loan ($1,352 par, due 9/2026)</w:t>
      </w:r>
    </w:p>
    <w:p>
      <w:pPr>
        <w:spacing w:after="0" w:line="1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3"/>
          <w:szCs w:val="13"/>
          <w:color w:val="auto"/>
        </w:rPr>
        <w:t>Subordinated note ($4,740 par, due 9/2026) ABL FILO term loan ($14,065 par, due 8/2027)</w:t>
      </w:r>
    </w:p>
    <w:p>
      <w:pPr>
        <w:ind w:right="160"/>
        <w:spacing w:after="0" w:line="250" w:lineRule="auto"/>
        <w:rPr>
          <w:sz w:val="20"/>
          <w:szCs w:val="20"/>
          <w:color w:val="auto"/>
        </w:rPr>
      </w:pPr>
      <w:r>
        <w:rPr>
          <w:rFonts w:ascii="Times New Roman" w:cs="Times New Roman" w:eastAsia="Times New Roman" w:hAnsi="Times New Roman"/>
          <w:sz w:val="13"/>
          <w:szCs w:val="13"/>
          <w:color w:val="auto"/>
        </w:rPr>
        <w:t>Roll Up DIP term loan ($25,931 par, due 9/2024)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Super-Priority DIP term loan ($4,739 par,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due 9/2024)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First-lien loan ($49,543 par, due 7/2028)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First-lien loan ($57,701 par, due 12/2026)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First-lien loan (EUR 4,495 par, due 7/2029)</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3/31/2021</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+ 6.60%</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11.96 %</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39,440</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39,743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57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9/6/2017</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+ 8.65%</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14.03 %</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24,868</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25,000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31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9/30/2015</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+ 6.35%</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11.19% PIK</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26,219</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20,488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6/10/2021</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18.94% PIK</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1,352</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101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68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14.10%</w:t>
            </w:r>
          </w:p>
        </w:tc>
        <w:tc>
          <w:tcPr>
            <w:tcW w:w="1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3/16/2021</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+ 1.15%</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6.54% PIK</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545</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71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9/2/2022</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+ 9.90%</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15.26 %</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13,787</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13,468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4/24/2023</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+ 7.90%</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13.26% (incl.</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25,931</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24,828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56"/>
        </w:trPr>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2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13.26% PIK)</w:t>
            </w: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4/24/2023</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+ 7.90%</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13.26 %</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4,739</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4,538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31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7/25/2022</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+ 9.25%</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14.66 %</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48,641</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49,801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248"/>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7"/>
              </w:rPr>
              <w:t>12/20/2021</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SOFR + 7.65%</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13.03 %</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56,923</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58,134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3.9 %</w:t>
            </w: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7/11/2023</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E + 6.50%</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10.48 %</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4,676</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4,853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56"/>
        </w:trPr>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(EUR</w:t>
            </w:r>
          </w:p>
        </w:tc>
        <w:tc>
          <w:tcPr>
            <w:tcW w:w="860" w:type="dxa"/>
            <w:vAlign w:val="bottom"/>
          </w:tcPr>
          <w:p>
            <w:pPr>
              <w:spacing w:after="0"/>
              <w:rPr>
                <w:sz w:val="13"/>
                <w:szCs w:val="13"/>
                <w:color w:val="auto"/>
              </w:rPr>
            </w:pPr>
          </w:p>
        </w:tc>
      </w:tr>
      <w:tr>
        <w:trPr>
          <w:trHeight w:val="170"/>
        </w:trPr>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4,393)</w:t>
            </w: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-2051050</wp:posOffset>
            </wp:positionV>
            <wp:extent cx="6707505" cy="1981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-1654810</wp:posOffset>
            </wp:positionV>
            <wp:extent cx="6707505" cy="1981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-1258570</wp:posOffset>
            </wp:positionV>
            <wp:extent cx="6707505" cy="990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-961390</wp:posOffset>
            </wp:positionV>
            <wp:extent cx="6707505" cy="1981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-565150</wp:posOffset>
            </wp:positionV>
            <wp:extent cx="6707505" cy="167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-298450</wp:posOffset>
            </wp:positionV>
            <wp:extent cx="6707505" cy="297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7505" cy="29718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3">
            <w:col w:w="1420" w:space="160"/>
            <w:col w:w="2320" w:space="320"/>
            <w:col w:w="6320"/>
          </w:cols>
          <w:pgMar w:left="680" w:top="1310" w:right="680"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5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Tango Management</w:t>
            </w:r>
          </w:p>
        </w:tc>
        <w:tc>
          <w:tcPr>
            <w:tcW w:w="228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w w:val="99"/>
              </w:rPr>
              <w:t>First-lien loan ($57,007 par, due 12/2027)</w:t>
            </w:r>
          </w:p>
        </w:tc>
      </w:tr>
      <w:tr>
        <w:trPr>
          <w:trHeight w:val="219"/>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Consulting, LLC </w:t>
            </w:r>
            <w:r>
              <w:rPr>
                <w:rFonts w:ascii="Times New Roman" w:cs="Times New Roman" w:eastAsia="Times New Roman" w:hAnsi="Times New Roman"/>
                <w:sz w:val="16"/>
                <w:szCs w:val="16"/>
                <w:color w:val="auto"/>
                <w:vertAlign w:val="superscript"/>
              </w:rPr>
              <w:t>(3)(5)</w:t>
            </w:r>
          </w:p>
        </w:tc>
        <w:tc>
          <w:tcPr>
            <w:tcW w:w="2280" w:type="dxa"/>
            <w:vAlign w:val="bottom"/>
          </w:tcPr>
          <w:p>
            <w:pPr>
              <w:spacing w:after="0"/>
              <w:rPr>
                <w:sz w:val="19"/>
                <w:szCs w:val="19"/>
                <w:color w:val="auto"/>
              </w:rPr>
            </w:pPr>
          </w:p>
        </w:tc>
      </w:tr>
      <w:tr>
        <w:trPr>
          <w:trHeight w:val="249"/>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Transportation</w:t>
            </w:r>
          </w:p>
        </w:tc>
        <w:tc>
          <w:tcPr>
            <w:tcW w:w="2280" w:type="dxa"/>
            <w:vAlign w:val="bottom"/>
          </w:tcPr>
          <w:p>
            <w:pPr>
              <w:spacing w:after="0"/>
              <w:rPr>
                <w:sz w:val="21"/>
                <w:szCs w:val="21"/>
                <w:color w:val="auto"/>
              </w:rPr>
            </w:pPr>
          </w:p>
        </w:tc>
      </w:tr>
      <w:tr>
        <w:trPr>
          <w:trHeight w:val="156"/>
        </w:trPr>
        <w:tc>
          <w:tcPr>
            <w:tcW w:w="150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Project44, Inc. </w:t>
            </w:r>
            <w:r>
              <w:rPr>
                <w:rFonts w:ascii="Times New Roman" w:cs="Times New Roman" w:eastAsia="Times New Roman" w:hAnsi="Times New Roman"/>
                <w:sz w:val="16"/>
                <w:szCs w:val="16"/>
                <w:color w:val="auto"/>
                <w:vertAlign w:val="superscript"/>
              </w:rPr>
              <w:t>(3)(5)</w:t>
            </w:r>
          </w:p>
        </w:tc>
        <w:tc>
          <w:tcPr>
            <w:tcW w:w="2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First-lien loan ($35,139 par, due 11/2027)</w:t>
            </w:r>
          </w:p>
        </w:tc>
      </w:tr>
      <w:tr>
        <w:trPr>
          <w:trHeight w:val="167"/>
        </w:trPr>
        <w:tc>
          <w:tcPr>
            <w:tcW w:w="15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Marcura Equities LTD </w:t>
            </w:r>
            <w:r>
              <w:rPr>
                <w:rFonts w:ascii="Times New Roman" w:cs="Times New Roman" w:eastAsia="Times New Roman" w:hAnsi="Times New Roman"/>
                <w:sz w:val="16"/>
                <w:szCs w:val="16"/>
                <w:color w:val="auto"/>
                <w:vertAlign w:val="superscript"/>
              </w:rPr>
              <w:t>(3)(4)</w:t>
            </w:r>
          </w:p>
        </w:tc>
        <w:tc>
          <w:tcPr>
            <w:tcW w:w="2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($32,007 par, due 8/2029)</w:t>
            </w:r>
          </w:p>
        </w:tc>
      </w:tr>
      <w:tr>
        <w:trPr>
          <w:trHeight w:val="156"/>
        </w:trPr>
        <w:tc>
          <w:tcPr>
            <w:tcW w:w="1500" w:type="dxa"/>
            <w:vAlign w:val="bottom"/>
          </w:tcPr>
          <w:p>
            <w:pPr>
              <w:spacing w:after="0"/>
              <w:rPr>
                <w:sz w:val="13"/>
                <w:szCs w:val="13"/>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revolving loan ($1,667 par, due</w:t>
            </w:r>
          </w:p>
        </w:tc>
      </w:tr>
      <w:tr>
        <w:trPr>
          <w:trHeight w:val="172"/>
        </w:trPr>
        <w:tc>
          <w:tcPr>
            <w:tcW w:w="150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8/2029)</w:t>
            </w:r>
          </w:p>
        </w:tc>
      </w:tr>
      <w:tr>
        <w:trPr>
          <w:trHeight w:val="312"/>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280" w:type="dxa"/>
            <w:vAlign w:val="bottom"/>
          </w:tcPr>
          <w:p>
            <w:pPr>
              <w:spacing w:after="0"/>
              <w:rPr>
                <w:sz w:val="24"/>
                <w:szCs w:val="24"/>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Equity and Other</w:t>
            </w:r>
          </w:p>
        </w:tc>
        <w:tc>
          <w:tcPr>
            <w:tcW w:w="2280" w:type="dxa"/>
            <w:vAlign w:val="bottom"/>
          </w:tcPr>
          <w:p>
            <w:pPr>
              <w:spacing w:after="0"/>
              <w:rPr>
                <w:sz w:val="24"/>
                <w:szCs w:val="24"/>
                <w:color w:val="auto"/>
              </w:rPr>
            </w:pPr>
          </w:p>
        </w:tc>
      </w:tr>
      <w:tr>
        <w:trPr>
          <w:trHeight w:val="156"/>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80" w:type="dxa"/>
            <w:vAlign w:val="bottom"/>
          </w:tcPr>
          <w:p>
            <w:pPr>
              <w:spacing w:after="0"/>
              <w:rPr>
                <w:sz w:val="13"/>
                <w:szCs w:val="13"/>
                <w:color w:val="auto"/>
              </w:rPr>
            </w:pPr>
          </w:p>
        </w:tc>
      </w:tr>
      <w:tr>
        <w:trPr>
          <w:trHeight w:val="147"/>
        </w:trPr>
        <w:tc>
          <w:tcPr>
            <w:tcW w:w="150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2280" w:type="dxa"/>
            <w:vAlign w:val="bottom"/>
          </w:tcPr>
          <w:p>
            <w:pPr>
              <w:spacing w:after="0"/>
              <w:rPr>
                <w:sz w:val="12"/>
                <w:szCs w:val="12"/>
                <w:color w:val="auto"/>
              </w:rPr>
            </w:pPr>
          </w:p>
        </w:tc>
      </w:tr>
      <w:tr>
        <w:trPr>
          <w:trHeight w:val="167"/>
        </w:trPr>
        <w:tc>
          <w:tcPr>
            <w:tcW w:w="15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Artisan Topco LP</w:t>
            </w:r>
            <w:r>
              <w:rPr>
                <w:rFonts w:ascii="Times New Roman" w:cs="Times New Roman" w:eastAsia="Times New Roman" w:hAnsi="Times New Roman"/>
                <w:sz w:val="16"/>
                <w:szCs w:val="16"/>
                <w:color w:val="auto"/>
                <w:vertAlign w:val="superscript"/>
              </w:rPr>
              <w:t>(11)(12)</w:t>
            </w:r>
          </w:p>
        </w:tc>
        <w:tc>
          <w:tcPr>
            <w:tcW w:w="2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A Preferred Units (2,117,264 units)</w:t>
            </w:r>
          </w:p>
        </w:tc>
      </w:tr>
      <w:tr>
        <w:trPr>
          <w:trHeight w:val="145"/>
        </w:trPr>
        <w:tc>
          <w:tcPr>
            <w:tcW w:w="150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Newark FP Co-Invest,</w:t>
            </w:r>
          </w:p>
        </w:tc>
        <w:tc>
          <w:tcPr>
            <w:tcW w:w="228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Partnership (2,527,719 units)</w:t>
            </w:r>
          </w:p>
        </w:tc>
      </w:tr>
      <w:tr>
        <w:trPr>
          <w:trHeight w:val="348"/>
        </w:trPr>
        <w:tc>
          <w:tcPr>
            <w:tcW w:w="1500" w:type="dxa"/>
            <w:vAlign w:val="bottom"/>
          </w:tcPr>
          <w:p>
            <w:pPr>
              <w:spacing w:after="0"/>
              <w:rPr>
                <w:sz w:val="20"/>
                <w:szCs w:val="20"/>
                <w:color w:val="auto"/>
              </w:rPr>
            </w:pPr>
            <w:r>
              <w:rPr>
                <w:rFonts w:ascii="Times New Roman" w:cs="Times New Roman" w:eastAsia="Times New Roman" w:hAnsi="Times New Roman"/>
                <w:sz w:val="26"/>
                <w:szCs w:val="26"/>
                <w:color w:val="auto"/>
                <w:vertAlign w:val="subscript"/>
              </w:rPr>
              <w:t>L.P.</w:t>
            </w:r>
            <w:r>
              <w:rPr>
                <w:rFonts w:ascii="Times New Roman" w:cs="Times New Roman" w:eastAsia="Times New Roman" w:hAnsi="Times New Roman"/>
                <w:sz w:val="8"/>
                <w:szCs w:val="8"/>
                <w:color w:val="auto"/>
              </w:rPr>
              <w:t>(11)(12)</w:t>
            </w:r>
          </w:p>
        </w:tc>
        <w:tc>
          <w:tcPr>
            <w:tcW w:w="2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12/1/2021</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+ 6.85%</w:t>
            </w:r>
          </w:p>
        </w:tc>
        <w:tc>
          <w:tcPr>
            <w:tcW w:w="11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12.20 %</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56,247</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56,703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298"/>
        </w:trPr>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263,928</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257,985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17.2 %</w:t>
            </w:r>
          </w:p>
        </w:tc>
      </w:tr>
      <w:tr>
        <w:trPr>
          <w:trHeight w:val="29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7"/>
              </w:rPr>
              <w:t>11/12/2021</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+ 6.40%</w:t>
            </w:r>
          </w:p>
        </w:tc>
        <w:tc>
          <w:tcPr>
            <w:tcW w:w="11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11.78 %</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34,139</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35,001</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56"/>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8/11/2023</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+ 7.00%</w:t>
            </w:r>
          </w:p>
        </w:tc>
        <w:tc>
          <w:tcPr>
            <w:tcW w:w="11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12.18 %</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31,020</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31,482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8/11/2023</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+ 7.00%</w:t>
            </w:r>
          </w:p>
        </w:tc>
        <w:tc>
          <w:tcPr>
            <w:tcW w:w="11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12.18 %</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1,589</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1,625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296"/>
        </w:trPr>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66,748</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68,108</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r>
      <w:tr>
        <w:trPr>
          <w:trHeight w:val="172"/>
        </w:trPr>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3,045,524</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3,071,623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205.3 %</w:t>
            </w:r>
          </w:p>
        </w:tc>
      </w:tr>
      <w:tr>
        <w:trPr>
          <w:trHeight w:val="765"/>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11/7/2023</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2,117</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2,117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72"/>
        </w:trPr>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11/8/2023</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2,532</w:t>
            </w: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2,532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-1389380</wp:posOffset>
            </wp:positionV>
            <wp:extent cx="6707505" cy="990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-1191260</wp:posOffset>
            </wp:positionV>
            <wp:extent cx="6707505" cy="990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-992505</wp:posOffset>
            </wp:positionV>
            <wp:extent cx="6707505" cy="1981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-695325</wp:posOffset>
            </wp:positionV>
            <wp:extent cx="6707505" cy="990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-497205</wp:posOffset>
            </wp:positionV>
            <wp:extent cx="6707505" cy="1981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-200025</wp:posOffset>
            </wp:positionV>
            <wp:extent cx="6707505" cy="990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3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419735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3780" w:space="440"/>
            <w:col w:w="6320"/>
          </w:cols>
          <w:pgMar w:left="680" w:top="1310" w:right="680"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Dye &amp; Durham, Ltd. </w:t>
            </w:r>
            <w:r>
              <w:rPr>
                <w:rFonts w:ascii="Times New Roman" w:cs="Times New Roman" w:eastAsia="Times New Roman" w:hAnsi="Times New Roman"/>
                <w:sz w:val="16"/>
                <w:szCs w:val="16"/>
                <w:color w:val="auto"/>
                <w:vertAlign w:val="superscript"/>
              </w:rPr>
              <w:t>(4)(10)</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Shares (126,968 shares)</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12/3/2021</w:t>
            </w:r>
          </w:p>
        </w:tc>
        <w:tc>
          <w:tcPr>
            <w:tcW w:w="19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3,909</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1,383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68"/>
        </w:trPr>
        <w:tc>
          <w:tcPr>
            <w:tcW w:w="152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(CAD 1,823)</w:t>
            </w:r>
          </w:p>
        </w:tc>
        <w:tc>
          <w:tcPr>
            <w:tcW w:w="880" w:type="dxa"/>
            <w:vAlign w:val="bottom"/>
            <w:shd w:val="clear" w:color="auto" w:fill="CFF0FC"/>
          </w:tcPr>
          <w:p>
            <w:pPr>
              <w:spacing w:after="0"/>
              <w:rPr>
                <w:sz w:val="14"/>
                <w:szCs w:val="14"/>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Mitnick TA Aggregator,</w:t>
            </w:r>
          </w:p>
        </w:tc>
        <w:tc>
          <w:tcPr>
            <w:tcW w:w="26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Membership Interest (0.43% ownership)</w:t>
            </w:r>
          </w:p>
        </w:tc>
        <w:tc>
          <w:tcPr>
            <w:tcW w:w="2120" w:type="dxa"/>
            <w:vAlign w:val="bottom"/>
          </w:tcPr>
          <w:p>
            <w:pPr>
              <w:jc w:val="right"/>
              <w:ind w:right="1314"/>
              <w:spacing w:after="0" w:line="133" w:lineRule="exact"/>
              <w:rPr>
                <w:sz w:val="20"/>
                <w:szCs w:val="20"/>
                <w:color w:val="auto"/>
              </w:rPr>
            </w:pPr>
            <w:r>
              <w:rPr>
                <w:rFonts w:ascii="Times New Roman" w:cs="Times New Roman" w:eastAsia="Times New Roman" w:hAnsi="Times New Roman"/>
                <w:sz w:val="13"/>
                <w:szCs w:val="13"/>
                <w:color w:val="auto"/>
              </w:rPr>
              <w:t>5/2/2022</w:t>
            </w:r>
          </w:p>
        </w:tc>
        <w:tc>
          <w:tcPr>
            <w:tcW w:w="1960" w:type="dxa"/>
            <w:vAlign w:val="bottom"/>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5,243</w:t>
            </w:r>
          </w:p>
        </w:tc>
        <w:tc>
          <w:tcPr>
            <w:tcW w:w="14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4,496</w:t>
            </w: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0.3 %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L.P. </w:t>
            </w:r>
            <w:r>
              <w:rPr>
                <w:rFonts w:ascii="Times New Roman" w:cs="Times New Roman" w:eastAsia="Times New Roman" w:hAnsi="Times New Roman"/>
                <w:sz w:val="16"/>
                <w:szCs w:val="16"/>
                <w:color w:val="auto"/>
                <w:vertAlign w:val="superscript"/>
              </w:rPr>
              <w:t>(11)</w:t>
            </w:r>
          </w:p>
        </w:tc>
        <w:tc>
          <w:tcPr>
            <w:tcW w:w="2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ReliaQuest, LLC </w:t>
            </w:r>
            <w:r>
              <w:rPr>
                <w:rFonts w:ascii="Times New Roman" w:cs="Times New Roman" w:eastAsia="Times New Roman" w:hAnsi="Times New Roman"/>
                <w:sz w:val="16"/>
                <w:szCs w:val="16"/>
                <w:color w:val="auto"/>
                <w:vertAlign w:val="superscript"/>
              </w:rPr>
              <w:t>(13)</w:t>
            </w:r>
          </w:p>
        </w:tc>
        <w:tc>
          <w:tcPr>
            <w:tcW w:w="26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Class A-1 Units (637,713 units) </w:t>
            </w:r>
            <w:r>
              <w:rPr>
                <w:rFonts w:ascii="Times New Roman" w:cs="Times New Roman" w:eastAsia="Times New Roman" w:hAnsi="Times New Roman"/>
                <w:sz w:val="16"/>
                <w:szCs w:val="16"/>
                <w:color w:val="auto"/>
                <w:vertAlign w:val="superscript"/>
              </w:rPr>
              <w:t>(11)</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11/23/2021</w:t>
            </w:r>
          </w:p>
        </w:tc>
        <w:tc>
          <w:tcPr>
            <w:tcW w:w="19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1,120</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1,414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56"/>
        </w:trPr>
        <w:tc>
          <w:tcPr>
            <w:tcW w:w="1520" w:type="dxa"/>
            <w:vAlign w:val="bottom"/>
          </w:tcPr>
          <w:p>
            <w:pPr>
              <w:spacing w:after="0"/>
              <w:rPr>
                <w:sz w:val="13"/>
                <w:szCs w:val="13"/>
                <w:color w:val="auto"/>
              </w:rPr>
            </w:pPr>
          </w:p>
        </w:tc>
        <w:tc>
          <w:tcPr>
            <w:tcW w:w="2600" w:type="dxa"/>
            <w:vAlign w:val="bottom"/>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Class A-2 Units (2,989 units) </w:t>
            </w:r>
            <w:r>
              <w:rPr>
                <w:rFonts w:ascii="Times New Roman" w:cs="Times New Roman" w:eastAsia="Times New Roman" w:hAnsi="Times New Roman"/>
                <w:sz w:val="16"/>
                <w:szCs w:val="16"/>
                <w:color w:val="auto"/>
                <w:vertAlign w:val="superscript"/>
              </w:rPr>
              <w:t>(11)</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6/21/2022</w:t>
            </w:r>
          </w:p>
        </w:tc>
        <w:tc>
          <w:tcPr>
            <w:tcW w:w="19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6</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Class A-3 Units (16,957 units) </w:t>
            </w:r>
            <w:r>
              <w:rPr>
                <w:rFonts w:ascii="Times New Roman" w:cs="Times New Roman" w:eastAsia="Times New Roman" w:hAnsi="Times New Roman"/>
                <w:sz w:val="16"/>
                <w:szCs w:val="16"/>
                <w:color w:val="auto"/>
                <w:vertAlign w:val="superscript"/>
              </w:rPr>
              <w:t>(11)(12)</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11/10/2023</w:t>
            </w:r>
          </w:p>
        </w:tc>
        <w:tc>
          <w:tcPr>
            <w:tcW w:w="19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36</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46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tcPr>
          <w:p>
            <w:pPr>
              <w:spacing w:after="0"/>
              <w:rPr>
                <w:sz w:val="13"/>
                <w:szCs w:val="13"/>
                <w:color w:val="auto"/>
              </w:rPr>
            </w:pPr>
          </w:p>
        </w:tc>
        <w:tc>
          <w:tcPr>
            <w:tcW w:w="2600" w:type="dxa"/>
            <w:vAlign w:val="bottom"/>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Series A Preferred Stock (1,667 Units) </w:t>
            </w:r>
            <w:r>
              <w:rPr>
                <w:rFonts w:ascii="Times New Roman" w:cs="Times New Roman" w:eastAsia="Times New Roman" w:hAnsi="Times New Roman"/>
                <w:sz w:val="16"/>
                <w:szCs w:val="16"/>
                <w:color w:val="auto"/>
                <w:vertAlign w:val="superscript"/>
              </w:rPr>
              <w:t>(12)</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12/20/2023</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1,502</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1,504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90,634 Warrants </w:t>
            </w:r>
            <w:r>
              <w:rPr>
                <w:rFonts w:ascii="Times New Roman" w:cs="Times New Roman" w:eastAsia="Times New Roman" w:hAnsi="Times New Roman"/>
                <w:sz w:val="16"/>
                <w:szCs w:val="16"/>
                <w:color w:val="auto"/>
                <w:vertAlign w:val="superscript"/>
              </w:rPr>
              <w:t>(11)(12)</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12/20/2023</w:t>
            </w:r>
          </w:p>
        </w:tc>
        <w:tc>
          <w:tcPr>
            <w:tcW w:w="19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102</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102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Sprinklr, Inc. </w:t>
            </w:r>
            <w:r>
              <w:rPr>
                <w:rFonts w:ascii="Times New Roman" w:cs="Times New Roman" w:eastAsia="Times New Roman" w:hAnsi="Times New Roman"/>
                <w:sz w:val="16"/>
                <w:szCs w:val="16"/>
                <w:color w:val="auto"/>
                <w:vertAlign w:val="superscript"/>
              </w:rPr>
              <w:t>(10)(11)</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Shares (315,005 shares)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6/24/2021</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2,716</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3,793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Warrior TopCo LP </w:t>
            </w:r>
            <w:r>
              <w:rPr>
                <w:rFonts w:ascii="Times New Roman" w:cs="Times New Roman" w:eastAsia="Times New Roman" w:hAnsi="Times New Roman"/>
                <w:sz w:val="16"/>
                <w:szCs w:val="16"/>
                <w:color w:val="auto"/>
                <w:vertAlign w:val="superscript"/>
              </w:rPr>
              <w:t>(11)(12)</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Class A Units (423,728 units)</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7/7/2023</w:t>
            </w:r>
          </w:p>
        </w:tc>
        <w:tc>
          <w:tcPr>
            <w:tcW w:w="19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424</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424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19,707</w:t>
            </w:r>
          </w:p>
        </w:tc>
        <w:tc>
          <w:tcPr>
            <w:tcW w:w="148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17,819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2600" w:type="dxa"/>
            <w:vAlign w:val="bottom"/>
            <w:shd w:val="clear" w:color="auto" w:fill="CFF0FC"/>
          </w:tcPr>
          <w:p>
            <w:pPr>
              <w:spacing w:after="0"/>
              <w:rPr>
                <w:sz w:val="13"/>
                <w:szCs w:val="13"/>
                <w:color w:val="auto"/>
              </w:rPr>
            </w:pPr>
          </w:p>
        </w:tc>
        <w:tc>
          <w:tcPr>
            <w:tcW w:w="212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20"/>
        </w:trPr>
        <w:tc>
          <w:tcPr>
            <w:tcW w:w="15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Celtra Technologies, Inc.</w:t>
            </w:r>
          </w:p>
        </w:tc>
        <w:tc>
          <w:tcPr>
            <w:tcW w:w="260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auto"/>
              </w:rPr>
              <w:t>Class A Units (1,250,000 units)</w:t>
            </w:r>
          </w:p>
        </w:tc>
        <w:tc>
          <w:tcPr>
            <w:tcW w:w="2120" w:type="dxa"/>
            <w:vAlign w:val="bottom"/>
          </w:tcPr>
          <w:p>
            <w:pPr>
              <w:jc w:val="right"/>
              <w:ind w:right="1314"/>
              <w:spacing w:after="0" w:line="120" w:lineRule="exact"/>
              <w:rPr>
                <w:sz w:val="20"/>
                <w:szCs w:val="20"/>
                <w:color w:val="auto"/>
              </w:rPr>
            </w:pPr>
            <w:r>
              <w:rPr>
                <w:rFonts w:ascii="Times New Roman" w:cs="Times New Roman" w:eastAsia="Times New Roman" w:hAnsi="Times New Roman"/>
                <w:sz w:val="13"/>
                <w:szCs w:val="13"/>
                <w:color w:val="auto"/>
              </w:rPr>
              <w:t>11/19/2021</w:t>
            </w:r>
          </w:p>
        </w:tc>
        <w:tc>
          <w:tcPr>
            <w:tcW w:w="1960" w:type="dxa"/>
            <w:vAlign w:val="bottom"/>
          </w:tcPr>
          <w:p>
            <w:pPr>
              <w:jc w:val="right"/>
              <w:ind w:right="154"/>
              <w:spacing w:after="0" w:line="120" w:lineRule="exact"/>
              <w:rPr>
                <w:sz w:val="20"/>
                <w:szCs w:val="20"/>
                <w:color w:val="auto"/>
              </w:rPr>
            </w:pPr>
            <w:r>
              <w:rPr>
                <w:rFonts w:ascii="Times New Roman" w:cs="Times New Roman" w:eastAsia="Times New Roman" w:hAnsi="Times New Roman"/>
                <w:sz w:val="13"/>
                <w:szCs w:val="13"/>
                <w:color w:val="auto"/>
              </w:rPr>
              <w:t>1,250</w:t>
            </w:r>
          </w:p>
        </w:tc>
        <w:tc>
          <w:tcPr>
            <w:tcW w:w="1480" w:type="dxa"/>
            <w:vAlign w:val="bottom"/>
          </w:tcPr>
          <w:p>
            <w:pPr>
              <w:jc w:val="right"/>
              <w:ind w:right="494"/>
              <w:spacing w:after="0" w:line="120" w:lineRule="exact"/>
              <w:rPr>
                <w:sz w:val="20"/>
                <w:szCs w:val="20"/>
                <w:color w:val="auto"/>
              </w:rPr>
            </w:pPr>
            <w:r>
              <w:rPr>
                <w:rFonts w:ascii="Times New Roman" w:cs="Times New Roman" w:eastAsia="Times New Roman" w:hAnsi="Times New Roman"/>
                <w:sz w:val="13"/>
                <w:szCs w:val="13"/>
                <w:color w:val="auto"/>
              </w:rPr>
              <w:t>1,250</w:t>
            </w:r>
          </w:p>
        </w:tc>
        <w:tc>
          <w:tcPr>
            <w:tcW w:w="8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0.1 %</w:t>
            </w:r>
          </w:p>
        </w:tc>
      </w:tr>
      <w:tr>
        <w:trPr>
          <w:trHeight w:val="107"/>
        </w:trPr>
        <w:tc>
          <w:tcPr>
            <w:tcW w:w="15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26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37"/>
        </w:trPr>
        <w:tc>
          <w:tcPr>
            <w:tcW w:w="15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20"/>
        </w:trPr>
        <w:tc>
          <w:tcPr>
            <w:tcW w:w="15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IntelePeer Holdings, Inc.</w:t>
            </w:r>
          </w:p>
        </w:tc>
        <w:tc>
          <w:tcPr>
            <w:tcW w:w="2600" w:type="dxa"/>
            <w:vAlign w:val="bottom"/>
            <w:shd w:val="clear" w:color="auto" w:fill="CFF0FC"/>
          </w:tcPr>
          <w:p>
            <w:pPr>
              <w:ind w:left="60"/>
              <w:spacing w:after="0" w:line="120" w:lineRule="exact"/>
              <w:rPr>
                <w:sz w:val="20"/>
                <w:szCs w:val="20"/>
                <w:color w:val="auto"/>
              </w:rPr>
            </w:pPr>
            <w:r>
              <w:rPr>
                <w:rFonts w:ascii="Times New Roman" w:cs="Times New Roman" w:eastAsia="Times New Roman" w:hAnsi="Times New Roman"/>
                <w:sz w:val="13"/>
                <w:szCs w:val="13"/>
                <w:color w:val="auto"/>
              </w:rPr>
              <w:t>Series C Preferred Shares (1,816,295 shares)</w:t>
            </w:r>
          </w:p>
        </w:tc>
        <w:tc>
          <w:tcPr>
            <w:tcW w:w="2120" w:type="dxa"/>
            <w:vAlign w:val="bottom"/>
            <w:shd w:val="clear" w:color="auto" w:fill="CFF0FC"/>
          </w:tcPr>
          <w:p>
            <w:pPr>
              <w:jc w:val="right"/>
              <w:ind w:right="1314"/>
              <w:spacing w:after="0" w:line="120" w:lineRule="exact"/>
              <w:rPr>
                <w:sz w:val="20"/>
                <w:szCs w:val="20"/>
                <w:color w:val="auto"/>
              </w:rPr>
            </w:pPr>
            <w:r>
              <w:rPr>
                <w:rFonts w:ascii="Times New Roman" w:cs="Times New Roman" w:eastAsia="Times New Roman" w:hAnsi="Times New Roman"/>
                <w:sz w:val="13"/>
                <w:szCs w:val="13"/>
                <w:color w:val="auto"/>
              </w:rPr>
              <w:t>4/8/2021</w:t>
            </w:r>
          </w:p>
        </w:tc>
        <w:tc>
          <w:tcPr>
            <w:tcW w:w="1960" w:type="dxa"/>
            <w:vAlign w:val="bottom"/>
            <w:shd w:val="clear" w:color="auto" w:fill="CFF0FC"/>
          </w:tcPr>
          <w:p>
            <w:pPr>
              <w:jc w:val="right"/>
              <w:ind w:right="154"/>
              <w:spacing w:after="0" w:line="120" w:lineRule="exact"/>
              <w:rPr>
                <w:sz w:val="20"/>
                <w:szCs w:val="20"/>
                <w:color w:val="auto"/>
              </w:rPr>
            </w:pPr>
            <w:r>
              <w:rPr>
                <w:rFonts w:ascii="Times New Roman" w:cs="Times New Roman" w:eastAsia="Times New Roman" w:hAnsi="Times New Roman"/>
                <w:sz w:val="13"/>
                <w:szCs w:val="13"/>
                <w:color w:val="auto"/>
              </w:rPr>
              <w:t>1,816</w:t>
            </w:r>
          </w:p>
        </w:tc>
        <w:tc>
          <w:tcPr>
            <w:tcW w:w="1480" w:type="dxa"/>
            <w:vAlign w:val="bottom"/>
            <w:shd w:val="clear" w:color="auto" w:fill="CFF0FC"/>
          </w:tcPr>
          <w:p>
            <w:pPr>
              <w:jc w:val="right"/>
              <w:ind w:right="494"/>
              <w:spacing w:after="0" w:line="120" w:lineRule="exact"/>
              <w:rPr>
                <w:sz w:val="20"/>
                <w:szCs w:val="20"/>
                <w:color w:val="auto"/>
              </w:rPr>
            </w:pPr>
            <w:r>
              <w:rPr>
                <w:rFonts w:ascii="Times New Roman" w:cs="Times New Roman" w:eastAsia="Times New Roman" w:hAnsi="Times New Roman"/>
                <w:sz w:val="13"/>
                <w:szCs w:val="13"/>
                <w:color w:val="auto"/>
              </w:rPr>
              <w:t>1,957</w:t>
            </w:r>
          </w:p>
        </w:tc>
        <w:tc>
          <w:tcPr>
            <w:tcW w:w="8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0.1 %</w:t>
            </w:r>
          </w:p>
        </w:tc>
      </w:tr>
      <w:tr>
        <w:trPr>
          <w:trHeight w:val="124"/>
        </w:trPr>
        <w:tc>
          <w:tcPr>
            <w:tcW w:w="1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2600" w:type="dxa"/>
            <w:vAlign w:val="bottom"/>
            <w:tcBorders>
              <w:bottom w:val="single" w:sz="8" w:color="CFF0FC"/>
            </w:tcBorders>
            <w:shd w:val="clear" w:color="auto" w:fill="CFF0FC"/>
          </w:tcPr>
          <w:p>
            <w:pPr>
              <w:spacing w:after="0"/>
              <w:rPr>
                <w:sz w:val="10"/>
                <w:szCs w:val="10"/>
                <w:color w:val="auto"/>
              </w:rPr>
            </w:pPr>
          </w:p>
        </w:tc>
        <w:tc>
          <w:tcPr>
            <w:tcW w:w="2120" w:type="dxa"/>
            <w:vAlign w:val="bottom"/>
            <w:tcBorders>
              <w:bottom w:val="single" w:sz="8" w:color="CFF0FC"/>
            </w:tcBorders>
            <w:shd w:val="clear" w:color="auto" w:fill="CFF0FC"/>
          </w:tcPr>
          <w:p>
            <w:pPr>
              <w:spacing w:after="0"/>
              <w:rPr>
                <w:sz w:val="10"/>
                <w:szCs w:val="10"/>
                <w:color w:val="auto"/>
              </w:rPr>
            </w:pPr>
          </w:p>
        </w:tc>
        <w:tc>
          <w:tcPr>
            <w:tcW w:w="196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r>
      <w:tr>
        <w:trPr>
          <w:trHeight w:val="156"/>
        </w:trPr>
        <w:tc>
          <w:tcPr>
            <w:tcW w:w="15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D Preferred Shares (1,598,874 shares)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4/8/2021</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2,925</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2,099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280,000 Series C Warrants</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2/28/2020</w:t>
            </w:r>
          </w:p>
        </w:tc>
        <w:tc>
          <w:tcPr>
            <w:tcW w:w="19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183</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106,592 Series D Warrants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4/8/2021</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rPr>
                <w:sz w:val="13"/>
                <w:szCs w:val="13"/>
                <w:color w:val="auto"/>
              </w:rPr>
            </w:pPr>
          </w:p>
        </w:tc>
        <w:tc>
          <w:tcPr>
            <w:tcW w:w="2120" w:type="dxa"/>
            <w:vAlign w:val="bottom"/>
            <w:shd w:val="clear" w:color="auto" w:fill="CFF0FC"/>
          </w:tcPr>
          <w:p>
            <w:pPr>
              <w:spacing w:after="0"/>
              <w:rPr>
                <w:sz w:val="13"/>
                <w:szCs w:val="13"/>
                <w:color w:val="auto"/>
              </w:rPr>
            </w:pPr>
          </w:p>
        </w:tc>
        <w:tc>
          <w:tcPr>
            <w:tcW w:w="19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6,174</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5,306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56"/>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2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Astra 2L Holdings II</w:t>
            </w:r>
          </w:p>
        </w:tc>
        <w:tc>
          <w:tcPr>
            <w:tcW w:w="26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Membership Interest (10.17% ownership)</w:t>
            </w:r>
          </w:p>
        </w:tc>
        <w:tc>
          <w:tcPr>
            <w:tcW w:w="2120" w:type="dxa"/>
            <w:vAlign w:val="bottom"/>
            <w:shd w:val="clear" w:color="auto" w:fill="CFF0FC"/>
          </w:tcPr>
          <w:p>
            <w:pPr>
              <w:jc w:val="right"/>
              <w:ind w:right="1314"/>
              <w:spacing w:after="0" w:line="133" w:lineRule="exact"/>
              <w:rPr>
                <w:sz w:val="20"/>
                <w:szCs w:val="20"/>
                <w:color w:val="auto"/>
              </w:rPr>
            </w:pPr>
            <w:r>
              <w:rPr>
                <w:rFonts w:ascii="Times New Roman" w:cs="Times New Roman" w:eastAsia="Times New Roman" w:hAnsi="Times New Roman"/>
                <w:sz w:val="13"/>
                <w:szCs w:val="13"/>
                <w:color w:val="auto"/>
              </w:rPr>
              <w:t>1/13/2022</w:t>
            </w:r>
          </w:p>
        </w:tc>
        <w:tc>
          <w:tcPr>
            <w:tcW w:w="196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3,255</w:t>
            </w:r>
          </w:p>
        </w:tc>
        <w:tc>
          <w:tcPr>
            <w:tcW w:w="14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309</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7"/>
                <w:szCs w:val="7"/>
                <w:color w:val="auto"/>
              </w:rPr>
              <w:t xml:space="preserve"> (11)</w:t>
            </w:r>
          </w:p>
        </w:tc>
        <w:tc>
          <w:tcPr>
            <w:tcW w:w="260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6"/>
                <w:szCs w:val="16"/>
                <w:color w:val="auto"/>
                <w:vertAlign w:val="superscript"/>
              </w:rPr>
              <w:t>(11)</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Class B Units (5,522,526 units)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12/22/2021</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5,522</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4,762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RMCF IV CIV XXXV,</w:t>
            </w:r>
          </w:p>
        </w:tc>
        <w:tc>
          <w:tcPr>
            <w:tcW w:w="26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Partnership Interest (11.94% ownership)</w:t>
            </w:r>
          </w:p>
        </w:tc>
        <w:tc>
          <w:tcPr>
            <w:tcW w:w="2120" w:type="dxa"/>
            <w:vAlign w:val="bottom"/>
            <w:shd w:val="clear" w:color="auto" w:fill="CFF0FC"/>
          </w:tcPr>
          <w:p>
            <w:pPr>
              <w:jc w:val="right"/>
              <w:ind w:right="1314"/>
              <w:spacing w:after="0" w:line="133" w:lineRule="exact"/>
              <w:rPr>
                <w:sz w:val="20"/>
                <w:szCs w:val="20"/>
                <w:color w:val="auto"/>
              </w:rPr>
            </w:pPr>
            <w:r>
              <w:rPr>
                <w:rFonts w:ascii="Times New Roman" w:cs="Times New Roman" w:eastAsia="Times New Roman" w:hAnsi="Times New Roman"/>
                <w:sz w:val="13"/>
                <w:szCs w:val="13"/>
                <w:color w:val="auto"/>
              </w:rPr>
              <w:t>6/8/2021</w:t>
            </w:r>
          </w:p>
        </w:tc>
        <w:tc>
          <w:tcPr>
            <w:tcW w:w="196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1,000</w:t>
            </w:r>
          </w:p>
        </w:tc>
        <w:tc>
          <w:tcPr>
            <w:tcW w:w="14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1,455</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LP.</w:t>
            </w:r>
            <w:r>
              <w:rPr>
                <w:rFonts w:ascii="Times New Roman" w:cs="Times New Roman" w:eastAsia="Times New Roman" w:hAnsi="Times New Roman"/>
                <w:sz w:val="7"/>
                <w:szCs w:val="7"/>
                <w:color w:val="auto"/>
              </w:rPr>
              <w:t xml:space="preserve"> (11)</w:t>
            </w:r>
          </w:p>
        </w:tc>
        <w:tc>
          <w:tcPr>
            <w:tcW w:w="260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6"/>
        </w:trPr>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9,777</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6,526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600" w:type="dxa"/>
            <w:vAlign w:val="bottom"/>
            <w:shd w:val="clear" w:color="auto" w:fill="CFF0FC"/>
          </w:tcPr>
          <w:p>
            <w:pPr>
              <w:spacing w:after="0"/>
              <w:rPr>
                <w:sz w:val="13"/>
                <w:szCs w:val="13"/>
                <w:color w:val="auto"/>
              </w:rPr>
            </w:pPr>
          </w:p>
        </w:tc>
        <w:tc>
          <w:tcPr>
            <w:tcW w:w="212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w w:val="98"/>
              </w:rPr>
              <w:t>AF Eagle Parent, L.P.</w:t>
            </w:r>
            <w:r>
              <w:rPr>
                <w:rFonts w:ascii="Times New Roman" w:cs="Times New Roman" w:eastAsia="Times New Roman" w:hAnsi="Times New Roman"/>
                <w:sz w:val="16"/>
                <w:szCs w:val="16"/>
                <w:color w:val="auto"/>
                <w:w w:val="98"/>
                <w:vertAlign w:val="superscript"/>
              </w:rPr>
              <w:t>(11)(12)</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Partnership (121,329 units)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11/27/2023</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4,091</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4,091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20"/>
        </w:trPr>
        <w:tc>
          <w:tcPr>
            <w:tcW w:w="15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CLGF Holdco 2, LLC</w:t>
            </w:r>
            <w:r>
              <w:rPr>
                <w:rFonts w:ascii="Times New Roman" w:cs="Times New Roman" w:eastAsia="Times New Roman" w:hAnsi="Times New Roman"/>
                <w:sz w:val="13"/>
                <w:szCs w:val="13"/>
                <w:color w:val="auto"/>
                <w:vertAlign w:val="superscript"/>
              </w:rPr>
              <w:t>(4)(11)</w:t>
            </w:r>
          </w:p>
        </w:tc>
        <w:tc>
          <w:tcPr>
            <w:tcW w:w="2600" w:type="dxa"/>
            <w:vAlign w:val="bottom"/>
            <w:shd w:val="clear" w:color="auto" w:fill="CFF0FC"/>
          </w:tcPr>
          <w:p>
            <w:pPr>
              <w:ind w:left="60"/>
              <w:spacing w:after="0" w:line="120" w:lineRule="exact"/>
              <w:rPr>
                <w:sz w:val="20"/>
                <w:szCs w:val="20"/>
                <w:color w:val="auto"/>
              </w:rPr>
            </w:pPr>
            <w:r>
              <w:rPr>
                <w:rFonts w:ascii="Times New Roman" w:cs="Times New Roman" w:eastAsia="Times New Roman" w:hAnsi="Times New Roman"/>
                <w:sz w:val="13"/>
                <w:szCs w:val="13"/>
                <w:color w:val="auto"/>
              </w:rPr>
              <w:t>334,682 Warrants</w:t>
            </w:r>
          </w:p>
        </w:tc>
        <w:tc>
          <w:tcPr>
            <w:tcW w:w="2120" w:type="dxa"/>
            <w:vAlign w:val="bottom"/>
            <w:shd w:val="clear" w:color="auto" w:fill="CFF0FC"/>
          </w:tcPr>
          <w:p>
            <w:pPr>
              <w:jc w:val="right"/>
              <w:ind w:right="1314"/>
              <w:spacing w:after="0" w:line="120" w:lineRule="exact"/>
              <w:rPr>
                <w:sz w:val="20"/>
                <w:szCs w:val="20"/>
                <w:color w:val="auto"/>
              </w:rPr>
            </w:pPr>
            <w:r>
              <w:rPr>
                <w:rFonts w:ascii="Times New Roman" w:cs="Times New Roman" w:eastAsia="Times New Roman" w:hAnsi="Times New Roman"/>
                <w:sz w:val="13"/>
                <w:szCs w:val="13"/>
                <w:color w:val="auto"/>
              </w:rPr>
              <w:t>11/7/2023</w:t>
            </w:r>
          </w:p>
        </w:tc>
        <w:tc>
          <w:tcPr>
            <w:tcW w:w="1960" w:type="dxa"/>
            <w:vAlign w:val="bottom"/>
            <w:shd w:val="clear" w:color="auto" w:fill="CFF0FC"/>
          </w:tcPr>
          <w:p>
            <w:pPr>
              <w:jc w:val="right"/>
              <w:ind w:right="174"/>
              <w:spacing w:after="0" w:line="120" w:lineRule="exact"/>
              <w:rPr>
                <w:sz w:val="20"/>
                <w:szCs w:val="20"/>
                <w:color w:val="auto"/>
              </w:rPr>
            </w:pPr>
            <w:r>
              <w:rPr>
                <w:rFonts w:ascii="Times New Roman" w:cs="Times New Roman" w:eastAsia="Times New Roman" w:hAnsi="Times New Roman"/>
                <w:sz w:val="13"/>
                <w:szCs w:val="13"/>
                <w:color w:val="auto"/>
              </w:rPr>
              <w:t>183</w:t>
            </w:r>
          </w:p>
        </w:tc>
        <w:tc>
          <w:tcPr>
            <w:tcW w:w="1480" w:type="dxa"/>
            <w:vAlign w:val="bottom"/>
            <w:shd w:val="clear" w:color="auto" w:fill="CFF0FC"/>
          </w:tcPr>
          <w:p>
            <w:pPr>
              <w:jc w:val="right"/>
              <w:ind w:right="494"/>
              <w:spacing w:after="0" w:line="120" w:lineRule="exact"/>
              <w:rPr>
                <w:sz w:val="20"/>
                <w:szCs w:val="20"/>
                <w:color w:val="auto"/>
              </w:rPr>
            </w:pPr>
            <w:r>
              <w:rPr>
                <w:rFonts w:ascii="Times New Roman" w:cs="Times New Roman" w:eastAsia="Times New Roman" w:hAnsi="Times New Roman"/>
                <w:sz w:val="13"/>
                <w:szCs w:val="13"/>
                <w:color w:val="auto"/>
              </w:rPr>
              <w:t>183</w:t>
            </w:r>
          </w:p>
        </w:tc>
        <w:tc>
          <w:tcPr>
            <w:tcW w:w="8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0.0 %</w:t>
            </w:r>
          </w:p>
        </w:tc>
      </w:tr>
      <w:tr>
        <w:trPr>
          <w:trHeight w:val="124"/>
        </w:trPr>
        <w:tc>
          <w:tcPr>
            <w:tcW w:w="1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2600" w:type="dxa"/>
            <w:vAlign w:val="bottom"/>
            <w:tcBorders>
              <w:bottom w:val="single" w:sz="8" w:color="CFF0FC"/>
            </w:tcBorders>
            <w:shd w:val="clear" w:color="auto" w:fill="CFF0FC"/>
          </w:tcPr>
          <w:p>
            <w:pPr>
              <w:spacing w:after="0"/>
              <w:rPr>
                <w:sz w:val="10"/>
                <w:szCs w:val="10"/>
                <w:color w:val="auto"/>
              </w:rPr>
            </w:pPr>
          </w:p>
        </w:tc>
        <w:tc>
          <w:tcPr>
            <w:tcW w:w="2120" w:type="dxa"/>
            <w:vAlign w:val="bottom"/>
            <w:tcBorders>
              <w:bottom w:val="single" w:sz="8" w:color="CFF0FC"/>
            </w:tcBorders>
            <w:shd w:val="clear" w:color="auto" w:fill="CFF0FC"/>
          </w:tcPr>
          <w:p>
            <w:pPr>
              <w:spacing w:after="0"/>
              <w:rPr>
                <w:sz w:val="10"/>
                <w:szCs w:val="10"/>
                <w:color w:val="auto"/>
              </w:rPr>
            </w:pPr>
          </w:p>
        </w:tc>
        <w:tc>
          <w:tcPr>
            <w:tcW w:w="196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Newport Parent Holdings,</w:t>
            </w:r>
          </w:p>
        </w:tc>
        <w:tc>
          <w:tcPr>
            <w:tcW w:w="26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Class A-2 Units (131,569 units)</w:t>
            </w:r>
          </w:p>
        </w:tc>
        <w:tc>
          <w:tcPr>
            <w:tcW w:w="2120" w:type="dxa"/>
            <w:vAlign w:val="bottom"/>
          </w:tcPr>
          <w:p>
            <w:pPr>
              <w:jc w:val="right"/>
              <w:ind w:right="1314"/>
              <w:spacing w:after="0" w:line="133" w:lineRule="exact"/>
              <w:rPr>
                <w:sz w:val="20"/>
                <w:szCs w:val="20"/>
                <w:color w:val="auto"/>
              </w:rPr>
            </w:pPr>
            <w:r>
              <w:rPr>
                <w:rFonts w:ascii="Times New Roman" w:cs="Times New Roman" w:eastAsia="Times New Roman" w:hAnsi="Times New Roman"/>
                <w:sz w:val="13"/>
                <w:szCs w:val="13"/>
                <w:color w:val="auto"/>
              </w:rPr>
              <w:t>12/10/2020</w:t>
            </w:r>
          </w:p>
        </w:tc>
        <w:tc>
          <w:tcPr>
            <w:tcW w:w="1960" w:type="dxa"/>
            <w:vAlign w:val="bottom"/>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4,177</w:t>
            </w:r>
          </w:p>
        </w:tc>
        <w:tc>
          <w:tcPr>
            <w:tcW w:w="1480" w:type="dxa"/>
            <w:vAlign w:val="bottom"/>
          </w:tcPr>
          <w:p>
            <w:pPr>
              <w:jc w:val="right"/>
              <w:ind w:right="474"/>
              <w:spacing w:after="0" w:line="133" w:lineRule="exact"/>
              <w:rPr>
                <w:sz w:val="20"/>
                <w:szCs w:val="20"/>
                <w:color w:val="auto"/>
              </w:rPr>
            </w:pPr>
            <w:r>
              <w:rPr>
                <w:rFonts w:ascii="Times New Roman" w:cs="Times New Roman" w:eastAsia="Times New Roman" w:hAnsi="Times New Roman"/>
                <w:sz w:val="13"/>
                <w:szCs w:val="13"/>
                <w:color w:val="auto"/>
              </w:rPr>
              <w:t>11,591</w:t>
            </w: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0.8 %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L.P. </w:t>
            </w:r>
            <w:r>
              <w:rPr>
                <w:rFonts w:ascii="Times New Roman" w:cs="Times New Roman" w:eastAsia="Times New Roman" w:hAnsi="Times New Roman"/>
                <w:sz w:val="16"/>
                <w:szCs w:val="16"/>
                <w:color w:val="auto"/>
                <w:vertAlign w:val="superscript"/>
              </w:rPr>
              <w:t>(11)</w:t>
            </w:r>
          </w:p>
        </w:tc>
        <w:tc>
          <w:tcPr>
            <w:tcW w:w="2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Oxford Square Capital</w:t>
            </w:r>
          </w:p>
        </w:tc>
        <w:tc>
          <w:tcPr>
            <w:tcW w:w="26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Common Shares (1,620 shares)</w:t>
            </w:r>
          </w:p>
        </w:tc>
        <w:tc>
          <w:tcPr>
            <w:tcW w:w="2120" w:type="dxa"/>
            <w:vAlign w:val="bottom"/>
            <w:shd w:val="clear" w:color="auto" w:fill="CFF0FC"/>
          </w:tcPr>
          <w:p>
            <w:pPr>
              <w:jc w:val="right"/>
              <w:ind w:right="1314"/>
              <w:spacing w:after="0" w:line="133" w:lineRule="exact"/>
              <w:rPr>
                <w:sz w:val="20"/>
                <w:szCs w:val="20"/>
                <w:color w:val="auto"/>
              </w:rPr>
            </w:pPr>
            <w:r>
              <w:rPr>
                <w:rFonts w:ascii="Times New Roman" w:cs="Times New Roman" w:eastAsia="Times New Roman" w:hAnsi="Times New Roman"/>
                <w:sz w:val="13"/>
                <w:szCs w:val="13"/>
                <w:color w:val="auto"/>
              </w:rPr>
              <w:t>8/5/2015</w:t>
            </w:r>
          </w:p>
        </w:tc>
        <w:tc>
          <w:tcPr>
            <w:tcW w:w="1960" w:type="dxa"/>
            <w:vAlign w:val="bottom"/>
            <w:shd w:val="clear" w:color="auto" w:fill="CFF0FC"/>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rPr>
              <w:t>6</w:t>
            </w:r>
          </w:p>
        </w:tc>
        <w:tc>
          <w:tcPr>
            <w:tcW w:w="14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5</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Corp.</w:t>
            </w:r>
            <w:r>
              <w:rPr>
                <w:rFonts w:ascii="Times New Roman" w:cs="Times New Roman" w:eastAsia="Times New Roman" w:hAnsi="Times New Roman"/>
                <w:sz w:val="7"/>
                <w:szCs w:val="7"/>
                <w:color w:val="auto"/>
              </w:rPr>
              <w:t xml:space="preserve"> (4)(10)</w:t>
            </w:r>
          </w:p>
        </w:tc>
        <w:tc>
          <w:tcPr>
            <w:tcW w:w="260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Passport Labs, Inc. </w:t>
            </w:r>
            <w:r>
              <w:rPr>
                <w:rFonts w:ascii="Times New Roman" w:cs="Times New Roman" w:eastAsia="Times New Roman" w:hAnsi="Times New Roman"/>
                <w:sz w:val="16"/>
                <w:szCs w:val="16"/>
                <w:color w:val="auto"/>
                <w:vertAlign w:val="superscript"/>
              </w:rPr>
              <w:t>(11)</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17,534 Warrants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4/28/2021</w:t>
            </w:r>
          </w:p>
        </w:tc>
        <w:tc>
          <w:tcPr>
            <w:tcW w:w="19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192</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TradingScreen, Inc. </w:t>
            </w:r>
            <w:r>
              <w:rPr>
                <w:rFonts w:ascii="Times New Roman" w:cs="Times New Roman" w:eastAsia="Times New Roman" w:hAnsi="Times New Roman"/>
                <w:sz w:val="16"/>
                <w:szCs w:val="16"/>
                <w:color w:val="auto"/>
                <w:vertAlign w:val="superscript"/>
              </w:rPr>
              <w:t>(11)(13)</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Class A Units (600,000 units)</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5/14/2021</w:t>
            </w:r>
          </w:p>
        </w:tc>
        <w:tc>
          <w:tcPr>
            <w:tcW w:w="19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600</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9,249</w:t>
            </w:r>
          </w:p>
        </w:tc>
        <w:tc>
          <w:tcPr>
            <w:tcW w:w="148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16,470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600" w:type="dxa"/>
            <w:vAlign w:val="bottom"/>
            <w:shd w:val="clear" w:color="auto" w:fill="CFF0FC"/>
          </w:tcPr>
          <w:p>
            <w:pPr>
              <w:spacing w:after="0"/>
              <w:rPr>
                <w:sz w:val="13"/>
                <w:szCs w:val="13"/>
                <w:color w:val="auto"/>
              </w:rPr>
            </w:pPr>
          </w:p>
        </w:tc>
        <w:tc>
          <w:tcPr>
            <w:tcW w:w="212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20"/>
        </w:trPr>
        <w:tc>
          <w:tcPr>
            <w:tcW w:w="15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Caris Life Sciences, Inc.</w:t>
            </w:r>
          </w:p>
        </w:tc>
        <w:tc>
          <w:tcPr>
            <w:tcW w:w="260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auto"/>
              </w:rPr>
              <w:t>Series C Preferred Shares (1,915,114 shares)</w:t>
            </w:r>
          </w:p>
        </w:tc>
        <w:tc>
          <w:tcPr>
            <w:tcW w:w="2120" w:type="dxa"/>
            <w:vAlign w:val="bottom"/>
          </w:tcPr>
          <w:p>
            <w:pPr>
              <w:jc w:val="right"/>
              <w:ind w:right="1314"/>
              <w:spacing w:after="0" w:line="120" w:lineRule="exact"/>
              <w:rPr>
                <w:sz w:val="20"/>
                <w:szCs w:val="20"/>
                <w:color w:val="auto"/>
              </w:rPr>
            </w:pPr>
            <w:r>
              <w:rPr>
                <w:rFonts w:ascii="Times New Roman" w:cs="Times New Roman" w:eastAsia="Times New Roman" w:hAnsi="Times New Roman"/>
                <w:sz w:val="13"/>
                <w:szCs w:val="13"/>
                <w:color w:val="auto"/>
              </w:rPr>
              <w:t>10/13/2020</w:t>
            </w:r>
          </w:p>
        </w:tc>
        <w:tc>
          <w:tcPr>
            <w:tcW w:w="1960" w:type="dxa"/>
            <w:vAlign w:val="bottom"/>
          </w:tcPr>
          <w:p>
            <w:pPr>
              <w:jc w:val="right"/>
              <w:ind w:right="154"/>
              <w:spacing w:after="0" w:line="120" w:lineRule="exact"/>
              <w:rPr>
                <w:sz w:val="20"/>
                <w:szCs w:val="20"/>
                <w:color w:val="auto"/>
              </w:rPr>
            </w:pPr>
            <w:r>
              <w:rPr>
                <w:rFonts w:ascii="Times New Roman" w:cs="Times New Roman" w:eastAsia="Times New Roman" w:hAnsi="Times New Roman"/>
                <w:sz w:val="13"/>
                <w:szCs w:val="13"/>
                <w:color w:val="auto"/>
              </w:rPr>
              <w:t>3,500</w:t>
            </w:r>
          </w:p>
        </w:tc>
        <w:tc>
          <w:tcPr>
            <w:tcW w:w="1480" w:type="dxa"/>
            <w:vAlign w:val="bottom"/>
          </w:tcPr>
          <w:p>
            <w:pPr>
              <w:jc w:val="right"/>
              <w:ind w:right="494"/>
              <w:spacing w:after="0" w:line="120" w:lineRule="exact"/>
              <w:rPr>
                <w:sz w:val="20"/>
                <w:szCs w:val="20"/>
                <w:color w:val="auto"/>
              </w:rPr>
            </w:pPr>
            <w:r>
              <w:rPr>
                <w:rFonts w:ascii="Times New Roman" w:cs="Times New Roman" w:eastAsia="Times New Roman" w:hAnsi="Times New Roman"/>
                <w:sz w:val="13"/>
                <w:szCs w:val="13"/>
                <w:color w:val="auto"/>
              </w:rPr>
              <w:t>6,676</w:t>
            </w:r>
          </w:p>
        </w:tc>
        <w:tc>
          <w:tcPr>
            <w:tcW w:w="8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0.4 %</w:t>
            </w:r>
          </w:p>
        </w:tc>
      </w:tr>
      <w:tr>
        <w:trPr>
          <w:trHeight w:val="107"/>
        </w:trPr>
        <w:tc>
          <w:tcPr>
            <w:tcW w:w="15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26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37"/>
        </w:trPr>
        <w:tc>
          <w:tcPr>
            <w:tcW w:w="15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72"/>
        </w:trPr>
        <w:tc>
          <w:tcPr>
            <w:tcW w:w="1520" w:type="dxa"/>
            <w:vAlign w:val="bottom"/>
            <w:shd w:val="clear" w:color="auto" w:fill="CFF0FC"/>
          </w:tcPr>
          <w:p>
            <w:pPr>
              <w:spacing w:after="0"/>
              <w:rPr>
                <w:sz w:val="14"/>
                <w:szCs w:val="14"/>
                <w:color w:val="auto"/>
              </w:rPr>
            </w:pP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D Preferred Shares (1,240,740 shares)</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5/11/2021</w:t>
            </w:r>
          </w:p>
        </w:tc>
        <w:tc>
          <w:tcPr>
            <w:tcW w:w="19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10,050</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9,899</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0.7 %</w:t>
            </w:r>
          </w:p>
        </w:tc>
      </w:tr>
      <w:tr>
        <w:trPr>
          <w:trHeight w:val="68"/>
        </w:trPr>
        <w:tc>
          <w:tcPr>
            <w:tcW w:w="1520" w:type="dxa"/>
            <w:vAlign w:val="bottom"/>
            <w:shd w:val="clear" w:color="auto" w:fill="CFF0FC"/>
          </w:tcPr>
          <w:p>
            <w:pPr>
              <w:spacing w:after="0"/>
              <w:rPr>
                <w:sz w:val="5"/>
                <w:szCs w:val="5"/>
                <w:color w:val="auto"/>
              </w:rPr>
            </w:pPr>
          </w:p>
        </w:tc>
        <w:tc>
          <w:tcPr>
            <w:tcW w:w="2600" w:type="dxa"/>
            <w:vAlign w:val="bottom"/>
            <w:shd w:val="clear" w:color="auto" w:fill="CFF0FC"/>
          </w:tcPr>
          <w:p>
            <w:pPr>
              <w:spacing w:after="0"/>
              <w:rPr>
                <w:sz w:val="5"/>
                <w:szCs w:val="5"/>
                <w:color w:val="auto"/>
              </w:rPr>
            </w:pPr>
          </w:p>
        </w:tc>
        <w:tc>
          <w:tcPr>
            <w:tcW w:w="2120" w:type="dxa"/>
            <w:vAlign w:val="bottom"/>
            <w:shd w:val="clear" w:color="auto" w:fill="CFF0FC"/>
          </w:tcPr>
          <w:p>
            <w:pPr>
              <w:spacing w:after="0"/>
              <w:rPr>
                <w:sz w:val="5"/>
                <w:szCs w:val="5"/>
                <w:color w:val="auto"/>
              </w:rPr>
            </w:pPr>
          </w:p>
        </w:tc>
        <w:tc>
          <w:tcPr>
            <w:tcW w:w="196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r>
      <w:tr>
        <w:trPr>
          <w:trHeight w:val="156"/>
        </w:trPr>
        <w:tc>
          <w:tcPr>
            <w:tcW w:w="15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633,376 Warrants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9/21/2018</w:t>
            </w:r>
          </w:p>
        </w:tc>
        <w:tc>
          <w:tcPr>
            <w:tcW w:w="19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192</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1,187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569,991 Warrants</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4/2/2020</w:t>
            </w:r>
          </w:p>
        </w:tc>
        <w:tc>
          <w:tcPr>
            <w:tcW w:w="19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250</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885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Merative Topco L.P. </w:t>
            </w:r>
            <w:r>
              <w:rPr>
                <w:rFonts w:ascii="Times New Roman" w:cs="Times New Roman" w:eastAsia="Times New Roman" w:hAnsi="Times New Roman"/>
                <w:sz w:val="16"/>
                <w:szCs w:val="16"/>
                <w:color w:val="auto"/>
                <w:vertAlign w:val="superscript"/>
              </w:rPr>
              <w:t>(11)</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989,691 Class A-1 Units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6/30/2022</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9,897</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9,600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r>
      <w:tr>
        <w:trPr>
          <w:trHeight w:val="120"/>
        </w:trPr>
        <w:tc>
          <w:tcPr>
            <w:tcW w:w="15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Raptor US Buyer II Corp.</w:t>
            </w:r>
          </w:p>
        </w:tc>
        <w:tc>
          <w:tcPr>
            <w:tcW w:w="2600" w:type="dxa"/>
            <w:vAlign w:val="bottom"/>
            <w:shd w:val="clear" w:color="auto" w:fill="CFF0FC"/>
          </w:tcPr>
          <w:p>
            <w:pPr>
              <w:ind w:left="60"/>
              <w:spacing w:after="0" w:line="120" w:lineRule="exact"/>
              <w:rPr>
                <w:sz w:val="20"/>
                <w:szCs w:val="20"/>
                <w:color w:val="auto"/>
              </w:rPr>
            </w:pPr>
            <w:r>
              <w:rPr>
                <w:rFonts w:ascii="Times New Roman" w:cs="Times New Roman" w:eastAsia="Times New Roman" w:hAnsi="Times New Roman"/>
                <w:sz w:val="13"/>
                <w:szCs w:val="13"/>
                <w:color w:val="auto"/>
              </w:rPr>
              <w:t>20,268 Ordinary Shares</w:t>
            </w:r>
          </w:p>
        </w:tc>
        <w:tc>
          <w:tcPr>
            <w:tcW w:w="2120" w:type="dxa"/>
            <w:vAlign w:val="bottom"/>
            <w:shd w:val="clear" w:color="auto" w:fill="CFF0FC"/>
          </w:tcPr>
          <w:p>
            <w:pPr>
              <w:jc w:val="right"/>
              <w:ind w:right="1314"/>
              <w:spacing w:after="0" w:line="120" w:lineRule="exact"/>
              <w:rPr>
                <w:sz w:val="20"/>
                <w:szCs w:val="20"/>
                <w:color w:val="auto"/>
              </w:rPr>
            </w:pPr>
            <w:r>
              <w:rPr>
                <w:rFonts w:ascii="Times New Roman" w:cs="Times New Roman" w:eastAsia="Times New Roman" w:hAnsi="Times New Roman"/>
                <w:sz w:val="13"/>
                <w:szCs w:val="13"/>
                <w:color w:val="auto"/>
              </w:rPr>
              <w:t>3/24/2023</w:t>
            </w:r>
          </w:p>
        </w:tc>
        <w:tc>
          <w:tcPr>
            <w:tcW w:w="1960" w:type="dxa"/>
            <w:vAlign w:val="bottom"/>
            <w:shd w:val="clear" w:color="auto" w:fill="CFF0FC"/>
          </w:tcPr>
          <w:p>
            <w:pPr>
              <w:jc w:val="right"/>
              <w:ind w:right="154"/>
              <w:spacing w:after="0" w:line="120" w:lineRule="exact"/>
              <w:rPr>
                <w:sz w:val="20"/>
                <w:szCs w:val="20"/>
                <w:color w:val="auto"/>
              </w:rPr>
            </w:pPr>
            <w:r>
              <w:rPr>
                <w:rFonts w:ascii="Times New Roman" w:cs="Times New Roman" w:eastAsia="Times New Roman" w:hAnsi="Times New Roman"/>
                <w:sz w:val="13"/>
                <w:szCs w:val="13"/>
                <w:color w:val="auto"/>
              </w:rPr>
              <w:t>2,033</w:t>
            </w:r>
          </w:p>
        </w:tc>
        <w:tc>
          <w:tcPr>
            <w:tcW w:w="1480" w:type="dxa"/>
            <w:vAlign w:val="bottom"/>
            <w:shd w:val="clear" w:color="auto" w:fill="CFF0FC"/>
          </w:tcPr>
          <w:p>
            <w:pPr>
              <w:jc w:val="right"/>
              <w:ind w:right="494"/>
              <w:spacing w:after="0" w:line="120" w:lineRule="exact"/>
              <w:rPr>
                <w:sz w:val="20"/>
                <w:szCs w:val="20"/>
                <w:color w:val="auto"/>
              </w:rPr>
            </w:pPr>
            <w:r>
              <w:rPr>
                <w:rFonts w:ascii="Times New Roman" w:cs="Times New Roman" w:eastAsia="Times New Roman" w:hAnsi="Times New Roman"/>
                <w:sz w:val="13"/>
                <w:szCs w:val="13"/>
                <w:color w:val="auto"/>
              </w:rPr>
              <w:t>2,033</w:t>
            </w:r>
          </w:p>
        </w:tc>
        <w:tc>
          <w:tcPr>
            <w:tcW w:w="8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0.1 %</w:t>
            </w:r>
          </w:p>
        </w:tc>
      </w:tr>
      <w:tr>
        <w:trPr>
          <w:trHeight w:val="124"/>
        </w:trPr>
        <w:tc>
          <w:tcPr>
            <w:tcW w:w="1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(11)(12)</w:t>
            </w:r>
          </w:p>
        </w:tc>
        <w:tc>
          <w:tcPr>
            <w:tcW w:w="2600" w:type="dxa"/>
            <w:vAlign w:val="bottom"/>
            <w:tcBorders>
              <w:bottom w:val="single" w:sz="8" w:color="CFF0FC"/>
            </w:tcBorders>
            <w:shd w:val="clear" w:color="auto" w:fill="CFF0FC"/>
          </w:tcPr>
          <w:p>
            <w:pPr>
              <w:spacing w:after="0"/>
              <w:rPr>
                <w:sz w:val="10"/>
                <w:szCs w:val="10"/>
                <w:color w:val="auto"/>
              </w:rPr>
            </w:pPr>
          </w:p>
        </w:tc>
        <w:tc>
          <w:tcPr>
            <w:tcW w:w="2120" w:type="dxa"/>
            <w:vAlign w:val="bottom"/>
            <w:tcBorders>
              <w:bottom w:val="single" w:sz="8" w:color="CFF0FC"/>
            </w:tcBorders>
            <w:shd w:val="clear" w:color="auto" w:fill="CFF0FC"/>
          </w:tcPr>
          <w:p>
            <w:pPr>
              <w:spacing w:after="0"/>
              <w:rPr>
                <w:sz w:val="10"/>
                <w:szCs w:val="10"/>
                <w:color w:val="auto"/>
              </w:rPr>
            </w:pPr>
          </w:p>
        </w:tc>
        <w:tc>
          <w:tcPr>
            <w:tcW w:w="196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r>
      <w:tr>
        <w:trPr>
          <w:trHeight w:val="156"/>
        </w:trPr>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25,922</w:t>
            </w:r>
          </w:p>
        </w:tc>
        <w:tc>
          <w:tcPr>
            <w:tcW w:w="148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30,280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42"/>
        </w:trPr>
        <w:tc>
          <w:tcPr>
            <w:tcW w:w="15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Hotel, Gaming and</w:t>
            </w:r>
          </w:p>
        </w:tc>
        <w:tc>
          <w:tcPr>
            <w:tcW w:w="260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r>
      <w:tr>
        <w:trPr>
          <w:trHeight w:val="170"/>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Leisure</w:t>
            </w:r>
          </w:p>
        </w:tc>
        <w:tc>
          <w:tcPr>
            <w:tcW w:w="260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w w:val="99"/>
              </w:rPr>
              <w:t xml:space="preserve">IRGSE Holding Corp. </w:t>
            </w:r>
            <w:r>
              <w:rPr>
                <w:rFonts w:ascii="Times New Roman" w:cs="Times New Roman" w:eastAsia="Times New Roman" w:hAnsi="Times New Roman"/>
                <w:sz w:val="16"/>
                <w:szCs w:val="16"/>
                <w:color w:val="auto"/>
                <w:w w:val="99"/>
                <w:vertAlign w:val="superscript"/>
              </w:rPr>
              <w:t>(7)(11)</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Class A Units (33,790,171 units)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12/21/2018</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21,842</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2,281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Class C-1 Units (8,800,000 units)</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12/21/2018</w:t>
            </w:r>
          </w:p>
        </w:tc>
        <w:tc>
          <w:tcPr>
            <w:tcW w:w="19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100</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43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21,942</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2,324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42"/>
        </w:trPr>
        <w:tc>
          <w:tcPr>
            <w:tcW w:w="15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Human Resource</w:t>
            </w:r>
          </w:p>
        </w:tc>
        <w:tc>
          <w:tcPr>
            <w:tcW w:w="260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r>
      <w:tr>
        <w:trPr>
          <w:trHeight w:val="170"/>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Support Services</w:t>
            </w:r>
          </w:p>
        </w:tc>
        <w:tc>
          <w:tcPr>
            <w:tcW w:w="260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Axonify, Inc. </w:t>
            </w:r>
            <w:r>
              <w:rPr>
                <w:rFonts w:ascii="Times New Roman" w:cs="Times New Roman" w:eastAsia="Times New Roman" w:hAnsi="Times New Roman"/>
                <w:sz w:val="16"/>
                <w:szCs w:val="16"/>
                <w:color w:val="auto"/>
                <w:vertAlign w:val="superscript"/>
              </w:rPr>
              <w:t>(4)(11)(13)</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Class A-1 Units (3,780,000 units)</w:t>
            </w:r>
          </w:p>
        </w:tc>
        <w:tc>
          <w:tcPr>
            <w:tcW w:w="212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5/5/2021</w:t>
            </w: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3,780</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4,026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(11)(12)</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Class A-1 Units (2,393,509 units)</w:t>
            </w:r>
          </w:p>
        </w:tc>
        <w:tc>
          <w:tcPr>
            <w:tcW w:w="2120" w:type="dxa"/>
            <w:vAlign w:val="bottom"/>
            <w:shd w:val="clear" w:color="auto" w:fill="CFF0FC"/>
          </w:tcPr>
          <w:p>
            <w:pPr>
              <w:jc w:val="right"/>
              <w:ind w:right="1314"/>
              <w:spacing w:after="0"/>
              <w:rPr>
                <w:sz w:val="20"/>
                <w:szCs w:val="20"/>
                <w:color w:val="auto"/>
              </w:rPr>
            </w:pPr>
            <w:r>
              <w:rPr>
                <w:rFonts w:ascii="Times New Roman" w:cs="Times New Roman" w:eastAsia="Times New Roman" w:hAnsi="Times New Roman"/>
                <w:sz w:val="13"/>
                <w:szCs w:val="13"/>
                <w:color w:val="auto"/>
              </w:rPr>
              <w:t>11/7/2022</w:t>
            </w:r>
          </w:p>
        </w:tc>
        <w:tc>
          <w:tcPr>
            <w:tcW w:w="19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2,394</w:t>
            </w: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2,394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20"/>
        </w:trPr>
        <w:tc>
          <w:tcPr>
            <w:tcW w:w="15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DaySmart Holdings, LLC</w:t>
            </w:r>
          </w:p>
        </w:tc>
        <w:tc>
          <w:tcPr>
            <w:tcW w:w="260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auto"/>
              </w:rPr>
              <w:t>Class A Units (166,811 units)</w:t>
            </w:r>
          </w:p>
        </w:tc>
        <w:tc>
          <w:tcPr>
            <w:tcW w:w="2120" w:type="dxa"/>
            <w:vAlign w:val="bottom"/>
          </w:tcPr>
          <w:p>
            <w:pPr>
              <w:jc w:val="right"/>
              <w:ind w:right="1314"/>
              <w:spacing w:after="0" w:line="120" w:lineRule="exact"/>
              <w:rPr>
                <w:sz w:val="20"/>
                <w:szCs w:val="20"/>
                <w:color w:val="auto"/>
              </w:rPr>
            </w:pPr>
            <w:r>
              <w:rPr>
                <w:rFonts w:ascii="Times New Roman" w:cs="Times New Roman" w:eastAsia="Times New Roman" w:hAnsi="Times New Roman"/>
                <w:sz w:val="13"/>
                <w:szCs w:val="13"/>
                <w:color w:val="auto"/>
              </w:rPr>
              <w:t>12/18/2020</w:t>
            </w:r>
          </w:p>
        </w:tc>
        <w:tc>
          <w:tcPr>
            <w:tcW w:w="1960" w:type="dxa"/>
            <w:vAlign w:val="bottom"/>
          </w:tcPr>
          <w:p>
            <w:pPr>
              <w:jc w:val="right"/>
              <w:ind w:right="154"/>
              <w:spacing w:after="0" w:line="120" w:lineRule="exact"/>
              <w:rPr>
                <w:sz w:val="20"/>
                <w:szCs w:val="20"/>
                <w:color w:val="auto"/>
              </w:rPr>
            </w:pPr>
            <w:r>
              <w:rPr>
                <w:rFonts w:ascii="Times New Roman" w:cs="Times New Roman" w:eastAsia="Times New Roman" w:hAnsi="Times New Roman"/>
                <w:sz w:val="13"/>
                <w:szCs w:val="13"/>
                <w:color w:val="auto"/>
              </w:rPr>
              <w:t>1,347</w:t>
            </w:r>
          </w:p>
        </w:tc>
        <w:tc>
          <w:tcPr>
            <w:tcW w:w="1480" w:type="dxa"/>
            <w:vAlign w:val="bottom"/>
          </w:tcPr>
          <w:p>
            <w:pPr>
              <w:jc w:val="right"/>
              <w:ind w:right="494"/>
              <w:spacing w:after="0" w:line="120" w:lineRule="exact"/>
              <w:rPr>
                <w:sz w:val="20"/>
                <w:szCs w:val="20"/>
                <w:color w:val="auto"/>
              </w:rPr>
            </w:pPr>
            <w:r>
              <w:rPr>
                <w:rFonts w:ascii="Times New Roman" w:cs="Times New Roman" w:eastAsia="Times New Roman" w:hAnsi="Times New Roman"/>
                <w:sz w:val="13"/>
                <w:szCs w:val="13"/>
                <w:color w:val="auto"/>
              </w:rPr>
              <w:t>2,138</w:t>
            </w:r>
          </w:p>
        </w:tc>
        <w:tc>
          <w:tcPr>
            <w:tcW w:w="8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0.1 %</w:t>
            </w:r>
          </w:p>
        </w:tc>
      </w:tr>
      <w:tr>
        <w:trPr>
          <w:trHeight w:val="107"/>
        </w:trPr>
        <w:tc>
          <w:tcPr>
            <w:tcW w:w="15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26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37"/>
        </w:trPr>
        <w:tc>
          <w:tcPr>
            <w:tcW w:w="15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Employment Hero</w:t>
            </w:r>
          </w:p>
        </w:tc>
        <w:tc>
          <w:tcPr>
            <w:tcW w:w="26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Series E Preferred Shares (113,250 shares)</w:t>
            </w:r>
          </w:p>
        </w:tc>
        <w:tc>
          <w:tcPr>
            <w:tcW w:w="2120" w:type="dxa"/>
            <w:vAlign w:val="bottom"/>
            <w:shd w:val="clear" w:color="auto" w:fill="CFF0FC"/>
          </w:tcPr>
          <w:p>
            <w:pPr>
              <w:jc w:val="right"/>
              <w:ind w:right="1314"/>
              <w:spacing w:after="0" w:line="133" w:lineRule="exact"/>
              <w:rPr>
                <w:sz w:val="20"/>
                <w:szCs w:val="20"/>
                <w:color w:val="auto"/>
              </w:rPr>
            </w:pPr>
            <w:r>
              <w:rPr>
                <w:rFonts w:ascii="Times New Roman" w:cs="Times New Roman" w:eastAsia="Times New Roman" w:hAnsi="Times New Roman"/>
                <w:sz w:val="13"/>
                <w:szCs w:val="13"/>
                <w:color w:val="auto"/>
              </w:rPr>
              <w:t>3/1/2022</w:t>
            </w:r>
          </w:p>
        </w:tc>
        <w:tc>
          <w:tcPr>
            <w:tcW w:w="1960" w:type="dxa"/>
            <w:vAlign w:val="bottom"/>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2,134</w:t>
            </w:r>
          </w:p>
        </w:tc>
        <w:tc>
          <w:tcPr>
            <w:tcW w:w="14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2,605</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Holdings Pty Ltd. </w:t>
            </w:r>
            <w:r>
              <w:rPr>
                <w:rFonts w:ascii="Times New Roman" w:cs="Times New Roman" w:eastAsia="Times New Roman" w:hAnsi="Times New Roman"/>
                <w:sz w:val="16"/>
                <w:szCs w:val="16"/>
                <w:color w:val="auto"/>
                <w:vertAlign w:val="superscript"/>
              </w:rPr>
              <w:t>(4)(11)</w:t>
            </w:r>
          </w:p>
        </w:tc>
        <w:tc>
          <w:tcPr>
            <w:tcW w:w="260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(AUD 3,817)</w:t>
            </w:r>
          </w:p>
        </w:tc>
        <w:tc>
          <w:tcPr>
            <w:tcW w:w="880" w:type="dxa"/>
            <w:vAlign w:val="bottom"/>
            <w:shd w:val="clear" w:color="auto" w:fill="CFF0FC"/>
          </w:tcPr>
          <w:p>
            <w:pPr>
              <w:spacing w:after="0"/>
              <w:rPr>
                <w:sz w:val="15"/>
                <w:szCs w:val="15"/>
                <w:color w:val="auto"/>
              </w:rPr>
            </w:pPr>
          </w:p>
        </w:tc>
      </w:tr>
      <w:tr>
        <w:trPr>
          <w:trHeight w:val="156"/>
        </w:trPr>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9,655</w:t>
            </w:r>
          </w:p>
        </w:tc>
        <w:tc>
          <w:tcPr>
            <w:tcW w:w="148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11,163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600" w:type="dxa"/>
            <w:vAlign w:val="bottom"/>
            <w:shd w:val="clear" w:color="auto" w:fill="CFF0FC"/>
          </w:tcPr>
          <w:p>
            <w:pPr>
              <w:spacing w:after="0"/>
              <w:rPr>
                <w:sz w:val="13"/>
                <w:szCs w:val="13"/>
                <w:color w:val="auto"/>
              </w:rPr>
            </w:pPr>
          </w:p>
        </w:tc>
        <w:tc>
          <w:tcPr>
            <w:tcW w:w="212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0" w:right="68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49"/>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Bayshore Intermediate #2,</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Co-Invest Common Units (8,837,008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10/1/2021</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8,837</w:t>
            </w: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8,461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L.P.</w:t>
            </w:r>
            <w:r>
              <w:rPr>
                <w:rFonts w:ascii="Times New Roman" w:cs="Times New Roman" w:eastAsia="Times New Roman" w:hAnsi="Times New Roman"/>
                <w:sz w:val="7"/>
                <w:szCs w:val="7"/>
                <w:color w:val="auto"/>
              </w:rPr>
              <w:t xml:space="preserve"> (11)(13)</w:t>
            </w:r>
          </w:p>
        </w:tc>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Co-Invest 2 Common Units (3,493,701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10/1/2021</w:t>
            </w: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3,494</w:t>
            </w:r>
          </w:p>
        </w:tc>
        <w:tc>
          <w:tcPr>
            <w:tcW w:w="132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3,345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Lucidworks, Inc. </w:t>
            </w:r>
            <w:r>
              <w:rPr>
                <w:rFonts w:ascii="Times New Roman" w:cs="Times New Roman" w:eastAsia="Times New Roman" w:hAnsi="Times New Roman"/>
                <w:sz w:val="16"/>
                <w:szCs w:val="16"/>
                <w:color w:val="auto"/>
                <w:vertAlign w:val="superscript"/>
              </w:rPr>
              <w:t>(11)</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F Preferred Shares (199,054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8/2/2019</w:t>
            </w: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800</w:t>
            </w: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800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Piano Software, Inc. </w:t>
            </w:r>
            <w:r>
              <w:rPr>
                <w:rFonts w:ascii="Times New Roman" w:cs="Times New Roman" w:eastAsia="Times New Roman" w:hAnsi="Times New Roman"/>
                <w:sz w:val="16"/>
                <w:szCs w:val="16"/>
                <w:color w:val="auto"/>
                <w:vertAlign w:val="superscript"/>
              </w:rPr>
              <w:t>(11)</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C-1 Preferred Shares (418,527 shares)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12/22/2021</w:t>
            </w: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3,000</w:t>
            </w:r>
          </w:p>
        </w:tc>
        <w:tc>
          <w:tcPr>
            <w:tcW w:w="132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3,000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33"/>
        </w:trPr>
        <w:tc>
          <w:tcPr>
            <w:tcW w:w="1520" w:type="dxa"/>
            <w:vAlign w:val="bottom"/>
          </w:tcPr>
          <w:p>
            <w:pPr>
              <w:spacing w:after="0"/>
              <w:rPr>
                <w:sz w:val="11"/>
                <w:szCs w:val="11"/>
                <w:color w:val="auto"/>
              </w:rPr>
            </w:pPr>
          </w:p>
        </w:tc>
        <w:tc>
          <w:tcPr>
            <w:tcW w:w="26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Series C-2 Preferred Shares</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11/18/2022</w:t>
            </w: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198</w:t>
            </w:r>
          </w:p>
        </w:tc>
        <w:tc>
          <w:tcPr>
            <w:tcW w:w="132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198</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tcPr>
          <w:p>
            <w:pPr>
              <w:spacing w:after="0"/>
              <w:rPr>
                <w:sz w:val="15"/>
                <w:szCs w:val="15"/>
                <w:color w:val="auto"/>
              </w:rPr>
            </w:pPr>
          </w:p>
        </w:tc>
        <w:tc>
          <w:tcPr>
            <w:tcW w:w="2600" w:type="dxa"/>
            <w:vAlign w:val="bottom"/>
          </w:tcPr>
          <w:p>
            <w:pPr>
              <w:ind w:left="60"/>
              <w:spacing w:after="0" w:line="179" w:lineRule="exact"/>
              <w:rPr>
                <w:sz w:val="20"/>
                <w:szCs w:val="20"/>
                <w:color w:val="auto"/>
              </w:rPr>
            </w:pPr>
            <w:r>
              <w:rPr>
                <w:rFonts w:ascii="Times New Roman" w:cs="Times New Roman" w:eastAsia="Times New Roman" w:hAnsi="Times New Roman"/>
                <w:sz w:val="13"/>
                <w:szCs w:val="13"/>
                <w:color w:val="auto"/>
              </w:rPr>
              <w:t>(27,588 shares)</w:t>
            </w:r>
            <w:r>
              <w:rPr>
                <w:rFonts w:ascii="Times New Roman" w:cs="Times New Roman" w:eastAsia="Times New Roman" w:hAnsi="Times New Roman"/>
                <w:sz w:val="16"/>
                <w:szCs w:val="16"/>
                <w:color w:val="auto"/>
                <w:vertAlign w:val="superscript"/>
              </w:rPr>
              <w:t>(12)</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SMA Technologies</w:t>
            </w:r>
          </w:p>
        </w:tc>
        <w:tc>
          <w:tcPr>
            <w:tcW w:w="26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Class A Units (1,300 shares)</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11/21/2022</w:t>
            </w: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1,300</w:t>
            </w:r>
          </w:p>
        </w:tc>
        <w:tc>
          <w:tcPr>
            <w:tcW w:w="132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1,300</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Holdings, LLC </w:t>
            </w:r>
            <w:r>
              <w:rPr>
                <w:rFonts w:ascii="Times New Roman" w:cs="Times New Roman" w:eastAsia="Times New Roman" w:hAnsi="Times New Roman"/>
                <w:sz w:val="16"/>
                <w:szCs w:val="16"/>
                <w:color w:val="auto"/>
                <w:vertAlign w:val="superscript"/>
              </w:rPr>
              <w:t>(11)(12)</w:t>
            </w:r>
          </w:p>
        </w:tc>
        <w:tc>
          <w:tcPr>
            <w:tcW w:w="26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56"/>
        </w:trPr>
        <w:tc>
          <w:tcPr>
            <w:tcW w:w="15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Class B Units (923,250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11/21/2022</w:t>
            </w: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17,629</w:t>
            </w:r>
          </w:p>
        </w:tc>
        <w:tc>
          <w:tcPr>
            <w:tcW w:w="132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17,104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56"/>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Marketing Services</w:t>
            </w:r>
          </w:p>
        </w:tc>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Validity, Inc.</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A Preferred Shares (3,840,000 shares)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5/31/2018</w:t>
            </w: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3,840</w:t>
            </w:r>
          </w:p>
        </w:tc>
        <w:tc>
          <w:tcPr>
            <w:tcW w:w="132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10,368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0.7 %</w:t>
            </w:r>
          </w:p>
        </w:tc>
      </w:tr>
      <w:tr>
        <w:trPr>
          <w:trHeight w:val="142"/>
        </w:trPr>
        <w:tc>
          <w:tcPr>
            <w:tcW w:w="15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Oil, Gas and Consumable</w:t>
            </w:r>
          </w:p>
        </w:tc>
        <w:tc>
          <w:tcPr>
            <w:tcW w:w="2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0"/>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Fuels</w:t>
            </w:r>
          </w:p>
        </w:tc>
        <w:tc>
          <w:tcPr>
            <w:tcW w:w="2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Murchison Oil and Gas,</w:t>
            </w:r>
          </w:p>
        </w:tc>
        <w:tc>
          <w:tcPr>
            <w:tcW w:w="26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13,355 Preferred Units</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6/30/2022</w:t>
            </w: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314"/>
              <w:spacing w:after="0" w:line="133" w:lineRule="exact"/>
              <w:rPr>
                <w:sz w:val="20"/>
                <w:szCs w:val="20"/>
                <w:color w:val="auto"/>
              </w:rPr>
            </w:pPr>
            <w:r>
              <w:rPr>
                <w:rFonts w:ascii="Times New Roman" w:cs="Times New Roman" w:eastAsia="Times New Roman" w:hAnsi="Times New Roman"/>
                <w:sz w:val="13"/>
                <w:szCs w:val="13"/>
                <w:color w:val="auto"/>
              </w:rPr>
              <w:t>13,355</w:t>
            </w:r>
          </w:p>
        </w:tc>
        <w:tc>
          <w:tcPr>
            <w:tcW w:w="132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14,156</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0.9 %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7"/>
                <w:szCs w:val="7"/>
                <w:color w:val="auto"/>
              </w:rPr>
              <w:t xml:space="preserve"> (13)</w:t>
            </w:r>
          </w:p>
        </w:tc>
        <w:tc>
          <w:tcPr>
            <w:tcW w:w="26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TRP Assets, LLC </w:t>
            </w:r>
            <w:r>
              <w:rPr>
                <w:rFonts w:ascii="Times New Roman" w:cs="Times New Roman" w:eastAsia="Times New Roman" w:hAnsi="Times New Roman"/>
                <w:sz w:val="16"/>
                <w:szCs w:val="16"/>
                <w:color w:val="auto"/>
                <w:vertAlign w:val="superscript"/>
              </w:rPr>
              <w:t>(11)(13)</w:t>
            </w:r>
          </w:p>
        </w:tc>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Partnership Interest (1.89% ownership)</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8/25/2022</w:t>
            </w: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8,755</w:t>
            </w: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11,513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56"/>
        </w:trPr>
        <w:tc>
          <w:tcPr>
            <w:tcW w:w="152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22,110</w:t>
            </w:r>
          </w:p>
        </w:tc>
        <w:tc>
          <w:tcPr>
            <w:tcW w:w="132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25,669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56"/>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Pharmaceuticals</w:t>
            </w:r>
          </w:p>
        </w:tc>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TherapeuticsMD, Inc. </w:t>
            </w:r>
            <w:r>
              <w:rPr>
                <w:rFonts w:ascii="Times New Roman" w:cs="Times New Roman" w:eastAsia="Times New Roman" w:hAnsi="Times New Roman"/>
                <w:sz w:val="16"/>
                <w:szCs w:val="16"/>
                <w:color w:val="auto"/>
                <w:vertAlign w:val="superscript"/>
              </w:rPr>
              <w:t>(4)(11)</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14,256 Warrants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8/5/2020</w:t>
            </w: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1,029</w:t>
            </w:r>
          </w:p>
        </w:tc>
        <w:tc>
          <w:tcPr>
            <w:tcW w:w="132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2"/>
        </w:trPr>
        <w:tc>
          <w:tcPr>
            <w:tcW w:w="15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Retail and Consumer</w:t>
            </w:r>
          </w:p>
        </w:tc>
        <w:tc>
          <w:tcPr>
            <w:tcW w:w="26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70"/>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26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American Achievement,</w:t>
            </w:r>
          </w:p>
        </w:tc>
        <w:tc>
          <w:tcPr>
            <w:tcW w:w="26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Class A Units (687 units)</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3/16/2021</w:t>
            </w: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50</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Corp. </w:t>
            </w:r>
            <w:r>
              <w:rPr>
                <w:rFonts w:ascii="Times New Roman" w:cs="Times New Roman" w:eastAsia="Times New Roman" w:hAnsi="Times New Roman"/>
                <w:sz w:val="16"/>
                <w:szCs w:val="16"/>
                <w:color w:val="auto"/>
                <w:vertAlign w:val="superscript"/>
              </w:rPr>
              <w:t>(11)</w:t>
            </w:r>
          </w:p>
        </w:tc>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Copper Bidco, LLC</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Trust Certificates (132,928 Certificates)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12/7/2020</w:t>
            </w: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56"/>
        </w:trPr>
        <w:tc>
          <w:tcPr>
            <w:tcW w:w="1520" w:type="dxa"/>
            <w:vAlign w:val="bottom"/>
          </w:tcPr>
          <w:p>
            <w:pPr>
              <w:spacing w:after="0"/>
              <w:rPr>
                <w:sz w:val="13"/>
                <w:szCs w:val="13"/>
                <w:color w:val="auto"/>
              </w:rPr>
            </w:pPr>
          </w:p>
        </w:tc>
        <w:tc>
          <w:tcPr>
            <w:tcW w:w="2600" w:type="dxa"/>
            <w:vAlign w:val="bottom"/>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Trust Certificates (996,958 Certificates) </w:t>
            </w:r>
            <w:r>
              <w:rPr>
                <w:rFonts w:ascii="Times New Roman" w:cs="Times New Roman" w:eastAsia="Times New Roman" w:hAnsi="Times New Roman"/>
                <w:sz w:val="16"/>
                <w:szCs w:val="16"/>
                <w:color w:val="auto"/>
                <w:vertAlign w:val="superscript"/>
              </w:rPr>
              <w:t>(9)</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1/30/2021</w:t>
            </w: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2,589</w:t>
            </w: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10,089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r>
      <w:tr>
        <w:trPr>
          <w:trHeight w:val="156"/>
        </w:trPr>
        <w:tc>
          <w:tcPr>
            <w:tcW w:w="1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Neuintel, LLC </w:t>
            </w:r>
            <w:r>
              <w:rPr>
                <w:rFonts w:ascii="Times New Roman" w:cs="Times New Roman" w:eastAsia="Times New Roman" w:hAnsi="Times New Roman"/>
                <w:sz w:val="16"/>
                <w:szCs w:val="16"/>
                <w:color w:val="auto"/>
                <w:vertAlign w:val="superscript"/>
              </w:rPr>
              <w:t>(11)(13)</w:t>
            </w:r>
          </w:p>
        </w:tc>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Class A Units (1,176,494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12/21/2021</w:t>
            </w: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3,000</w:t>
            </w:r>
          </w:p>
        </w:tc>
        <w:tc>
          <w:tcPr>
            <w:tcW w:w="132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2,430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56"/>
        </w:trPr>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5,589</w:t>
            </w: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12,569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5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Structured Credit</w:t>
            </w:r>
          </w:p>
        </w:tc>
        <w:tc>
          <w:tcPr>
            <w:tcW w:w="26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Allegro CLO Ltd, Series</w:t>
            </w:r>
          </w:p>
        </w:tc>
        <w:tc>
          <w:tcPr>
            <w:tcW w:w="26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6/2031)</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5/26/2022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+ 3.11%</w:t>
            </w:r>
          </w:p>
        </w:tc>
        <w:tc>
          <w:tcPr>
            <w:tcW w:w="1140" w:type="dxa"/>
            <w:vAlign w:val="bottom"/>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8.51 %</w:t>
            </w:r>
          </w:p>
        </w:tc>
        <w:tc>
          <w:tcPr>
            <w:tcW w:w="112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983</w:t>
            </w:r>
          </w:p>
        </w:tc>
        <w:tc>
          <w:tcPr>
            <w:tcW w:w="132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971</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2018-1A,</w:t>
            </w:r>
            <w:r>
              <w:rPr>
                <w:rFonts w:ascii="Times New Roman" w:cs="Times New Roman" w:eastAsia="Times New Roman" w:hAnsi="Times New Roman"/>
                <w:sz w:val="7"/>
                <w:szCs w:val="7"/>
                <w:color w:val="auto"/>
              </w:rPr>
              <w:t xml:space="preserve"> (3)(4)(9)</w:t>
            </w:r>
          </w:p>
        </w:tc>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4"/>
        </w:trPr>
        <w:tc>
          <w:tcPr>
            <w:tcW w:w="15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American Money</w:t>
            </w:r>
          </w:p>
        </w:tc>
        <w:tc>
          <w:tcPr>
            <w:tcW w:w="26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($1,500 par, due 5/2031)</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6/22/2022</w:t>
            </w:r>
          </w:p>
        </w:tc>
        <w:tc>
          <w:tcPr>
            <w:tcW w:w="1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+ 3.31%</w:t>
            </w:r>
          </w:p>
        </w:tc>
        <w:tc>
          <w:tcPr>
            <w:tcW w:w="11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8.70 %</w:t>
            </w:r>
          </w:p>
        </w:tc>
        <w:tc>
          <w:tcPr>
            <w:tcW w:w="1120" w:type="dxa"/>
            <w:vAlign w:val="bottom"/>
            <w:shd w:val="clear" w:color="auto" w:fill="CFF0FC"/>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1,359</w:t>
            </w:r>
          </w:p>
        </w:tc>
        <w:tc>
          <w:tcPr>
            <w:tcW w:w="1320" w:type="dxa"/>
            <w:vAlign w:val="bottom"/>
            <w:shd w:val="clear" w:color="auto" w:fill="CFF0FC"/>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1,475</w:t>
            </w: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45"/>
        </w:trPr>
        <w:tc>
          <w:tcPr>
            <w:tcW w:w="15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Management Corp CLO</w:t>
            </w:r>
          </w:p>
        </w:tc>
        <w:tc>
          <w:tcPr>
            <w:tcW w:w="26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43"/>
        </w:trPr>
        <w:tc>
          <w:tcPr>
            <w:tcW w:w="15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 xml:space="preserve">Ltd, Series 2016-18A </w:t>
            </w:r>
            <w:r>
              <w:rPr>
                <w:rFonts w:ascii="Times New Roman" w:cs="Times New Roman" w:eastAsia="Times New Roman" w:hAnsi="Times New Roman"/>
                <w:sz w:val="16"/>
                <w:szCs w:val="16"/>
                <w:color w:val="auto"/>
                <w:vertAlign w:val="superscript"/>
              </w:rPr>
              <w:t>(3)(4)</w:t>
            </w:r>
          </w:p>
        </w:tc>
        <w:tc>
          <w:tcPr>
            <w:tcW w:w="26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24"/>
        </w:trPr>
        <w:tc>
          <w:tcPr>
            <w:tcW w:w="1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(9)</w:t>
            </w:r>
          </w:p>
        </w:tc>
        <w:tc>
          <w:tcPr>
            <w:tcW w:w="26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spacing w:after="0"/>
              <w:rPr>
                <w:sz w:val="10"/>
                <w:szCs w:val="10"/>
                <w:color w:val="auto"/>
              </w:rPr>
            </w:pPr>
          </w:p>
        </w:tc>
        <w:tc>
          <w:tcPr>
            <w:tcW w:w="1140" w:type="dxa"/>
            <w:vAlign w:val="bottom"/>
            <w:tcBorders>
              <w:bottom w:val="single" w:sz="8" w:color="CFF0FC"/>
            </w:tcBorders>
            <w:shd w:val="clear" w:color="auto" w:fill="CFF0FC"/>
          </w:tcPr>
          <w:p>
            <w:pPr>
              <w:spacing w:after="0"/>
              <w:rPr>
                <w:sz w:val="10"/>
                <w:szCs w:val="10"/>
                <w:color w:val="auto"/>
              </w:rPr>
            </w:pPr>
          </w:p>
        </w:tc>
        <w:tc>
          <w:tcPr>
            <w:tcW w:w="1120" w:type="dxa"/>
            <w:vAlign w:val="bottom"/>
            <w:tcBorders>
              <w:bottom w:val="single" w:sz="8" w:color="CFF0FC"/>
            </w:tcBorders>
            <w:shd w:val="clear" w:color="auto" w:fill="CFF0FC"/>
          </w:tcPr>
          <w:p>
            <w:pPr>
              <w:spacing w:after="0"/>
              <w:rPr>
                <w:sz w:val="10"/>
                <w:szCs w:val="10"/>
                <w:color w:val="auto"/>
              </w:rPr>
            </w:pPr>
          </w:p>
        </w:tc>
        <w:tc>
          <w:tcPr>
            <w:tcW w:w="132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CFF0FC"/>
            </w:tcBorders>
            <w:shd w:val="clear" w:color="auto" w:fill="CFF0FC"/>
          </w:tcPr>
          <w:p>
            <w:pPr>
              <w:spacing w:after="0"/>
              <w:rPr>
                <w:sz w:val="10"/>
                <w:szCs w:val="10"/>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Ares CLO Ltd, Series</w:t>
            </w:r>
          </w:p>
        </w:tc>
        <w:tc>
          <w:tcPr>
            <w:tcW w:w="26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4/2034)</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6/23/2022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+ 6.51%</w:t>
            </w:r>
          </w:p>
        </w:tc>
        <w:tc>
          <w:tcPr>
            <w:tcW w:w="1140" w:type="dxa"/>
            <w:vAlign w:val="bottom"/>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11.89 %</w:t>
            </w:r>
          </w:p>
        </w:tc>
        <w:tc>
          <w:tcPr>
            <w:tcW w:w="112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898</w:t>
            </w:r>
          </w:p>
        </w:tc>
        <w:tc>
          <w:tcPr>
            <w:tcW w:w="132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967</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2021-59A</w:t>
            </w:r>
            <w:r>
              <w:rPr>
                <w:rFonts w:ascii="Times New Roman" w:cs="Times New Roman" w:eastAsia="Times New Roman" w:hAnsi="Times New Roman"/>
                <w:sz w:val="7"/>
                <w:szCs w:val="7"/>
                <w:color w:val="auto"/>
              </w:rPr>
              <w:t xml:space="preserve"> (3)(4)(9)</w:t>
            </w:r>
          </w:p>
        </w:tc>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4"/>
        </w:trPr>
        <w:tc>
          <w:tcPr>
            <w:tcW w:w="15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Ares Loan Funding I Ltd,</w:t>
            </w:r>
          </w:p>
        </w:tc>
        <w:tc>
          <w:tcPr>
            <w:tcW w:w="26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($1,000 par, due 10/2034)</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1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+ 6.96%</w:t>
            </w:r>
          </w:p>
        </w:tc>
        <w:tc>
          <w:tcPr>
            <w:tcW w:w="11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12.36 %</w:t>
            </w:r>
          </w:p>
        </w:tc>
        <w:tc>
          <w:tcPr>
            <w:tcW w:w="1120" w:type="dxa"/>
            <w:vAlign w:val="bottom"/>
            <w:shd w:val="clear" w:color="auto" w:fill="CFF0FC"/>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944</w:t>
            </w:r>
          </w:p>
        </w:tc>
        <w:tc>
          <w:tcPr>
            <w:tcW w:w="1320" w:type="dxa"/>
            <w:vAlign w:val="bottom"/>
            <w:shd w:val="clear" w:color="auto" w:fill="CFF0FC"/>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988</w:t>
            </w: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0.0 %</w:t>
            </w:r>
          </w:p>
        </w:tc>
      </w:tr>
      <w:tr>
        <w:trPr>
          <w:trHeight w:val="145"/>
        </w:trPr>
        <w:tc>
          <w:tcPr>
            <w:tcW w:w="15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Series 2021-ALFA, Class</w:t>
            </w:r>
          </w:p>
        </w:tc>
        <w:tc>
          <w:tcPr>
            <w:tcW w:w="26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E</w:t>
            </w:r>
            <w:r>
              <w:rPr>
                <w:rFonts w:ascii="Times New Roman" w:cs="Times New Roman" w:eastAsia="Times New Roman" w:hAnsi="Times New Roman"/>
                <w:sz w:val="7"/>
                <w:szCs w:val="7"/>
                <w:color w:val="auto"/>
              </w:rPr>
              <w:t xml:space="preserve"> (3)(4)(9)</w:t>
            </w:r>
          </w:p>
        </w:tc>
        <w:tc>
          <w:tcPr>
            <w:tcW w:w="26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Bain Capital Credit CLO</w:t>
            </w:r>
          </w:p>
        </w:tc>
        <w:tc>
          <w:tcPr>
            <w:tcW w:w="26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($500 par, due 4/2031)</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10/15/2020</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+ 5.61%</w:t>
            </w:r>
          </w:p>
        </w:tc>
        <w:tc>
          <w:tcPr>
            <w:tcW w:w="1140" w:type="dxa"/>
            <w:vAlign w:val="bottom"/>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11.02 %</w:t>
            </w:r>
          </w:p>
        </w:tc>
        <w:tc>
          <w:tcPr>
            <w:tcW w:w="112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429</w:t>
            </w:r>
          </w:p>
        </w:tc>
        <w:tc>
          <w:tcPr>
            <w:tcW w:w="132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445</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Ltd, Series 2018-1A </w:t>
            </w:r>
            <w:r>
              <w:rPr>
                <w:rFonts w:ascii="Times New Roman" w:cs="Times New Roman" w:eastAsia="Times New Roman" w:hAnsi="Times New Roman"/>
                <w:sz w:val="16"/>
                <w:szCs w:val="16"/>
                <w:color w:val="auto"/>
                <w:vertAlign w:val="superscript"/>
              </w:rPr>
              <w:t>(3)(4)(9)</w:t>
            </w:r>
          </w:p>
        </w:tc>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Battalion CLO Ltd, Series</w:t>
            </w:r>
          </w:p>
        </w:tc>
        <w:tc>
          <w:tcPr>
            <w:tcW w:w="26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($1,300 par, due 7/2034)</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7/13/2022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+ 3.56%</w:t>
            </w:r>
          </w:p>
        </w:tc>
        <w:tc>
          <w:tcPr>
            <w:tcW w:w="1140" w:type="dxa"/>
            <w:vAlign w:val="bottom"/>
            <w:shd w:val="clear" w:color="auto" w:fill="CFF0FC"/>
          </w:tcPr>
          <w:p>
            <w:pPr>
              <w:jc w:val="right"/>
              <w:ind w:right="294"/>
              <w:spacing w:after="0" w:line="133" w:lineRule="exact"/>
              <w:rPr>
                <w:sz w:val="20"/>
                <w:szCs w:val="20"/>
                <w:color w:val="auto"/>
              </w:rPr>
            </w:pPr>
            <w:r>
              <w:rPr>
                <w:rFonts w:ascii="Times New Roman" w:cs="Times New Roman" w:eastAsia="Times New Roman" w:hAnsi="Times New Roman"/>
                <w:sz w:val="13"/>
                <w:szCs w:val="13"/>
                <w:color w:val="auto"/>
              </w:rPr>
              <w:t>8.96 %</w:t>
            </w:r>
          </w:p>
        </w:tc>
        <w:tc>
          <w:tcPr>
            <w:tcW w:w="112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1,170</w:t>
            </w:r>
          </w:p>
        </w:tc>
        <w:tc>
          <w:tcPr>
            <w:tcW w:w="132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1,252</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2021-21A</w:t>
            </w:r>
            <w:r>
              <w:rPr>
                <w:rFonts w:ascii="Times New Roman" w:cs="Times New Roman" w:eastAsia="Times New Roman" w:hAnsi="Times New Roman"/>
                <w:sz w:val="7"/>
                <w:szCs w:val="7"/>
                <w:color w:val="auto"/>
              </w:rPr>
              <w:t xml:space="preserve"> (3)(4)(9)</w:t>
            </w:r>
          </w:p>
        </w:tc>
        <w:tc>
          <w:tcPr>
            <w:tcW w:w="26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44"/>
        </w:trPr>
        <w:tc>
          <w:tcPr>
            <w:tcW w:w="15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Benefit Street Partners</w:t>
            </w:r>
          </w:p>
        </w:tc>
        <w:tc>
          <w:tcPr>
            <w:tcW w:w="26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($2,500 par, due 7/2034)</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7/13/2022</w:t>
            </w:r>
          </w:p>
        </w:tc>
        <w:tc>
          <w:tcPr>
            <w:tcW w:w="1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+ 4.11%</w:t>
            </w:r>
          </w:p>
        </w:tc>
        <w:tc>
          <w:tcPr>
            <w:tcW w:w="11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9.53 %</w:t>
            </w:r>
          </w:p>
        </w:tc>
        <w:tc>
          <w:tcPr>
            <w:tcW w:w="1120" w:type="dxa"/>
            <w:vAlign w:val="bottom"/>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2,194</w:t>
            </w:r>
          </w:p>
        </w:tc>
        <w:tc>
          <w:tcPr>
            <w:tcW w:w="1320" w:type="dxa"/>
            <w:vAlign w:val="bottom"/>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2,465</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0.2 %</w:t>
            </w:r>
          </w:p>
        </w:tc>
      </w:tr>
      <w:tr>
        <w:trPr>
          <w:trHeight w:val="132"/>
        </w:trPr>
        <w:tc>
          <w:tcPr>
            <w:tcW w:w="152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CLO Ltd, Series 2015-BR</w:t>
            </w:r>
          </w:p>
        </w:tc>
        <w:tc>
          <w:tcPr>
            <w:tcW w:w="2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07"/>
        </w:trPr>
        <w:tc>
          <w:tcPr>
            <w:tcW w:w="1520" w:type="dxa"/>
            <w:vAlign w:val="bottom"/>
          </w:tcPr>
          <w:p>
            <w:pPr>
              <w:ind w:left="20"/>
              <w:spacing w:after="0"/>
              <w:rPr>
                <w:sz w:val="20"/>
                <w:szCs w:val="20"/>
                <w:color w:val="auto"/>
              </w:rPr>
            </w:pPr>
            <w:r>
              <w:rPr>
                <w:rFonts w:ascii="Times New Roman" w:cs="Times New Roman" w:eastAsia="Times New Roman" w:hAnsi="Times New Roman"/>
                <w:sz w:val="8"/>
                <w:szCs w:val="8"/>
                <w:color w:val="auto"/>
              </w:rPr>
              <w:t>(3)(4)(9)</w:t>
            </w:r>
          </w:p>
        </w:tc>
        <w:tc>
          <w:tcPr>
            <w:tcW w:w="2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37"/>
        </w:trPr>
        <w:tc>
          <w:tcPr>
            <w:tcW w:w="15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44"/>
        </w:trPr>
        <w:tc>
          <w:tcPr>
            <w:tcW w:w="15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Benefit Street Partners</w:t>
            </w:r>
          </w:p>
        </w:tc>
        <w:tc>
          <w:tcPr>
            <w:tcW w:w="26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($1,425 par, due 1/2031)</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9/13/2022</w:t>
            </w:r>
          </w:p>
        </w:tc>
        <w:tc>
          <w:tcPr>
            <w:tcW w:w="1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+ 3.01%</w:t>
            </w:r>
          </w:p>
        </w:tc>
        <w:tc>
          <w:tcPr>
            <w:tcW w:w="11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8.43 %</w:t>
            </w:r>
          </w:p>
        </w:tc>
        <w:tc>
          <w:tcPr>
            <w:tcW w:w="1120" w:type="dxa"/>
            <w:vAlign w:val="bottom"/>
            <w:shd w:val="clear" w:color="auto" w:fill="CFF0FC"/>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1,289</w:t>
            </w:r>
          </w:p>
        </w:tc>
        <w:tc>
          <w:tcPr>
            <w:tcW w:w="1320" w:type="dxa"/>
            <w:vAlign w:val="bottom"/>
            <w:shd w:val="clear" w:color="auto" w:fill="CFF0FC"/>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1,367</w:t>
            </w: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32"/>
        </w:trPr>
        <w:tc>
          <w:tcPr>
            <w:tcW w:w="15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CLO Ltd, Series 2015-8A</w:t>
            </w:r>
          </w:p>
        </w:tc>
        <w:tc>
          <w:tcPr>
            <w:tcW w:w="26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r>
      <w:tr>
        <w:trPr>
          <w:trHeight w:val="107"/>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(3)(4)(9)</w:t>
            </w:r>
          </w:p>
        </w:tc>
        <w:tc>
          <w:tcPr>
            <w:tcW w:w="26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85"/>
        </w:trPr>
        <w:tc>
          <w:tcPr>
            <w:tcW w:w="1520" w:type="dxa"/>
            <w:vAlign w:val="bottom"/>
            <w:shd w:val="clear" w:color="auto" w:fill="CFF0FC"/>
          </w:tcPr>
          <w:p>
            <w:pPr>
              <w:spacing w:after="0"/>
              <w:rPr>
                <w:sz w:val="7"/>
                <w:szCs w:val="7"/>
                <w:color w:val="auto"/>
              </w:rPr>
            </w:pPr>
          </w:p>
        </w:tc>
        <w:tc>
          <w:tcPr>
            <w:tcW w:w="26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r>
      <w:tr>
        <w:trPr>
          <w:trHeight w:val="144"/>
        </w:trPr>
        <w:tc>
          <w:tcPr>
            <w:tcW w:w="15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Carlyle Global Market</w:t>
            </w:r>
          </w:p>
        </w:tc>
        <w:tc>
          <w:tcPr>
            <w:tcW w:w="26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($1,000 par, due 7/2030)</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5/26/2022</w:t>
            </w:r>
          </w:p>
        </w:tc>
        <w:tc>
          <w:tcPr>
            <w:tcW w:w="1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+ 3.16%</w:t>
            </w:r>
          </w:p>
        </w:tc>
        <w:tc>
          <w:tcPr>
            <w:tcW w:w="11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8.56 %</w:t>
            </w:r>
          </w:p>
        </w:tc>
        <w:tc>
          <w:tcPr>
            <w:tcW w:w="1120" w:type="dxa"/>
            <w:vAlign w:val="bottom"/>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920</w:t>
            </w:r>
          </w:p>
        </w:tc>
        <w:tc>
          <w:tcPr>
            <w:tcW w:w="1320" w:type="dxa"/>
            <w:vAlign w:val="bottom"/>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962</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45"/>
        </w:trPr>
        <w:tc>
          <w:tcPr>
            <w:tcW w:w="152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Strategies CLO Ltd, Series</w:t>
            </w:r>
          </w:p>
        </w:tc>
        <w:tc>
          <w:tcPr>
            <w:tcW w:w="2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2014-4RA</w:t>
            </w:r>
            <w:r>
              <w:rPr>
                <w:rFonts w:ascii="Times New Roman" w:cs="Times New Roman" w:eastAsia="Times New Roman" w:hAnsi="Times New Roman"/>
                <w:sz w:val="7"/>
                <w:szCs w:val="7"/>
                <w:color w:val="auto"/>
              </w:rPr>
              <w:t xml:space="preserve"> (3)(4)(9)</w:t>
            </w:r>
          </w:p>
        </w:tc>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4"/>
        </w:trPr>
        <w:tc>
          <w:tcPr>
            <w:tcW w:w="15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Carlyle Global Market</w:t>
            </w:r>
          </w:p>
        </w:tc>
        <w:tc>
          <w:tcPr>
            <w:tcW w:w="26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($1,600 par, due 4/2034)</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2/15/2023</w:t>
            </w:r>
          </w:p>
        </w:tc>
        <w:tc>
          <w:tcPr>
            <w:tcW w:w="1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+ 6.86%</w:t>
            </w:r>
          </w:p>
        </w:tc>
        <w:tc>
          <w:tcPr>
            <w:tcW w:w="1140" w:type="dxa"/>
            <w:vAlign w:val="bottom"/>
            <w:shd w:val="clear" w:color="auto" w:fill="CFF0FC"/>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12.28 %</w:t>
            </w:r>
          </w:p>
        </w:tc>
        <w:tc>
          <w:tcPr>
            <w:tcW w:w="1120" w:type="dxa"/>
            <w:vAlign w:val="bottom"/>
            <w:shd w:val="clear" w:color="auto" w:fill="CFF0FC"/>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1,430</w:t>
            </w:r>
          </w:p>
        </w:tc>
        <w:tc>
          <w:tcPr>
            <w:tcW w:w="1320" w:type="dxa"/>
            <w:vAlign w:val="bottom"/>
            <w:shd w:val="clear" w:color="auto" w:fill="CFF0FC"/>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1,521</w:t>
            </w: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45"/>
        </w:trPr>
        <w:tc>
          <w:tcPr>
            <w:tcW w:w="15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Strategies CLO Ltd, Series</w:t>
            </w:r>
          </w:p>
        </w:tc>
        <w:tc>
          <w:tcPr>
            <w:tcW w:w="26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2016-1, Ltd </w:t>
            </w:r>
            <w:r>
              <w:rPr>
                <w:rFonts w:ascii="Times New Roman" w:cs="Times New Roman" w:eastAsia="Times New Roman" w:hAnsi="Times New Roman"/>
                <w:sz w:val="16"/>
                <w:szCs w:val="16"/>
                <w:color w:val="auto"/>
                <w:vertAlign w:val="superscript"/>
              </w:rPr>
              <w:t>(3)(4)(9)</w:t>
            </w:r>
          </w:p>
        </w:tc>
        <w:tc>
          <w:tcPr>
            <w:tcW w:w="26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44"/>
        </w:trPr>
        <w:tc>
          <w:tcPr>
            <w:tcW w:w="15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Carlyle Global Market</w:t>
            </w:r>
          </w:p>
        </w:tc>
        <w:tc>
          <w:tcPr>
            <w:tcW w:w="26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($1,550 par, due 4/2031)</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8/11/2020</w:t>
            </w:r>
          </w:p>
        </w:tc>
        <w:tc>
          <w:tcPr>
            <w:tcW w:w="1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+ 6.01%</w:t>
            </w:r>
          </w:p>
        </w:tc>
        <w:tc>
          <w:tcPr>
            <w:tcW w:w="1140" w:type="dxa"/>
            <w:vAlign w:val="bottom"/>
          </w:tcPr>
          <w:p>
            <w:pPr>
              <w:jc w:val="right"/>
              <w:ind w:right="294"/>
              <w:spacing w:after="0" w:line="144" w:lineRule="exact"/>
              <w:rPr>
                <w:sz w:val="20"/>
                <w:szCs w:val="20"/>
                <w:color w:val="auto"/>
              </w:rPr>
            </w:pPr>
            <w:r>
              <w:rPr>
                <w:rFonts w:ascii="Times New Roman" w:cs="Times New Roman" w:eastAsia="Times New Roman" w:hAnsi="Times New Roman"/>
                <w:sz w:val="13"/>
                <w:szCs w:val="13"/>
                <w:color w:val="auto"/>
              </w:rPr>
              <w:t>11.42 %</w:t>
            </w:r>
          </w:p>
        </w:tc>
        <w:tc>
          <w:tcPr>
            <w:tcW w:w="1120" w:type="dxa"/>
            <w:vAlign w:val="bottom"/>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1,264</w:t>
            </w:r>
          </w:p>
        </w:tc>
        <w:tc>
          <w:tcPr>
            <w:tcW w:w="1320" w:type="dxa"/>
            <w:vAlign w:val="bottom"/>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1,442</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45"/>
        </w:trPr>
        <w:tc>
          <w:tcPr>
            <w:tcW w:w="152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Strategies CLO Ltd, Series</w:t>
            </w:r>
          </w:p>
        </w:tc>
        <w:tc>
          <w:tcPr>
            <w:tcW w:w="2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48"/>
        </w:trPr>
        <w:tc>
          <w:tcPr>
            <w:tcW w:w="1520" w:type="dxa"/>
            <w:vAlign w:val="bottom"/>
          </w:tcPr>
          <w:p>
            <w:pPr>
              <w:ind w:left="20"/>
              <w:spacing w:after="0"/>
              <w:rPr>
                <w:sz w:val="20"/>
                <w:szCs w:val="20"/>
                <w:color w:val="auto"/>
              </w:rPr>
            </w:pPr>
            <w:r>
              <w:rPr>
                <w:rFonts w:ascii="Times New Roman" w:cs="Times New Roman" w:eastAsia="Times New Roman" w:hAnsi="Times New Roman"/>
                <w:sz w:val="26"/>
                <w:szCs w:val="26"/>
                <w:color w:val="auto"/>
                <w:vertAlign w:val="subscript"/>
              </w:rPr>
              <w:t>2018-1A</w:t>
            </w:r>
            <w:r>
              <w:rPr>
                <w:rFonts w:ascii="Times New Roman" w:cs="Times New Roman" w:eastAsia="Times New Roman" w:hAnsi="Times New Roman"/>
                <w:sz w:val="8"/>
                <w:szCs w:val="8"/>
                <w:color w:val="auto"/>
              </w:rPr>
              <w:t xml:space="preserve"> (3)(4)(9)</w:t>
            </w: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3" w:right="68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49"/>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CarVal CLO III Ltd,</w:t>
            </w: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Structured Credit ($1,000 par, due 7/2032)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6/30/2022</w:t>
            </w:r>
          </w:p>
        </w:tc>
        <w:tc>
          <w:tcPr>
            <w:tcW w:w="1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SOFR + 6.70%</w:t>
            </w:r>
          </w:p>
        </w:tc>
        <w:tc>
          <w:tcPr>
            <w:tcW w:w="118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12.11 %</w:t>
            </w:r>
          </w:p>
        </w:tc>
        <w:tc>
          <w:tcPr>
            <w:tcW w:w="112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903</w:t>
            </w:r>
          </w:p>
        </w:tc>
        <w:tc>
          <w:tcPr>
            <w:tcW w:w="128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3"/>
                <w:szCs w:val="13"/>
                <w:color w:val="auto"/>
              </w:rPr>
              <w:t>971</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2019-2A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Cedar Funding CLO Ltd,</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1/2031)</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7/21/2022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+ 4.81%</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10.23 %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874</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934</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2018-7A </w:t>
            </w:r>
            <w:r>
              <w:rPr>
                <w:rFonts w:ascii="Times New Roman" w:cs="Times New Roman" w:eastAsia="Times New Roman" w:hAnsi="Times New Roman"/>
                <w:sz w:val="16"/>
                <w:szCs w:val="16"/>
                <w:color w:val="auto"/>
                <w:vertAlign w:val="superscript"/>
              </w:rPr>
              <w:t>(3)(4)(9)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CIFC CLO Ltd, Series</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7/2031)</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6/16/2022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+ 5.76%</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11.16 %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904</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956</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2018-3A</w:t>
            </w:r>
            <w:r>
              <w:rPr>
                <w:rFonts w:ascii="Times New Roman" w:cs="Times New Roman" w:eastAsia="Times New Roman" w:hAnsi="Times New Roman"/>
                <w:sz w:val="7"/>
                <w:szCs w:val="7"/>
                <w:color w:val="auto"/>
              </w:rPr>
              <w:t xml:space="preserve"> (3)(4)(9)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CIFC CLO Ltd, Series</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7/2033)</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7/14/2022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+ 6.26%</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11.66 %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900</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991</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2021-4A</w:t>
            </w:r>
            <w:r>
              <w:rPr>
                <w:rFonts w:ascii="Times New Roman" w:cs="Times New Roman" w:eastAsia="Times New Roman" w:hAnsi="Times New Roman"/>
                <w:sz w:val="7"/>
                <w:szCs w:val="7"/>
                <w:color w:val="auto"/>
              </w:rPr>
              <w:t xml:space="preserve"> (3)(4)(9)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Crown Point CLO Ltd,</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7/2034)</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6/14/2022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+ 7.11%</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12.53 %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903</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953</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2021-10A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Dryden Senior Loan Fund,</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4/2031)</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7/25/2022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+ 3.11%</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8.51 %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927</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959</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2018-55A </w:t>
            </w:r>
            <w:r>
              <w:rPr>
                <w:rFonts w:ascii="Times New Roman" w:cs="Times New Roman" w:eastAsia="Times New Roman" w:hAnsi="Times New Roman"/>
                <w:sz w:val="16"/>
                <w:szCs w:val="16"/>
                <w:color w:val="auto"/>
                <w:vertAlign w:val="superscript"/>
              </w:rPr>
              <w:t>(3)(4)(9)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Dryden Senior Loan Fund,</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($1,500 par, due 7/2034)</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8/17/2022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+ 6.76%</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12.16 %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1,463</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1,433</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2020-86A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Eaton CLO Ltd, Series</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($2,500 par, due 1/2030)</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6/23/2022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+ 2.76%</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8.18 %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2,260</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2,410</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2015-1A</w:t>
            </w:r>
            <w:r>
              <w:rPr>
                <w:rFonts w:ascii="Times New Roman" w:cs="Times New Roman" w:eastAsia="Times New Roman" w:hAnsi="Times New Roman"/>
                <w:sz w:val="7"/>
                <w:szCs w:val="7"/>
                <w:color w:val="auto"/>
              </w:rPr>
              <w:t xml:space="preserve"> (3)(4)(9)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Eaton CLO Ltd, Series</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10/2034)</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8/11/2022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+ 6.51%</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11.91 %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936</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970</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2020-1A</w:t>
            </w:r>
            <w:r>
              <w:rPr>
                <w:rFonts w:ascii="Times New Roman" w:cs="Times New Roman" w:eastAsia="Times New Roman" w:hAnsi="Times New Roman"/>
                <w:sz w:val="7"/>
                <w:szCs w:val="7"/>
                <w:color w:val="auto"/>
              </w:rPr>
              <w:t xml:space="preserve"> (3)(4)(9)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GoldenTree CLO Ltd,</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4/2034)</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6/17/2022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+ 6.76%</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12.18 %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921</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994</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2020-7A </w:t>
            </w:r>
            <w:r>
              <w:rPr>
                <w:rFonts w:ascii="Times New Roman" w:cs="Times New Roman" w:eastAsia="Times New Roman" w:hAnsi="Times New Roman"/>
                <w:sz w:val="16"/>
                <w:szCs w:val="16"/>
                <w:color w:val="auto"/>
                <w:vertAlign w:val="superscript"/>
              </w:rPr>
              <w:t>(3)(4)(9)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Gulf Stream Meridian,</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($1,015 par, due 7/2034)</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6/3/2022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+ 6.61%</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12.01 %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942</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968</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2021-4A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Gulf Stream Meridian,</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($2,000 par, due 1/2037)</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9/12/2022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+ 6.62%</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11.93 %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1,851</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1,928</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2021-6A </w:t>
            </w:r>
            <w:r>
              <w:rPr>
                <w:rFonts w:ascii="Times New Roman" w:cs="Times New Roman" w:eastAsia="Times New Roman" w:hAnsi="Times New Roman"/>
                <w:sz w:val="16"/>
                <w:szCs w:val="16"/>
                <w:color w:val="auto"/>
                <w:vertAlign w:val="superscript"/>
              </w:rPr>
              <w:t>(3)(4)(9)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Jefferson Mill CLO Ltd,</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10/2031)</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5/23/2022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+ 3.81%</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9.22 %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908</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965</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2015-1A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56"/>
        </w:trPr>
        <w:tc>
          <w:tcPr>
            <w:tcW w:w="15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KKR CLO Ltd, 49A </w:t>
            </w:r>
            <w:r>
              <w:rPr>
                <w:rFonts w:ascii="Times New Roman" w:cs="Times New Roman" w:eastAsia="Times New Roman" w:hAnsi="Times New Roman"/>
                <w:sz w:val="16"/>
                <w:szCs w:val="16"/>
                <w:color w:val="auto"/>
                <w:vertAlign w:val="superscript"/>
              </w:rPr>
              <w:t>(3)(4)(9)</w:t>
            </w: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Structured Credit ($1,000 par, due 7/2035)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6/2/2022</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 + 8.26%</w:t>
            </w: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13.42 %</w:t>
            </w: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978</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987</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Madison Park CLO, Series</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7/2030)</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6/28/2022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+ 5.51%</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10.91 %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911</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963</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2018-28A</w:t>
            </w:r>
            <w:r>
              <w:rPr>
                <w:rFonts w:ascii="Times New Roman" w:cs="Times New Roman" w:eastAsia="Times New Roman" w:hAnsi="Times New Roman"/>
                <w:sz w:val="7"/>
                <w:szCs w:val="7"/>
                <w:color w:val="auto"/>
              </w:rPr>
              <w:t xml:space="preserve"> (3)(4)(9)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Magnetite CLO Ltd, Series</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10/2034)</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6/13/2022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+ 6.46%</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11.84 %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920</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988</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2021-30A</w:t>
            </w:r>
            <w:r>
              <w:rPr>
                <w:rFonts w:ascii="Times New Roman" w:cs="Times New Roman" w:eastAsia="Times New Roman" w:hAnsi="Times New Roman"/>
                <w:sz w:val="7"/>
                <w:szCs w:val="7"/>
                <w:color w:val="auto"/>
              </w:rPr>
              <w:t xml:space="preserve"> (3)(4)(9)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MidOcean Credit CLO</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($3,500 par, due 4/2033)</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5/23/2022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+ 3.78%</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9.20 %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3,170</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3,274</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Ltd, Series 2016-6A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MidOcean Credit CLO</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($1,100 par, due 7/2031)</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6/1/2022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+ 6.31%</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11.73 %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970</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1,012</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219"/>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Ltd, Series 2018-9A </w:t>
            </w:r>
            <w:r>
              <w:rPr>
                <w:rFonts w:ascii="Times New Roman" w:cs="Times New Roman" w:eastAsia="Times New Roman" w:hAnsi="Times New Roman"/>
                <w:sz w:val="16"/>
                <w:szCs w:val="16"/>
                <w:color w:val="auto"/>
                <w:vertAlign w:val="superscript"/>
              </w:rPr>
              <w:t>(3)(4)(9)</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68"/>
        </w:trPr>
        <w:tc>
          <w:tcPr>
            <w:tcW w:w="15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Octagon 57 LLC, Series</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10/2034)</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5/24/2022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+ 6.86%</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12.26 %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951</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940</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2021-1A</w:t>
            </w:r>
            <w:r>
              <w:rPr>
                <w:rFonts w:ascii="Times New Roman" w:cs="Times New Roman" w:eastAsia="Times New Roman" w:hAnsi="Times New Roman"/>
                <w:sz w:val="7"/>
                <w:szCs w:val="7"/>
                <w:color w:val="auto"/>
              </w:rPr>
              <w:t xml:space="preserve"> (3)(4)(9)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44"/>
        </w:trPr>
        <w:tc>
          <w:tcPr>
            <w:tcW w:w="15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Octagon Investment</w:t>
            </w:r>
          </w:p>
        </w:tc>
        <w:tc>
          <w:tcPr>
            <w:tcW w:w="25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($1,000 par, due 4/2031)</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7/26/2022</w:t>
            </w:r>
          </w:p>
        </w:tc>
        <w:tc>
          <w:tcPr>
            <w:tcW w:w="1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+ 2.96%</w:t>
            </w:r>
          </w:p>
        </w:tc>
        <w:tc>
          <w:tcPr>
            <w:tcW w:w="1180" w:type="dxa"/>
            <w:vAlign w:val="bottom"/>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8.36 %</w:t>
            </w:r>
          </w:p>
        </w:tc>
        <w:tc>
          <w:tcPr>
            <w:tcW w:w="1120" w:type="dxa"/>
            <w:vAlign w:val="bottom"/>
          </w:tcPr>
          <w:p>
            <w:pPr>
              <w:jc w:val="right"/>
              <w:ind w:right="374"/>
              <w:spacing w:after="0" w:line="144" w:lineRule="exact"/>
              <w:rPr>
                <w:sz w:val="20"/>
                <w:szCs w:val="20"/>
                <w:color w:val="auto"/>
              </w:rPr>
            </w:pPr>
            <w:r>
              <w:rPr>
                <w:rFonts w:ascii="Times New Roman" w:cs="Times New Roman" w:eastAsia="Times New Roman" w:hAnsi="Times New Roman"/>
                <w:sz w:val="13"/>
                <w:szCs w:val="13"/>
                <w:color w:val="auto"/>
              </w:rPr>
              <w:t>913</w:t>
            </w:r>
          </w:p>
        </w:tc>
        <w:tc>
          <w:tcPr>
            <w:tcW w:w="1280" w:type="dxa"/>
            <w:vAlign w:val="bottom"/>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959</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45"/>
        </w:trPr>
        <w:tc>
          <w:tcPr>
            <w:tcW w:w="152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Partners 18 Ltd, Series</w:t>
            </w: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2018-18A</w:t>
            </w:r>
            <w:r>
              <w:rPr>
                <w:rFonts w:ascii="Times New Roman" w:cs="Times New Roman" w:eastAsia="Times New Roman" w:hAnsi="Times New Roman"/>
                <w:sz w:val="7"/>
                <w:szCs w:val="7"/>
                <w:color w:val="auto"/>
              </w:rPr>
              <w:t xml:space="preserve"> (3)(4)(9)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4"/>
        </w:trPr>
        <w:tc>
          <w:tcPr>
            <w:tcW w:w="15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Octagon Investment</w:t>
            </w:r>
          </w:p>
        </w:tc>
        <w:tc>
          <w:tcPr>
            <w:tcW w:w="256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($2,800 par, due 7/2030)</w:t>
            </w:r>
          </w:p>
        </w:tc>
        <w:tc>
          <w:tcPr>
            <w:tcW w:w="8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9/20/2022</w:t>
            </w:r>
          </w:p>
        </w:tc>
        <w:tc>
          <w:tcPr>
            <w:tcW w:w="1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+ 3.21%</w:t>
            </w:r>
          </w:p>
        </w:tc>
        <w:tc>
          <w:tcPr>
            <w:tcW w:w="1180" w:type="dxa"/>
            <w:vAlign w:val="bottom"/>
            <w:shd w:val="clear" w:color="auto" w:fill="CFF0FC"/>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8.63 %</w:t>
            </w:r>
          </w:p>
        </w:tc>
        <w:tc>
          <w:tcPr>
            <w:tcW w:w="1120" w:type="dxa"/>
            <w:vAlign w:val="bottom"/>
            <w:shd w:val="clear" w:color="auto" w:fill="CFF0FC"/>
          </w:tcPr>
          <w:p>
            <w:pPr>
              <w:jc w:val="right"/>
              <w:ind w:right="374"/>
              <w:spacing w:after="0" w:line="144" w:lineRule="exact"/>
              <w:rPr>
                <w:sz w:val="20"/>
                <w:szCs w:val="20"/>
                <w:color w:val="auto"/>
              </w:rPr>
            </w:pPr>
            <w:r>
              <w:rPr>
                <w:rFonts w:ascii="Times New Roman" w:cs="Times New Roman" w:eastAsia="Times New Roman" w:hAnsi="Times New Roman"/>
                <w:sz w:val="13"/>
                <w:szCs w:val="13"/>
                <w:color w:val="auto"/>
              </w:rPr>
              <w:t>2,505</w:t>
            </w:r>
          </w:p>
        </w:tc>
        <w:tc>
          <w:tcPr>
            <w:tcW w:w="1280" w:type="dxa"/>
            <w:vAlign w:val="bottom"/>
            <w:shd w:val="clear" w:color="auto" w:fill="CFF0FC"/>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2,713</w:t>
            </w: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0.2 %</w:t>
            </w:r>
          </w:p>
        </w:tc>
      </w:tr>
      <w:tr>
        <w:trPr>
          <w:trHeight w:val="145"/>
        </w:trPr>
        <w:tc>
          <w:tcPr>
            <w:tcW w:w="15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3"/>
                <w:szCs w:val="13"/>
                <w:color w:val="auto"/>
              </w:rPr>
              <w:t>Partners 38 Ltd, Series</w:t>
            </w:r>
          </w:p>
        </w:tc>
        <w:tc>
          <w:tcPr>
            <w:tcW w:w="2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2018-1A</w:t>
            </w:r>
            <w:r>
              <w:rPr>
                <w:rFonts w:ascii="Times New Roman" w:cs="Times New Roman" w:eastAsia="Times New Roman" w:hAnsi="Times New Roman"/>
                <w:sz w:val="7"/>
                <w:szCs w:val="7"/>
                <w:color w:val="auto"/>
              </w:rPr>
              <w:t xml:space="preserve"> (3)(4)(9)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44"/>
        </w:trPr>
        <w:tc>
          <w:tcPr>
            <w:tcW w:w="15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Park Avenue Institutional</w:t>
            </w:r>
          </w:p>
        </w:tc>
        <w:tc>
          <w:tcPr>
            <w:tcW w:w="25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Structured Credit ($1,000 par, due 10/2031)</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9/23/2022</w:t>
            </w:r>
          </w:p>
        </w:tc>
        <w:tc>
          <w:tcPr>
            <w:tcW w:w="1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 + 3.59%</w:t>
            </w:r>
          </w:p>
        </w:tc>
        <w:tc>
          <w:tcPr>
            <w:tcW w:w="1180" w:type="dxa"/>
            <w:vAlign w:val="bottom"/>
          </w:tcPr>
          <w:p>
            <w:pPr>
              <w:jc w:val="right"/>
              <w:ind w:right="334"/>
              <w:spacing w:after="0" w:line="144" w:lineRule="exact"/>
              <w:rPr>
                <w:sz w:val="20"/>
                <w:szCs w:val="20"/>
                <w:color w:val="auto"/>
              </w:rPr>
            </w:pPr>
            <w:r>
              <w:rPr>
                <w:rFonts w:ascii="Times New Roman" w:cs="Times New Roman" w:eastAsia="Times New Roman" w:hAnsi="Times New Roman"/>
                <w:sz w:val="13"/>
                <w:szCs w:val="13"/>
                <w:color w:val="auto"/>
              </w:rPr>
              <w:t>9.01 %</w:t>
            </w:r>
          </w:p>
        </w:tc>
        <w:tc>
          <w:tcPr>
            <w:tcW w:w="1120" w:type="dxa"/>
            <w:vAlign w:val="bottom"/>
          </w:tcPr>
          <w:p>
            <w:pPr>
              <w:jc w:val="right"/>
              <w:ind w:right="374"/>
              <w:spacing w:after="0" w:line="144" w:lineRule="exact"/>
              <w:rPr>
                <w:sz w:val="20"/>
                <w:szCs w:val="20"/>
                <w:color w:val="auto"/>
              </w:rPr>
            </w:pPr>
            <w:r>
              <w:rPr>
                <w:rFonts w:ascii="Times New Roman" w:cs="Times New Roman" w:eastAsia="Times New Roman" w:hAnsi="Times New Roman"/>
                <w:sz w:val="13"/>
                <w:szCs w:val="13"/>
                <w:color w:val="auto"/>
              </w:rPr>
              <w:t>870</w:t>
            </w:r>
          </w:p>
        </w:tc>
        <w:tc>
          <w:tcPr>
            <w:tcW w:w="1280" w:type="dxa"/>
            <w:vAlign w:val="bottom"/>
          </w:tcPr>
          <w:p>
            <w:pPr>
              <w:jc w:val="right"/>
              <w:ind w:right="494"/>
              <w:spacing w:after="0" w:line="144" w:lineRule="exact"/>
              <w:rPr>
                <w:sz w:val="20"/>
                <w:szCs w:val="20"/>
                <w:color w:val="auto"/>
              </w:rPr>
            </w:pPr>
            <w:r>
              <w:rPr>
                <w:rFonts w:ascii="Times New Roman" w:cs="Times New Roman" w:eastAsia="Times New Roman" w:hAnsi="Times New Roman"/>
                <w:sz w:val="13"/>
                <w:szCs w:val="13"/>
                <w:color w:val="auto"/>
              </w:rPr>
              <w:t>925</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r>
      <w:tr>
        <w:trPr>
          <w:trHeight w:val="145"/>
        </w:trPr>
        <w:tc>
          <w:tcPr>
            <w:tcW w:w="152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Advisers CLO Ltd, Series</w:t>
            </w: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2018-1A</w:t>
            </w:r>
            <w:r>
              <w:rPr>
                <w:rFonts w:ascii="Times New Roman" w:cs="Times New Roman" w:eastAsia="Times New Roman" w:hAnsi="Times New Roman"/>
                <w:sz w:val="7"/>
                <w:szCs w:val="7"/>
                <w:color w:val="auto"/>
              </w:rPr>
              <w:t xml:space="preserve"> (3)(4)(9)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Pikes Peak CLO, Series</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($2,000 par, due 10/2034)</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8/31/2022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+ 6.84%</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12.23 %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1,787</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1,890</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2021-9A</w:t>
            </w:r>
            <w:r>
              <w:rPr>
                <w:rFonts w:ascii="Times New Roman" w:cs="Times New Roman" w:eastAsia="Times New Roman" w:hAnsi="Times New Roman"/>
                <w:sz w:val="7"/>
                <w:szCs w:val="7"/>
                <w:color w:val="auto"/>
              </w:rPr>
              <w:t xml:space="preserve"> (3)(4)(9)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20"/>
        </w:trPr>
        <w:tc>
          <w:tcPr>
            <w:tcW w:w="152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 xml:space="preserve">RR Ltd, Series 2020-8A </w:t>
            </w:r>
            <w:r>
              <w:rPr>
                <w:rFonts w:ascii="Times New Roman" w:cs="Times New Roman" w:eastAsia="Times New Roman" w:hAnsi="Times New Roman"/>
                <w:sz w:val="13"/>
                <w:szCs w:val="13"/>
                <w:color w:val="auto"/>
                <w:vertAlign w:val="superscript"/>
              </w:rPr>
              <w:t>(3)</w:t>
            </w:r>
          </w:p>
        </w:tc>
        <w:tc>
          <w:tcPr>
            <w:tcW w:w="256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auto"/>
              </w:rPr>
              <w:t>Structured Credit ($1,000 par, due 4/2033)</w:t>
            </w:r>
          </w:p>
        </w:tc>
        <w:tc>
          <w:tcPr>
            <w:tcW w:w="8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8/22/2022</w:t>
            </w:r>
          </w:p>
        </w:tc>
        <w:tc>
          <w:tcPr>
            <w:tcW w:w="122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auto"/>
              </w:rPr>
              <w:t>SOFR + 6.66%</w:t>
            </w:r>
          </w:p>
        </w:tc>
        <w:tc>
          <w:tcPr>
            <w:tcW w:w="1180" w:type="dxa"/>
            <w:vAlign w:val="bottom"/>
          </w:tcPr>
          <w:p>
            <w:pPr>
              <w:jc w:val="right"/>
              <w:ind w:right="334"/>
              <w:spacing w:after="0" w:line="120" w:lineRule="exact"/>
              <w:rPr>
                <w:sz w:val="20"/>
                <w:szCs w:val="20"/>
                <w:color w:val="auto"/>
              </w:rPr>
            </w:pPr>
            <w:r>
              <w:rPr>
                <w:rFonts w:ascii="Times New Roman" w:cs="Times New Roman" w:eastAsia="Times New Roman" w:hAnsi="Times New Roman"/>
                <w:sz w:val="13"/>
                <w:szCs w:val="13"/>
                <w:color w:val="auto"/>
              </w:rPr>
              <w:t>12.06 %</w:t>
            </w:r>
          </w:p>
        </w:tc>
        <w:tc>
          <w:tcPr>
            <w:tcW w:w="1120" w:type="dxa"/>
            <w:vAlign w:val="bottom"/>
          </w:tcPr>
          <w:p>
            <w:pPr>
              <w:jc w:val="right"/>
              <w:ind w:right="374"/>
              <w:spacing w:after="0" w:line="120" w:lineRule="exact"/>
              <w:rPr>
                <w:sz w:val="20"/>
                <w:szCs w:val="20"/>
                <w:color w:val="auto"/>
              </w:rPr>
            </w:pPr>
            <w:r>
              <w:rPr>
                <w:rFonts w:ascii="Times New Roman" w:cs="Times New Roman" w:eastAsia="Times New Roman" w:hAnsi="Times New Roman"/>
                <w:sz w:val="13"/>
                <w:szCs w:val="13"/>
                <w:color w:val="auto"/>
              </w:rPr>
              <w:t>955</w:t>
            </w:r>
          </w:p>
        </w:tc>
        <w:tc>
          <w:tcPr>
            <w:tcW w:w="1280" w:type="dxa"/>
            <w:vAlign w:val="bottom"/>
          </w:tcPr>
          <w:p>
            <w:pPr>
              <w:jc w:val="right"/>
              <w:ind w:right="494"/>
              <w:spacing w:after="0" w:line="120" w:lineRule="exact"/>
              <w:rPr>
                <w:sz w:val="20"/>
                <w:szCs w:val="20"/>
                <w:color w:val="auto"/>
              </w:rPr>
            </w:pPr>
            <w:r>
              <w:rPr>
                <w:rFonts w:ascii="Times New Roman" w:cs="Times New Roman" w:eastAsia="Times New Roman" w:hAnsi="Times New Roman"/>
                <w:sz w:val="13"/>
                <w:szCs w:val="13"/>
                <w:color w:val="auto"/>
              </w:rPr>
              <w:t>995</w:t>
            </w:r>
          </w:p>
        </w:tc>
        <w:tc>
          <w:tcPr>
            <w:tcW w:w="8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0.1 %</w:t>
            </w:r>
          </w:p>
        </w:tc>
      </w:tr>
      <w:tr>
        <w:trPr>
          <w:trHeight w:val="107"/>
        </w:trPr>
        <w:tc>
          <w:tcPr>
            <w:tcW w:w="1520" w:type="dxa"/>
            <w:vAlign w:val="bottom"/>
          </w:tcPr>
          <w:p>
            <w:pPr>
              <w:ind w:left="20"/>
              <w:spacing w:after="0"/>
              <w:rPr>
                <w:sz w:val="20"/>
                <w:szCs w:val="20"/>
                <w:color w:val="auto"/>
              </w:rPr>
            </w:pPr>
            <w:r>
              <w:rPr>
                <w:rFonts w:ascii="Times New Roman" w:cs="Times New Roman" w:eastAsia="Times New Roman" w:hAnsi="Times New Roman"/>
                <w:sz w:val="8"/>
                <w:szCs w:val="8"/>
                <w:color w:val="auto"/>
              </w:rPr>
              <w:t>(4)(9)</w:t>
            </w:r>
          </w:p>
        </w:tc>
        <w:tc>
          <w:tcPr>
            <w:tcW w:w="2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37"/>
        </w:trPr>
        <w:tc>
          <w:tcPr>
            <w:tcW w:w="15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Signal Peak CLO LLC,</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($333 par, due 4/2031)</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8/9/2022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+ 5.91%</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11.29 %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301</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318</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2018-5A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Southwick Park CLO Ltd,</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7/2032)</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5/25/2022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+ 6.51%</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11.93 %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932</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968</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2019-4A </w:t>
            </w:r>
            <w:r>
              <w:rPr>
                <w:rFonts w:ascii="Times New Roman" w:cs="Times New Roman" w:eastAsia="Times New Roman" w:hAnsi="Times New Roman"/>
                <w:sz w:val="16"/>
                <w:szCs w:val="16"/>
                <w:color w:val="auto"/>
                <w:vertAlign w:val="superscript"/>
              </w:rPr>
              <w:t>(3)(4)(9)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Stewart Park CLO Ltd,</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($1,000 par, due 1/2030)</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7/25/2022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+ 2.86%</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8.26 %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928</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970</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2015-1A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Voya CLO Ltd, Series</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($2,750 par, due 10/2031)</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6/22/2022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+ 6.01%</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11.41 %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2,441</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2,484</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2018-3A</w:t>
            </w:r>
            <w:r>
              <w:rPr>
                <w:rFonts w:ascii="Times New Roman" w:cs="Times New Roman" w:eastAsia="Times New Roman" w:hAnsi="Times New Roman"/>
                <w:sz w:val="7"/>
                <w:szCs w:val="7"/>
                <w:color w:val="auto"/>
              </w:rPr>
              <w:t xml:space="preserve"> (3)(4)(9)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Wind River CLO Ltd,</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($1,500 par, due 1/2031)</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6/23/2022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+ 3.16%</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8.56 %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1,407</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1,404</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2014-2A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3"/>
        </w:trPr>
        <w:tc>
          <w:tcPr>
            <w:tcW w:w="1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Wind River CLO Ltd,</w:t>
            </w:r>
          </w:p>
        </w:tc>
        <w:tc>
          <w:tcPr>
            <w:tcW w:w="256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($3,000 par, due 4/2036)</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7/14/2022</w:t>
            </w:r>
          </w:p>
        </w:tc>
        <w:tc>
          <w:tcPr>
            <w:tcW w:w="12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+ 3.98%</w:t>
            </w:r>
          </w:p>
        </w:tc>
        <w:tc>
          <w:tcPr>
            <w:tcW w:w="1180" w:type="dxa"/>
            <w:vAlign w:val="bottom"/>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9.38 %</w:t>
            </w:r>
          </w:p>
        </w:tc>
        <w:tc>
          <w:tcPr>
            <w:tcW w:w="1120" w:type="dxa"/>
            <w:vAlign w:val="bottom"/>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2,633</w:t>
            </w:r>
          </w:p>
        </w:tc>
        <w:tc>
          <w:tcPr>
            <w:tcW w:w="1280" w:type="dxa"/>
            <w:vAlign w:val="bottom"/>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2,911</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r>
      <w:tr>
        <w:trPr>
          <w:trHeight w:val="179"/>
        </w:trPr>
        <w:tc>
          <w:tcPr>
            <w:tcW w:w="15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2017-1A </w:t>
            </w:r>
            <w:r>
              <w:rPr>
                <w:rFonts w:ascii="Times New Roman" w:cs="Times New Roman" w:eastAsia="Times New Roman" w:hAnsi="Times New Roman"/>
                <w:sz w:val="16"/>
                <w:szCs w:val="16"/>
                <w:color w:val="auto"/>
                <w:vertAlign w:val="superscript"/>
              </w:rPr>
              <w:t>(3)(4)(9)</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3"/>
        </w:trPr>
        <w:tc>
          <w:tcPr>
            <w:tcW w:w="15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Wind River CLO Ltd,</w:t>
            </w:r>
          </w:p>
        </w:tc>
        <w:tc>
          <w:tcPr>
            <w:tcW w:w="25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Structured Credit ($2,000 par, due 1/2031)</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12/12/2022</w:t>
            </w:r>
          </w:p>
        </w:tc>
        <w:tc>
          <w:tcPr>
            <w:tcW w:w="12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SOFR + 5.91%</w:t>
            </w:r>
          </w:p>
        </w:tc>
        <w:tc>
          <w:tcPr>
            <w:tcW w:w="1180" w:type="dxa"/>
            <w:vAlign w:val="bottom"/>
            <w:shd w:val="clear" w:color="auto" w:fill="CFF0FC"/>
          </w:tcPr>
          <w:p>
            <w:pPr>
              <w:jc w:val="right"/>
              <w:ind w:right="334"/>
              <w:spacing w:after="0" w:line="133" w:lineRule="exact"/>
              <w:rPr>
                <w:sz w:val="20"/>
                <w:szCs w:val="20"/>
                <w:color w:val="auto"/>
              </w:rPr>
            </w:pPr>
            <w:r>
              <w:rPr>
                <w:rFonts w:ascii="Times New Roman" w:cs="Times New Roman" w:eastAsia="Times New Roman" w:hAnsi="Times New Roman"/>
                <w:sz w:val="13"/>
                <w:szCs w:val="13"/>
                <w:color w:val="auto"/>
              </w:rPr>
              <w:t>11.33 %</w:t>
            </w:r>
          </w:p>
        </w:tc>
        <w:tc>
          <w:tcPr>
            <w:tcW w:w="1120" w:type="dxa"/>
            <w:vAlign w:val="bottom"/>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1,721</w:t>
            </w:r>
          </w:p>
        </w:tc>
        <w:tc>
          <w:tcPr>
            <w:tcW w:w="1280" w:type="dxa"/>
            <w:vAlign w:val="bottom"/>
            <w:shd w:val="clear" w:color="auto" w:fill="CFF0FC"/>
          </w:tcPr>
          <w:p>
            <w:pPr>
              <w:jc w:val="right"/>
              <w:ind w:right="494"/>
              <w:spacing w:after="0" w:line="133" w:lineRule="exact"/>
              <w:rPr>
                <w:sz w:val="20"/>
                <w:szCs w:val="20"/>
                <w:color w:val="auto"/>
              </w:rPr>
            </w:pPr>
            <w:r>
              <w:rPr>
                <w:rFonts w:ascii="Times New Roman" w:cs="Times New Roman" w:eastAsia="Times New Roman" w:hAnsi="Times New Roman"/>
                <w:sz w:val="13"/>
                <w:szCs w:val="13"/>
                <w:color w:val="auto"/>
              </w:rPr>
              <w:t>1,856</w:t>
            </w: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r>
      <w:tr>
        <w:trPr>
          <w:trHeight w:val="179"/>
        </w:trPr>
        <w:tc>
          <w:tcPr>
            <w:tcW w:w="15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Series 2018-3A </w:t>
            </w:r>
            <w:r>
              <w:rPr>
                <w:rFonts w:ascii="Times New Roman" w:cs="Times New Roman" w:eastAsia="Times New Roman" w:hAnsi="Times New Roman"/>
                <w:sz w:val="16"/>
                <w:szCs w:val="16"/>
                <w:color w:val="auto"/>
                <w:vertAlign w:val="superscript"/>
              </w:rPr>
              <w:t>(3)(4)(9)</w:t>
            </w:r>
          </w:p>
        </w:tc>
        <w:tc>
          <w:tcPr>
            <w:tcW w:w="25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3" w:right="68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8"/>
        </w:trPr>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52,865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3.7 %</w:t>
            </w:r>
          </w:p>
        </w:tc>
      </w:tr>
      <w:tr>
        <w:trPr>
          <w:trHeight w:val="142"/>
        </w:trPr>
        <w:tc>
          <w:tcPr>
            <w:tcW w:w="19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Total Equity and Other</w:t>
            </w:r>
          </w:p>
        </w:tc>
        <w:tc>
          <w:tcPr>
            <w:tcW w:w="12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205,488</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211,442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14.1 %</w:t>
            </w:r>
          </w:p>
        </w:tc>
      </w:tr>
      <w:tr>
        <w:trPr>
          <w:trHeight w:val="170"/>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3,251,012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3,283,065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219.4 %</w:t>
            </w:r>
          </w:p>
        </w:tc>
      </w:tr>
      <w:tr>
        <w:trPr>
          <w:trHeight w:val="20"/>
        </w:trPr>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40" w:type="dxa"/>
            <w:vAlign w:val="bottom"/>
            <w:gridSpan w:val="9"/>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1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3"/>
                <w:szCs w:val="13"/>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Change in</w:t>
            </w:r>
          </w:p>
        </w:tc>
      </w:tr>
      <w:tr>
        <w:trPr>
          <w:trHeight w:val="156"/>
        </w:trPr>
        <w:tc>
          <w:tcPr>
            <w:tcW w:w="19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3"/>
                <w:szCs w:val="13"/>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0"/>
        </w:trPr>
        <w:tc>
          <w:tcPr>
            <w:tcW w:w="19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Pays</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156"/>
        </w:trPr>
        <w:tc>
          <w:tcPr>
            <w:tcW w:w="19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+ 2.54%</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3.875%</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11/1/2024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420" w:type="dxa"/>
            <w:vAlign w:val="bottom"/>
            <w:gridSpan w:val="3"/>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(a)(b)(c)(d)</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3.875%</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+ 2.51%</w:t>
            </w: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11/1/2024</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(8,846 )</w:t>
            </w:r>
          </w:p>
        </w:tc>
        <w:tc>
          <w:tcPr>
            <w:tcW w:w="120" w:type="dxa"/>
            <w:vAlign w:val="bottom"/>
          </w:tcPr>
          <w:p>
            <w:pPr>
              <w:spacing w:after="0"/>
              <w:rPr>
                <w:sz w:val="13"/>
                <w:szCs w:val="13"/>
                <w:color w:val="auto"/>
              </w:rPr>
            </w:pPr>
          </w:p>
        </w:tc>
        <w:tc>
          <w:tcPr>
            <w:tcW w:w="1020" w:type="dxa"/>
            <w:vAlign w:val="bottom"/>
            <w:gridSpan w:val="3"/>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7,647</w:t>
            </w:r>
          </w:p>
        </w:tc>
        <w:tc>
          <w:tcPr>
            <w:tcW w:w="100" w:type="dxa"/>
            <w:vAlign w:val="bottom"/>
          </w:tcPr>
          <w:p>
            <w:pPr>
              <w:spacing w:after="0"/>
              <w:rPr>
                <w:sz w:val="13"/>
                <w:szCs w:val="13"/>
                <w:color w:val="auto"/>
              </w:rPr>
            </w:pPr>
          </w:p>
        </w:tc>
      </w:tr>
      <w:tr>
        <w:trPr>
          <w:trHeight w:val="156"/>
        </w:trPr>
        <w:tc>
          <w:tcPr>
            <w:tcW w:w="19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(a)(b)(c)(d)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3.875%</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+ 2.72%</w:t>
            </w: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11/1/2024</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(1,563 )</w:t>
            </w:r>
          </w:p>
        </w:tc>
        <w:tc>
          <w:tcPr>
            <w:tcW w:w="12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1,362</w:t>
            </w:r>
          </w:p>
        </w:tc>
        <w:tc>
          <w:tcPr>
            <w:tcW w:w="100" w:type="dxa"/>
            <w:vAlign w:val="bottom"/>
            <w:shd w:val="clear" w:color="auto" w:fill="CFF0FC"/>
          </w:tcPr>
          <w:p>
            <w:pPr>
              <w:spacing w:after="0"/>
              <w:rPr>
                <w:sz w:val="13"/>
                <w:szCs w:val="13"/>
                <w:color w:val="auto"/>
              </w:rPr>
            </w:pPr>
          </w:p>
        </w:tc>
      </w:tr>
      <w:tr>
        <w:trPr>
          <w:trHeight w:val="156"/>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2.50%</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+ 2.17%</w:t>
            </w: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8/1/2026</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(26,111 )</w:t>
            </w:r>
          </w:p>
        </w:tc>
        <w:tc>
          <w:tcPr>
            <w:tcW w:w="120" w:type="dxa"/>
            <w:vAlign w:val="bottom"/>
          </w:tcPr>
          <w:p>
            <w:pPr>
              <w:spacing w:after="0"/>
              <w:rPr>
                <w:sz w:val="13"/>
                <w:szCs w:val="13"/>
                <w:color w:val="auto"/>
              </w:rPr>
            </w:pPr>
          </w:p>
        </w:tc>
        <w:tc>
          <w:tcPr>
            <w:tcW w:w="1020" w:type="dxa"/>
            <w:vAlign w:val="bottom"/>
            <w:gridSpan w:val="3"/>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9,554</w:t>
            </w:r>
          </w:p>
        </w:tc>
        <w:tc>
          <w:tcPr>
            <w:tcW w:w="100" w:type="dxa"/>
            <w:vAlign w:val="bottom"/>
          </w:tcPr>
          <w:p>
            <w:pPr>
              <w:spacing w:after="0"/>
              <w:rPr>
                <w:sz w:val="13"/>
                <w:szCs w:val="13"/>
                <w:color w:val="auto"/>
              </w:rPr>
            </w:pPr>
          </w:p>
        </w:tc>
      </w:tr>
      <w:tr>
        <w:trPr>
          <w:trHeight w:val="156"/>
        </w:trPr>
        <w:tc>
          <w:tcPr>
            <w:tcW w:w="19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5"/>
              </w:rPr>
              <w:t>6.95%</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+ 2.99%</w:t>
            </w: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8/14/2028</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4,680</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shd w:val="clear" w:color="auto" w:fill="CFF0FC"/>
          </w:tcPr>
          <w:p>
            <w:pPr>
              <w:spacing w:after="0"/>
              <w:rPr>
                <w:sz w:val="13"/>
                <w:szCs w:val="13"/>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952,500</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(31,840 )</w:t>
            </w:r>
          </w:p>
        </w:tc>
        <w:tc>
          <w:tcPr>
            <w:tcW w:w="120" w:type="dxa"/>
            <w:vAlign w:val="bottom"/>
          </w:tcPr>
          <w:p>
            <w:pPr>
              <w:spacing w:after="0"/>
              <w:rPr>
                <w:sz w:val="13"/>
                <w:szCs w:val="13"/>
                <w:color w:val="auto"/>
              </w:rPr>
            </w:pPr>
          </w:p>
        </w:tc>
        <w:tc>
          <w:tcPr>
            <w:tcW w:w="1020" w:type="dxa"/>
            <w:vAlign w:val="bottom"/>
            <w:gridSpan w:val="3"/>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23,243</w:t>
            </w:r>
          </w:p>
        </w:tc>
        <w:tc>
          <w:tcPr>
            <w:tcW w:w="100" w:type="dxa"/>
            <w:vAlign w:val="bottom"/>
          </w:tcPr>
          <w:p>
            <w:pPr>
              <w:spacing w:after="0"/>
              <w:rPr>
                <w:sz w:val="13"/>
                <w:szCs w:val="13"/>
                <w:color w:val="auto"/>
              </w:rPr>
            </w:pPr>
          </w:p>
        </w:tc>
      </w:tr>
      <w:tr>
        <w:trPr>
          <w:trHeight w:val="15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collateral</w:t>
            </w:r>
          </w:p>
        </w:tc>
        <w:tc>
          <w:tcPr>
            <w:tcW w:w="12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55,819</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19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derivatives</w:t>
            </w: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952,500</w:t>
            </w:r>
          </w:p>
        </w:tc>
        <w:tc>
          <w:tcPr>
            <w:tcW w:w="4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23,979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3"/>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23,243</w:t>
            </w:r>
          </w:p>
        </w:tc>
        <w:tc>
          <w:tcPr>
            <w:tcW w:w="100" w:type="dxa"/>
            <w:vAlign w:val="bottom"/>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20"/>
        <w:spacing w:after="0" w:line="234"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 w:lineRule="exact"/>
        <w:rPr>
          <w:sz w:val="20"/>
          <w:szCs w:val="20"/>
          <w:color w:val="auto"/>
        </w:rPr>
      </w:pPr>
    </w:p>
    <w:p>
      <w:pPr>
        <w:ind w:left="480" w:right="80"/>
        <w:spacing w:after="0" w:line="234" w:lineRule="auto"/>
        <w:rPr>
          <w:sz w:val="20"/>
          <w:szCs w:val="20"/>
          <w:color w:val="auto"/>
        </w:rPr>
      </w:pPr>
      <w:r>
        <w:rPr>
          <w:rFonts w:ascii="Times New Roman" w:cs="Times New Roman" w:eastAsia="Times New Roman" w:hAnsi="Times New Roman"/>
          <w:sz w:val="16"/>
          <w:szCs w:val="16"/>
          <w:color w:val="auto"/>
        </w:rPr>
        <w:t>(c)$2.5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sz w:val="20"/>
          <w:szCs w:val="20"/>
          <w:color w:val="auto"/>
        </w:rPr>
      </w:pPr>
    </w:p>
    <w:p>
      <w:pPr>
        <w:ind w:left="480"/>
        <w:spacing w:after="0" w:line="238" w:lineRule="auto"/>
        <w:rPr>
          <w:sz w:val="20"/>
          <w:szCs w:val="20"/>
          <w:color w:val="auto"/>
        </w:rPr>
      </w:pPr>
      <w:r>
        <w:rPr>
          <w:rFonts w:ascii="Times New Roman" w:cs="Times New Roman" w:eastAsia="Times New Roman" w:hAnsi="Times New Roman"/>
          <w:sz w:val="16"/>
          <w:szCs w:val="16"/>
          <w:color w:val="auto"/>
        </w:rPr>
        <w:t>(d)The fair market value of this instrument is presented net with the $2.5 million in aggregate notional value of instruments no longer designated as instruments in a hedge accounting relationship.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Canadian Dollar Offered Rate (“CDOR” or “C”), Secured Overnight Financing Rate (“SOFR”) which may also contain a credit spread adjustment depending on the tenor election, Bank Bill Swap Bid Rate (“BBSY” or “B”)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spacing w:after="0" w:line="4"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13.1% of total assets as of December 31, 2023.</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2023 in which the issuer was an Affiliated Person of and was deemed to Control a portfolio company are as follows:</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Controlled, Affiliated Investments during the year ended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Value at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w w:val="98"/>
              </w:rPr>
              <w:t>Value 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3"/>
                <w:szCs w:val="13"/>
                <w:b w:val="1"/>
                <w:bCs w:val="1"/>
                <w:color w:val="auto"/>
              </w:rPr>
              <w:t>Net Change</w:t>
            </w:r>
          </w:p>
        </w:tc>
        <w:tc>
          <w:tcPr>
            <w:tcW w:w="100" w:type="dxa"/>
            <w:vAlign w:val="bottom"/>
          </w:tcPr>
          <w:p>
            <w:pPr>
              <w:spacing w:after="0"/>
              <w:rPr>
                <w:sz w:val="12"/>
                <w:szCs w:val="12"/>
                <w:color w:val="auto"/>
              </w:rPr>
            </w:pPr>
          </w:p>
        </w:tc>
        <w:tc>
          <w:tcPr>
            <w:tcW w:w="640" w:type="dxa"/>
            <w:vAlign w:val="bottom"/>
          </w:tcPr>
          <w:p>
            <w:pPr>
              <w:jc w:val="center"/>
              <w:ind w:right="54"/>
              <w:spacing w:after="0" w:line="144"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December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Additions</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Reductions</w:t>
            </w: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 Unrealized</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Gain/(Losses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70"/>
        </w:trPr>
        <w:tc>
          <w:tcPr>
            <w:tcW w:w="228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00" w:type="dxa"/>
            <w:vAlign w:val="bottom"/>
          </w:tcPr>
          <w:p>
            <w:pPr>
              <w:spacing w:after="0"/>
              <w:rPr>
                <w:sz w:val="14"/>
                <w:szCs w:val="14"/>
                <w:color w:val="auto"/>
              </w:rPr>
            </w:pPr>
          </w:p>
        </w:tc>
        <w:tc>
          <w:tcPr>
            <w:tcW w:w="64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5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5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IRGSE Holding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70,755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(21,717 )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59,913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70,755</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10,875</w:t>
            </w:r>
          </w:p>
        </w:tc>
        <w:tc>
          <w:tcPr>
            <w:tcW w:w="3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ind w:left="46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b w:val="1"/>
                <w:bCs w:val="1"/>
                <w:color w:val="auto"/>
              </w:rPr>
              <w:t xml:space="preserve">(21,717 </w:t>
            </w:r>
            <w:r>
              <w:rPr>
                <w:rFonts w:ascii="Times New Roman" w:cs="Times New Roman" w:eastAsia="Times New Roman" w:hAnsi="Times New Roman"/>
                <w:sz w:val="15"/>
                <w:szCs w:val="15"/>
                <w:b w:val="1"/>
                <w:bCs w:val="1"/>
                <w:color w:val="auto"/>
                <w:vertAlign w:val="subscript"/>
              </w:rPr>
              <w:t>)</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50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ind w:left="52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59,913</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w:t>
            </w:r>
          </w:p>
        </w:tc>
        <w:tc>
          <w:tcPr>
            <w:tcW w:w="2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7,756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38" w:right="640" w:bottom="1440" w:gutter="0" w:footer="0" w:header="0"/>
        </w:sectPr>
      </w:pPr>
    </w:p>
    <w:bookmarkStart w:id="111" w:name="page112"/>
    <w:bookmarkEnd w:id="111"/>
    <w:p>
      <w:pPr>
        <w:spacing w:after="0" w:line="245" w:lineRule="exact"/>
        <w:rPr>
          <w:sz w:val="20"/>
          <w:szCs w:val="20"/>
          <w:color w:val="auto"/>
        </w:rPr>
      </w:pPr>
    </w:p>
    <w:p>
      <w:pPr>
        <w:ind w:left="480" w:right="6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spacing w:after="0" w:line="234"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2" w:lineRule="exact"/>
        <w:rPr>
          <w:sz w:val="20"/>
          <w:szCs w:val="20"/>
          <w:color w:val="auto"/>
        </w:rPr>
      </w:pPr>
    </w:p>
    <w:p>
      <w:pPr>
        <w:ind w:right="220" w:firstLine="6"/>
        <w:spacing w:after="0" w:line="234" w:lineRule="auto"/>
        <w:tabs>
          <w:tab w:leader="none" w:pos="21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estimated cost basis of investments for U.S. federal tax purposes was $3,256,630 resulting in estimated gross unrealized gains and losses of $159,281 and $135,606, respectively.</w:t>
      </w:r>
    </w:p>
    <w:p>
      <w:pPr>
        <w:spacing w:after="0" w:line="1" w:lineRule="exact"/>
        <w:rPr>
          <w:rFonts w:ascii="Times New Roman" w:cs="Times New Roman" w:eastAsia="Times New Roman" w:hAnsi="Times New Roman"/>
          <w:sz w:val="16"/>
          <w:szCs w:val="16"/>
          <w:color w:val="auto"/>
        </w:rPr>
      </w:pPr>
    </w:p>
    <w:p>
      <w:pPr>
        <w:ind w:right="22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6"/>
          <w:szCs w:val="16"/>
          <w:color w:val="auto"/>
        </w:rPr>
      </w:pPr>
    </w:p>
    <w:p>
      <w:pPr>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(9)This investment is valued using observable inputs and is considered a Level 2 investment. See Note 6 for further information related to investments at fair value.</w:t>
      </w:r>
    </w:p>
    <w:p>
      <w:pPr>
        <w:ind w:left="280" w:hanging="274"/>
        <w:spacing w:after="0"/>
        <w:tabs>
          <w:tab w:leader="none" w:pos="2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1 investment. See Note 6 for further information related to investments at fair value.</w:t>
      </w:r>
    </w:p>
    <w:p>
      <w:pPr>
        <w:spacing w:after="0" w:line="19" w:lineRule="exact"/>
        <w:rPr>
          <w:rFonts w:ascii="Times New Roman" w:cs="Times New Roman" w:eastAsia="Times New Roman" w:hAnsi="Times New Roman"/>
          <w:sz w:val="14"/>
          <w:szCs w:val="14"/>
          <w:color w:val="auto"/>
        </w:rPr>
      </w:pPr>
    </w:p>
    <w:p>
      <w:pPr>
        <w:ind w:left="280" w:hanging="274"/>
        <w:spacing w:after="0" w:line="234" w:lineRule="auto"/>
        <w:tabs>
          <w:tab w:leader="none" w:pos="2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investment is non-income producing.</w:t>
      </w:r>
    </w:p>
    <w:p>
      <w:pPr>
        <w:ind w:right="420" w:firstLine="6"/>
        <w:spacing w:after="0" w:line="268" w:lineRule="auto"/>
        <w:tabs>
          <w:tab w:leader="none" w:pos="26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this security was acquired in a transaction exempt from registration under the Securities Act of 1933, and may be deemed to be “restricted securities” under the Securities Act. As of December 31, 2023, the aggregate fair value of these securities is $13,032, or 0.9% of the Company’s net assets.</w:t>
      </w:r>
    </w:p>
    <w:p>
      <w:pPr>
        <w:ind w:left="280" w:hanging="274"/>
        <w:spacing w:after="0" w:line="234" w:lineRule="auto"/>
        <w:tabs>
          <w:tab w:leader="none" w:pos="2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Ownership of equity investments may occur through a holding company or partnership.</w:t>
      </w:r>
    </w:p>
    <w:p>
      <w:pPr>
        <w:ind w:left="280" w:hanging="274"/>
        <w:spacing w:after="0" w:line="234" w:lineRule="auto"/>
        <w:tabs>
          <w:tab w:leader="none" w:pos="2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on non-accrual status as of December 31, 2023.</w:t>
      </w:r>
    </w:p>
    <w:p>
      <w:pPr>
        <w:ind w:right="260" w:firstLine="6"/>
        <w:spacing w:after="0" w:line="280" w:lineRule="auto"/>
        <w:tabs>
          <w:tab w:leader="none" w:pos="26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principal amount outstanding and accrued interest owed on this investment, the Company is entitled to a separate Make-Whole Amount (the “Make-Whole”) of $11.8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4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6"/>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300" w:type="dxa"/>
            <w:vAlign w:val="bottom"/>
          </w:tcPr>
          <w:p>
            <w:pPr>
              <w:spacing w:after="0"/>
              <w:rPr>
                <w:sz w:val="13"/>
                <w:szCs w:val="13"/>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Paid in</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Capital in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Par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Excess</w:t>
            </w:r>
          </w:p>
        </w:tc>
        <w:tc>
          <w:tcPr>
            <w:tcW w:w="9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Distributable</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Total Net</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114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300" w:type="dxa"/>
            <w:vAlign w:val="bottom"/>
          </w:tcPr>
          <w:p>
            <w:pPr>
              <w:spacing w:after="0"/>
              <w:rPr>
                <w:sz w:val="13"/>
                <w:szCs w:val="13"/>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of Par</w:t>
            </w:r>
          </w:p>
        </w:tc>
        <w:tc>
          <w:tcPr>
            <w:tcW w:w="120" w:type="dxa"/>
            <w:vAlign w:val="bottom"/>
          </w:tcPr>
          <w:p>
            <w:pPr>
              <w:spacing w:after="0"/>
              <w:rPr>
                <w:sz w:val="13"/>
                <w:szCs w:val="13"/>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75,771,542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761</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296,044</w:t>
            </w: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(4,291 )</w:t>
            </w:r>
          </w:p>
        </w:tc>
        <w:tc>
          <w:tcPr>
            <w:tcW w:w="3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1,189,275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90,103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1,275,848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Net investment income</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166,327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166,327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4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change in unrealized gains (losses) on investments and foreign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 xml:space="preserve">(74,969 </w:t>
            </w:r>
            <w:r>
              <w:rPr>
                <w:rFonts w:ascii="Times New Roman" w:cs="Times New Roman" w:eastAsia="Times New Roman" w:hAnsi="Times New Roman"/>
                <w:sz w:val="24"/>
                <w:szCs w:val="24"/>
                <w:color w:val="auto"/>
                <w:vertAlign w:val="subscript"/>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 xml:space="preserve">(74,969 </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155"/>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currency translation</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4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realized gain (loss) on investments and foreign currency</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transactions</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16,695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16,695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4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Increase (decrease) in net assets resulting from capital share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transactions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Common stock issued in settlement of convertible notes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4,360,125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(368,206 )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368,206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(6,168 )</w:t>
            </w:r>
          </w:p>
        </w:tc>
        <w:tc>
          <w:tcPr>
            <w:tcW w:w="30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(6,168 )</w:t>
            </w:r>
          </w:p>
        </w:tc>
        <w:tc>
          <w:tcPr>
            <w:tcW w:w="0" w:type="dxa"/>
            <w:vAlign w:val="bottom"/>
          </w:tcPr>
          <w:p>
            <w:pPr>
              <w:spacing w:after="0"/>
              <w:rPr>
                <w:sz w:val="1"/>
                <w:szCs w:val="1"/>
                <w:color w:val="auto"/>
              </w:rPr>
            </w:pPr>
          </w:p>
        </w:tc>
      </w:tr>
      <w:tr>
        <w:trPr>
          <w:trHeight w:val="144"/>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1,625,826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30,516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(144,322 )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(144,322 )</w:t>
            </w: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2"/>
                <w:szCs w:val="12"/>
                <w:color w:val="auto"/>
              </w:rPr>
              <w:t xml:space="preserve">Tax reclassification of stockholders' equity in accordance with GAAP </w:t>
            </w:r>
            <w:r>
              <w:rPr>
                <w:rFonts w:ascii="Times New Roman" w:cs="Times New Roman" w:eastAsia="Times New Roman" w:hAnsi="Times New Roman"/>
                <w:sz w:val="16"/>
                <w:szCs w:val="16"/>
                <w:color w:val="auto"/>
                <w:vertAlign w:val="superscript"/>
              </w:rPr>
              <w:t>(1)</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(2,622 )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9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81,389,287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821</w:t>
            </w:r>
          </w:p>
        </w:tc>
        <w:tc>
          <w:tcPr>
            <w:tcW w:w="9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664,250</w:t>
            </w:r>
          </w:p>
        </w:tc>
        <w:tc>
          <w:tcPr>
            <w:tcW w:w="340" w:type="dxa"/>
            <w:vAlign w:val="bottom"/>
            <w:gridSpan w:val="3"/>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9"/>
                <w:szCs w:val="9"/>
                <w:b w:val="1"/>
                <w:bCs w:val="1"/>
                <w:color w:val="auto"/>
              </w:rPr>
              <w:t xml:space="preserve">(10,459 </w:t>
            </w:r>
            <w:r>
              <w:rPr>
                <w:rFonts w:ascii="Times New Roman" w:cs="Times New Roman" w:eastAsia="Times New Roman" w:hAnsi="Times New Roman"/>
                <w:sz w:val="14"/>
                <w:szCs w:val="14"/>
                <w:b w:val="1"/>
                <w:bCs w:val="1"/>
                <w:color w:val="auto"/>
                <w:vertAlign w:val="subscript"/>
              </w:rPr>
              <w:t>)</w:t>
            </w:r>
          </w:p>
        </w:tc>
        <w:tc>
          <w:tcPr>
            <w:tcW w:w="30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1,294,751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ind w:right="4"/>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56,456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ind w:right="5"/>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1,341,569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74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investment income</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196,399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196,399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4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change in unrealized gains (losses) on investments and foreign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currency translation</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13,191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13,191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4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realized gain (loss) on investments and foreign currency</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transactions</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Increase (decrease) in net assets resulting from capital share transactions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Common stock issued in settlement of convertible notes</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1,265,212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(179,966 )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(179,966 )</w:t>
            </w:r>
          </w:p>
        </w:tc>
        <w:tc>
          <w:tcPr>
            <w:tcW w:w="0" w:type="dxa"/>
            <w:vAlign w:val="bottom"/>
          </w:tcPr>
          <w:p>
            <w:pPr>
              <w:spacing w:after="0"/>
              <w:rPr>
                <w:sz w:val="1"/>
                <w:szCs w:val="1"/>
                <w:color w:val="auto"/>
              </w:rPr>
            </w:pPr>
          </w:p>
        </w:tc>
      </w:tr>
      <w:tr>
        <w:trPr>
          <w:trHeight w:val="144"/>
        </w:trPr>
        <w:tc>
          <w:tcPr>
            <w:tcW w:w="3740" w:type="dxa"/>
            <w:vAlign w:val="bottom"/>
          </w:tcPr>
          <w:p>
            <w:pPr>
              <w:ind w:left="100"/>
              <w:spacing w:after="0" w:line="144" w:lineRule="exact"/>
              <w:rPr>
                <w:sz w:val="20"/>
                <w:szCs w:val="20"/>
                <w:color w:val="auto"/>
              </w:rPr>
            </w:pPr>
            <w:r>
              <w:rPr>
                <w:rFonts w:ascii="Times New Roman" w:cs="Times New Roman" w:eastAsia="Times New Roman" w:hAnsi="Times New Roman"/>
                <w:sz w:val="12"/>
                <w:szCs w:val="12"/>
                <w:color w:val="auto"/>
              </w:rPr>
              <w:t xml:space="preserve">Tax reclassification of stockholders' equity in accordance with GAAP </w:t>
            </w:r>
            <w:r>
              <w:rPr>
                <w:rFonts w:ascii="Times New Roman" w:cs="Times New Roman" w:eastAsia="Times New Roman" w:hAnsi="Times New Roman"/>
                <w:sz w:val="16"/>
                <w:szCs w:val="16"/>
                <w:color w:val="auto"/>
                <w:vertAlign w:val="superscript"/>
              </w:rPr>
              <w:t>(1)</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(2,263 )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4"/>
        </w:trPr>
        <w:tc>
          <w:tcPr>
            <w:tcW w:w="37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9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87,829,499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885</w:t>
            </w:r>
          </w:p>
        </w:tc>
        <w:tc>
          <w:tcPr>
            <w:tcW w:w="9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664,250</w:t>
            </w:r>
          </w:p>
        </w:tc>
        <w:tc>
          <w:tcPr>
            <w:tcW w:w="340" w:type="dxa"/>
            <w:vAlign w:val="bottom"/>
            <w:gridSpan w:val="3"/>
            <w:shd w:val="clear" w:color="auto" w:fill="CFF0FC"/>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shd w:val="clear" w:color="auto" w:fill="CFF0FC"/>
          </w:tcPr>
          <w:p>
            <w:pPr>
              <w:jc w:val="right"/>
              <w:ind w:right="60"/>
              <w:spacing w:after="0" w:line="124" w:lineRule="exact"/>
              <w:rPr>
                <w:sz w:val="20"/>
                <w:szCs w:val="20"/>
                <w:color w:val="auto"/>
              </w:rPr>
            </w:pPr>
            <w:r>
              <w:rPr>
                <w:rFonts w:ascii="Times New Roman" w:cs="Times New Roman" w:eastAsia="Times New Roman" w:hAnsi="Times New Roman"/>
                <w:sz w:val="9"/>
                <w:szCs w:val="9"/>
                <w:b w:val="1"/>
                <w:bCs w:val="1"/>
                <w:color w:val="auto"/>
              </w:rPr>
              <w:t xml:space="preserve">(10,459 </w:t>
            </w:r>
            <w:r>
              <w:rPr>
                <w:rFonts w:ascii="Times New Roman" w:cs="Times New Roman" w:eastAsia="Times New Roman" w:hAnsi="Times New Roman"/>
                <w:sz w:val="14"/>
                <w:szCs w:val="14"/>
                <w:b w:val="1"/>
                <w:bCs w:val="1"/>
                <w:color w:val="auto"/>
                <w:vertAlign w:val="subscript"/>
              </w:rPr>
              <w:t>)</w:t>
            </w:r>
          </w:p>
        </w:tc>
        <w:tc>
          <w:tcPr>
            <w:tcW w:w="300" w:type="dxa"/>
            <w:vAlign w:val="bottom"/>
            <w:shd w:val="clear" w:color="auto" w:fill="CFF0FC"/>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1,405,173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4"/>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100,776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5"/>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1,496,375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740" w:type="dxa"/>
            <w:vAlign w:val="bottom"/>
            <w:tcBorders>
              <w:top w:val="single" w:sz="8" w:color="CFF0FC"/>
            </w:tcBorders>
          </w:tcPr>
          <w:p>
            <w:pPr>
              <w:ind w:left="100"/>
              <w:spacing w:after="0" w:line="120" w:lineRule="exact"/>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Net investment income</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220,017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220,017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4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change in unrealized gains (losses) on investments and foreign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currency translation</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(42,024 )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(42,024 )</w:t>
            </w:r>
          </w:p>
        </w:tc>
        <w:tc>
          <w:tcPr>
            <w:tcW w:w="0" w:type="dxa"/>
            <w:vAlign w:val="bottom"/>
          </w:tcPr>
          <w:p>
            <w:pPr>
              <w:spacing w:after="0"/>
              <w:rPr>
                <w:sz w:val="1"/>
                <w:szCs w:val="1"/>
                <w:color w:val="auto"/>
              </w:rPr>
            </w:pPr>
          </w:p>
        </w:tc>
      </w:tr>
      <w:tr>
        <w:trPr>
          <w:trHeight w:val="133"/>
        </w:trPr>
        <w:tc>
          <w:tcPr>
            <w:tcW w:w="374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realized gain (loss) on investments and foreign currency</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transactions</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8,573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8,573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Increase (decrease) in net assets resulting from capital share transactions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4,600,000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93,262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93,308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Common stock issued in settlement of convertible notes</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1,231,937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24,711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24,723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(193,443 )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(193,443 )</w:t>
            </w: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2"/>
                <w:szCs w:val="12"/>
                <w:color w:val="auto"/>
              </w:rPr>
              <w:t xml:space="preserve">Tax reclassification of stockholders' equity in accordance with GAAP </w:t>
            </w:r>
            <w:r>
              <w:rPr>
                <w:rFonts w:ascii="Times New Roman" w:cs="Times New Roman" w:eastAsia="Times New Roman" w:hAnsi="Times New Roman"/>
                <w:sz w:val="16"/>
                <w:szCs w:val="16"/>
                <w:color w:val="auto"/>
                <w:vertAlign w:val="superscript"/>
              </w:rPr>
              <w:t>(1)</w:t>
            </w: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(3,809 )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3,809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9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93,661,436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943</w:t>
            </w:r>
          </w:p>
        </w:tc>
        <w:tc>
          <w:tcPr>
            <w:tcW w:w="9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664,250</w:t>
            </w:r>
          </w:p>
        </w:tc>
        <w:tc>
          <w:tcPr>
            <w:tcW w:w="340" w:type="dxa"/>
            <w:vAlign w:val="bottom"/>
            <w:gridSpan w:val="3"/>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9"/>
                <w:szCs w:val="9"/>
                <w:b w:val="1"/>
                <w:bCs w:val="1"/>
                <w:color w:val="auto"/>
              </w:rPr>
              <w:t xml:space="preserve">(10,459 </w:t>
            </w:r>
            <w:r>
              <w:rPr>
                <w:rFonts w:ascii="Times New Roman" w:cs="Times New Roman" w:eastAsia="Times New Roman" w:hAnsi="Times New Roman"/>
                <w:sz w:val="14"/>
                <w:szCs w:val="14"/>
                <w:b w:val="1"/>
                <w:bCs w:val="1"/>
                <w:color w:val="auto"/>
                <w:vertAlign w:val="subscript"/>
              </w:rPr>
              <w:t>)</w:t>
            </w:r>
          </w:p>
        </w:tc>
        <w:tc>
          <w:tcPr>
            <w:tcW w:w="30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1,519,337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ind w:right="4"/>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97,708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ind w:right="5"/>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1,607,529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Company changed its tax year end from March 31st to December 31st.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13" w:name="page114"/>
    <w:bookmarkEnd w:id="113"/>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40" w:orient="portrait"/>
          <w:cols w:equalWidth="0" w:num="1">
            <w:col w:w="9020"/>
          </w:cols>
          <w:pgMar w:left="1440" w:top="1440"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434340</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type w:val="continuous"/>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00" w:type="dxa"/>
            <w:vAlign w:val="bottom"/>
          </w:tcPr>
          <w:p>
            <w:pPr>
              <w:spacing w:after="0"/>
              <w:rPr>
                <w:sz w:val="13"/>
                <w:szCs w:val="13"/>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3"/>
                <w:szCs w:val="13"/>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5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net assets resulting from operations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186,566</w:t>
            </w:r>
          </w:p>
        </w:tc>
        <w:tc>
          <w:tcPr>
            <w:tcW w:w="100" w:type="dxa"/>
            <w:vAlign w:val="bottom"/>
          </w:tcPr>
          <w:p>
            <w:pPr>
              <w:spacing w:after="0"/>
              <w:rPr>
                <w:sz w:val="13"/>
                <w:szCs w:val="13"/>
                <w:color w:val="auto"/>
              </w:rPr>
            </w:pP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222,023</w:t>
            </w: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108,053</w:t>
            </w:r>
          </w:p>
        </w:tc>
        <w:tc>
          <w:tcPr>
            <w:tcW w:w="80" w:type="dxa"/>
            <w:vAlign w:val="bottom"/>
          </w:tcPr>
          <w:p>
            <w:pPr>
              <w:spacing w:after="0"/>
              <w:rPr>
                <w:sz w:val="13"/>
                <w:szCs w:val="13"/>
                <w:color w:val="auto"/>
              </w:rPr>
            </w:pPr>
          </w:p>
        </w:tc>
      </w:tr>
      <w:tr>
        <w:trPr>
          <w:trHeight w:val="144"/>
        </w:trPr>
        <w:tc>
          <w:tcPr>
            <w:tcW w:w="53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Adjustments to reconcile increase (decrease) in net assets resulting from operations to net cash</w:t>
            </w: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provided by (used in) operating activities:</w:t>
            </w: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investments</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(18,854 )</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76,381</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transactions</w:t>
            </w:r>
          </w:p>
        </w:tc>
        <w:tc>
          <w:tcPr>
            <w:tcW w:w="1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(13,379 )</w:t>
            </w: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6,393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(8,721 )</w:t>
            </w: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interest rate swaps</w:t>
            </w:r>
          </w:p>
        </w:tc>
        <w:tc>
          <w:tcPr>
            <w:tcW w:w="16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(174 )</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6,748</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(9,037 )</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(12,253 )</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(14,735 )</w:t>
            </w: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foreign currency transactions</w:t>
            </w:r>
          </w:p>
        </w:tc>
        <w:tc>
          <w:tcPr>
            <w:tcW w:w="16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(610 )</w:t>
            </w: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(335 )</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interest rate swaps</w:t>
            </w:r>
          </w:p>
        </w:tc>
        <w:tc>
          <w:tcPr>
            <w:tcW w:w="1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(2,251 )</w:t>
            </w: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amortization of discount on investments</w:t>
            </w:r>
          </w:p>
        </w:tc>
        <w:tc>
          <w:tcPr>
            <w:tcW w:w="16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(21,101 )</w:t>
            </w: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(17,596 )</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(19,387 )</w:t>
            </w: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6,903</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discount on debt</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Purchases and originations of investments, net</w:t>
            </w:r>
          </w:p>
        </w:tc>
        <w:tc>
          <w:tcPr>
            <w:tcW w:w="1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(1,096,140 )</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(943,451 )</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(995,620 )</w:t>
            </w: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from investments, net</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23,468</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Repayments on investments</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778,177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472,536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675,787</w:t>
            </w: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Paid-in-kind interest</w:t>
            </w:r>
          </w:p>
        </w:tc>
        <w:tc>
          <w:tcPr>
            <w:tcW w:w="16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(29,612 )</w:t>
            </w: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(18,161 )</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(12,881 )</w:t>
            </w:r>
          </w:p>
        </w:tc>
      </w:tr>
      <w:tr>
        <w:trPr>
          <w:trHeight w:val="156"/>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receivable</w:t>
            </w:r>
          </w:p>
        </w:tc>
        <w:tc>
          <w:tcPr>
            <w:tcW w:w="16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(2,826 )</w:t>
            </w: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(7,605 )</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(8,430 )</w:t>
            </w: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Interest receivable paid-in-kind</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(1,518 )</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shd w:val="clear" w:color="auto" w:fill="CFF0FC"/>
          </w:tcPr>
          <w:p>
            <w:pPr>
              <w:spacing w:after="0"/>
              <w:rPr>
                <w:sz w:val="13"/>
                <w:szCs w:val="13"/>
                <w:color w:val="auto"/>
              </w:rPr>
            </w:pPr>
          </w:p>
        </w:tc>
      </w:tr>
      <w:tr>
        <w:trPr>
          <w:trHeight w:val="192"/>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ind w:right="180"/>
              <w:spacing w:after="0" w:line="192" w:lineRule="exact"/>
              <w:rPr>
                <w:sz w:val="20"/>
                <w:szCs w:val="20"/>
                <w:color w:val="auto"/>
              </w:rPr>
            </w:pPr>
            <w:r>
              <w:rPr>
                <w:rFonts w:ascii="Times New Roman" w:cs="Times New Roman" w:eastAsia="Times New Roman" w:hAnsi="Times New Roman"/>
                <w:sz w:val="12"/>
                <w:szCs w:val="12"/>
                <w:color w:val="auto"/>
              </w:rPr>
              <w:t xml:space="preserve">(3,049 </w:t>
            </w:r>
            <w:r>
              <w:rPr>
                <w:rFonts w:ascii="Times New Roman" w:cs="Times New Roman" w:eastAsia="Times New Roman" w:hAnsi="Times New Roman"/>
                <w:sz w:val="22"/>
                <w:szCs w:val="22"/>
                <w:color w:val="auto"/>
                <w:vertAlign w:val="subscript"/>
              </w:rPr>
              <w:t>)</w:t>
            </w:r>
          </w:p>
        </w:tc>
        <w:tc>
          <w:tcPr>
            <w:tcW w:w="140" w:type="dxa"/>
            <w:vAlign w:val="bottom"/>
          </w:tcPr>
          <w:p>
            <w:pPr>
              <w:spacing w:after="0"/>
              <w:rPr>
                <w:sz w:val="16"/>
                <w:szCs w:val="16"/>
                <w:color w:val="auto"/>
              </w:rPr>
            </w:pPr>
          </w:p>
        </w:tc>
        <w:tc>
          <w:tcPr>
            <w:tcW w:w="1440" w:type="dxa"/>
            <w:vAlign w:val="bottom"/>
            <w:gridSpan w:val="2"/>
          </w:tcPr>
          <w:p>
            <w:pPr>
              <w:jc w:val="right"/>
              <w:ind w:right="40"/>
              <w:spacing w:after="0" w:line="192" w:lineRule="exact"/>
              <w:rPr>
                <w:sz w:val="20"/>
                <w:szCs w:val="20"/>
                <w:color w:val="auto"/>
              </w:rPr>
            </w:pPr>
            <w:r>
              <w:rPr>
                <w:rFonts w:ascii="Times New Roman" w:cs="Times New Roman" w:eastAsia="Times New Roman" w:hAnsi="Times New Roman"/>
                <w:sz w:val="12"/>
                <w:szCs w:val="12"/>
                <w:color w:val="auto"/>
              </w:rPr>
              <w:t xml:space="preserve">(1,011 </w:t>
            </w:r>
            <w:r>
              <w:rPr>
                <w:rFonts w:ascii="Times New Roman" w:cs="Times New Roman" w:eastAsia="Times New Roman" w:hAnsi="Times New Roman"/>
                <w:sz w:val="22"/>
                <w:szCs w:val="22"/>
                <w:color w:val="auto"/>
                <w:vertAlign w:val="subscript"/>
              </w:rPr>
              <w:t>)</w:t>
            </w: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1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(5,375 )</w:t>
            </w: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4,382</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(8,864 )</w:t>
            </w: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Payable to affiliate</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(463 )</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Other liabilities</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17,020</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31,072</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(52,777 )</w:t>
            </w: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6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(45,491 )</w:t>
            </w: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(236,788 )</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(224,532 )</w:t>
            </w:r>
          </w:p>
        </w:tc>
      </w:tr>
      <w:tr>
        <w:trPr>
          <w:trHeight w:val="15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on debt</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1,784,906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1,546,233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1,329,868</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Repayments on debt</w:t>
            </w:r>
          </w:p>
        </w:tc>
        <w:tc>
          <w:tcPr>
            <w:tcW w:w="1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(1,653,061 )</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(1,233,264 )</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(918,113 )</w:t>
            </w:r>
          </w:p>
        </w:tc>
      </w:tr>
      <w:tr>
        <w:trPr>
          <w:trHeight w:val="156"/>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financing costs</w:t>
            </w:r>
          </w:p>
        </w:tc>
        <w:tc>
          <w:tcPr>
            <w:tcW w:w="16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(8,810 )</w:t>
            </w: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(9,415 )</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(4,296 )</w:t>
            </w:r>
          </w:p>
        </w:tc>
      </w:tr>
      <w:tr>
        <w:trPr>
          <w:trHeight w:val="144"/>
        </w:trPr>
        <w:tc>
          <w:tcPr>
            <w:tcW w:w="53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issuance of common stock, net of offering and</w:t>
            </w: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underwriting costs</w:t>
            </w: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93,308</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89,204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16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(22,348 )</w:t>
            </w:r>
          </w:p>
        </w:tc>
      </w:tr>
      <w:tr>
        <w:trPr>
          <w:trHeight w:val="15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(6,168 )</w:t>
            </w:r>
          </w:p>
        </w:tc>
      </w:tr>
      <w:tr>
        <w:trPr>
          <w:trHeight w:val="156"/>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6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(168,720 )</w:t>
            </w: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(156,421 )</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(144,731 )</w:t>
            </w: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47,623</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236,337</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234,212</w:t>
            </w: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(451 )</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9,680</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25,196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25,647</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15,967</w:t>
            </w: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27,328</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25,196</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25,647</w:t>
            </w:r>
          </w:p>
        </w:tc>
        <w:tc>
          <w:tcPr>
            <w:tcW w:w="80" w:type="dxa"/>
            <w:vAlign w:val="bottom"/>
          </w:tcPr>
          <w:p>
            <w:pPr>
              <w:spacing w:after="0"/>
              <w:rPr>
                <w:sz w:val="13"/>
                <w:szCs w:val="13"/>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53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Supplemental Information:</w:t>
            </w:r>
          </w:p>
        </w:tc>
        <w:tc>
          <w:tcPr>
            <w:tcW w:w="16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68"/>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139,783</w:t>
            </w:r>
          </w:p>
        </w:tc>
        <w:tc>
          <w:tcPr>
            <w:tcW w:w="100" w:type="dxa"/>
            <w:vAlign w:val="bottom"/>
          </w:tcPr>
          <w:p>
            <w:pPr>
              <w:spacing w:after="0"/>
              <w:rPr>
                <w:sz w:val="14"/>
                <w:szCs w:val="14"/>
                <w:color w:val="auto"/>
              </w:rPr>
            </w:pP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119,396</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55,584</w:t>
            </w:r>
          </w:p>
        </w:tc>
        <w:tc>
          <w:tcPr>
            <w:tcW w:w="80" w:type="dxa"/>
            <w:vAlign w:val="bottom"/>
          </w:tcPr>
          <w:p>
            <w:pPr>
              <w:spacing w:after="0"/>
              <w:rPr>
                <w:sz w:val="14"/>
                <w:szCs w:val="14"/>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Excise and other taxes paid during the period</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2,437</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Dividends declared during the period</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193,443</w:t>
            </w:r>
          </w:p>
        </w:tc>
        <w:tc>
          <w:tcPr>
            <w:tcW w:w="100" w:type="dxa"/>
            <w:vAlign w:val="bottom"/>
          </w:tcPr>
          <w:p>
            <w:pPr>
              <w:spacing w:after="0"/>
              <w:rPr>
                <w:sz w:val="13"/>
                <w:szCs w:val="13"/>
                <w:color w:val="auto"/>
              </w:rPr>
            </w:pP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179,966</w:t>
            </w: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144,322</w:t>
            </w: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Reinvestment of dividends during the period</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24,723</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30,516</w:t>
            </w:r>
          </w:p>
        </w:tc>
        <w:tc>
          <w:tcPr>
            <w:tcW w:w="80" w:type="dxa"/>
            <w:vAlign w:val="bottom"/>
            <w:shd w:val="clear" w:color="auto" w:fill="CFF0FC"/>
          </w:tcPr>
          <w:p>
            <w:pPr>
              <w:spacing w:after="0"/>
              <w:rPr>
                <w:sz w:val="13"/>
                <w:szCs w:val="13"/>
                <w:color w:val="auto"/>
              </w:rPr>
            </w:pPr>
          </w:p>
        </w:tc>
      </w:tr>
      <w:tr>
        <w:trPr>
          <w:trHeight w:val="172"/>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Common stock issued in settlement of convertible notes during the period</w:t>
            </w:r>
          </w:p>
        </w:tc>
        <w:tc>
          <w:tcPr>
            <w:tcW w:w="1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77,642</w:t>
            </w:r>
          </w:p>
        </w:tc>
        <w:tc>
          <w:tcPr>
            <w:tcW w:w="80" w:type="dxa"/>
            <w:vAlign w:val="bottom"/>
          </w:tcPr>
          <w:p>
            <w:pPr>
              <w:spacing w:after="0"/>
              <w:rPr>
                <w:sz w:val="14"/>
                <w:szCs w:val="14"/>
                <w:color w:val="auto"/>
              </w:rPr>
            </w:pP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unless otherwise indicated)</w:t>
      </w:r>
    </w:p>
    <w:p>
      <w:pPr>
        <w:spacing w:after="0" w:line="216" w:lineRule="exact"/>
        <w:rPr>
          <w:sz w:val="20"/>
          <w:szCs w:val="20"/>
          <w:color w:val="auto"/>
        </w:rPr>
      </w:pPr>
    </w:p>
    <w:p>
      <w:pPr>
        <w:ind w:right="7780" w:firstLine="6"/>
        <w:spacing w:after="0" w:line="361" w:lineRule="auto"/>
        <w:tabs>
          <w:tab w:leader="none" w:pos="15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Basis of Presentation </w:t>
      </w:r>
      <w:r>
        <w:rPr>
          <w:rFonts w:ascii="Times New Roman" w:cs="Times New Roman" w:eastAsia="Times New Roman" w:hAnsi="Times New Roman"/>
          <w:sz w:val="16"/>
          <w:szCs w:val="16"/>
          <w:i w:val="1"/>
          <w:iCs w:val="1"/>
          <w:color w:val="auto"/>
        </w:rPr>
        <w:t>Organization</w:t>
      </w:r>
    </w:p>
    <w:p>
      <w:pPr>
        <w:spacing w:after="0" w:line="1"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 -owned subsidiary, Sixth Street SL Holding, LLC, a Delaware limited liability company. On December 9, 2020, the Company formed a wholly-owned subsidiary, Sixth Street Specialty Lending Sub, LLC, a Cayman Islands limited liability company.</w:t>
      </w:r>
    </w:p>
    <w:p>
      <w:pPr>
        <w:spacing w:after="0" w:line="173" w:lineRule="exact"/>
        <w:rPr>
          <w:sz w:val="20"/>
          <w:szCs w:val="20"/>
          <w:color w:val="auto"/>
        </w:rPr>
      </w:pPr>
    </w:p>
    <w:p>
      <w:pPr>
        <w:ind w:right="660" w:firstLine="228"/>
        <w:spacing w:after="0" w:line="259" w:lineRule="auto"/>
        <w:rPr>
          <w:sz w:val="20"/>
          <w:szCs w:val="20"/>
          <w:color w:val="auto"/>
        </w:rPr>
      </w:pPr>
      <w:r>
        <w:rPr>
          <w:rFonts w:ascii="Times New Roman" w:cs="Times New Roman" w:eastAsia="Times New Roman" w:hAnsi="Times New Roman"/>
          <w:sz w:val="16"/>
          <w:szCs w:val="16"/>
          <w:color w:val="auto"/>
        </w:rPr>
        <w:t>On March 21, 2014, the Company completed its initial public offering (“IPO”) and the Company’s shares began trading on the New York Stock Exchange (“NYSE”) under the symbol “TSLX.”</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94"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6"/>
          <w:szCs w:val="16"/>
          <w:i w:val="1"/>
          <w:iCs w:val="1"/>
          <w:color w:val="auto"/>
        </w:rPr>
        <w:t>Financial Services – Investment Companies.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End</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fiscal year ends on December 31.</w:t>
      </w:r>
    </w:p>
    <w:p>
      <w:pPr>
        <w:spacing w:after="0" w:line="282" w:lineRule="exact"/>
        <w:rPr>
          <w:sz w:val="20"/>
          <w:szCs w:val="20"/>
          <w:color w:val="auto"/>
        </w:rPr>
      </w:pPr>
    </w:p>
    <w:p>
      <w:pPr>
        <w:ind w:right="8320" w:firstLine="6"/>
        <w:spacing w:after="0" w:line="361" w:lineRule="auto"/>
        <w:tabs>
          <w:tab w:leader="none" w:pos="156"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i w:val="1"/>
          <w:iCs w:val="1"/>
          <w:color w:val="auto"/>
        </w:rPr>
        <w:t>Use of Estimates</w:t>
      </w:r>
    </w:p>
    <w:p>
      <w:pPr>
        <w:spacing w:after="0" w:line="1"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sectPr>
      </w:pPr>
    </w:p>
    <w:bookmarkStart w:id="116" w:name="page117"/>
    <w:bookmarkEnd w:id="116"/>
    <w:p>
      <w:pPr>
        <w:spacing w:after="0" w:line="65"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 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34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conducts this valuation process on a quarterly basis.</w:t>
      </w:r>
    </w:p>
    <w:p>
      <w:pPr>
        <w:spacing w:after="0" w:line="188"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2024,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6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 xml:space="preserve">The Company applies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the Company has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right="160" w:firstLine="228"/>
        <w:spacing w:after="0" w:line="289" w:lineRule="auto"/>
        <w:rPr>
          <w:sz w:val="20"/>
          <w:szCs w:val="20"/>
          <w:color w:val="auto"/>
        </w:rPr>
      </w:pPr>
      <w:r>
        <w:rPr>
          <w:rFonts w:ascii="Times New Roman" w:cs="Times New Roman" w:eastAsia="Times New Roman" w:hAnsi="Times New Roman"/>
          <w:sz w:val="14"/>
          <w:szCs w:val="14"/>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7" w:name="page118"/>
    <w:bookmarkEnd w:id="117"/>
    <w:p>
      <w:pPr>
        <w:spacing w:after="0" w:line="65"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7"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9"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and Derivative Instruments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7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Derivatives, including the Company’s interest rate swaps, for which broker quotes are available are typically valued at those broker quotes.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Foreign currency amounts are translated into U.S. dollars on the following basis: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•cash and cash equivalents, market value of investments, outstanding debt on revolving credit facilities, other assets and liabilities: at the spot exchange rate on the last business day of the period; and</w:t>
      </w:r>
    </w:p>
    <w:p>
      <w:pPr>
        <w:spacing w:after="0" w:line="59" w:lineRule="exact"/>
        <w:rPr>
          <w:sz w:val="20"/>
          <w:szCs w:val="20"/>
          <w:color w:val="auto"/>
        </w:rPr>
      </w:pPr>
    </w:p>
    <w:p>
      <w:pPr>
        <w:ind w:left="240" w:right="340"/>
        <w:spacing w:after="0" w:line="259" w:lineRule="auto"/>
        <w:rPr>
          <w:sz w:val="20"/>
          <w:szCs w:val="20"/>
          <w:color w:val="auto"/>
        </w:rPr>
      </w:pPr>
      <w:r>
        <w:rPr>
          <w:rFonts w:ascii="Times New Roman" w:cs="Times New Roman" w:eastAsia="Times New Roman" w:hAnsi="Times New Roman"/>
          <w:sz w:val="16"/>
          <w:szCs w:val="16"/>
          <w:color w:val="auto"/>
        </w:rPr>
        <w:t>•purchases and sales of investments, borrowings and repayments of such borrowings, income and expenses: at the rates of exchange prevailing on the respective dates of such transactions.</w:t>
      </w:r>
    </w:p>
    <w:p>
      <w:pPr>
        <w:spacing w:after="0" w:line="155"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8" w:name="page119"/>
    <w:bookmarkEnd w:id="118"/>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 in unrealized gains (losses) on translation of assets and liabilities in foreign currencies on the Consolidated Statements of Operations.</w:t>
      </w:r>
    </w:p>
    <w:p>
      <w:pPr>
        <w:spacing w:after="0" w:line="188"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Offering Expenses</w:t>
      </w:r>
    </w:p>
    <w:p>
      <w:pPr>
        <w:spacing w:after="0" w:line="9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Issuance Costs</w:t>
      </w:r>
    </w:p>
    <w:p>
      <w:pPr>
        <w:spacing w:after="0" w:line="94"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Dividend Income Recognition</w:t>
      </w:r>
    </w:p>
    <w:p>
      <w:pPr>
        <w:spacing w:after="0" w:line="9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4"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94" w:lineRule="exact"/>
        <w:rPr>
          <w:sz w:val="20"/>
          <w:szCs w:val="20"/>
          <w:color w:val="auto"/>
        </w:rPr>
      </w:pPr>
    </w:p>
    <w:p>
      <w:pPr>
        <w:ind w:right="200" w:firstLine="228"/>
        <w:spacing w:after="0" w:line="284" w:lineRule="auto"/>
        <w:rPr>
          <w:sz w:val="20"/>
          <w:szCs w:val="20"/>
          <w:color w:val="auto"/>
        </w:rPr>
      </w:pPr>
      <w:r>
        <w:rPr>
          <w:rFonts w:ascii="Times New Roman" w:cs="Times New Roman" w:eastAsia="Times New Roman" w:hAnsi="Times New Roman"/>
          <w:sz w:val="14"/>
          <w:szCs w:val="14"/>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9" w:name="page120"/>
    <w:bookmarkEnd w:id="11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Reimbursement of Transaction-Related Expenses</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 Including Excise Taxes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69"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Company evaluates tax positions taken or expected to be taken in the course of preparing its financial statements to determine whether the tax positions are “more-likely-than -not”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2024, the Company did not have any uncertain tax positions that met the recognition or measurement criteria, nor did the Company have any unrecognized tax benefits. The Company’s 2023, 2022 and 2021 tax year returns remain subject to examination by the relevant federal, state, and local tax authorities.</w:t>
      </w:r>
    </w:p>
    <w:p>
      <w:pPr>
        <w:spacing w:after="0" w:line="170"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67"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For the calendar years ended December 31, 2024, December 31, 2023 and December 31, 2022 we recorded a net expense of $3.9 million, $2.4 million and $2.6 million, respectively, for U.S. federal excise tax and other taxes.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to Common Stockholders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Reporting</w:t>
      </w:r>
    </w:p>
    <w:p>
      <w:pPr>
        <w:spacing w:after="0" w:line="190"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64"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The Company’s chief operating decision maker (the “CODM”) is comprised of the senior executive committee that includes the Chief Executive Officer, President, Chief Financial Officer, and the Deputy Chief Financial Officer.</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0" w:name="page121"/>
    <w:bookmarkEnd w:id="120"/>
    <w:p>
      <w:pPr>
        <w:spacing w:after="0" w:line="65"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Standards and Regulatory Updates</w:t>
      </w:r>
    </w:p>
    <w:p>
      <w:pPr>
        <w:spacing w:after="0" w:line="9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Improvements to Reportable Segment Disclosures (“ASU 2023-07”),” which enhances disclosure requirements about significant segment expenses that are regularly provided to the chief operating decision maker (the “CODM”). ASU 2023- 07, among other things, (i) requires a single segment public entity to provide all of the disclosures as required by Topic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The Company’s adoption of this guidance did not have a material impact on the Company’s financial position, results of operations or cash flows.</w:t>
      </w:r>
    </w:p>
    <w:p>
      <w:pPr>
        <w:spacing w:after="0" w:line="77"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does not expect this update to have a material effect on the Company's consolidated financial statements.</w:t>
      </w:r>
    </w:p>
    <w:p>
      <w:pPr>
        <w:spacing w:after="0" w:line="71"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the Company's consolidated financial statements.</w:t>
      </w:r>
    </w:p>
    <w:p>
      <w:pPr>
        <w:spacing w:after="0" w:line="231" w:lineRule="exact"/>
        <w:rPr>
          <w:sz w:val="20"/>
          <w:szCs w:val="20"/>
          <w:color w:val="auto"/>
        </w:rPr>
      </w:pPr>
    </w:p>
    <w:p>
      <w:pPr>
        <w:ind w:right="7440" w:firstLine="6"/>
        <w:spacing w:after="0" w:line="361" w:lineRule="auto"/>
        <w:tabs>
          <w:tab w:leader="none" w:pos="156"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Agreements and Related Party Transactions </w:t>
      </w:r>
      <w:r>
        <w:rPr>
          <w:rFonts w:ascii="Times New Roman" w:cs="Times New Roman" w:eastAsia="Times New Roman" w:hAnsi="Times New Roman"/>
          <w:sz w:val="16"/>
          <w:szCs w:val="16"/>
          <w:i w:val="1"/>
          <w:iCs w:val="1"/>
          <w:color w:val="auto"/>
        </w:rPr>
        <w:t>Administration Agreement</w:t>
      </w:r>
    </w:p>
    <w:p>
      <w:pPr>
        <w:spacing w:after="0" w:line="1"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3"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64" w:lineRule="exact"/>
        <w:rPr>
          <w:sz w:val="20"/>
          <w:szCs w:val="20"/>
          <w:color w:val="auto"/>
        </w:rPr>
      </w:pPr>
    </w:p>
    <w:p>
      <w:pPr>
        <w:jc w:val="both"/>
        <w:ind w:right="180" w:firstLine="228"/>
        <w:spacing w:after="0" w:line="247" w:lineRule="auto"/>
        <w:rPr>
          <w:sz w:val="20"/>
          <w:szCs w:val="20"/>
          <w:color w:val="auto"/>
        </w:rPr>
      </w:pPr>
      <w:r>
        <w:rPr>
          <w:rFonts w:ascii="Times New Roman" w:cs="Times New Roman" w:eastAsia="Times New Roman" w:hAnsi="Times New Roman"/>
          <w:sz w:val="16"/>
          <w:szCs w:val="16"/>
          <w:color w:val="auto"/>
        </w:rPr>
        <w:t>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right="200" w:firstLine="228"/>
        <w:spacing w:after="0" w:line="289"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1" w:name="page122"/>
    <w:bookmarkEnd w:id="121"/>
    <w:p>
      <w:pPr>
        <w:spacing w:after="0" w:line="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70" w:lineRule="exact"/>
        <w:rPr>
          <w:sz w:val="20"/>
          <w:szCs w:val="20"/>
          <w:color w:val="auto"/>
        </w:rPr>
      </w:pPr>
    </w:p>
    <w:p>
      <w:pPr>
        <w:jc w:val="both"/>
        <w:ind w:right="500" w:firstLine="228"/>
        <w:spacing w:after="0" w:line="247"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the Company incurred expenses of $3.9 million, $ 3.2 million and $3.1 million, respectively, for administrative services payable to the Adviser under the terms of the Administration Agreement, which is included in other general and administrative expenses in the Consolidated Statements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w:t>
      </w:r>
    </w:p>
    <w:p>
      <w:pPr>
        <w:spacing w:after="0" w:line="94" w:lineRule="exact"/>
        <w:rPr>
          <w:sz w:val="20"/>
          <w:szCs w:val="20"/>
          <w:color w:val="auto"/>
        </w:rPr>
      </w:pPr>
    </w:p>
    <w:p>
      <w:pPr>
        <w:ind w:right="240" w:firstLine="228"/>
        <w:spacing w:after="0" w:line="241" w:lineRule="auto"/>
        <w:rPr>
          <w:sz w:val="20"/>
          <w:szCs w:val="20"/>
          <w:color w:val="auto"/>
        </w:rPr>
      </w:pPr>
      <w:r>
        <w:rPr>
          <w:rFonts w:ascii="Times New Roman" w:cs="Times New Roman" w:eastAsia="Times New Roman" w:hAnsi="Times New Roman"/>
          <w:sz w:val="16"/>
          <w:szCs w:val="16"/>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69" w:lineRule="exact"/>
        <w:rPr>
          <w:sz w:val="20"/>
          <w:szCs w:val="20"/>
          <w:color w:val="auto"/>
        </w:rPr>
      </w:pPr>
    </w:p>
    <w:p>
      <w:pPr>
        <w:jc w:val="both"/>
        <w:ind w:right="12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Management Fees (gross of waivers) were $51.8 million, $46.4 million and $39.9 million,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years ended December 31, 2024, December 31, 2023 and December 31, 2022, Management Fees of $1.5 million, $1.2 million, and $0.4 million, respectively, have been waived pursuant to the Leverage Waiver.</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60"/>
        <w:spacing w:after="0" w:line="239" w:lineRule="auto"/>
        <w:rPr>
          <w:sz w:val="20"/>
          <w:szCs w:val="20"/>
          <w:color w:val="auto"/>
        </w:rPr>
      </w:pPr>
      <w:r>
        <w:rPr>
          <w:rFonts w:ascii="Times New Roman" w:cs="Times New Roman" w:eastAsia="Times New Roman" w:hAnsi="Times New Roman"/>
          <w:sz w:val="16"/>
          <w:szCs w:val="16"/>
          <w:color w:val="auto"/>
        </w:rPr>
        <w:t>1.The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4" w:lineRule="exact"/>
        <w:rPr>
          <w:sz w:val="20"/>
          <w:szCs w:val="20"/>
          <w:color w:val="auto"/>
        </w:rPr>
      </w:pPr>
    </w:p>
    <w:p>
      <w:pPr>
        <w:ind w:left="480" w:right="4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 -Incentive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2" w:name="page123"/>
    <w:bookmarkEnd w:id="122"/>
    <w:p>
      <w:pPr>
        <w:ind w:left="240" w:right="140"/>
        <w:spacing w:after="0" w:line="237" w:lineRule="auto"/>
        <w:rPr>
          <w:sz w:val="20"/>
          <w:szCs w:val="20"/>
          <w:color w:val="auto"/>
        </w:rPr>
      </w:pPr>
      <w:r>
        <w:rPr>
          <w:rFonts w:ascii="Times New Roman" w:cs="Times New Roman" w:eastAsia="Times New Roman" w:hAnsi="Times New Roman"/>
          <w:sz w:val="16"/>
          <w:szCs w:val="16"/>
          <w:color w:val="auto"/>
        </w:rPr>
        <w:t>2.The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172"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55"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59"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Incentive Fees were $40.2 million, $47.0 million and $24.5 million, respectively, of which $ 45.5 million, $ 42.6 million, and $33.4 million, respectively, were realized and payable to the Adviser. For the years ended December 31, 2024, December 31, 2023 and December 31, 2022, $(5.4) million, $4.4 million, and $(8.9) million, respectively, of Incentive Fees were accrued related to Capital Gains Fees. As of December 31, 2024, December 31, 2023 and December 31, 2022, these accrued Incentive Fees are not contractually payable to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88" w:lineRule="exact"/>
        <w:rPr>
          <w:sz w:val="20"/>
          <w:szCs w:val="20"/>
          <w:color w:val="auto"/>
        </w:rPr>
      </w:pPr>
    </w:p>
    <w:p>
      <w:pPr>
        <w:jc w:val="both"/>
        <w:ind w:right="440" w:firstLine="228"/>
        <w:spacing w:after="0" w:line="247" w:lineRule="auto"/>
        <w:rPr>
          <w:sz w:val="20"/>
          <w:szCs w:val="20"/>
          <w:color w:val="auto"/>
        </w:rPr>
      </w:pPr>
      <w:r>
        <w:rPr>
          <w:rFonts w:ascii="Times New Roman" w:cs="Times New Roman" w:eastAsia="Times New Roman" w:hAnsi="Times New Roman"/>
          <w:sz w:val="16"/>
          <w:szCs w:val="16"/>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64" w:lineRule="exact"/>
        <w:rPr>
          <w:sz w:val="20"/>
          <w:szCs w:val="20"/>
          <w:color w:val="auto"/>
        </w:rPr>
      </w:pPr>
    </w:p>
    <w:p>
      <w:pPr>
        <w:jc w:val="both"/>
        <w:ind w:right="2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 at Fair Value</w:t>
      </w:r>
    </w:p>
    <w:p>
      <w:pPr>
        <w:spacing w:after="0" w:line="94"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23" w:name="page124"/>
    <w:bookmarkEnd w:id="123"/>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at fair value consisted of the following at December 31, 2024 and December 31, 2023:</w:t>
      </w:r>
    </w:p>
    <w:p>
      <w:pPr>
        <w:spacing w:after="0" w:line="236"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0" w:type="dxa"/>
            <w:vAlign w:val="bottom"/>
          </w:tcPr>
          <w:p>
            <w:pPr>
              <w:spacing w:after="0"/>
              <w:rPr>
                <w:sz w:val="15"/>
                <w:szCs w:val="15"/>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6"/>
              </w:rPr>
              <w:t xml:space="preserve">Amortized Cost </w:t>
            </w:r>
            <w:r>
              <w:rPr>
                <w:rFonts w:ascii="Times New Roman" w:cs="Times New Roman" w:eastAsia="Times New Roman" w:hAnsi="Times New Roman"/>
                <w:sz w:val="16"/>
                <w:szCs w:val="16"/>
                <w:b w:val="1"/>
                <w:bCs w:val="1"/>
                <w:color w:val="auto"/>
                <w:w w:val="96"/>
                <w:vertAlign w:val="superscript"/>
              </w:rPr>
              <w:t>(1)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3,298,006</w:t>
            </w: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3,302,504</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4,498</w:t>
            </w:r>
          </w:p>
        </w:tc>
        <w:tc>
          <w:tcPr>
            <w:tcW w:w="0" w:type="dxa"/>
            <w:vAlign w:val="bottom"/>
          </w:tcPr>
          <w:p>
            <w:pPr>
              <w:spacing w:after="0"/>
              <w:rPr>
                <w:sz w:val="1"/>
                <w:szCs w:val="1"/>
                <w:color w:val="auto"/>
              </w:rPr>
            </w:pPr>
          </w:p>
        </w:tc>
      </w:tr>
      <w:tr>
        <w:trPr>
          <w:trHeight w:val="180"/>
        </w:trPr>
        <w:tc>
          <w:tcPr>
            <w:tcW w:w="3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53,151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19,844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(33,307)</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37,087</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180"/>
        </w:trPr>
        <w:tc>
          <w:tcPr>
            <w:tcW w:w="3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149,409</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155,501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6,092</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392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5"/>
                <w:szCs w:val="15"/>
                <w:color w:val="auto"/>
              </w:rPr>
            </w:pPr>
          </w:p>
        </w:tc>
        <w:tc>
          <w:tcPr>
            <w:tcW w:w="12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3,539,153</w:t>
            </w:r>
          </w:p>
        </w:tc>
        <w:tc>
          <w:tcPr>
            <w:tcW w:w="120" w:type="dxa"/>
            <w:vAlign w:val="bottom"/>
          </w:tcPr>
          <w:p>
            <w:pPr>
              <w:spacing w:after="0"/>
              <w:rPr>
                <w:sz w:val="15"/>
                <w:szCs w:val="15"/>
                <w:color w:val="auto"/>
              </w:rPr>
            </w:pPr>
          </w:p>
        </w:tc>
        <w:tc>
          <w:tcPr>
            <w:tcW w:w="34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3,518,412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(20,741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2,956,079</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9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2,996,177</w:t>
            </w:r>
          </w:p>
        </w:tc>
        <w:tc>
          <w:tcPr>
            <w:tcW w:w="12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40,098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51,423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35,975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(15,448 )</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38,022</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39,471</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152,623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155,600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52,865</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55,842</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3,251,012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gridSpan w:val="2"/>
          </w:tcPr>
          <w:p>
            <w:pPr>
              <w:jc w:val="right"/>
              <w:ind w:right="19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3,283,065</w:t>
            </w:r>
          </w:p>
        </w:tc>
        <w:tc>
          <w:tcPr>
            <w:tcW w:w="120" w:type="dxa"/>
            <w:vAlign w:val="bottom"/>
          </w:tcPr>
          <w:p>
            <w:pPr>
              <w:spacing w:after="0"/>
              <w:rPr>
                <w:sz w:val="15"/>
                <w:szCs w:val="15"/>
                <w:color w:val="auto"/>
              </w:rPr>
            </w:pPr>
          </w:p>
        </w:tc>
        <w:tc>
          <w:tcPr>
            <w:tcW w:w="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32,053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(1)The 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December 31, 2024 and December 31, 2023 is as follows:</w:t>
      </w:r>
    </w:p>
    <w:p>
      <w:pPr>
        <w:spacing w:after="0" w:line="248" w:lineRule="exact"/>
        <w:rPr>
          <w:sz w:val="20"/>
          <w:szCs w:val="20"/>
          <w:color w:val="auto"/>
        </w:rPr>
      </w:pPr>
    </w:p>
    <w:tbl>
      <w:tblPr>
        <w:tblLayout w:type="fixed"/>
        <w:tblInd w:w="1600" w:type="dxa"/>
        <w:tblCellMar>
          <w:top w:w="0" w:type="dxa"/>
          <w:left w:w="0" w:type="dxa"/>
          <w:bottom w:w="0" w:type="dxa"/>
          <w:right w:w="0" w:type="dxa"/>
        </w:tblCellMar>
      </w:tblPr>
      <w:tr>
        <w:trPr>
          <w:trHeight w:val="156"/>
        </w:trPr>
        <w:tc>
          <w:tcPr>
            <w:tcW w:w="47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4760" w:type="dxa"/>
            <w:vAlign w:val="bottom"/>
          </w:tcPr>
          <w:p>
            <w:pPr>
              <w:spacing w:after="0"/>
              <w:rPr>
                <w:sz w:val="14"/>
                <w:szCs w:val="14"/>
                <w:color w:val="auto"/>
              </w:rPr>
            </w:pPr>
          </w:p>
        </w:tc>
        <w:tc>
          <w:tcPr>
            <w:tcW w:w="108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108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Automotive</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1.2 %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1.3 %</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13.3 %</w:t>
            </w:r>
          </w:p>
        </w:tc>
        <w:tc>
          <w:tcPr>
            <w:tcW w:w="1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18.0 %</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Chemicals</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0.9 %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0.8 %</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Communications</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3.5 %</w:t>
            </w:r>
          </w:p>
        </w:tc>
        <w:tc>
          <w:tcPr>
            <w:tcW w:w="1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3.3 %</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Education</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5.0 %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5.3 %</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Electronics</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0.8 %</w:t>
            </w:r>
          </w:p>
        </w:tc>
        <w:tc>
          <w:tcPr>
            <w:tcW w:w="12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Services</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8.6 %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11.1 %</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Healthcare</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7.5 %</w:t>
            </w:r>
          </w:p>
        </w:tc>
        <w:tc>
          <w:tcPr>
            <w:tcW w:w="1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8.9 %</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Hotel, Gaming and Leisure</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7.4 %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3.7 %</w:t>
            </w:r>
          </w:p>
        </w:tc>
      </w:tr>
      <w:tr>
        <w:trPr>
          <w:trHeight w:val="264"/>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Human Resource Support Services</w:t>
            </w:r>
          </w:p>
        </w:tc>
        <w:tc>
          <w:tcPr>
            <w:tcW w:w="1380" w:type="dxa"/>
            <w:vAlign w:val="bottom"/>
            <w:gridSpan w:val="2"/>
          </w:tcPr>
          <w:p>
            <w:pPr>
              <w:jc w:val="right"/>
              <w:ind w:right="160"/>
              <w:spacing w:after="0" w:line="264" w:lineRule="exact"/>
              <w:rPr>
                <w:sz w:val="20"/>
                <w:szCs w:val="20"/>
                <w:color w:val="auto"/>
              </w:rPr>
            </w:pPr>
            <w:r>
              <w:rPr>
                <w:rFonts w:ascii="Times New Roman" w:cs="Times New Roman" w:eastAsia="Times New Roman" w:hAnsi="Times New Roman"/>
                <w:sz w:val="15"/>
                <w:szCs w:val="15"/>
                <w:color w:val="auto"/>
              </w:rPr>
              <w:t xml:space="preserve">10.2 </w:t>
            </w:r>
            <w:r>
              <w:rPr>
                <w:rFonts w:ascii="Times New Roman" w:cs="Times New Roman" w:eastAsia="Times New Roman" w:hAnsi="Times New Roman"/>
                <w:sz w:val="30"/>
                <w:szCs w:val="30"/>
                <w:color w:val="auto"/>
                <w:vertAlign w:val="subscript"/>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11.2 %</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0.2 %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0.1 %</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Internet Services</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16.4 %</w:t>
            </w:r>
          </w:p>
        </w:tc>
        <w:tc>
          <w:tcPr>
            <w:tcW w:w="1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15.1 %</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Manufacturing</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2.5 %</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Marketing Services</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0.3 %</w:t>
            </w:r>
          </w:p>
        </w:tc>
        <w:tc>
          <w:tcPr>
            <w:tcW w:w="1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0.3 %</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Office Products</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0.4 %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0.5 %</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Oil, Gas and Consumable Fuels</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2.7 %</w:t>
            </w:r>
          </w:p>
        </w:tc>
        <w:tc>
          <w:tcPr>
            <w:tcW w:w="1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4.7 %</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1.9 %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2.9 %</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Pharmaceuticals</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2.9 %</w:t>
            </w:r>
          </w:p>
        </w:tc>
        <w:tc>
          <w:tcPr>
            <w:tcW w:w="12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Real Estate </w:t>
            </w:r>
            <w:r>
              <w:rPr>
                <w:rFonts w:ascii="Times New Roman" w:cs="Times New Roman" w:eastAsia="Times New Roman" w:hAnsi="Times New Roman"/>
                <w:sz w:val="20"/>
                <w:szCs w:val="20"/>
                <w:color w:val="auto"/>
                <w:vertAlign w:val="superscript"/>
              </w:rPr>
              <w:t>(1)</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0.0 %</w:t>
            </w:r>
          </w:p>
        </w:tc>
        <w:tc>
          <w:tcPr>
            <w:tcW w:w="12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Retail and Consumer Products</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9.7 %</w:t>
            </w:r>
          </w:p>
        </w:tc>
        <w:tc>
          <w:tcPr>
            <w:tcW w:w="1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8.2 %</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Transportation</w:t>
            </w:r>
          </w:p>
        </w:tc>
        <w:tc>
          <w:tcPr>
            <w:tcW w:w="1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3.6 %</w:t>
            </w:r>
          </w:p>
        </w:tc>
        <w:tc>
          <w:tcPr>
            <w:tcW w:w="1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2.1 %</w:t>
            </w:r>
          </w:p>
        </w:tc>
      </w:tr>
      <w:tr>
        <w:trPr>
          <w:trHeight w:val="180"/>
        </w:trPr>
        <w:tc>
          <w:tcPr>
            <w:tcW w:w="47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100.0 %</w:t>
            </w:r>
          </w:p>
        </w:tc>
        <w:tc>
          <w:tcPr>
            <w:tcW w:w="1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100.0 %</w:t>
            </w:r>
          </w:p>
        </w:tc>
      </w:tr>
      <w:tr>
        <w:trPr>
          <w:trHeight w:val="20"/>
        </w:trPr>
        <w:tc>
          <w:tcPr>
            <w:tcW w:w="4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124" w:name="page125"/>
    <w:bookmarkEnd w:id="124"/>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December 31, 2024 and December 31, 2023 is as follows:</w:t>
      </w:r>
    </w:p>
    <w:p>
      <w:pPr>
        <w:spacing w:after="0" w:line="248"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4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180"/>
        </w:trPr>
        <w:tc>
          <w:tcPr>
            <w:tcW w:w="49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1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10.7%</w:t>
            </w:r>
          </w:p>
        </w:tc>
      </w:tr>
      <w:tr>
        <w:trPr>
          <w:trHeight w:val="180"/>
        </w:trPr>
        <w:tc>
          <w:tcPr>
            <w:tcW w:w="49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13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25.4%</w:t>
            </w:r>
          </w:p>
        </w:tc>
      </w:tr>
      <w:tr>
        <w:trPr>
          <w:trHeight w:val="180"/>
        </w:trPr>
        <w:tc>
          <w:tcPr>
            <w:tcW w:w="49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South</w:t>
            </w:r>
          </w:p>
        </w:tc>
        <w:tc>
          <w:tcPr>
            <w:tcW w:w="1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20.7%</w:t>
            </w:r>
          </w:p>
        </w:tc>
      </w:tr>
      <w:tr>
        <w:trPr>
          <w:trHeight w:val="180"/>
        </w:trPr>
        <w:tc>
          <w:tcPr>
            <w:tcW w:w="49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13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32.0%</w:t>
            </w:r>
          </w:p>
        </w:tc>
      </w:tr>
      <w:tr>
        <w:trPr>
          <w:trHeight w:val="180"/>
        </w:trPr>
        <w:tc>
          <w:tcPr>
            <w:tcW w:w="4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1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4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13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80"/>
        </w:trPr>
        <w:tc>
          <w:tcPr>
            <w:tcW w:w="492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Finland </w:t>
            </w:r>
            <w:r>
              <w:rPr>
                <w:rFonts w:ascii="Times New Roman" w:cs="Times New Roman" w:eastAsia="Times New Roman" w:hAnsi="Times New Roman"/>
                <w:sz w:val="20"/>
                <w:szCs w:val="20"/>
                <w:color w:val="auto"/>
                <w:vertAlign w:val="superscript"/>
              </w:rPr>
              <w:t>(1)</w:t>
            </w:r>
          </w:p>
        </w:tc>
        <w:tc>
          <w:tcPr>
            <w:tcW w:w="1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4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13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2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1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4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Italy</w:t>
            </w:r>
          </w:p>
        </w:tc>
        <w:tc>
          <w:tcPr>
            <w:tcW w:w="13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2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Luxembourg</w:t>
            </w:r>
          </w:p>
        </w:tc>
        <w:tc>
          <w:tcPr>
            <w:tcW w:w="13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4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13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4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1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80"/>
        </w:trPr>
        <w:tc>
          <w:tcPr>
            <w:tcW w:w="49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13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2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200"/>
        </w:trPr>
        <w:tc>
          <w:tcPr>
            <w:tcW w:w="492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26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282" w:lineRule="exact"/>
        <w:rPr>
          <w:sz w:val="20"/>
          <w:szCs w:val="20"/>
          <w:color w:val="auto"/>
        </w:rPr>
      </w:pPr>
    </w:p>
    <w:p>
      <w:pPr>
        <w:ind w:right="9320" w:firstLine="6"/>
        <w:spacing w:after="0" w:line="477" w:lineRule="auto"/>
        <w:tabs>
          <w:tab w:leader="none" w:pos="15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Derivatives </w:t>
      </w:r>
      <w:r>
        <w:rPr>
          <w:rFonts w:ascii="Times New Roman" w:cs="Times New Roman" w:eastAsia="Times New Roman" w:hAnsi="Times New Roman"/>
          <w:sz w:val="14"/>
          <w:szCs w:val="14"/>
          <w:i w:val="1"/>
          <w:iCs w:val="1"/>
          <w:color w:val="auto"/>
        </w:rPr>
        <w:t>Interest Rate Swaps</w:t>
      </w:r>
    </w:p>
    <w:p>
      <w:pPr>
        <w:spacing w:after="0" w:line="10"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6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Cash flows related to the Company's derivatives are included within operating activities on the Consolidated Statements of Cash Flows. The following tables present the amounts paid and received on the Company’s interest rate swap transactions for the year ended December 31, 2024 and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2140" w:type="dxa"/>
            <w:vAlign w:val="bottom"/>
          </w:tcPr>
          <w:p>
            <w:pPr>
              <w:spacing w:after="0"/>
              <w:rPr>
                <w:sz w:val="14"/>
                <w:szCs w:val="14"/>
                <w:color w:val="auto"/>
              </w:rPr>
            </w:pPr>
          </w:p>
        </w:tc>
        <w:tc>
          <w:tcPr>
            <w:tcW w:w="212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80" w:type="dxa"/>
            <w:vAlign w:val="bottom"/>
          </w:tcPr>
          <w:p>
            <w:pPr>
              <w:spacing w:after="0"/>
              <w:rPr>
                <w:sz w:val="14"/>
                <w:szCs w:val="14"/>
                <w:color w:val="auto"/>
              </w:rPr>
            </w:pPr>
          </w:p>
        </w:tc>
        <w:tc>
          <w:tcPr>
            <w:tcW w:w="132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40" w:type="dxa"/>
            <w:vAlign w:val="bottom"/>
          </w:tcPr>
          <w:p>
            <w:pPr>
              <w:spacing w:after="0"/>
              <w:rPr>
                <w:sz w:val="14"/>
                <w:szCs w:val="14"/>
                <w:color w:val="auto"/>
              </w:rPr>
            </w:pPr>
          </w:p>
        </w:tc>
        <w:tc>
          <w:tcPr>
            <w:tcW w:w="106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180"/>
        </w:trPr>
        <w:tc>
          <w:tcPr>
            <w:tcW w:w="2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Interest rate swap </w:t>
            </w:r>
            <w:r>
              <w:rPr>
                <w:rFonts w:ascii="Times New Roman" w:cs="Times New Roman" w:eastAsia="Times New Roman" w:hAnsi="Times New Roman"/>
                <w:sz w:val="20"/>
                <w:szCs w:val="20"/>
                <w:color w:val="auto"/>
                <w:vertAlign w:val="superscript"/>
              </w:rPr>
              <w:t>(1)</w:t>
            </w:r>
          </w:p>
        </w:tc>
        <w:tc>
          <w:tcPr>
            <w:tcW w:w="21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(20,226 )</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9,881</w:t>
            </w:r>
          </w:p>
        </w:tc>
        <w:tc>
          <w:tcPr>
            <w:tcW w:w="6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(10,345 )</w:t>
            </w:r>
          </w:p>
        </w:tc>
      </w:tr>
      <w:tr>
        <w:trPr>
          <w:trHeight w:val="180"/>
        </w:trPr>
        <w:tc>
          <w:tcPr>
            <w:tcW w:w="214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Interest rate swap </w:t>
            </w:r>
            <w:r>
              <w:rPr>
                <w:rFonts w:ascii="Times New Roman" w:cs="Times New Roman" w:eastAsia="Times New Roman" w:hAnsi="Times New Roman"/>
                <w:sz w:val="20"/>
                <w:szCs w:val="20"/>
                <w:color w:val="auto"/>
                <w:vertAlign w:val="superscript"/>
              </w:rPr>
              <w:t>(1)</w:t>
            </w:r>
          </w:p>
        </w:tc>
        <w:tc>
          <w:tcPr>
            <w:tcW w:w="21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(3,449 )</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1,647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(1,802 )</w:t>
            </w:r>
          </w:p>
        </w:tc>
      </w:tr>
      <w:tr>
        <w:trPr>
          <w:trHeight w:val="180"/>
        </w:trPr>
        <w:tc>
          <w:tcPr>
            <w:tcW w:w="2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Interest rate swap </w:t>
            </w:r>
            <w:r>
              <w:rPr>
                <w:rFonts w:ascii="Times New Roman" w:cs="Times New Roman" w:eastAsia="Times New Roman" w:hAnsi="Times New Roman"/>
                <w:sz w:val="20"/>
                <w:szCs w:val="20"/>
                <w:color w:val="auto"/>
                <w:vertAlign w:val="superscript"/>
              </w:rPr>
              <w:t>(1)</w:t>
            </w:r>
          </w:p>
        </w:tc>
        <w:tc>
          <w:tcPr>
            <w:tcW w:w="21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(82 )</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FF0FC"/>
          </w:tcPr>
          <w:p>
            <w:pPr>
              <w:spacing w:after="0"/>
              <w:rPr>
                <w:sz w:val="15"/>
                <w:szCs w:val="15"/>
                <w:color w:val="auto"/>
              </w:rPr>
            </w:pPr>
          </w:p>
        </w:tc>
      </w:tr>
      <w:tr>
        <w:trPr>
          <w:trHeight w:val="180"/>
        </w:trPr>
        <w:tc>
          <w:tcPr>
            <w:tcW w:w="2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8/1/2026</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(22,448 )</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(14,948 )</w:t>
            </w:r>
          </w:p>
        </w:tc>
      </w:tr>
      <w:tr>
        <w:trPr>
          <w:trHeight w:val="180"/>
        </w:trPr>
        <w:tc>
          <w:tcPr>
            <w:tcW w:w="2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8/14/2028</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(24,956 )</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20,850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(4,106 )</w:t>
            </w:r>
          </w:p>
        </w:tc>
      </w:tr>
      <w:tr>
        <w:trPr>
          <w:trHeight w:val="180"/>
        </w:trPr>
        <w:tc>
          <w:tcPr>
            <w:tcW w:w="2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3/1/2029</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(25,540 )</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20,187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(5,353 )</w:t>
            </w:r>
          </w:p>
        </w:tc>
      </w:tr>
      <w:tr>
        <w:trPr>
          <w:trHeight w:val="200"/>
        </w:trPr>
        <w:tc>
          <w:tcPr>
            <w:tcW w:w="214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1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950,000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 xml:space="preserve">(96,701 </w:t>
            </w:r>
            <w:r>
              <w:rPr>
                <w:rFonts w:ascii="Times New Roman" w:cs="Times New Roman" w:eastAsia="Times New Roman" w:hAnsi="Times New Roman"/>
                <w:sz w:val="18"/>
                <w:szCs w:val="18"/>
                <w:color w:val="auto"/>
                <w:vertAlign w:val="subscript"/>
              </w:rPr>
              <w:t>)</w:t>
            </w: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60,234</w:t>
            </w:r>
          </w:p>
        </w:tc>
        <w:tc>
          <w:tcPr>
            <w:tcW w:w="620" w:type="dxa"/>
            <w:vAlign w:val="bottom"/>
            <w:gridSpan w:val="2"/>
            <w:shd w:val="clear" w:color="auto" w:fill="CFF0FC"/>
          </w:tcPr>
          <w:p>
            <w:pPr>
              <w:jc w:val="right"/>
              <w:ind w:right="2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(36,467 </w:t>
            </w:r>
            <w:r>
              <w:rPr>
                <w:rFonts w:ascii="Times New Roman" w:cs="Times New Roman" w:eastAsia="Times New Roman" w:hAnsi="Times New Roman"/>
                <w:sz w:val="18"/>
                <w:szCs w:val="18"/>
                <w:color w:val="auto"/>
                <w:vertAlign w:val="subscript"/>
              </w:rPr>
              <w:t>)</w:t>
            </w:r>
          </w:p>
        </w:tc>
      </w:tr>
      <w:tr>
        <w:trPr>
          <w:trHeight w:val="20"/>
        </w:trPr>
        <w:tc>
          <w:tcPr>
            <w:tcW w:w="214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2520"/>
        <w:spacing w:after="0" w:line="259" w:lineRule="auto"/>
        <w:rPr>
          <w:sz w:val="20"/>
          <w:szCs w:val="20"/>
          <w:color w:val="auto"/>
        </w:rPr>
      </w:pPr>
      <w:r>
        <w:rPr>
          <w:rFonts w:ascii="Times New Roman" w:cs="Times New Roman" w:eastAsia="Times New Roman" w:hAnsi="Times New Roman"/>
          <w:sz w:val="16"/>
          <w:szCs w:val="16"/>
          <w:color w:val="auto"/>
        </w:rPr>
        <w:t>(1)As of December 31, 2024, these interest rate swaps had either matured or been terminated due to repayment of the underlying investment or security.</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140" w:type="dxa"/>
            <w:vAlign w:val="bottom"/>
          </w:tcPr>
          <w:p>
            <w:pPr>
              <w:spacing w:after="0"/>
              <w:rPr>
                <w:sz w:val="14"/>
                <w:szCs w:val="14"/>
                <w:color w:val="auto"/>
              </w:rPr>
            </w:pPr>
          </w:p>
        </w:tc>
        <w:tc>
          <w:tcPr>
            <w:tcW w:w="212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80" w:type="dxa"/>
            <w:vAlign w:val="bottom"/>
          </w:tcPr>
          <w:p>
            <w:pPr>
              <w:spacing w:after="0"/>
              <w:rPr>
                <w:sz w:val="14"/>
                <w:szCs w:val="14"/>
                <w:color w:val="auto"/>
              </w:rPr>
            </w:pPr>
          </w:p>
        </w:tc>
        <w:tc>
          <w:tcPr>
            <w:tcW w:w="132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40" w:type="dxa"/>
            <w:vAlign w:val="bottom"/>
          </w:tcPr>
          <w:p>
            <w:pPr>
              <w:spacing w:after="0"/>
              <w:rPr>
                <w:sz w:val="14"/>
                <w:szCs w:val="14"/>
                <w:color w:val="auto"/>
              </w:rPr>
            </w:pPr>
          </w:p>
        </w:tc>
        <w:tc>
          <w:tcPr>
            <w:tcW w:w="106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180"/>
        </w:trPr>
        <w:tc>
          <w:tcPr>
            <w:tcW w:w="2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19"/>
                <w:szCs w:val="19"/>
                <w:color w:val="auto"/>
                <w:vertAlign w:val="superscript"/>
              </w:rPr>
              <w:t>(1)</w:t>
            </w:r>
          </w:p>
        </w:tc>
        <w:tc>
          <w:tcPr>
            <w:tcW w:w="21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1/22/2023</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(663 )</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431</w:t>
            </w:r>
          </w:p>
        </w:tc>
        <w:tc>
          <w:tcPr>
            <w:tcW w:w="6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(232 )</w:t>
            </w:r>
          </w:p>
        </w:tc>
      </w:tr>
      <w:tr>
        <w:trPr>
          <w:trHeight w:val="180"/>
        </w:trPr>
        <w:tc>
          <w:tcPr>
            <w:tcW w:w="2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(22,776 )</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(11,151 )</w:t>
            </w:r>
          </w:p>
        </w:tc>
      </w:tr>
      <w:tr>
        <w:trPr>
          <w:trHeight w:val="180"/>
        </w:trPr>
        <w:tc>
          <w:tcPr>
            <w:tcW w:w="2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(3,903 )</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(1,965 )</w:t>
            </w:r>
          </w:p>
        </w:tc>
      </w:tr>
      <w:tr>
        <w:trPr>
          <w:trHeight w:val="180"/>
        </w:trPr>
        <w:tc>
          <w:tcPr>
            <w:tcW w:w="2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(97 )</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5"/>
                <w:szCs w:val="15"/>
                <w:color w:val="auto"/>
              </w:rPr>
            </w:pPr>
          </w:p>
        </w:tc>
      </w:tr>
      <w:tr>
        <w:trPr>
          <w:trHeight w:val="180"/>
        </w:trPr>
        <w:tc>
          <w:tcPr>
            <w:tcW w:w="2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8/1/2026</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(21,745 )</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7,479</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(14,266 )</w:t>
            </w:r>
          </w:p>
        </w:tc>
      </w:tr>
      <w:tr>
        <w:trPr>
          <w:trHeight w:val="180"/>
        </w:trPr>
        <w:tc>
          <w:tcPr>
            <w:tcW w:w="2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8/14/2028</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(9,306 )</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7,587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(1,719 )</w:t>
            </w:r>
          </w:p>
        </w:tc>
      </w:tr>
      <w:tr>
        <w:trPr>
          <w:trHeight w:val="200"/>
        </w:trPr>
        <w:tc>
          <w:tcPr>
            <w:tcW w:w="214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1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952,500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 xml:space="preserve">(58,490 </w:t>
            </w:r>
            <w:r>
              <w:rPr>
                <w:rFonts w:ascii="Times New Roman" w:cs="Times New Roman" w:eastAsia="Times New Roman" w:hAnsi="Times New Roman"/>
                <w:sz w:val="18"/>
                <w:szCs w:val="18"/>
                <w:color w:val="auto"/>
                <w:vertAlign w:val="subscript"/>
              </w:rPr>
              <w:t>)</w:t>
            </w: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29,251</w:t>
            </w:r>
          </w:p>
        </w:tc>
        <w:tc>
          <w:tcPr>
            <w:tcW w:w="620" w:type="dxa"/>
            <w:vAlign w:val="bottom"/>
            <w:gridSpan w:val="2"/>
            <w:shd w:val="clear" w:color="auto" w:fill="CFF0FC"/>
          </w:tcPr>
          <w:p>
            <w:pPr>
              <w:jc w:val="right"/>
              <w:ind w:right="2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(29,239 </w:t>
            </w:r>
            <w:r>
              <w:rPr>
                <w:rFonts w:ascii="Times New Roman" w:cs="Times New Roman" w:eastAsia="Times New Roman" w:hAnsi="Times New Roman"/>
                <w:sz w:val="18"/>
                <w:szCs w:val="18"/>
                <w:color w:val="auto"/>
                <w:vertAlign w:val="subscript"/>
              </w:rPr>
              <w:t>)</w:t>
            </w:r>
          </w:p>
        </w:tc>
      </w:tr>
      <w:tr>
        <w:trPr>
          <w:trHeight w:val="20"/>
        </w:trPr>
        <w:tc>
          <w:tcPr>
            <w:tcW w:w="214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(1)As of December 31, 2023, these interest rate swaps had either matured or been terminated due to repayment of the underlying investment or security.</w:t>
      </w:r>
    </w:p>
    <w:p>
      <w:pPr>
        <w:spacing w:after="0" w:line="188"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For the years ended December 31, 2024 and December 31, 2023, the Company recognized no net change in unrealized gains or losses and a $0.1 million net change in unrealized gains, respectively, on interest rate swaps not designated as hedging instruments in the Consolidated Statement of Operations related to the swap transactions. For the year ended December 31, 2024, the Company recognized a $7.6 million net change in gains on interest rate swaps designated as hedging instruments in the Consolidated Statements of Operations. For the year ended December 31, 2023 the Company recognized a $23.2 million net change in gains on interest rate swaps designated as hedging instruments in the Consolidated Statements of Operations. For the years ended December 31, 2024 and December 31, 2023, the Company recognized no net realized gain or loss on interest rate swaps. For the years ended December 31, 2024 and December 31, 2023, this amount is offset by an increase of $10.4 million and $9.0 million, respectively, for a change in the carrying value of the 2024 Notes, for the years ended December 31, 2024 and December 31, 2023, an increase of $ 8.5 million and $9.6 million, respectively, for a change in carrying value of the 2026 Notes and for the years ended December 31, 2024 and December 31, 2023, a decrease of $(6.1) million and an increase of $4.7 million, respectively, for a change in carrying value of the 2028 Notes. For the year ended December 31, 2024 this amount is offset by an decrease of $(5.2) million for a change in carrying value of the 2029 Notes.</w:t>
      </w:r>
    </w:p>
    <w:p>
      <w:pPr>
        <w:spacing w:after="0" w:line="176" w:lineRule="exact"/>
        <w:rPr>
          <w:sz w:val="20"/>
          <w:szCs w:val="20"/>
          <w:color w:val="auto"/>
        </w:rPr>
      </w:pPr>
    </w:p>
    <w:p>
      <w:pPr>
        <w:ind w:right="180"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2024, the swap transactions had a fair value of $ (24.2) million, which is netted against cash collateral of $46.6 million. Cash is pledged as collateral under the Company’s derivative agreements and is included in restricted cash as a component of cash and cash equivalents on the Company’s Consolidated Balance Sheet. As of December 31, 2024, the derivatives had a fair value of $22.4 million. As of December 31, 2023, the swap transactions had a fair value of $(31.8) million, which is netted against cash collateral of $55.8 million. Cash is pledged as collateral under the Company’s derivative agreements and is included in restricted cash as a component of cash and cash equivalents on the Company’s Consolidated Balance Sheet. As of December 31, 2023, the derivatives had a fair value of $24.0 million.</w:t>
      </w:r>
    </w:p>
    <w:p>
      <w:pPr>
        <w:spacing w:after="0" w:line="173" w:lineRule="exact"/>
        <w:rPr>
          <w:sz w:val="20"/>
          <w:szCs w:val="20"/>
          <w:color w:val="auto"/>
        </w:rPr>
      </w:pPr>
    </w:p>
    <w:p>
      <w:pPr>
        <w:jc w:val="both"/>
        <w:ind w:right="100" w:firstLine="228"/>
        <w:spacing w:after="0" w:line="243" w:lineRule="auto"/>
        <w:rPr>
          <w:sz w:val="20"/>
          <w:szCs w:val="20"/>
          <w:color w:val="auto"/>
        </w:rPr>
      </w:pPr>
      <w:r>
        <w:rPr>
          <w:rFonts w:ascii="Times New Roman" w:cs="Times New Roman" w:eastAsia="Times New Roman" w:hAnsi="Times New Roman"/>
          <w:sz w:val="16"/>
          <w:szCs w:val="16"/>
          <w:color w:val="auto"/>
        </w:rPr>
        <w:t>The Company is required under the terms of its derivatives agreements to pledge assets as collateral to secure its obligations underlying the derivatives. The amount of collateral required varies over time based on the mark -to- 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may enter into other derivative instruments and incur other exposures with the same or other counterparties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6" w:right="660" w:bottom="1440" w:gutter="0" w:footer="0" w:header="0"/>
        </w:sectPr>
      </w:pPr>
    </w:p>
    <w:bookmarkStart w:id="126" w:name="page127"/>
    <w:bookmarkEnd w:id="126"/>
    <w:p>
      <w:pPr>
        <w:spacing w:after="0" w:line="159" w:lineRule="exact"/>
        <w:rPr>
          <w:sz w:val="20"/>
          <w:szCs w:val="20"/>
          <w:color w:val="auto"/>
        </w:rPr>
      </w:pPr>
    </w:p>
    <w:p>
      <w:pPr>
        <w:ind w:right="8000" w:firstLine="6"/>
        <w:spacing w:after="0" w:line="361" w:lineRule="auto"/>
        <w:tabs>
          <w:tab w:leader="none" w:pos="156"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i w:val="1"/>
          <w:iCs w:val="1"/>
          <w:color w:val="auto"/>
        </w:rPr>
        <w:t>Investments</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tables present fair value measurements of investments as of December 31, 2024 and December 31,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gridSpan w:val="10"/>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14,675</w:t>
            </w:r>
          </w:p>
        </w:tc>
        <w:tc>
          <w:tcPr>
            <w:tcW w:w="80" w:type="dxa"/>
            <w:vAlign w:val="bottom"/>
            <w:shd w:val="clear" w:color="auto" w:fill="CFF0FC"/>
          </w:tcPr>
          <w:p>
            <w:pPr>
              <w:spacing w:after="0"/>
              <w:rPr>
                <w:sz w:val="15"/>
                <w:szCs w:val="15"/>
                <w:color w:val="auto"/>
              </w:rPr>
            </w:pPr>
          </w:p>
        </w:tc>
        <w:tc>
          <w:tcPr>
            <w:tcW w:w="420" w:type="dxa"/>
            <w:vAlign w:val="bottom"/>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3,287,829</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139,586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155,501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investments at fair value</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40" w:type="dxa"/>
            <w:vAlign w:val="bottom"/>
          </w:tcPr>
          <w:p>
            <w:pPr>
              <w:spacing w:after="0"/>
              <w:rPr>
                <w:sz w:val="15"/>
                <w:szCs w:val="15"/>
                <w:color w:val="auto"/>
              </w:rPr>
            </w:pPr>
          </w:p>
        </w:tc>
        <w:tc>
          <w:tcPr>
            <w:tcW w:w="42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29,419</w:t>
            </w:r>
          </w:p>
        </w:tc>
        <w:tc>
          <w:tcPr>
            <w:tcW w:w="80" w:type="dxa"/>
            <w:vAlign w:val="bottom"/>
          </w:tcPr>
          <w:p>
            <w:pPr>
              <w:spacing w:after="0"/>
              <w:rPr>
                <w:sz w:val="15"/>
                <w:szCs w:val="15"/>
                <w:color w:val="auto"/>
              </w:rPr>
            </w:pPr>
          </w:p>
        </w:tc>
        <w:tc>
          <w:tcPr>
            <w:tcW w:w="4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(24,238 )</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(24,238 )</w:t>
            </w:r>
          </w:p>
        </w:tc>
        <w:tc>
          <w:tcPr>
            <w:tcW w:w="0" w:type="dxa"/>
            <w:vAlign w:val="bottom"/>
          </w:tcPr>
          <w:p>
            <w:pPr>
              <w:spacing w:after="0"/>
              <w:rPr>
                <w:sz w:val="1"/>
                <w:szCs w:val="1"/>
                <w:color w:val="auto"/>
              </w:rPr>
            </w:pPr>
          </w:p>
        </w:tc>
      </w:tr>
      <w:tr>
        <w:trPr>
          <w:trHeight w:val="180"/>
        </w:trPr>
        <w:tc>
          <w:tcPr>
            <w:tcW w:w="5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40" w:type="dxa"/>
            <w:vAlign w:val="bottom"/>
          </w:tcPr>
          <w:p>
            <w:pPr>
              <w:spacing w:after="0"/>
              <w:rPr>
                <w:sz w:val="15"/>
                <w:szCs w:val="15"/>
                <w:color w:val="auto"/>
              </w:rPr>
            </w:pPr>
          </w:p>
        </w:tc>
        <w:tc>
          <w:tcPr>
            <w:tcW w:w="42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5,181</w:t>
            </w:r>
          </w:p>
        </w:tc>
        <w:tc>
          <w:tcPr>
            <w:tcW w:w="80" w:type="dxa"/>
            <w:vAlign w:val="bottom"/>
          </w:tcPr>
          <w:p>
            <w:pPr>
              <w:spacing w:after="0"/>
              <w:rPr>
                <w:sz w:val="15"/>
                <w:szCs w:val="15"/>
                <w:color w:val="auto"/>
              </w:rPr>
            </w:pPr>
          </w:p>
        </w:tc>
        <w:tc>
          <w:tcPr>
            <w:tcW w:w="4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3,494,174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gridSpan w:val="11"/>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2,391</w:t>
            </w:r>
          </w:p>
        </w:tc>
        <w:tc>
          <w:tcPr>
            <w:tcW w:w="42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2,993,786</w:t>
            </w:r>
          </w:p>
        </w:tc>
        <w:tc>
          <w:tcPr>
            <w:tcW w:w="1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2,996,177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35,975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35,975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606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38,865</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39,471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5,180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10,089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140,331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55,842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55,842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investments at fair value</w:t>
            </w:r>
          </w:p>
        </w:tc>
        <w:tc>
          <w:tcPr>
            <w:tcW w:w="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5,180</w:t>
            </w:r>
          </w:p>
        </w:tc>
        <w:tc>
          <w:tcPr>
            <w:tcW w:w="4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68,928</w:t>
            </w:r>
          </w:p>
        </w:tc>
        <w:tc>
          <w:tcPr>
            <w:tcW w:w="4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3,208,957</w:t>
            </w:r>
          </w:p>
        </w:tc>
        <w:tc>
          <w:tcPr>
            <w:tcW w:w="180" w:type="dxa"/>
            <w:vAlign w:val="bottom"/>
          </w:tcPr>
          <w:p>
            <w:pPr>
              <w:spacing w:after="0"/>
              <w:rPr>
                <w:sz w:val="15"/>
                <w:szCs w:val="15"/>
                <w:color w:val="auto"/>
              </w:rPr>
            </w:pPr>
          </w:p>
        </w:tc>
        <w:tc>
          <w:tcPr>
            <w:tcW w:w="2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3,283,065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3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color w:val="auto"/>
              </w:rPr>
              <w:t>Interest rate swaps</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(31,840</w:t>
            </w:r>
          </w:p>
        </w:tc>
        <w:tc>
          <w:tcPr>
            <w:tcW w:w="140" w:type="dxa"/>
            <w:vAlign w:val="bottom"/>
            <w:shd w:val="clear" w:color="auto" w:fill="CFF0FC"/>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(31,840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5,180</w:t>
            </w:r>
          </w:p>
        </w:tc>
        <w:tc>
          <w:tcPr>
            <w:tcW w:w="4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37,088</w:t>
            </w:r>
          </w:p>
        </w:tc>
        <w:tc>
          <w:tcPr>
            <w:tcW w:w="4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3,208,957</w:t>
            </w:r>
          </w:p>
        </w:tc>
        <w:tc>
          <w:tcPr>
            <w:tcW w:w="180" w:type="dxa"/>
            <w:vAlign w:val="bottom"/>
          </w:tcPr>
          <w:p>
            <w:pPr>
              <w:spacing w:after="0"/>
              <w:rPr>
                <w:sz w:val="15"/>
                <w:szCs w:val="15"/>
                <w:color w:val="auto"/>
              </w:rPr>
            </w:pPr>
          </w:p>
        </w:tc>
        <w:tc>
          <w:tcPr>
            <w:tcW w:w="2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3,251,225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tables present the changes in the fair value of investments for which Level 3 inputs were used to determine the fair value as of and for the year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December 31,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2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4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4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2,993,786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35,975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38,865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140,331</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3,208,957</w:t>
            </w:r>
          </w:p>
        </w:tc>
        <w:tc>
          <w:tcPr>
            <w:tcW w:w="80" w:type="dxa"/>
            <w:vAlign w:val="bottom"/>
            <w:shd w:val="clear" w:color="auto" w:fill="CFF0FC"/>
          </w:tcPr>
          <w:p>
            <w:pPr>
              <w:spacing w:after="0"/>
              <w:rPr>
                <w:sz w:val="15"/>
                <w:szCs w:val="15"/>
                <w:color w:val="auto"/>
              </w:rPr>
            </w:pPr>
          </w:p>
        </w:tc>
      </w:tr>
      <w:tr>
        <w:trPr>
          <w:trHeight w:val="180"/>
        </w:trPr>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24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1,064,366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10,935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1,077,305</w:t>
            </w:r>
          </w:p>
        </w:tc>
        <w:tc>
          <w:tcPr>
            <w:tcW w:w="80" w:type="dxa"/>
            <w:vAlign w:val="bottom"/>
          </w:tcPr>
          <w:p>
            <w:pPr>
              <w:spacing w:after="0"/>
              <w:rPr>
                <w:sz w:val="15"/>
                <w:szCs w:val="15"/>
                <w:color w:val="auto"/>
              </w:rPr>
            </w:pPr>
          </w:p>
        </w:tc>
      </w:tr>
      <w:tr>
        <w:trPr>
          <w:trHeight w:val="180"/>
        </w:trPr>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(764,592 )</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(3,177 )</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(4,880 )</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(772,649 )</w:t>
            </w:r>
          </w:p>
        </w:tc>
      </w:tr>
      <w:tr>
        <w:trPr>
          <w:trHeight w:val="180"/>
        </w:trPr>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240" w:type="dxa"/>
            <w:vAlign w:val="bottom"/>
          </w:tcPr>
          <w:p>
            <w:pPr>
              <w:spacing w:after="0"/>
              <w:rPr>
                <w:sz w:val="15"/>
                <w:szCs w:val="15"/>
                <w:color w:val="auto"/>
              </w:rPr>
            </w:pPr>
          </w:p>
        </w:tc>
        <w:tc>
          <w:tcPr>
            <w:tcW w:w="14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(9,110 )</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(18,089 )</w:t>
            </w:r>
          </w:p>
        </w:tc>
        <w:tc>
          <w:tcPr>
            <w:tcW w:w="200" w:type="dxa"/>
            <w:vAlign w:val="bottom"/>
          </w:tcPr>
          <w:p>
            <w:pPr>
              <w:spacing w:after="0"/>
              <w:rPr>
                <w:sz w:val="15"/>
                <w:szCs w:val="15"/>
                <w:color w:val="auto"/>
              </w:rPr>
            </w:pPr>
          </w:p>
        </w:tc>
        <w:tc>
          <w:tcPr>
            <w:tcW w:w="8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(27,199 )</w:t>
            </w:r>
          </w:p>
        </w:tc>
      </w:tr>
      <w:tr>
        <w:trPr>
          <w:trHeight w:val="180"/>
        </w:trPr>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23,519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1,255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4,476</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315</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29,565</w:t>
            </w:r>
          </w:p>
        </w:tc>
        <w:tc>
          <w:tcPr>
            <w:tcW w:w="80" w:type="dxa"/>
            <w:vAlign w:val="bottom"/>
            <w:shd w:val="clear" w:color="auto" w:fill="CFF0FC"/>
          </w:tcPr>
          <w:p>
            <w:pPr>
              <w:spacing w:after="0"/>
              <w:rPr>
                <w:sz w:val="15"/>
                <w:szCs w:val="15"/>
                <w:color w:val="auto"/>
              </w:rPr>
            </w:pPr>
          </w:p>
        </w:tc>
      </w:tr>
      <w:tr>
        <w:trPr>
          <w:trHeight w:val="252"/>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240" w:type="dxa"/>
            <w:vAlign w:val="bottom"/>
          </w:tcPr>
          <w:p>
            <w:pPr>
              <w:spacing w:after="0"/>
              <w:rPr>
                <w:sz w:val="21"/>
                <w:szCs w:val="21"/>
                <w:color w:val="auto"/>
              </w:rPr>
            </w:pPr>
          </w:p>
        </w:tc>
        <w:tc>
          <w:tcPr>
            <w:tcW w:w="1440" w:type="dxa"/>
            <w:vAlign w:val="bottom"/>
            <w:gridSpan w:val="2"/>
          </w:tcPr>
          <w:p>
            <w:pPr>
              <w:jc w:val="right"/>
              <w:ind w:right="140"/>
              <w:spacing w:after="0" w:line="252" w:lineRule="exact"/>
              <w:rPr>
                <w:sz w:val="20"/>
                <w:szCs w:val="20"/>
                <w:color w:val="auto"/>
              </w:rPr>
            </w:pPr>
            <w:r>
              <w:rPr>
                <w:rFonts w:ascii="Times New Roman" w:cs="Times New Roman" w:eastAsia="Times New Roman" w:hAnsi="Times New Roman"/>
                <w:sz w:val="15"/>
                <w:szCs w:val="15"/>
                <w:color w:val="auto"/>
              </w:rPr>
              <w:t xml:space="preserve">(35,815 </w:t>
            </w:r>
            <w:r>
              <w:rPr>
                <w:rFonts w:ascii="Times New Roman" w:cs="Times New Roman" w:eastAsia="Times New Roman" w:hAnsi="Times New Roman"/>
                <w:sz w:val="29"/>
                <w:szCs w:val="29"/>
                <w:color w:val="auto"/>
                <w:vertAlign w:val="subscript"/>
              </w:rPr>
              <w:t>)</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line="252" w:lineRule="exact"/>
              <w:rPr>
                <w:sz w:val="20"/>
                <w:szCs w:val="20"/>
                <w:color w:val="auto"/>
              </w:rPr>
            </w:pPr>
            <w:r>
              <w:rPr>
                <w:rFonts w:ascii="Times New Roman" w:cs="Times New Roman" w:eastAsia="Times New Roman" w:hAnsi="Times New Roman"/>
                <w:sz w:val="15"/>
                <w:szCs w:val="15"/>
                <w:color w:val="auto"/>
              </w:rPr>
              <w:t xml:space="preserve">(17,656 </w:t>
            </w:r>
            <w:r>
              <w:rPr>
                <w:rFonts w:ascii="Times New Roman" w:cs="Times New Roman" w:eastAsia="Times New Roman" w:hAnsi="Times New Roman"/>
                <w:sz w:val="29"/>
                <w:szCs w:val="29"/>
                <w:color w:val="auto"/>
                <w:vertAlign w:val="subscript"/>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
              <w:spacing w:after="0" w:line="252" w:lineRule="exact"/>
              <w:rPr>
                <w:sz w:val="20"/>
                <w:szCs w:val="20"/>
                <w:color w:val="auto"/>
              </w:rPr>
            </w:pPr>
            <w:r>
              <w:rPr>
                <w:rFonts w:ascii="Times New Roman" w:cs="Times New Roman" w:eastAsia="Times New Roman" w:hAnsi="Times New Roman"/>
                <w:sz w:val="15"/>
                <w:szCs w:val="15"/>
                <w:color w:val="auto"/>
              </w:rPr>
              <w:t xml:space="preserve">(51,583 </w:t>
            </w:r>
            <w:r>
              <w:rPr>
                <w:rFonts w:ascii="Times New Roman" w:cs="Times New Roman" w:eastAsia="Times New Roman" w:hAnsi="Times New Roman"/>
                <w:sz w:val="29"/>
                <w:szCs w:val="29"/>
                <w:color w:val="auto"/>
                <w:vertAlign w:val="subscript"/>
              </w:rPr>
              <w:t>)</w:t>
            </w:r>
          </w:p>
        </w:tc>
      </w:tr>
      <w:tr>
        <w:trPr>
          <w:trHeight w:val="180"/>
        </w:trPr>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(4,371 )</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4,734</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363</w:t>
            </w:r>
          </w:p>
        </w:tc>
        <w:tc>
          <w:tcPr>
            <w:tcW w:w="80" w:type="dxa"/>
            <w:vAlign w:val="bottom"/>
            <w:shd w:val="clear" w:color="auto" w:fill="CFF0FC"/>
          </w:tcPr>
          <w:p>
            <w:pPr>
              <w:spacing w:after="0"/>
              <w:rPr>
                <w:sz w:val="15"/>
                <w:szCs w:val="15"/>
                <w:color w:val="auto"/>
              </w:rPr>
            </w:pPr>
          </w:p>
        </w:tc>
      </w:tr>
      <w:tr>
        <w:trPr>
          <w:trHeight w:val="180"/>
        </w:trPr>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24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20,046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20,282</w:t>
            </w:r>
          </w:p>
        </w:tc>
        <w:tc>
          <w:tcPr>
            <w:tcW w:w="80" w:type="dxa"/>
            <w:vAlign w:val="bottom"/>
          </w:tcPr>
          <w:p>
            <w:pPr>
              <w:spacing w:after="0"/>
              <w:rPr>
                <w:sz w:val="15"/>
                <w:szCs w:val="15"/>
                <w:color w:val="auto"/>
              </w:rPr>
            </w:pPr>
          </w:p>
        </w:tc>
      </w:tr>
      <w:tr>
        <w:trPr>
          <w:trHeight w:val="180"/>
        </w:trPr>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240" w:type="dxa"/>
            <w:vAlign w:val="bottom"/>
          </w:tcPr>
          <w:p>
            <w:pPr>
              <w:spacing w:after="0"/>
              <w:rPr>
                <w:sz w:val="15"/>
                <w:szCs w:val="15"/>
                <w:color w:val="auto"/>
              </w:rPr>
            </w:pPr>
          </w:p>
        </w:tc>
        <w:tc>
          <w:tcPr>
            <w:tcW w:w="14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426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3,287,829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139,586</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538"/>
        </w:trPr>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F-39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4"/>
        </w:trPr>
        <w:tc>
          <w:tcPr>
            <w:tcW w:w="42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7" w:name="page128"/>
    <w:bookmarkEnd w:id="127"/>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Second-lien</w:t>
            </w:r>
          </w:p>
        </w:tc>
        <w:tc>
          <w:tcPr>
            <w:tcW w:w="14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2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4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4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2,495,959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40,762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10,158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147,059</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2,693,938</w:t>
            </w:r>
          </w:p>
        </w:tc>
        <w:tc>
          <w:tcPr>
            <w:tcW w:w="80" w:type="dxa"/>
            <w:vAlign w:val="bottom"/>
            <w:shd w:val="clear" w:color="auto" w:fill="CFF0FC"/>
          </w:tcPr>
          <w:p>
            <w:pPr>
              <w:spacing w:after="0"/>
              <w:rPr>
                <w:sz w:val="15"/>
                <w:szCs w:val="15"/>
                <w:color w:val="auto"/>
              </w:rPr>
            </w:pPr>
          </w:p>
        </w:tc>
      </w:tr>
      <w:tr>
        <w:trPr>
          <w:trHeight w:val="180"/>
        </w:trPr>
        <w:tc>
          <w:tcPr>
            <w:tcW w:w="4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2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887,495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7,961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30,197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13,709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939,362</w:t>
            </w:r>
          </w:p>
        </w:tc>
        <w:tc>
          <w:tcPr>
            <w:tcW w:w="80" w:type="dxa"/>
            <w:vAlign w:val="bottom"/>
          </w:tcPr>
          <w:p>
            <w:pPr>
              <w:spacing w:after="0"/>
              <w:rPr>
                <w:sz w:val="15"/>
                <w:szCs w:val="15"/>
                <w:color w:val="auto"/>
              </w:rPr>
            </w:pPr>
          </w:p>
        </w:tc>
      </w:tr>
      <w:tr>
        <w:trPr>
          <w:trHeight w:val="180"/>
        </w:trPr>
        <w:tc>
          <w:tcPr>
            <w:tcW w:w="4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(11,217 )</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(11,217 )</w:t>
            </w:r>
          </w:p>
        </w:tc>
      </w:tr>
      <w:tr>
        <w:trPr>
          <w:trHeight w:val="180"/>
        </w:trPr>
        <w:tc>
          <w:tcPr>
            <w:tcW w:w="4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Sale Proceeds</w:t>
            </w:r>
          </w:p>
        </w:tc>
        <w:tc>
          <w:tcPr>
            <w:tcW w:w="240" w:type="dxa"/>
            <w:vAlign w:val="bottom"/>
          </w:tcPr>
          <w:p>
            <w:pPr>
              <w:spacing w:after="0"/>
              <w:rPr>
                <w:sz w:val="15"/>
                <w:szCs w:val="15"/>
                <w:color w:val="auto"/>
              </w:rPr>
            </w:pPr>
          </w:p>
        </w:tc>
        <w:tc>
          <w:tcPr>
            <w:tcW w:w="14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(472,044 )</w:t>
            </w:r>
          </w:p>
        </w:tc>
        <w:tc>
          <w:tcPr>
            <w:tcW w:w="120" w:type="dxa"/>
            <w:vAlign w:val="bottom"/>
          </w:tcPr>
          <w:p>
            <w:pPr>
              <w:spacing w:after="0"/>
              <w:rPr>
                <w:sz w:val="15"/>
                <w:szCs w:val="15"/>
                <w:color w:val="auto"/>
              </w:rPr>
            </w:pPr>
          </w:p>
        </w:tc>
        <w:tc>
          <w:tcPr>
            <w:tcW w:w="11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(102 )</w:t>
            </w:r>
          </w:p>
        </w:tc>
        <w:tc>
          <w:tcPr>
            <w:tcW w:w="14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(472,146 )</w:t>
            </w:r>
          </w:p>
        </w:tc>
      </w:tr>
      <w:tr>
        <w:trPr>
          <w:trHeight w:val="180"/>
        </w:trPr>
        <w:tc>
          <w:tcPr>
            <w:tcW w:w="4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15,296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18,161</w:t>
            </w:r>
          </w:p>
        </w:tc>
        <w:tc>
          <w:tcPr>
            <w:tcW w:w="80" w:type="dxa"/>
            <w:vAlign w:val="bottom"/>
            <w:shd w:val="clear" w:color="auto" w:fill="CFF0FC"/>
          </w:tcPr>
          <w:p>
            <w:pPr>
              <w:spacing w:after="0"/>
              <w:rPr>
                <w:sz w:val="15"/>
                <w:szCs w:val="15"/>
                <w:color w:val="auto"/>
              </w:rPr>
            </w:pPr>
          </w:p>
        </w:tc>
      </w:tr>
      <w:tr>
        <w:trPr>
          <w:trHeight w:val="180"/>
        </w:trPr>
        <w:tc>
          <w:tcPr>
            <w:tcW w:w="4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2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51,240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(13,467 )</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(1,186 )</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(20,917 )</w:t>
            </w: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15,670</w:t>
            </w:r>
          </w:p>
        </w:tc>
        <w:tc>
          <w:tcPr>
            <w:tcW w:w="80" w:type="dxa"/>
            <w:vAlign w:val="bottom"/>
          </w:tcPr>
          <w:p>
            <w:pPr>
              <w:spacing w:after="0"/>
              <w:rPr>
                <w:sz w:val="15"/>
                <w:szCs w:val="15"/>
                <w:color w:val="auto"/>
              </w:rPr>
            </w:pPr>
          </w:p>
        </w:tc>
      </w:tr>
      <w:tr>
        <w:trPr>
          <w:trHeight w:val="180"/>
        </w:trPr>
        <w:tc>
          <w:tcPr>
            <w:tcW w:w="4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(487 )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8,466</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7,979</w:t>
            </w:r>
          </w:p>
        </w:tc>
        <w:tc>
          <w:tcPr>
            <w:tcW w:w="80" w:type="dxa"/>
            <w:vAlign w:val="bottom"/>
            <w:shd w:val="clear" w:color="auto" w:fill="CFF0FC"/>
          </w:tcPr>
          <w:p>
            <w:pPr>
              <w:spacing w:after="0"/>
              <w:rPr>
                <w:sz w:val="15"/>
                <w:szCs w:val="15"/>
                <w:color w:val="auto"/>
              </w:rPr>
            </w:pPr>
          </w:p>
        </w:tc>
      </w:tr>
      <w:tr>
        <w:trPr>
          <w:trHeight w:val="180"/>
        </w:trPr>
        <w:tc>
          <w:tcPr>
            <w:tcW w:w="4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2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16,327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16,479</w:t>
            </w:r>
          </w:p>
        </w:tc>
        <w:tc>
          <w:tcPr>
            <w:tcW w:w="80" w:type="dxa"/>
            <w:vAlign w:val="bottom"/>
          </w:tcPr>
          <w:p>
            <w:pPr>
              <w:spacing w:after="0"/>
              <w:rPr>
                <w:sz w:val="15"/>
                <w:szCs w:val="15"/>
                <w:color w:val="auto"/>
              </w:rPr>
            </w:pPr>
          </w:p>
        </w:tc>
      </w:tr>
      <w:tr>
        <w:trPr>
          <w:trHeight w:val="180"/>
        </w:trPr>
        <w:tc>
          <w:tcPr>
            <w:tcW w:w="4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(2,500 )</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240" w:type="dxa"/>
            <w:vAlign w:val="bottom"/>
          </w:tcPr>
          <w:p>
            <w:pPr>
              <w:spacing w:after="0"/>
              <w:rPr>
                <w:sz w:val="15"/>
                <w:szCs w:val="15"/>
                <w:color w:val="auto"/>
              </w:rPr>
            </w:pPr>
          </w:p>
        </w:tc>
        <w:tc>
          <w:tcPr>
            <w:tcW w:w="14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15"/>
                <w:szCs w:val="15"/>
                <w:color w:val="auto"/>
              </w:rPr>
            </w:pPr>
          </w:p>
        </w:tc>
      </w:tr>
      <w:tr>
        <w:trPr>
          <w:trHeight w:val="220"/>
        </w:trPr>
        <w:tc>
          <w:tcPr>
            <w:tcW w:w="424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2,993,786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35,975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38,865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140,331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3,208,957</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9"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Certain of the Company's investment positions in Copper Bidco, LLC were transferred into Level 3 from Level 2 for fair value measurement purposes during the year ended December 31, 2023, as a result of changes in the observability of inputs into the security valuation for this portfolio company.</w:t>
      </w:r>
    </w:p>
    <w:p>
      <w:pPr>
        <w:spacing w:after="0" w:line="59" w:lineRule="exact"/>
        <w:rPr>
          <w:sz w:val="20"/>
          <w:szCs w:val="20"/>
          <w:color w:val="auto"/>
        </w:rPr>
      </w:pPr>
    </w:p>
    <w:p>
      <w:pPr>
        <w:ind w:right="7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information with respect to the net change in unrealized gains or losses on investments for which Level 3 inputs were used in determining fair value that are still held by the Company at December 31, 2024 and December 31, 2023:</w:t>
      </w:r>
    </w:p>
    <w:p>
      <w:pPr>
        <w:spacing w:after="0" w:line="178"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40" w:type="dxa"/>
            <w:vAlign w:val="bottom"/>
          </w:tcPr>
          <w:p>
            <w:pPr>
              <w:spacing w:after="0"/>
              <w:rPr>
                <w:sz w:val="13"/>
                <w:szCs w:val="13"/>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56"/>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Gains or (Losses)</w:t>
            </w:r>
          </w:p>
        </w:tc>
        <w:tc>
          <w:tcPr>
            <w:tcW w:w="140" w:type="dxa"/>
            <w:vAlign w:val="bottom"/>
          </w:tcPr>
          <w:p>
            <w:pPr>
              <w:spacing w:after="0"/>
              <w:rPr>
                <w:sz w:val="13"/>
                <w:szCs w:val="13"/>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Gains or (Losses)</w:t>
            </w:r>
          </w:p>
        </w:tc>
      </w:tr>
      <w:tr>
        <w:trPr>
          <w:trHeight w:val="156"/>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56"/>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December 31, 2024 on</w:t>
            </w:r>
          </w:p>
        </w:tc>
        <w:tc>
          <w:tcPr>
            <w:tcW w:w="14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December 31, 2023 on</w:t>
            </w:r>
          </w:p>
        </w:tc>
      </w:tr>
      <w:tr>
        <w:trPr>
          <w:trHeight w:val="156"/>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14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70"/>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4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(29,217 )</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55,032</w:t>
            </w:r>
          </w:p>
        </w:tc>
        <w:tc>
          <w:tcPr>
            <w:tcW w:w="100" w:type="dxa"/>
            <w:vAlign w:val="bottom"/>
            <w:shd w:val="clear" w:color="auto" w:fill="CFF0FC"/>
          </w:tcPr>
          <w:p>
            <w:pPr>
              <w:spacing w:after="0"/>
              <w:rPr>
                <w:sz w:val="15"/>
                <w:szCs w:val="15"/>
                <w:color w:val="auto"/>
              </w:rPr>
            </w:pPr>
          </w:p>
        </w:tc>
      </w:tr>
      <w:tr>
        <w:trPr>
          <w:trHeight w:val="180"/>
        </w:trPr>
        <w:tc>
          <w:tcPr>
            <w:tcW w:w="4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40" w:type="dxa"/>
            <w:vAlign w:val="bottom"/>
          </w:tcPr>
          <w:p>
            <w:pPr>
              <w:spacing w:after="0"/>
              <w:rPr>
                <w:sz w:val="15"/>
                <w:szCs w:val="15"/>
                <w:color w:val="auto"/>
              </w:rPr>
            </w:pPr>
          </w:p>
        </w:tc>
        <w:tc>
          <w:tcPr>
            <w:tcW w:w="19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(17,656 )</w:t>
            </w:r>
          </w:p>
        </w:tc>
        <w:tc>
          <w:tcPr>
            <w:tcW w:w="140" w:type="dxa"/>
            <w:vAlign w:val="bottom"/>
          </w:tcPr>
          <w:p>
            <w:pPr>
              <w:spacing w:after="0"/>
              <w:rPr>
                <w:sz w:val="15"/>
                <w:szCs w:val="15"/>
                <w:color w:val="auto"/>
              </w:rPr>
            </w:pPr>
          </w:p>
        </w:tc>
        <w:tc>
          <w:tcPr>
            <w:tcW w:w="18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(13,467 )</w:t>
            </w:r>
          </w:p>
        </w:tc>
      </w:tr>
      <w:tr>
        <w:trPr>
          <w:trHeight w:val="180"/>
        </w:trPr>
        <w:tc>
          <w:tcPr>
            <w:tcW w:w="4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4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2,060</w:t>
            </w:r>
          </w:p>
        </w:tc>
        <w:tc>
          <w:tcPr>
            <w:tcW w:w="100" w:type="dxa"/>
            <w:vAlign w:val="bottom"/>
            <w:shd w:val="clear" w:color="auto" w:fill="CFF0FC"/>
          </w:tcPr>
          <w:p>
            <w:pPr>
              <w:spacing w:after="0"/>
              <w:rPr>
                <w:sz w:val="15"/>
                <w:szCs w:val="15"/>
                <w:color w:val="auto"/>
              </w:rPr>
            </w:pPr>
          </w:p>
        </w:tc>
      </w:tr>
      <w:tr>
        <w:trPr>
          <w:trHeight w:val="180"/>
        </w:trPr>
        <w:tc>
          <w:tcPr>
            <w:tcW w:w="4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40" w:type="dxa"/>
            <w:vAlign w:val="bottom"/>
          </w:tcPr>
          <w:p>
            <w:pPr>
              <w:spacing w:after="0"/>
              <w:rPr>
                <w:sz w:val="15"/>
                <w:szCs w:val="15"/>
                <w:color w:val="auto"/>
              </w:rPr>
            </w:pPr>
          </w:p>
        </w:tc>
        <w:tc>
          <w:tcPr>
            <w:tcW w:w="1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(12,834 )</w:t>
            </w:r>
          </w:p>
        </w:tc>
      </w:tr>
      <w:tr>
        <w:trPr>
          <w:trHeight w:val="200"/>
        </w:trPr>
        <w:tc>
          <w:tcPr>
            <w:tcW w:w="448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 xml:space="preserve">(44,985 </w:t>
            </w:r>
            <w:r>
              <w:rPr>
                <w:rFonts w:ascii="Times New Roman" w:cs="Times New Roman" w:eastAsia="Times New Roman" w:hAnsi="Times New Roman"/>
                <w:sz w:val="18"/>
                <w:szCs w:val="18"/>
                <w:color w:val="auto"/>
                <w:vertAlign w:val="subscript"/>
              </w:rPr>
              <w:t>)</w:t>
            </w: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30,791</w:t>
            </w:r>
          </w:p>
        </w:tc>
        <w:tc>
          <w:tcPr>
            <w:tcW w:w="100" w:type="dxa"/>
            <w:vAlign w:val="bottom"/>
            <w:shd w:val="clear" w:color="auto" w:fill="CFF0FC"/>
          </w:tcPr>
          <w:p>
            <w:pPr>
              <w:spacing w:after="0"/>
              <w:rPr>
                <w:sz w:val="17"/>
                <w:szCs w:val="17"/>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tables present the fair value of Level 3 Investments and the significant unobservable inputs used in the valuations as of December 31, 2024 and December 31, 2023. The tables are not intended to be all-inclusive, but instead capture the significant unobservable inputs relevant to the Company’s determination of fair values.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700" w:type="dxa"/>
            <w:vAlign w:val="bottom"/>
          </w:tcPr>
          <w:p>
            <w:pPr>
              <w:spacing w:after="0"/>
              <w:rPr>
                <w:sz w:val="15"/>
                <w:szCs w:val="15"/>
                <w:color w:val="auto"/>
              </w:rPr>
            </w:pPr>
          </w:p>
        </w:tc>
        <w:tc>
          <w:tcPr>
            <w:tcW w:w="1800" w:type="dxa"/>
            <w:vAlign w:val="bottom"/>
            <w:vMerge w:val="restart"/>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10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80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4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1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80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3,287,829</w:t>
            </w:r>
          </w:p>
        </w:tc>
        <w:tc>
          <w:tcPr>
            <w:tcW w:w="1640" w:type="dxa"/>
            <w:vAlign w:val="bottom"/>
            <w:gridSpan w:val="2"/>
            <w:shd w:val="clear" w:color="auto" w:fill="CFF0FC"/>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7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7.7% — 17.7% (12.1%)</w:t>
            </w:r>
          </w:p>
        </w:tc>
        <w:tc>
          <w:tcPr>
            <w:tcW w:w="1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8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18,535</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Income approach</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w:t>
            </w: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color w:val="auto"/>
              </w:rPr>
              <w:t>14.6% — 18.1% (15.6%)</w:t>
            </w:r>
          </w:p>
        </w:tc>
        <w:tc>
          <w:tcPr>
            <w:tcW w:w="1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39,091</w:t>
            </w:r>
          </w:p>
        </w:tc>
        <w:tc>
          <w:tcPr>
            <w:tcW w:w="1640" w:type="dxa"/>
            <w:vAlign w:val="bottom"/>
            <w:gridSpan w:val="2"/>
            <w:shd w:val="clear" w:color="auto" w:fill="CFF0FC"/>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70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4"/>
                <w:szCs w:val="14"/>
                <w:color w:val="auto"/>
              </w:rPr>
              <w:t>12.2% — 22.5% (12.7%)</w:t>
            </w:r>
          </w:p>
        </w:tc>
        <w:tc>
          <w:tcPr>
            <w:tcW w:w="1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139,586</w:t>
            </w:r>
          </w:p>
        </w:tc>
        <w:tc>
          <w:tcPr>
            <w:tcW w:w="1640" w:type="dxa"/>
            <w:vAlign w:val="bottom"/>
            <w:gridSpan w:val="2"/>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Comparable multiple</w:t>
            </w: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2.3x — 20.0x (7.8x)</w:t>
            </w:r>
          </w:p>
        </w:tc>
        <w:tc>
          <w:tcPr>
            <w:tcW w:w="1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208"/>
        </w:trPr>
        <w:tc>
          <w:tcPr>
            <w:tcW w:w="2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3,485,041</w:t>
            </w:r>
          </w:p>
        </w:tc>
        <w:tc>
          <w:tcPr>
            <w:tcW w:w="1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1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$199.4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$6.0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(4)Includes $13.6 million of equity investments which were valued using an asset valuation waterfall, $0.5 million of equity investments using a Black-Scholes model, $20.4 million of equity investments using a discounted cash flow analysis.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8" w:name="page129"/>
    <w:bookmarkEnd w:id="128"/>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6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80" w:type="dxa"/>
            <w:vAlign w:val="bottom"/>
          </w:tcPr>
          <w:p>
            <w:pPr>
              <w:spacing w:after="0"/>
              <w:rPr>
                <w:sz w:val="15"/>
                <w:szCs w:val="15"/>
                <w:color w:val="auto"/>
              </w:rPr>
            </w:pPr>
          </w:p>
        </w:tc>
        <w:tc>
          <w:tcPr>
            <w:tcW w:w="17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70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6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6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Average)</w:t>
            </w:r>
          </w:p>
        </w:tc>
        <w:tc>
          <w:tcPr>
            <w:tcW w:w="170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2,993,786</w:t>
            </w:r>
          </w:p>
        </w:tc>
        <w:tc>
          <w:tcPr>
            <w:tcW w:w="1660" w:type="dxa"/>
            <w:vAlign w:val="bottom"/>
            <w:shd w:val="clear" w:color="auto" w:fill="CFF0FC"/>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8.7% — 17.9% (14.2%)</w:t>
            </w:r>
          </w:p>
        </w:tc>
        <w:tc>
          <w:tcPr>
            <w:tcW w:w="1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35,975</w:t>
            </w:r>
          </w:p>
        </w:tc>
        <w:tc>
          <w:tcPr>
            <w:tcW w:w="1660" w:type="dxa"/>
            <w:vAlign w:val="bottom"/>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15.3% — 21.7% (17.6%)</w:t>
            </w:r>
          </w:p>
        </w:tc>
        <w:tc>
          <w:tcPr>
            <w:tcW w:w="1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38,865</w:t>
            </w:r>
          </w:p>
        </w:tc>
        <w:tc>
          <w:tcPr>
            <w:tcW w:w="1660" w:type="dxa"/>
            <w:vAlign w:val="bottom"/>
            <w:shd w:val="clear" w:color="auto" w:fill="CFF0FC"/>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14.6% — 22.5% (15.4%)</w:t>
            </w:r>
          </w:p>
        </w:tc>
        <w:tc>
          <w:tcPr>
            <w:tcW w:w="1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140,331</w:t>
            </w:r>
          </w:p>
        </w:tc>
        <w:tc>
          <w:tcPr>
            <w:tcW w:w="1660" w:type="dxa"/>
            <w:vAlign w:val="bottom"/>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2.0x — 19.2x (6.7x)</w:t>
            </w:r>
          </w:p>
        </w:tc>
        <w:tc>
          <w:tcPr>
            <w:tcW w:w="1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90"/>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3,208,957</w:t>
            </w:r>
          </w:p>
        </w:tc>
        <w:tc>
          <w:tcPr>
            <w:tcW w:w="166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vMerge w:val="continue"/>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spacing w:after="0"/>
              <w:rPr>
                <w:sz w:val="11"/>
                <w:szCs w:val="11"/>
                <w:color w:val="auto"/>
              </w:rPr>
            </w:pPr>
          </w:p>
        </w:tc>
        <w:tc>
          <w:tcPr>
            <w:tcW w:w="17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$63.4 million of debt investments which were valued using an asset valuation waterfall.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$27.2 million of debt investments which were valued using an asset valuation waterfall.</w:t>
      </w:r>
    </w:p>
    <w:p>
      <w:pPr>
        <w:spacing w:after="0" w:line="234" w:lineRule="auto"/>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(4)Includes $6.4 million of equity investments which were valued using an asset valuation waterfall, $2.4 million of equity investments using a Black-Scholes model,</w:t>
      </w:r>
    </w:p>
    <w:p>
      <w:pPr>
        <w:spacing w:after="0" w:line="1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$15.7 million of equity investments using a discounted cash flow analysis and $6.2 million of equity investments which, due to the proximity of the transactions relative to the measurement dates, we valued using the cost of the investments.</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 -down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Carried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w:t>
      </w:r>
    </w:p>
    <w:p>
      <w:pPr>
        <w:spacing w:after="0" w:line="92"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The fair value of the Company’s Revolving Credit Facility, which is categorized as Level 3 within the fair value hierarchy, as of December 31, 2024 and December 31, 2023, approximates its carrying value as the outstanding balance is callable at carrying value.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presents the fair value of the Company’s 2024 Notes, 2026 Notes, 2028 Notes and 2029 Notes as of December 31, 2024 and December 31, 2023.</w:t>
      </w:r>
    </w:p>
    <w:p>
      <w:pPr>
        <w:spacing w:after="0" w:line="235"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4"/>
          </w:tcPr>
          <w:p>
            <w:pPr>
              <w:jc w:val="right"/>
              <w:ind w:right="64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5"/>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4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65"/>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4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81"/>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65"/>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3"/>
                <w:szCs w:val="13"/>
                <w:b w:val="1"/>
                <w:bCs w:val="1"/>
                <w:color w:val="auto"/>
                <w:w w:val="91"/>
              </w:rPr>
              <w:t xml:space="preserve">Value </w:t>
            </w:r>
            <w:r>
              <w:rPr>
                <w:rFonts w:ascii="Times New Roman" w:cs="Times New Roman" w:eastAsia="Times New Roman" w:hAnsi="Times New Roman"/>
                <w:sz w:val="16"/>
                <w:szCs w:val="16"/>
                <w:b w:val="1"/>
                <w:bCs w:val="1"/>
                <w:color w:val="auto"/>
                <w:w w:val="91"/>
                <w:vertAlign w:val="superscript"/>
              </w:rPr>
              <w:t>(1)</w:t>
            </w:r>
          </w:p>
        </w:tc>
      </w:tr>
      <w:tr>
        <w:trPr>
          <w:trHeight w:val="180"/>
        </w:trPr>
        <w:tc>
          <w:tcPr>
            <w:tcW w:w="3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2024 Notes</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347,500</w:t>
            </w:r>
          </w:p>
        </w:tc>
        <w:tc>
          <w:tcPr>
            <w:tcW w:w="4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340,862</w:t>
            </w:r>
          </w:p>
        </w:tc>
        <w:tc>
          <w:tcPr>
            <w:tcW w:w="100" w:type="dxa"/>
            <w:vAlign w:val="bottom"/>
            <w:shd w:val="clear" w:color="auto" w:fill="CFF0FC"/>
          </w:tcPr>
          <w:p>
            <w:pPr>
              <w:spacing w:after="0"/>
              <w:rPr>
                <w:sz w:val="15"/>
                <w:szCs w:val="15"/>
                <w:color w:val="auto"/>
              </w:rPr>
            </w:pPr>
          </w:p>
        </w:tc>
      </w:tr>
      <w:tr>
        <w:trPr>
          <w:trHeight w:val="180"/>
        </w:trPr>
        <w:tc>
          <w:tcPr>
            <w:tcW w:w="3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287,911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273,410</w:t>
            </w:r>
          </w:p>
        </w:tc>
        <w:tc>
          <w:tcPr>
            <w:tcW w:w="100" w:type="dxa"/>
            <w:vAlign w:val="bottom"/>
          </w:tcPr>
          <w:p>
            <w:pPr>
              <w:spacing w:after="0"/>
              <w:rPr>
                <w:sz w:val="15"/>
                <w:szCs w:val="15"/>
                <w:color w:val="auto"/>
              </w:rPr>
            </w:pPr>
          </w:p>
        </w:tc>
      </w:tr>
      <w:tr>
        <w:trPr>
          <w:trHeight w:val="180"/>
        </w:trPr>
        <w:tc>
          <w:tcPr>
            <w:tcW w:w="3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312,012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309,420</w:t>
            </w:r>
          </w:p>
        </w:tc>
        <w:tc>
          <w:tcPr>
            <w:tcW w:w="100" w:type="dxa"/>
            <w:vAlign w:val="bottom"/>
            <w:shd w:val="clear" w:color="auto" w:fill="CFF0FC"/>
          </w:tcPr>
          <w:p>
            <w:pPr>
              <w:spacing w:after="0"/>
              <w:rPr>
                <w:sz w:val="15"/>
                <w:szCs w:val="15"/>
                <w:color w:val="auto"/>
              </w:rPr>
            </w:pPr>
          </w:p>
        </w:tc>
      </w:tr>
      <w:tr>
        <w:trPr>
          <w:trHeight w:val="180"/>
        </w:trPr>
        <w:tc>
          <w:tcPr>
            <w:tcW w:w="3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354,338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308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950,000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954,261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947,500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923,692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fair value is based on broker quotes received by the Company and is categorized as Level 2 within the fair value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Financial Assets and Liabilities</w:t>
      </w:r>
    </w:p>
    <w:p>
      <w:pPr>
        <w:spacing w:after="0" w:line="92"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The carrying amounts of the Company’s assets and liabilities, other than investments at fair value and the 2024 Notes, 2026 Notes, 2028 Notes and 2029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9" w:name="page130"/>
    <w:bookmarkEnd w:id="12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34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08"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aggregate commitments under the facility were $1.7 billion. The facility includes an uncommitted accordion feature that allows the Company, under certain circumstances, to increase the size of the facility to up to $2.0 billion.</w:t>
      </w:r>
    </w:p>
    <w:p>
      <w:pPr>
        <w:spacing w:after="0" w:line="155"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Pursuant to the Fourteenth Amendment dated June 12, 2023, with respect to $1.465 billion in commitments, the revolving period, during which period the Company, subject to certain conditions, may make borrowings under the facility, was extended to June 11, 2027 and the stated maturity date was extended to June 12, 2028. For the remaining $220.0 million of commitments, (A) with respect to $50.0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37"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67"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The Company may borrow amounts in U.S. dollars or certain other permitted currencies. As of December 31, 2024, the Company had outstanding debt denominated in Australian dollars (AUD) of 63.0 million, British pounds (GBP) of 62.4 million, Canadian dollars (CAD) of 5.0 million, Swedish Krona (SEK) of 80.2 million and Euro (EUR) of 167.2 million on its Revolving Credit Facility, included in the Outstanding Principal amount in the table above. As of December 31, 2023, the Company had outstanding debt denominated in Australian dollars (AUD) of 66.4 million, British pounds (GBP) of 32.3 million, Canadian dollars (CAD) of 96.8 million, and Euro (EUR) of 57.2 million on our Revolving Credit Facility, included in the Outstanding Principal amount in the table below.</w:t>
      </w:r>
    </w:p>
    <w:p>
      <w:pPr>
        <w:spacing w:after="0" w:line="169"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December 31, 2024 and December 31, 2023, the Company had $21.8 million and $0.2 million outstanding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3" w:lineRule="exact"/>
        <w:rPr>
          <w:sz w:val="20"/>
          <w:szCs w:val="20"/>
          <w:color w:val="auto"/>
        </w:rPr>
      </w:pPr>
    </w:p>
    <w:p>
      <w:pPr>
        <w:jc w:val="both"/>
        <w:ind w:right="22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1.5 to 1 on the last day of any fiscal quarter;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•stockholders’ equity of at least $650 million plus 25% of the net proceeds of the sale of equity interests after April 24, 2024; and</w:t>
      </w:r>
    </w:p>
    <w:p>
      <w:pPr>
        <w:spacing w:after="0" w:line="92" w:lineRule="exact"/>
        <w:rPr>
          <w:sz w:val="20"/>
          <w:szCs w:val="20"/>
          <w:color w:val="auto"/>
        </w:rPr>
      </w:pPr>
    </w:p>
    <w:p>
      <w:pPr>
        <w:ind w:left="240" w:right="300"/>
        <w:spacing w:after="0" w:line="299" w:lineRule="auto"/>
        <w:rPr>
          <w:sz w:val="20"/>
          <w:szCs w:val="20"/>
          <w:color w:val="auto"/>
        </w:rPr>
      </w:pPr>
      <w:r>
        <w:rPr>
          <w:rFonts w:ascii="Times New Roman" w:cs="Times New Roman" w:eastAsia="Times New Roman" w:hAnsi="Times New Roman"/>
          <w:sz w:val="14"/>
          <w:szCs w:val="14"/>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0" w:name="page131"/>
    <w:bookmarkEnd w:id="130"/>
    <w:p>
      <w:pPr>
        <w:spacing w:after="0" w:line="65"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Net proceeds received from the Company’s common stock issuances in February 2024 and April 2024 and net proceeds received from the issuance of the 2029 Notes were used to pay down borrowings on the Revolving Credit Facility.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and December 31, 2023, the Company was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Convertible Notes</w:t>
      </w:r>
    </w:p>
    <w:p>
      <w:pPr>
        <w:spacing w:after="0" w:line="94" w:lineRule="exact"/>
        <w:rPr>
          <w:sz w:val="20"/>
          <w:szCs w:val="20"/>
          <w:color w:val="auto"/>
        </w:rPr>
      </w:pPr>
    </w:p>
    <w:p>
      <w:pPr>
        <w:ind w:right="40" w:firstLine="228"/>
        <w:spacing w:after="0" w:line="278" w:lineRule="auto"/>
        <w:rPr>
          <w:sz w:val="20"/>
          <w:szCs w:val="20"/>
          <w:color w:val="auto"/>
        </w:rPr>
      </w:pPr>
      <w:r>
        <w:rPr>
          <w:rFonts w:ascii="Times New Roman" w:cs="Times New Roman" w:eastAsia="Times New Roman" w:hAnsi="Times New Roman"/>
          <w:sz w:val="14"/>
          <w:szCs w:val="14"/>
          <w:color w:val="auto"/>
        </w:rPr>
        <w:t>In February 2017, the Company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the Company’s 2022 Convertible Notes issued in February 2017.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231" w:lineRule="exact"/>
        <w:rPr>
          <w:sz w:val="20"/>
          <w:szCs w:val="20"/>
          <w:color w:val="auto"/>
        </w:rPr>
      </w:pPr>
    </w:p>
    <w:p>
      <w:pPr>
        <w:ind w:right="20" w:firstLine="228"/>
        <w:spacing w:after="0" w:line="278" w:lineRule="auto"/>
        <w:rPr>
          <w:sz w:val="20"/>
          <w:szCs w:val="20"/>
          <w:color w:val="auto"/>
        </w:rPr>
      </w:pPr>
      <w:r>
        <w:rPr>
          <w:rFonts w:ascii="Times New Roman" w:cs="Times New Roman" w:eastAsia="Times New Roman" w:hAnsi="Times New Roman"/>
          <w:sz w:val="14"/>
          <w:szCs w:val="14"/>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the Company,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the Company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69" w:lineRule="exact"/>
        <w:rPr>
          <w:sz w:val="20"/>
          <w:szCs w:val="20"/>
          <w:color w:val="auto"/>
        </w:rPr>
      </w:pPr>
    </w:p>
    <w:p>
      <w:pPr>
        <w:ind w:right="140" w:firstLine="228"/>
        <w:spacing w:after="0" w:line="289" w:lineRule="auto"/>
        <w:rPr>
          <w:sz w:val="20"/>
          <w:szCs w:val="20"/>
          <w:color w:val="auto"/>
        </w:rPr>
      </w:pPr>
      <w:r>
        <w:rPr>
          <w:rFonts w:ascii="Times New Roman" w:cs="Times New Roman" w:eastAsia="Times New Roman" w:hAnsi="Times New Roman"/>
          <w:sz w:val="14"/>
          <w:szCs w:val="14"/>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During the year ended December 31, 2020, we repurchased on the open market and extinguished $2.5 million in aggregate principal amount of the 2024 Notes for</w:t>
      </w:r>
    </w:p>
    <w:p>
      <w:pPr>
        <w:spacing w:after="0" w:line="14" w:lineRule="exact"/>
        <w:rPr>
          <w:sz w:val="20"/>
          <w:szCs w:val="20"/>
          <w:color w:val="auto"/>
        </w:rPr>
      </w:pPr>
    </w:p>
    <w:p>
      <w:pPr>
        <w:ind w:right="620"/>
        <w:spacing w:after="0" w:line="238" w:lineRule="auto"/>
        <w:rPr>
          <w:sz w:val="20"/>
          <w:szCs w:val="20"/>
          <w:color w:val="auto"/>
        </w:rPr>
      </w:pPr>
      <w:r>
        <w:rPr>
          <w:rFonts w:ascii="Times New Roman" w:cs="Times New Roman" w:eastAsia="Times New Roman" w:hAnsi="Times New Roman"/>
          <w:sz w:val="16"/>
          <w:szCs w:val="16"/>
          <w:color w:val="auto"/>
        </w:rPr>
        <w:t>$2.4 million. These repurchases resulted in a gain on extinguishment of debt of less than $0.1 million. This gain is included in the extinguishment of debt in the accompanying Consolidated Statements of Operations.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1" w:name="page132"/>
    <w:bookmarkEnd w:id="131"/>
    <w:p>
      <w:pPr>
        <w:spacing w:after="0" w:line="65"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The Company's 2024 Notes matured on November 1, 2024 and were fully repaid. The corresponding swap transaction associated with the issuance of the 2024 Notes also matured on November 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December 31, 2024 and December 31, 2023 the effective hedge interest rate swaps had a fair value of $(17.6) million and $(26.1) million, respectively, which is offset within interest expense by an equal, but opposite, fair value change for the hedged risk on the 2026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73"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December 31, 2024 and December 31, 2023 the effective hedge interest rate swaps had a fair value of $(1.4) million and $4.7 million, respectively, which is offset within interest expense by an equal, but opposite, fair value change for the hedged risk on the 2028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On January 8, 2024, the Company issued $350.0 million aggregate principal amount of unsecured notes that mature on March 1, 2029 (the “2029 Notes”). The principal amount of the 2029 Notes is payable at maturity. The 2029 Notes bear interest at a rate of 6.125% per year, payable semi- 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73" w:lineRule="exact"/>
        <w:rPr>
          <w:sz w:val="20"/>
          <w:szCs w:val="20"/>
          <w:color w:val="auto"/>
        </w:rPr>
      </w:pPr>
    </w:p>
    <w:p>
      <w:pPr>
        <w:ind w:right="140"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December 31, 2024, the effective hedge interest rate swaps had a fair value of $(5.2) million which is offset within interest expense by an equal, but opposite, fair value change for the hedged risk on the 2029 Notes.</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2" w:name="page133"/>
    <w:bookmarkEnd w:id="132"/>
    <w:p>
      <w:pPr>
        <w:spacing w:after="0" w:line="65"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the components of interest expense related to the 2023 Notes, 2024 Notes, 2026 Notes, 2028 Notes and 2029 Notes were as follows:</w:t>
      </w:r>
    </w:p>
    <w:p>
      <w:pPr>
        <w:spacing w:after="0" w:line="118"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92"/>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60,116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29,294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27,716</w:t>
            </w:r>
          </w:p>
        </w:tc>
        <w:tc>
          <w:tcPr>
            <w:tcW w:w="100" w:type="dxa"/>
            <w:vAlign w:val="bottom"/>
            <w:shd w:val="clear" w:color="auto" w:fill="CFF0FC"/>
          </w:tcPr>
          <w:p>
            <w:pPr>
              <w:spacing w:after="0"/>
              <w:rPr>
                <w:sz w:val="16"/>
                <w:szCs w:val="16"/>
                <w:color w:val="auto"/>
              </w:rPr>
            </w:pPr>
          </w:p>
        </w:tc>
      </w:tr>
      <w:tr>
        <w:trPr>
          <w:trHeight w:val="180"/>
        </w:trPr>
        <w:tc>
          <w:tcPr>
            <w:tcW w:w="4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18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766</w:t>
            </w:r>
          </w:p>
        </w:tc>
        <w:tc>
          <w:tcPr>
            <w:tcW w:w="100" w:type="dxa"/>
            <w:vAlign w:val="bottom"/>
          </w:tcPr>
          <w:p>
            <w:pPr>
              <w:spacing w:after="0"/>
              <w:rPr>
                <w:sz w:val="15"/>
                <w:szCs w:val="15"/>
                <w:color w:val="auto"/>
              </w:rPr>
            </w:pPr>
          </w:p>
        </w:tc>
      </w:tr>
      <w:tr>
        <w:trPr>
          <w:trHeight w:val="192"/>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shd w:val="clear" w:color="auto" w:fill="CFF0FC"/>
          </w:tcPr>
          <w:p>
            <w:pPr>
              <w:spacing w:after="0"/>
              <w:rPr>
                <w:sz w:val="16"/>
                <w:szCs w:val="16"/>
                <w:color w:val="auto"/>
              </w:rPr>
            </w:pPr>
          </w:p>
        </w:tc>
      </w:tr>
      <w:tr>
        <w:trPr>
          <w:trHeight w:val="180"/>
        </w:trPr>
        <w:tc>
          <w:tcPr>
            <w:tcW w:w="4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65,139</w:t>
            </w:r>
          </w:p>
        </w:tc>
        <w:tc>
          <w:tcPr>
            <w:tcW w:w="3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32,324</w:t>
            </w:r>
          </w:p>
        </w:tc>
        <w:tc>
          <w:tcPr>
            <w:tcW w:w="3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30,890</w:t>
            </w:r>
          </w:p>
        </w:tc>
        <w:tc>
          <w:tcPr>
            <w:tcW w:w="100" w:type="dxa"/>
            <w:vAlign w:val="bottom"/>
          </w:tcPr>
          <w:p>
            <w:pPr>
              <w:spacing w:after="0"/>
              <w:rPr>
                <w:sz w:val="15"/>
                <w:szCs w:val="15"/>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Total interest expense in the table above does not include the effect of the interest rate swaps related to the 2023 Notes, 2024 Notes, 2026 Notes, 2028 Notes and 2029 Notes. During the years ended December 31, 2024, December 31, 2023 and December 31, 2022, the Company received $60.2 million, $ 29.5 million, and $27.9 million, respectively, and paid $96.7 million, $ 58.5 million and $31.4 million, respectively, related to the settlements of its interest rate swaps related to the 2023 Notes, 2024 Notes, 2026 Notes, 2028 Notes and 2029 Notes. These net amounts are included in interest expense in the Company’s Consolidated Statements of Operations. Please see Note 5 for further information about the Company’s interest rate swaps.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the components of the carrying value of the 2026 Notes, 2028 Notes and 2029 Notes and the stated interest rates were as follows:</w:t>
      </w:r>
    </w:p>
    <w:p>
      <w:pPr>
        <w:spacing w:after="0" w:line="19"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2"/>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2028 Notes</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2029 Notes</w:t>
            </w:r>
          </w:p>
        </w:tc>
      </w:tr>
      <w:tr>
        <w:trPr>
          <w:trHeight w:val="180"/>
        </w:trPr>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350,000</w:t>
            </w:r>
          </w:p>
        </w:tc>
      </w:tr>
      <w:tr>
        <w:trPr>
          <w:trHeight w:val="180"/>
        </w:trPr>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5"/>
                <w:szCs w:val="15"/>
                <w:color w:val="auto"/>
              </w:rPr>
            </w:pPr>
          </w:p>
        </w:tc>
        <w:tc>
          <w:tcPr>
            <w:tcW w:w="13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(1,357)</w:t>
            </w:r>
          </w:p>
        </w:tc>
        <w:tc>
          <w:tcPr>
            <w:tcW w:w="160" w:type="dxa"/>
            <w:vAlign w:val="bottom"/>
          </w:tcPr>
          <w:p>
            <w:pPr>
              <w:spacing w:after="0"/>
              <w:rPr>
                <w:sz w:val="15"/>
                <w:szCs w:val="15"/>
                <w:color w:val="auto"/>
              </w:rPr>
            </w:pPr>
          </w:p>
        </w:tc>
        <w:tc>
          <w:tcPr>
            <w:tcW w:w="11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(2,819)</w:t>
            </w:r>
          </w:p>
        </w:tc>
      </w:tr>
      <w:tr>
        <w:trPr>
          <w:trHeight w:val="180"/>
        </w:trPr>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(1,182)</w:t>
            </w: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(3,127)</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(4,093)</w:t>
            </w:r>
          </w:p>
        </w:tc>
      </w:tr>
      <w:tr>
        <w:trPr>
          <w:trHeight w:val="180"/>
        </w:trPr>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(17,618)</w:t>
            </w:r>
          </w:p>
        </w:tc>
        <w:tc>
          <w:tcPr>
            <w:tcW w:w="100" w:type="dxa"/>
            <w:vAlign w:val="bottom"/>
          </w:tcPr>
          <w:p>
            <w:pPr>
              <w:spacing w:after="0"/>
              <w:rPr>
                <w:sz w:val="15"/>
                <w:szCs w:val="15"/>
                <w:color w:val="auto"/>
              </w:rPr>
            </w:pPr>
          </w:p>
        </w:tc>
        <w:tc>
          <w:tcPr>
            <w:tcW w:w="13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(1,377)</w:t>
            </w:r>
          </w:p>
        </w:tc>
        <w:tc>
          <w:tcPr>
            <w:tcW w:w="160" w:type="dxa"/>
            <w:vAlign w:val="bottom"/>
          </w:tcPr>
          <w:p>
            <w:pPr>
              <w:spacing w:after="0"/>
              <w:rPr>
                <w:sz w:val="15"/>
                <w:szCs w:val="15"/>
                <w:color w:val="auto"/>
              </w:rPr>
            </w:pPr>
          </w:p>
        </w:tc>
        <w:tc>
          <w:tcPr>
            <w:tcW w:w="11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(5,243)</w:t>
            </w:r>
          </w:p>
        </w:tc>
      </w:tr>
      <w:tr>
        <w:trPr>
          <w:trHeight w:val="200"/>
        </w:trPr>
        <w:tc>
          <w:tcPr>
            <w:tcW w:w="486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280,534</w:t>
            </w: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294,139</w:t>
            </w:r>
          </w:p>
        </w:tc>
        <w:tc>
          <w:tcPr>
            <w:tcW w:w="16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337,845</w:t>
            </w: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20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Stated interest rate</w:t>
            </w:r>
          </w:p>
        </w:tc>
        <w:tc>
          <w:tcPr>
            <w:tcW w:w="1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6.95%</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6.13%</w:t>
            </w:r>
          </w:p>
        </w:tc>
      </w:tr>
    </w:tbl>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2023, the components of the carrying value of the 2024 Notes, 2026 Notes and 2028 Notes and the stated interest rates were as follows:</w:t>
      </w:r>
    </w:p>
    <w:p>
      <w:pPr>
        <w:spacing w:after="0" w:line="19" w:lineRule="exact"/>
        <w:rPr>
          <w:sz w:val="20"/>
          <w:szCs w:val="20"/>
          <w:color w:val="auto"/>
        </w:rPr>
      </w:pPr>
    </w:p>
    <w:tbl>
      <w:tblPr>
        <w:tblLayout w:type="fixed"/>
        <w:tblInd w:w="84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2024 Notes</w:t>
            </w:r>
          </w:p>
        </w:tc>
        <w:tc>
          <w:tcPr>
            <w:tcW w:w="180" w:type="dxa"/>
            <w:vAlign w:val="bottom"/>
          </w:tcPr>
          <w:p>
            <w:pPr>
              <w:spacing w:after="0"/>
              <w:rPr>
                <w:sz w:val="15"/>
                <w:szCs w:val="15"/>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24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2028 Notes</w:t>
            </w:r>
          </w:p>
        </w:tc>
      </w:tr>
      <w:tr>
        <w:trPr>
          <w:trHeight w:val="180"/>
        </w:trPr>
        <w:tc>
          <w:tcPr>
            <w:tcW w:w="4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347,500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60" w:type="dxa"/>
            <w:vAlign w:val="bottom"/>
            <w:shd w:val="clear" w:color="auto" w:fill="CFF0FC"/>
          </w:tcPr>
          <w:p>
            <w:pPr>
              <w:spacing w:after="0"/>
              <w:rPr>
                <w:sz w:val="15"/>
                <w:szCs w:val="15"/>
                <w:color w:val="auto"/>
              </w:rPr>
            </w:pPr>
          </w:p>
        </w:tc>
      </w:tr>
      <w:tr>
        <w:trPr>
          <w:trHeight w:val="180"/>
        </w:trPr>
        <w:tc>
          <w:tcPr>
            <w:tcW w:w="4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20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(335 )</w:t>
            </w:r>
          </w:p>
        </w:tc>
        <w:tc>
          <w:tcPr>
            <w:tcW w:w="180" w:type="dxa"/>
            <w:vAlign w:val="bottom"/>
          </w:tcPr>
          <w:p>
            <w:pPr>
              <w:spacing w:after="0"/>
              <w:rPr>
                <w:sz w:val="15"/>
                <w:szCs w:val="15"/>
                <w:color w:val="auto"/>
              </w:rPr>
            </w:pPr>
          </w:p>
        </w:tc>
        <w:tc>
          <w:tcPr>
            <w:tcW w:w="15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(1,072 )</w:t>
            </w:r>
          </w:p>
        </w:tc>
        <w:tc>
          <w:tcPr>
            <w:tcW w:w="240" w:type="dxa"/>
            <w:vAlign w:val="bottom"/>
          </w:tcPr>
          <w:p>
            <w:pPr>
              <w:spacing w:after="0"/>
              <w:rPr>
                <w:sz w:val="15"/>
                <w:szCs w:val="15"/>
                <w:color w:val="auto"/>
              </w:rPr>
            </w:pPr>
          </w:p>
        </w:tc>
        <w:tc>
          <w:tcPr>
            <w:tcW w:w="12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(1,675 )</w:t>
            </w:r>
          </w:p>
        </w:tc>
      </w:tr>
      <w:tr>
        <w:trPr>
          <w:trHeight w:val="180"/>
        </w:trPr>
        <w:tc>
          <w:tcPr>
            <w:tcW w:w="4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(852 )</w:t>
            </w:r>
          </w:p>
        </w:tc>
        <w:tc>
          <w:tcPr>
            <w:tcW w:w="1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(1,932 )</w:t>
            </w:r>
          </w:p>
        </w:tc>
        <w:tc>
          <w:tcPr>
            <w:tcW w:w="2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(3,994 )</w:t>
            </w:r>
          </w:p>
        </w:tc>
      </w:tr>
      <w:tr>
        <w:trPr>
          <w:trHeight w:val="180"/>
        </w:trPr>
        <w:tc>
          <w:tcPr>
            <w:tcW w:w="4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20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(10,409 )</w:t>
            </w:r>
          </w:p>
        </w:tc>
        <w:tc>
          <w:tcPr>
            <w:tcW w:w="180" w:type="dxa"/>
            <w:vAlign w:val="bottom"/>
          </w:tcPr>
          <w:p>
            <w:pPr>
              <w:spacing w:after="0"/>
              <w:rPr>
                <w:sz w:val="15"/>
                <w:szCs w:val="15"/>
                <w:color w:val="auto"/>
              </w:rPr>
            </w:pPr>
          </w:p>
        </w:tc>
        <w:tc>
          <w:tcPr>
            <w:tcW w:w="15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(26,111 )</w:t>
            </w:r>
          </w:p>
        </w:tc>
        <w:tc>
          <w:tcPr>
            <w:tcW w:w="2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4,680</w:t>
            </w:r>
          </w:p>
        </w:tc>
        <w:tc>
          <w:tcPr>
            <w:tcW w:w="160" w:type="dxa"/>
            <w:vAlign w:val="bottom"/>
          </w:tcPr>
          <w:p>
            <w:pPr>
              <w:spacing w:after="0"/>
              <w:rPr>
                <w:sz w:val="15"/>
                <w:szCs w:val="15"/>
                <w:color w:val="auto"/>
              </w:rPr>
            </w:pPr>
          </w:p>
        </w:tc>
      </w:tr>
      <w:tr>
        <w:trPr>
          <w:trHeight w:val="220"/>
        </w:trPr>
        <w:tc>
          <w:tcPr>
            <w:tcW w:w="4140" w:type="dxa"/>
            <w:vAlign w:val="bottom"/>
            <w:tcBorders>
              <w:bottom w:val="single" w:sz="8" w:color="CFF0FC"/>
            </w:tcBorders>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200" w:type="dxa"/>
            <w:vAlign w:val="bottom"/>
            <w:tcBorders>
              <w:bottom w:val="single" w:sz="8" w:color="auto"/>
            </w:tcBorders>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335,904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270,885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299,011</w:t>
            </w:r>
          </w:p>
        </w:tc>
        <w:tc>
          <w:tcPr>
            <w:tcW w:w="160" w:type="dxa"/>
            <w:vAlign w:val="bottom"/>
            <w:tcBorders>
              <w:bottom w:val="single" w:sz="8" w:color="CFF0FC"/>
            </w:tcBorders>
            <w:shd w:val="clear" w:color="auto" w:fill="CFF0FC"/>
          </w:tcPr>
          <w:p>
            <w:pPr>
              <w:spacing w:after="0"/>
              <w:rPr>
                <w:sz w:val="19"/>
                <w:szCs w:val="19"/>
                <w:color w:val="auto"/>
              </w:rPr>
            </w:pPr>
          </w:p>
        </w:tc>
      </w:tr>
      <w:tr>
        <w:trPr>
          <w:trHeight w:val="179"/>
        </w:trPr>
        <w:tc>
          <w:tcPr>
            <w:tcW w:w="41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200" w:type="dxa"/>
            <w:vAlign w:val="bottom"/>
          </w:tcPr>
          <w:p>
            <w:pPr>
              <w:spacing w:after="0"/>
              <w:rPr>
                <w:sz w:val="15"/>
                <w:szCs w:val="15"/>
                <w:color w:val="auto"/>
              </w:rPr>
            </w:pPr>
          </w:p>
        </w:tc>
        <w:tc>
          <w:tcPr>
            <w:tcW w:w="128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3.88 %</w:t>
            </w:r>
          </w:p>
        </w:tc>
        <w:tc>
          <w:tcPr>
            <w:tcW w:w="180" w:type="dxa"/>
            <w:vAlign w:val="bottom"/>
          </w:tcPr>
          <w:p>
            <w:pPr>
              <w:spacing w:after="0"/>
              <w:rPr>
                <w:sz w:val="15"/>
                <w:szCs w:val="15"/>
                <w:color w:val="auto"/>
              </w:rPr>
            </w:pPr>
          </w:p>
        </w:tc>
        <w:tc>
          <w:tcPr>
            <w:tcW w:w="158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2.50 %</w:t>
            </w:r>
          </w:p>
        </w:tc>
        <w:tc>
          <w:tcPr>
            <w:tcW w:w="240" w:type="dxa"/>
            <w:vAlign w:val="bottom"/>
          </w:tcPr>
          <w:p>
            <w:pPr>
              <w:spacing w:after="0"/>
              <w:rPr>
                <w:sz w:val="15"/>
                <w:szCs w:val="15"/>
                <w:color w:val="auto"/>
              </w:rPr>
            </w:pPr>
          </w:p>
        </w:tc>
        <w:tc>
          <w:tcPr>
            <w:tcW w:w="126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6.95 %</w:t>
            </w:r>
          </w:p>
        </w:tc>
      </w:tr>
    </w:tbl>
    <w:p>
      <w:pPr>
        <w:spacing w:after="0" w:line="156"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The stated interest rate in the table above does not include the effect of the interest rate swaps. As of December 31, 2024, the Company's swap -adjusted interest rate on the 2026 Notes, 2028 Notes and 2029 Notes was SOFR plus 2.17%, 2.99% and 2.44%, respectively. As of December 31, 2023, the Company's swap-adjusted interest rate on the 2024 Notes, 2026 Notes and 2028 Notes was SOFR plus 2.54% (on a weighted average basis), 2.17%, and 2.99%, respectively.</w:t>
      </w:r>
    </w:p>
    <w:p>
      <w:pPr>
        <w:spacing w:after="0" w:line="164" w:lineRule="exact"/>
        <w:rPr>
          <w:sz w:val="20"/>
          <w:szCs w:val="20"/>
          <w:color w:val="auto"/>
        </w:rPr>
      </w:pPr>
    </w:p>
    <w:p>
      <w:pPr>
        <w:jc w:val="both"/>
        <w:ind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the Company was in compliance with the terms of the indentures governing the 2026 Notes, 2028 Notes and 2029 Notes. As of December 31, 2023, the Company was in compliance with the terms of the indentures governing the 2024 Notes, 2026 Notes and 2028 Notes.</w:t>
      </w:r>
    </w:p>
    <w:p>
      <w:pPr>
        <w:spacing w:after="0" w:line="155"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In accordance with the 1940 Act, with certain limitations, the Company is allowed to borrow amounts such that its asset coverage, as defined in the 1940 Act, is at least 150% after such borrowing. As of December 31, 2024 and December 31, 2023, the Company’s asset coverage was 182.5% and 181.6% respectively.</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3" w:name="page134"/>
    <w:bookmarkEnd w:id="133"/>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2024 and December 31, 2023:</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60" w:type="dxa"/>
            <w:vAlign w:val="bottom"/>
          </w:tcPr>
          <w:p>
            <w:pPr>
              <w:spacing w:after="0"/>
              <w:rPr>
                <w:sz w:val="15"/>
                <w:szCs w:val="15"/>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2"/>
                <w:szCs w:val="12"/>
                <w:color w:val="auto"/>
              </w:rPr>
            </w:pPr>
          </w:p>
        </w:tc>
        <w:tc>
          <w:tcPr>
            <w:tcW w:w="1220" w:type="dxa"/>
            <w:vAlign w:val="bottom"/>
            <w:gridSpan w:val="2"/>
          </w:tcPr>
          <w:p>
            <w:pPr>
              <w:jc w:val="right"/>
              <w:ind w:right="56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0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16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5"/>
                <w:szCs w:val="15"/>
                <w:color w:val="auto"/>
              </w:rPr>
            </w:pPr>
          </w:p>
        </w:tc>
        <w:tc>
          <w:tcPr>
            <w:tcW w:w="1220" w:type="dxa"/>
            <w:vAlign w:val="bottom"/>
            <w:gridSpan w:val="2"/>
          </w:tcPr>
          <w:p>
            <w:pPr>
              <w:jc w:val="right"/>
              <w:ind w:right="46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5"/>
                <w:szCs w:val="15"/>
                <w:color w:val="auto"/>
              </w:rPr>
            </w:pPr>
          </w:p>
        </w:tc>
        <w:tc>
          <w:tcPr>
            <w:tcW w:w="106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1,700,000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1,004,058</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674,190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988,624</w:t>
            </w:r>
          </w:p>
        </w:tc>
        <w:tc>
          <w:tcPr>
            <w:tcW w:w="0" w:type="dxa"/>
            <w:vAlign w:val="bottom"/>
          </w:tcPr>
          <w:p>
            <w:pPr>
              <w:spacing w:after="0"/>
              <w:rPr>
                <w:sz w:val="1"/>
                <w:szCs w:val="1"/>
                <w:color w:val="auto"/>
              </w:rPr>
            </w:pP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tcPr>
          <w:p>
            <w:pPr>
              <w:spacing w:after="0"/>
              <w:rPr>
                <w:sz w:val="15"/>
                <w:szCs w:val="15"/>
                <w:color w:val="auto"/>
              </w:rPr>
            </w:pPr>
          </w:p>
        </w:tc>
        <w:tc>
          <w:tcPr>
            <w:tcW w:w="12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60" w:type="dxa"/>
            <w:vAlign w:val="bottom"/>
          </w:tcPr>
          <w:p>
            <w:pPr>
              <w:spacing w:after="0"/>
              <w:rPr>
                <w:sz w:val="15"/>
                <w:szCs w:val="15"/>
                <w:color w:val="auto"/>
              </w:rPr>
            </w:pPr>
          </w:p>
        </w:tc>
        <w:tc>
          <w:tcPr>
            <w:tcW w:w="12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8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280,534</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294,139</w:t>
            </w:r>
          </w:p>
        </w:tc>
        <w:tc>
          <w:tcPr>
            <w:tcW w:w="0" w:type="dxa"/>
            <w:vAlign w:val="bottom"/>
          </w:tcPr>
          <w:p>
            <w:pPr>
              <w:spacing w:after="0"/>
              <w:rPr>
                <w:sz w:val="1"/>
                <w:szCs w:val="1"/>
                <w:color w:val="auto"/>
              </w:rPr>
            </w:pP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tcPr>
          <w:p>
            <w:pPr>
              <w:spacing w:after="0"/>
              <w:rPr>
                <w:sz w:val="15"/>
                <w:szCs w:val="15"/>
                <w:color w:val="auto"/>
              </w:rPr>
            </w:pPr>
          </w:p>
        </w:tc>
        <w:tc>
          <w:tcPr>
            <w:tcW w:w="12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160" w:type="dxa"/>
            <w:vAlign w:val="bottom"/>
          </w:tcPr>
          <w:p>
            <w:pPr>
              <w:spacing w:after="0"/>
              <w:rPr>
                <w:sz w:val="15"/>
                <w:szCs w:val="15"/>
                <w:color w:val="auto"/>
              </w:rPr>
            </w:pPr>
          </w:p>
        </w:tc>
        <w:tc>
          <w:tcPr>
            <w:tcW w:w="12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18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337,845</w:t>
            </w:r>
          </w:p>
        </w:tc>
        <w:tc>
          <w:tcPr>
            <w:tcW w:w="0" w:type="dxa"/>
            <w:vAlign w:val="bottom"/>
          </w:tcPr>
          <w:p>
            <w:pPr>
              <w:spacing w:after="0"/>
              <w:rPr>
                <w:sz w:val="1"/>
                <w:szCs w:val="1"/>
                <w:color w:val="auto"/>
              </w:rPr>
            </w:pPr>
          </w:p>
        </w:tc>
      </w:tr>
      <w:tr>
        <w:trPr>
          <w:trHeight w:val="200"/>
        </w:trPr>
        <w:tc>
          <w:tcPr>
            <w:tcW w:w="40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2,650,000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1,954,058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674,190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1,901,142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and asset coverage requirements.</w:t>
      </w:r>
    </w:p>
    <w:p>
      <w:pPr>
        <w:spacing w:after="0" w:line="14"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and 2029 Notes are presented net of the combination of deferred financing costs and original issue discounts totaling $15.4 million, $1.8 million, $4.5 million and $6.9 million, respectively.</w:t>
      </w:r>
    </w:p>
    <w:p>
      <w:pPr>
        <w:spacing w:after="0" w:line="1"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4"/>
          <w:szCs w:val="14"/>
          <w:color w:val="auto"/>
        </w:rPr>
        <w:t>(3)The carrying values of the 2026 Notes, 2028 Notes and 2029 Notes are presented inclusive of an incremental $(17.6) million, $ (1.4) million and $(5.2) million, respectively, which represents an adjustment in the carrying values of the 2026 Notes, 2028 Notes and 2029 Notes, each resulting from a hedge accounting relationship.</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4"/>
          </w:tcPr>
          <w:p>
            <w:pPr>
              <w:jc w:val="right"/>
              <w:ind w:right="70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0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6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8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85"/>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1,710,000</w:t>
            </w:r>
          </w:p>
        </w:tc>
        <w:tc>
          <w:tcPr>
            <w:tcW w:w="38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889,659</w:t>
            </w:r>
          </w:p>
        </w:tc>
        <w:tc>
          <w:tcPr>
            <w:tcW w:w="40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820,160</w:t>
            </w:r>
          </w:p>
        </w:tc>
        <w:tc>
          <w:tcPr>
            <w:tcW w:w="4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874,507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335,904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270,885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299,011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00" w:type="dxa"/>
            <w:vAlign w:val="bottom"/>
            <w:tcBorders>
              <w:bottom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2,657,500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1,837,159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820,160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1,780,307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and asset coverage requirements.</w:t>
      </w:r>
    </w:p>
    <w:p>
      <w:pPr>
        <w:spacing w:after="0" w:line="14"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4"/>
          <w:szCs w:val="14"/>
          <w:color w:val="auto"/>
        </w:rPr>
        <w:t>(3)The carrying values of the 2024 Notes, 2026 Notes and 2028 Notes are presented inclusive of an incremental $(10.4) million, $ (26.1) million and $4.7 million, respectively, which represents an adjustment in the carrying values of the 2024 Notes, 2026 Notes and 2028 Notes, each resulting from a hedge accounting relationship.</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the components of interest expense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3"/>
                <w:szCs w:val="13"/>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3"/>
                <w:szCs w:val="13"/>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105,155</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95,496</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49,897</w:t>
            </w:r>
          </w:p>
        </w:tc>
        <w:tc>
          <w:tcPr>
            <w:tcW w:w="160" w:type="dxa"/>
            <w:vAlign w:val="bottom"/>
            <w:shd w:val="clear" w:color="auto" w:fill="CFF0FC"/>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Commitment fees</w:t>
            </w:r>
          </w:p>
        </w:tc>
        <w:tc>
          <w:tcPr>
            <w:tcW w:w="14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4,006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2,852</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4,075</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6,903</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5,245</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5,683</w:t>
            </w:r>
          </w:p>
        </w:tc>
        <w:tc>
          <w:tcPr>
            <w:tcW w:w="160" w:type="dxa"/>
            <w:vAlign w:val="bottom"/>
            <w:shd w:val="clear" w:color="auto" w:fill="CFF0FC"/>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14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1,614</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899</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Swap settlement</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36,467</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29,239</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60" w:type="dxa"/>
            <w:vAlign w:val="bottom"/>
            <w:shd w:val="clear" w:color="auto" w:fill="CFF0FC"/>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640" w:type="dxa"/>
            <w:vAlign w:val="bottom"/>
          </w:tcPr>
          <w:p>
            <w:pPr>
              <w:spacing w:after="0"/>
              <w:rPr>
                <w:sz w:val="7"/>
                <w:szCs w:val="7"/>
                <w:color w:val="auto"/>
              </w:rPr>
            </w:pPr>
          </w:p>
        </w:tc>
        <w:tc>
          <w:tcPr>
            <w:tcW w:w="42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8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4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154,145</w:t>
            </w:r>
          </w:p>
        </w:tc>
        <w:tc>
          <w:tcPr>
            <w:tcW w:w="3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133,731</w:t>
            </w:r>
          </w:p>
        </w:tc>
        <w:tc>
          <w:tcPr>
            <w:tcW w:w="3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62,991</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tcPr>
          <w:p>
            <w:pPr>
              <w:spacing w:after="0"/>
              <w:rPr>
                <w:sz w:val="13"/>
                <w:szCs w:val="13"/>
                <w:color w:val="auto"/>
              </w:rPr>
            </w:pPr>
          </w:p>
        </w:tc>
        <w:tc>
          <w:tcPr>
            <w:tcW w:w="42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Average debt outstanding (in millions)</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1,882.7</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1,705.6</w:t>
            </w: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1,342.0</w:t>
            </w:r>
          </w:p>
        </w:tc>
        <w:tc>
          <w:tcPr>
            <w:tcW w:w="160" w:type="dxa"/>
            <w:vAlign w:val="bottom"/>
            <w:shd w:val="clear" w:color="auto" w:fill="CFF0FC"/>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4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7.3 %</w:t>
            </w:r>
          </w:p>
        </w:tc>
        <w:tc>
          <w:tcPr>
            <w:tcW w:w="14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6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1200"/>
              <w:spacing w:after="0"/>
              <w:rPr>
                <w:sz w:val="20"/>
                <w:szCs w:val="20"/>
                <w:color w:val="auto"/>
              </w:rPr>
            </w:pPr>
            <w:r>
              <w:rPr>
                <w:rFonts w:ascii="Times New Roman" w:cs="Times New Roman" w:eastAsia="Times New Roman" w:hAnsi="Times New Roman"/>
                <w:sz w:val="16"/>
                <w:szCs w:val="16"/>
                <w:color w:val="auto"/>
              </w:rPr>
              <w:t>F-46</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640" w:type="dxa"/>
            <w:vAlign w:val="bottom"/>
            <w:tcBorders>
              <w:bottom w:val="single" w:sz="8" w:color="EEEEEE"/>
            </w:tcBorders>
          </w:tcPr>
          <w:p>
            <w:pPr>
              <w:spacing w:after="0"/>
              <w:rPr>
                <w:sz w:val="24"/>
                <w:szCs w:val="24"/>
                <w:color w:val="auto"/>
              </w:rPr>
            </w:pPr>
          </w:p>
        </w:tc>
        <w:tc>
          <w:tcPr>
            <w:tcW w:w="4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4" w:name="page135"/>
    <w:bookmarkEnd w:id="134"/>
    <w:p>
      <w:pPr>
        <w:spacing w:after="0" w:line="159" w:lineRule="exact"/>
        <w:rPr>
          <w:sz w:val="20"/>
          <w:szCs w:val="20"/>
          <w:color w:val="auto"/>
        </w:rPr>
      </w:pPr>
    </w:p>
    <w:p>
      <w:pPr>
        <w:ind w:right="7920" w:firstLine="6"/>
        <w:spacing w:after="0" w:line="413" w:lineRule="auto"/>
        <w:tabs>
          <w:tab w:leader="none" w:pos="156"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Portfolio Company Commitments</w:t>
      </w:r>
    </w:p>
    <w:p>
      <w:pPr>
        <w:ind w:firstLine="228"/>
        <w:spacing w:after="0" w:line="241" w:lineRule="auto"/>
        <w:rPr>
          <w:sz w:val="20"/>
          <w:szCs w:val="20"/>
          <w:color w:val="auto"/>
        </w:rPr>
      </w:pPr>
      <w:r>
        <w:rPr>
          <w:rFonts w:ascii="Times New Roman" w:cs="Times New Roman" w:eastAsia="Times New Roman" w:hAnsi="Times New Roman"/>
          <w:sz w:val="16"/>
          <w:szCs w:val="16"/>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and December 31, 2023, the Company had the following commitments to fund investments in current portfolio companies:</w:t>
      </w:r>
    </w:p>
    <w:p>
      <w:pPr>
        <w:spacing w:after="0" w:line="1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440" w:right="9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80" w:type="dxa"/>
            <w:vAlign w:val="bottom"/>
          </w:tcPr>
          <w:p>
            <w:pPr>
              <w:spacing w:after="0"/>
              <w:rPr>
                <w:sz w:val="14"/>
                <w:szCs w:val="14"/>
                <w:color w:val="auto"/>
              </w:rPr>
            </w:pPr>
          </w:p>
        </w:tc>
        <w:tc>
          <w:tcPr>
            <w:tcW w:w="142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80" w:type="dxa"/>
            <w:vAlign w:val="bottom"/>
          </w:tcPr>
          <w:p>
            <w:pPr>
              <w:spacing w:after="0"/>
              <w:rPr>
                <w:sz w:val="14"/>
                <w:szCs w:val="14"/>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1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231</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Alpha Midco, Inc. - Delayed Draw &amp;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452</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470</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American Achievement, Corp. -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2,403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2,403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5,263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1,126</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5,479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7,644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31,961</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5,717</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5,716</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ASG II, LLC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3,391</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3,864</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3,863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4,833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Axonify, Inc.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694</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3,506</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5,575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3,898</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10,036</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Bayshore Intermediate #2, L.P.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3,635</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1,918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BCTO Ace Purchaser, Inc.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461</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4,144</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5,110</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Bear OpCo, LLC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1,183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BlueSnap, Inc.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5,069</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3,029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5,563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417</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6,719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1,956</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6,809</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6,809</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6,148</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6,148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Dye &amp; Durham Corp.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1,236</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5,127</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11,492</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Edge Bidco B.V. - Delayed Draw &amp;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993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1,060</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1,881</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4,704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2,493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1,857</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8,871</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EMS Linq, Inc.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4,568</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8,784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2,772</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3,184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10,033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3,384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9,803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37,860</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3,425</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8,885</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11,246</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5,481</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6,779</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407</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Heritage Environmental Services, Inc.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2,521</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1,697</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2,509</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6,887</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Hornetsecurity Holding GmbH - Delayed Draw &amp;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2,113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Ibis Intermediate Co.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6,338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528</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878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4,375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9,418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2,165</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Kyriba Corp. -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2,488</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Laramie Energy, LLC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7,683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LeanTaaS Holdings, Inc. - Delayed Draw</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18,844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38,034</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Lucidworks, Inc. - Delayed Draw</w:t>
            </w:r>
          </w:p>
        </w:tc>
        <w:tc>
          <w:tcPr>
            <w:tcW w:w="170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833</w:t>
            </w:r>
          </w:p>
        </w:tc>
        <w:tc>
          <w:tcPr>
            <w:tcW w:w="68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891</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r>
      <w:tr>
        <w:trPr>
          <w:trHeight w:val="382"/>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00" w:type="dxa"/>
            <w:vAlign w:val="bottom"/>
          </w:tcPr>
          <w:p>
            <w:pPr>
              <w:jc w:val="right"/>
              <w:ind w:right="1202"/>
              <w:spacing w:after="0"/>
              <w:rPr>
                <w:sz w:val="20"/>
                <w:szCs w:val="20"/>
                <w:color w:val="auto"/>
              </w:rPr>
            </w:pPr>
            <w:r>
              <w:rPr>
                <w:rFonts w:ascii="Times New Roman" w:cs="Times New Roman" w:eastAsia="Times New Roman" w:hAnsi="Times New Roman"/>
                <w:sz w:val="16"/>
                <w:szCs w:val="16"/>
                <w:color w:val="auto"/>
              </w:rPr>
              <w:t>F-48</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74"/>
        </w:trPr>
        <w:tc>
          <w:tcPr>
            <w:tcW w:w="700" w:type="dxa"/>
            <w:vAlign w:val="bottom"/>
            <w:tcBorders>
              <w:bottom w:val="single" w:sz="8" w:color="EEEEEE"/>
            </w:tcBorders>
          </w:tcPr>
          <w:p>
            <w:pPr>
              <w:spacing w:after="0"/>
              <w:rPr>
                <w:sz w:val="24"/>
                <w:szCs w:val="24"/>
                <w:color w:val="auto"/>
              </w:rPr>
            </w:pPr>
          </w:p>
        </w:tc>
        <w:tc>
          <w:tcPr>
            <w:tcW w:w="432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36" w:name="page137"/>
    <w:bookmarkEnd w:id="136"/>
    <w:tbl>
      <w:tblPr>
        <w:tblLayout w:type="fixed"/>
        <w:tblInd w:w="700" w:type="dxa"/>
        <w:tblCellMar>
          <w:top w:w="0" w:type="dxa"/>
          <w:left w:w="0" w:type="dxa"/>
          <w:bottom w:w="0" w:type="dxa"/>
          <w:right w:w="0" w:type="dxa"/>
        </w:tblCellMar>
      </w:tblPr>
      <w:tr>
        <w:trPr>
          <w:trHeight w:val="19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9,133</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11,786</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Netwrix Corp. - Delayed Draw &amp;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OutSystems Luxco SARL - Delayed Draw</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2,212</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Passport Labs, Inc. -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2,778</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3,286</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Ping Identity Holding Corp. -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2,273</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PrimePay Intermediate, LLC - Delayed Draw</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PrimeRevenue, Inc. -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6,250</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Project44, Inc. - Delayed Draw</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19,861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1,425</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6,254</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682</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ReliaQuest Holdings, LLC - Delayed Draw &amp; Equity</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4,424</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3,243</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506</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5,039</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13,591</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 Bidco S.p.A. - Delayed Draw</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3,627</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6,946</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7,071</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11,234</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1,009</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Sport Alliance GmbH - Revolver</w:t>
            </w:r>
          </w:p>
        </w:tc>
        <w:tc>
          <w:tcPr>
            <w:tcW w:w="5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1,479</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TradingScreen, Inc. -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768</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TRP Assets, LLC - Delayed Draw</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10,166</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8,743</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2,809</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5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3,553</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5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1,433</w:t>
            </w: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520" w:type="dxa"/>
            <w:vAlign w:val="bottom"/>
          </w:tcPr>
          <w:p>
            <w:pPr>
              <w:jc w:val="right"/>
              <w:ind w:right="3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356,309</w:t>
            </w:r>
          </w:p>
        </w:tc>
        <w:tc>
          <w:tcPr>
            <w:tcW w:w="82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316,107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(1)Represents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line="375" w:lineRule="auto"/>
        <w:rPr>
          <w:sz w:val="20"/>
          <w:szCs w:val="20"/>
          <w:color w:val="auto"/>
        </w:rPr>
      </w:pPr>
      <w:r>
        <w:rPr>
          <w:rFonts w:ascii="Times New Roman" w:cs="Times New Roman" w:eastAsia="Times New Roman" w:hAnsi="Times New Roman"/>
          <w:sz w:val="16"/>
          <w:szCs w:val="16"/>
          <w:color w:val="auto"/>
        </w:rPr>
        <w:t xml:space="preserve">(2)The Company’s estimate of the fair value of the current investments in these portfolio companies includes an analysis of the fair value of any unfunded commitments. </w:t>
      </w:r>
      <w:r>
        <w:rPr>
          <w:rFonts w:ascii="Times New Roman" w:cs="Times New Roman" w:eastAsia="Times New Roman" w:hAnsi="Times New Roman"/>
          <w:sz w:val="16"/>
          <w:szCs w:val="16"/>
          <w:i w:val="1"/>
          <w:iCs w:val="1"/>
          <w:color w:val="auto"/>
        </w:rPr>
        <w:t>Other Commitments and Contingencies</w:t>
      </w:r>
    </w:p>
    <w:p>
      <w:pPr>
        <w:spacing w:after="0" w:line="1" w:lineRule="exact"/>
        <w:rPr>
          <w:sz w:val="20"/>
          <w:szCs w:val="20"/>
          <w:color w:val="auto"/>
        </w:rPr>
      </w:pPr>
    </w:p>
    <w:p>
      <w:pPr>
        <w:ind w:right="44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2024 and December 31, 2023, the Company did not have any unfunded commitments to fund investments to new borrowers that were not current portfolio companies as of such date.</w:t>
      </w:r>
    </w:p>
    <w:p>
      <w:pPr>
        <w:spacing w:after="0" w:line="155" w:lineRule="exact"/>
        <w:rPr>
          <w:sz w:val="20"/>
          <w:szCs w:val="20"/>
          <w:color w:val="auto"/>
        </w:rPr>
      </w:pPr>
    </w:p>
    <w:p>
      <w:pPr>
        <w:ind w:right="38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become a party to certain legal proceedings incidental to the normal course of its business. As of December 31, 2024 and December 31, 2023, management is not aware of any material pending or threatened litigation that would require accounting recognition or financial statement disclosure.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Assets</w:t>
      </w:r>
    </w:p>
    <w:p>
      <w:pPr>
        <w:spacing w:after="0" w:line="190"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On August 1, 2022, the Company issued a total of 4,360,125 shares of common stock, or $77.6 million as settlement for the conversion of $79.2 million principal amount of the 2022 Convertible Notes.</w:t>
      </w:r>
    </w:p>
    <w:p>
      <w:pPr>
        <w:spacing w:after="0" w:line="155"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On May 15, 2023, the Company issued a total of 4,500,000 shares of common stock at $17.33 per share. Net of underwriting fees and offering costs, the Company received total cash proceeds of $77.6 million. Subsequent to the offering, the Company issued an additional 675,000 shares on June 12, 2023 pursuant to the overallotment option granted to underwriters and received, net of underwriting fees, additional total cash proceeds of $11.7 million.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137" w:name="page138"/>
    <w:bookmarkEnd w:id="137"/>
    <w:p>
      <w:pPr>
        <w:spacing w:after="0" w:line="65"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64"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3" w:lineRule="exact"/>
        <w:rPr>
          <w:sz w:val="20"/>
          <w:szCs w:val="20"/>
          <w:color w:val="auto"/>
        </w:rPr>
      </w:pPr>
    </w:p>
    <w:p>
      <w:pPr>
        <w:jc w:val="both"/>
        <w:ind w:right="120" w:firstLine="228"/>
        <w:spacing w:after="0" w:line="247" w:lineRule="auto"/>
        <w:rPr>
          <w:sz w:val="20"/>
          <w:szCs w:val="20"/>
          <w:color w:val="auto"/>
        </w:rPr>
      </w:pPr>
      <w:r>
        <w:rPr>
          <w:rFonts w:ascii="Times New Roman" w:cs="Times New Roman" w:eastAsia="Times New Roman" w:hAnsi="Times New Roman"/>
          <w:sz w:val="16"/>
          <w:szCs w:val="16"/>
          <w:color w:val="auto"/>
        </w:rPr>
        <w:t>Pursuant to the Company’s dividend reinvestment plan, the following tables summarize the shares issued to stockholders who have not opted out of the Company’s dividend reinvestment plan during the years ended December 31, 2024 and December 31, 2023. All shares issued to stockholders in the tables below are newly issued shares.</w:t>
      </w:r>
    </w:p>
    <w:p>
      <w:pPr>
        <w:spacing w:after="0" w:line="224"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1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20" w:type="dxa"/>
            <w:vAlign w:val="bottom"/>
          </w:tcPr>
          <w:p>
            <w:pPr>
              <w:jc w:val="center"/>
              <w:ind w:left="1345"/>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20" w:type="dxa"/>
            <w:vAlign w:val="bottom"/>
          </w:tcPr>
          <w:p>
            <w:pPr>
              <w:jc w:val="center"/>
              <w:ind w:left="134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80" w:type="dxa"/>
            <w:vAlign w:val="bottom"/>
            <w:vMerge w:val="restart"/>
          </w:tcPr>
          <w:p>
            <w:pPr>
              <w:jc w:val="center"/>
              <w:ind w:right="58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820" w:type="dxa"/>
            <w:vAlign w:val="bottom"/>
            <w:vMerge w:val="restart"/>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26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820" w:type="dxa"/>
            <w:vAlign w:val="bottom"/>
            <w:vMerge w:val="continue"/>
          </w:tcPr>
          <w:p>
            <w:pPr>
              <w:spacing w:after="0"/>
              <w:rPr>
                <w:sz w:val="14"/>
                <w:szCs w:val="14"/>
                <w:color w:val="auto"/>
              </w:rPr>
            </w:pPr>
          </w:p>
        </w:tc>
        <w:tc>
          <w:tcPr>
            <w:tcW w:w="2620" w:type="dxa"/>
            <w:vAlign w:val="bottom"/>
          </w:tcPr>
          <w:p>
            <w:pPr>
              <w:jc w:val="right"/>
              <w:ind w:right="128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480" w:type="dxa"/>
            <w:vAlign w:val="bottom"/>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w w:val="99"/>
              </w:rPr>
              <w:t>Shares Issued</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180"/>
        </w:trPr>
        <w:tc>
          <w:tcPr>
            <w:tcW w:w="1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1820" w:type="dxa"/>
            <w:vAlign w:val="bottom"/>
            <w:shd w:val="clear" w:color="auto" w:fill="CFF0FC"/>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20" w:type="dxa"/>
            <w:vAlign w:val="bottom"/>
            <w:shd w:val="clear" w:color="auto" w:fill="CFF0FC"/>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February 29, 2024</w:t>
            </w:r>
          </w:p>
        </w:tc>
        <w:tc>
          <w:tcPr>
            <w:tcW w:w="14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March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36,749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1820" w:type="dxa"/>
            <w:vAlign w:val="bottom"/>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620" w:type="dxa"/>
            <w:vAlign w:val="bottom"/>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March 15, 2024</w:t>
            </w:r>
          </w:p>
        </w:tc>
        <w:tc>
          <w:tcPr>
            <w:tcW w:w="14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March 28,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255,308</w:t>
            </w:r>
          </w:p>
        </w:tc>
        <w:tc>
          <w:tcPr>
            <w:tcW w:w="0" w:type="dxa"/>
            <w:vAlign w:val="bottom"/>
          </w:tcPr>
          <w:p>
            <w:pPr>
              <w:spacing w:after="0"/>
              <w:rPr>
                <w:sz w:val="1"/>
                <w:szCs w:val="1"/>
                <w:color w:val="auto"/>
              </w:rPr>
            </w:pPr>
          </w:p>
        </w:tc>
      </w:tr>
      <w:tr>
        <w:trPr>
          <w:trHeight w:val="180"/>
        </w:trPr>
        <w:tc>
          <w:tcPr>
            <w:tcW w:w="1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1820" w:type="dxa"/>
            <w:vAlign w:val="bottom"/>
            <w:shd w:val="clear" w:color="auto" w:fill="CFF0FC"/>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20" w:type="dxa"/>
            <w:vAlign w:val="bottom"/>
            <w:shd w:val="clear" w:color="auto" w:fill="CFF0FC"/>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May 31, 2024</w:t>
            </w:r>
          </w:p>
        </w:tc>
        <w:tc>
          <w:tcPr>
            <w:tcW w:w="14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June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34,318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1820" w:type="dxa"/>
            <w:vAlign w:val="bottom"/>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620" w:type="dxa"/>
            <w:vAlign w:val="bottom"/>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June 14, 2024</w:t>
            </w:r>
          </w:p>
        </w:tc>
        <w:tc>
          <w:tcPr>
            <w:tcW w:w="14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June 28,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261,331</w:t>
            </w:r>
          </w:p>
        </w:tc>
        <w:tc>
          <w:tcPr>
            <w:tcW w:w="0" w:type="dxa"/>
            <w:vAlign w:val="bottom"/>
          </w:tcPr>
          <w:p>
            <w:pPr>
              <w:spacing w:after="0"/>
              <w:rPr>
                <w:sz w:val="1"/>
                <w:szCs w:val="1"/>
                <w:color w:val="auto"/>
              </w:rPr>
            </w:pPr>
          </w:p>
        </w:tc>
      </w:tr>
      <w:tr>
        <w:trPr>
          <w:trHeight w:val="180"/>
        </w:trPr>
        <w:tc>
          <w:tcPr>
            <w:tcW w:w="1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1820" w:type="dxa"/>
            <w:vAlign w:val="bottom"/>
            <w:shd w:val="clear" w:color="auto" w:fill="CFF0FC"/>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20" w:type="dxa"/>
            <w:vAlign w:val="bottom"/>
            <w:shd w:val="clear" w:color="auto" w:fill="CFF0FC"/>
          </w:tcPr>
          <w:p>
            <w:pPr>
              <w:jc w:val="right"/>
              <w:ind w:right="585"/>
              <w:spacing w:after="0" w:line="180" w:lineRule="exact"/>
              <w:rPr>
                <w:sz w:val="20"/>
                <w:szCs w:val="20"/>
                <w:color w:val="auto"/>
              </w:rPr>
            </w:pPr>
            <w:r>
              <w:rPr>
                <w:rFonts w:ascii="Times New Roman" w:cs="Times New Roman" w:eastAsia="Times New Roman" w:hAnsi="Times New Roman"/>
                <w:sz w:val="16"/>
                <w:szCs w:val="16"/>
                <w:color w:val="auto"/>
              </w:rPr>
              <w:t>August 30, 2024</w:t>
            </w:r>
          </w:p>
        </w:tc>
        <w:tc>
          <w:tcPr>
            <w:tcW w:w="14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September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33,887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1820" w:type="dxa"/>
            <w:vAlign w:val="bottom"/>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620" w:type="dxa"/>
            <w:vAlign w:val="bottom"/>
          </w:tcPr>
          <w:p>
            <w:pPr>
              <w:jc w:val="right"/>
              <w:ind w:right="585"/>
              <w:spacing w:after="0" w:line="180" w:lineRule="exact"/>
              <w:rPr>
                <w:sz w:val="20"/>
                <w:szCs w:val="20"/>
                <w:color w:val="auto"/>
              </w:rPr>
            </w:pPr>
            <w:r>
              <w:rPr>
                <w:rFonts w:ascii="Times New Roman" w:cs="Times New Roman" w:eastAsia="Times New Roman" w:hAnsi="Times New Roman"/>
                <w:sz w:val="16"/>
                <w:szCs w:val="16"/>
                <w:color w:val="auto"/>
              </w:rPr>
              <w:t>September 16, 2024</w:t>
            </w:r>
          </w:p>
        </w:tc>
        <w:tc>
          <w:tcPr>
            <w:tcW w:w="14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266,529</w:t>
            </w:r>
          </w:p>
        </w:tc>
        <w:tc>
          <w:tcPr>
            <w:tcW w:w="0" w:type="dxa"/>
            <w:vAlign w:val="bottom"/>
          </w:tcPr>
          <w:p>
            <w:pPr>
              <w:spacing w:after="0"/>
              <w:rPr>
                <w:sz w:val="1"/>
                <w:szCs w:val="1"/>
                <w:color w:val="auto"/>
              </w:rPr>
            </w:pPr>
          </w:p>
        </w:tc>
      </w:tr>
      <w:tr>
        <w:trPr>
          <w:trHeight w:val="180"/>
        </w:trPr>
        <w:tc>
          <w:tcPr>
            <w:tcW w:w="1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November 5, 2024</w:t>
            </w:r>
          </w:p>
        </w:tc>
        <w:tc>
          <w:tcPr>
            <w:tcW w:w="1820" w:type="dxa"/>
            <w:vAlign w:val="bottom"/>
            <w:shd w:val="clear" w:color="auto" w:fill="CFF0FC"/>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20" w:type="dxa"/>
            <w:vAlign w:val="bottom"/>
            <w:shd w:val="clear" w:color="auto" w:fill="CFF0FC"/>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November 29, 2024</w:t>
            </w:r>
          </w:p>
        </w:tc>
        <w:tc>
          <w:tcPr>
            <w:tcW w:w="14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December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28,498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November 5, 2024</w:t>
            </w:r>
          </w:p>
        </w:tc>
        <w:tc>
          <w:tcPr>
            <w:tcW w:w="1820" w:type="dxa"/>
            <w:vAlign w:val="bottom"/>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620" w:type="dxa"/>
            <w:vAlign w:val="bottom"/>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December 16, 2024</w:t>
            </w:r>
          </w:p>
        </w:tc>
        <w:tc>
          <w:tcPr>
            <w:tcW w:w="14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315,317</w:t>
            </w:r>
          </w:p>
        </w:tc>
        <w:tc>
          <w:tcPr>
            <w:tcW w:w="0" w:type="dxa"/>
            <w:vAlign w:val="bottom"/>
          </w:tcPr>
          <w:p>
            <w:pPr>
              <w:spacing w:after="0"/>
              <w:rPr>
                <w:sz w:val="1"/>
                <w:szCs w:val="1"/>
                <w:color w:val="auto"/>
              </w:rPr>
            </w:pPr>
          </w:p>
        </w:tc>
      </w:tr>
      <w:tr>
        <w:trPr>
          <w:trHeight w:val="220"/>
        </w:trPr>
        <w:tc>
          <w:tcPr>
            <w:tcW w:w="1880" w:type="dxa"/>
            <w:vAlign w:val="bottom"/>
            <w:tcBorders>
              <w:bottom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 Shares Issued</w:t>
            </w:r>
          </w:p>
        </w:tc>
        <w:tc>
          <w:tcPr>
            <w:tcW w:w="1820" w:type="dxa"/>
            <w:vAlign w:val="bottom"/>
            <w:tcBorders>
              <w:bottom w:val="single" w:sz="8" w:color="CFF0FC"/>
            </w:tcBorders>
            <w:shd w:val="clear" w:color="auto" w:fill="CFF0FC"/>
          </w:tcPr>
          <w:p>
            <w:pPr>
              <w:spacing w:after="0"/>
              <w:rPr>
                <w:sz w:val="19"/>
                <w:szCs w:val="19"/>
                <w:color w:val="auto"/>
              </w:rPr>
            </w:pPr>
          </w:p>
        </w:tc>
        <w:tc>
          <w:tcPr>
            <w:tcW w:w="26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1,231,937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20" w:type="dxa"/>
            <w:vAlign w:val="bottom"/>
          </w:tcPr>
          <w:p>
            <w:pPr>
              <w:jc w:val="center"/>
              <w:ind w:left="1325"/>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20" w:type="dxa"/>
            <w:vAlign w:val="bottom"/>
          </w:tcPr>
          <w:p>
            <w:pPr>
              <w:jc w:val="center"/>
              <w:ind w:left="132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80" w:type="dxa"/>
            <w:vAlign w:val="bottom"/>
            <w:vMerge w:val="restart"/>
          </w:tcPr>
          <w:p>
            <w:pPr>
              <w:jc w:val="center"/>
              <w:ind w:right="58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820" w:type="dxa"/>
            <w:vAlign w:val="bottom"/>
            <w:vMerge w:val="restart"/>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26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820" w:type="dxa"/>
            <w:vAlign w:val="bottom"/>
            <w:vMerge w:val="continue"/>
          </w:tcPr>
          <w:p>
            <w:pPr>
              <w:spacing w:after="0"/>
              <w:rPr>
                <w:sz w:val="14"/>
                <w:szCs w:val="14"/>
                <w:color w:val="auto"/>
              </w:rPr>
            </w:pPr>
          </w:p>
        </w:tc>
        <w:tc>
          <w:tcPr>
            <w:tcW w:w="2620" w:type="dxa"/>
            <w:vAlign w:val="bottom"/>
          </w:tcPr>
          <w:p>
            <w:pPr>
              <w:jc w:val="right"/>
              <w:ind w:right="130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480" w:type="dxa"/>
            <w:vAlign w:val="bottom"/>
          </w:tcPr>
          <w:p>
            <w:pPr>
              <w:jc w:val="center"/>
              <w:ind w:right="584"/>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180"/>
        </w:trPr>
        <w:tc>
          <w:tcPr>
            <w:tcW w:w="1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16, 2023</w:t>
            </w:r>
          </w:p>
        </w:tc>
        <w:tc>
          <w:tcPr>
            <w:tcW w:w="1820" w:type="dxa"/>
            <w:vAlign w:val="bottom"/>
            <w:shd w:val="clear" w:color="auto" w:fill="CFF0FC"/>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20" w:type="dxa"/>
            <w:vAlign w:val="bottom"/>
            <w:shd w:val="clear" w:color="auto" w:fill="CFF0FC"/>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February 28, 2023</w:t>
            </w:r>
          </w:p>
        </w:tc>
        <w:tc>
          <w:tcPr>
            <w:tcW w:w="14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March 20, 2023</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61,590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16, 2023</w:t>
            </w:r>
          </w:p>
        </w:tc>
        <w:tc>
          <w:tcPr>
            <w:tcW w:w="1820" w:type="dxa"/>
            <w:vAlign w:val="bottom"/>
          </w:tcPr>
          <w:p>
            <w:pPr>
              <w:jc w:val="center"/>
              <w:ind w:right="63"/>
              <w:spacing w:after="0" w:line="180" w:lineRule="exact"/>
              <w:rPr>
                <w:sz w:val="20"/>
                <w:szCs w:val="20"/>
                <w:color w:val="auto"/>
              </w:rPr>
            </w:pPr>
            <w:r>
              <w:rPr>
                <w:rFonts w:ascii="Times New Roman" w:cs="Times New Roman" w:eastAsia="Times New Roman" w:hAnsi="Times New Roman"/>
                <w:sz w:val="16"/>
                <w:szCs w:val="16"/>
                <w:color w:val="auto"/>
              </w:rPr>
              <w:t>Base</w:t>
            </w:r>
          </w:p>
        </w:tc>
        <w:tc>
          <w:tcPr>
            <w:tcW w:w="2620" w:type="dxa"/>
            <w:vAlign w:val="bottom"/>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March 15, 2023</w:t>
            </w:r>
          </w:p>
        </w:tc>
        <w:tc>
          <w:tcPr>
            <w:tcW w:w="14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March 31, 2023</w:t>
            </w: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300,988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May 8, 2023</w:t>
            </w:r>
          </w:p>
        </w:tc>
        <w:tc>
          <w:tcPr>
            <w:tcW w:w="1820" w:type="dxa"/>
            <w:vAlign w:val="bottom"/>
            <w:shd w:val="clear" w:color="auto" w:fill="CFF0FC"/>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20" w:type="dxa"/>
            <w:vAlign w:val="bottom"/>
            <w:shd w:val="clear" w:color="auto" w:fill="CFF0FC"/>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May 31, 2023</w:t>
            </w:r>
          </w:p>
        </w:tc>
        <w:tc>
          <w:tcPr>
            <w:tcW w:w="14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June 20, 2023</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23,686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May 8, 2023</w:t>
            </w:r>
          </w:p>
        </w:tc>
        <w:tc>
          <w:tcPr>
            <w:tcW w:w="1820" w:type="dxa"/>
            <w:vAlign w:val="bottom"/>
          </w:tcPr>
          <w:p>
            <w:pPr>
              <w:jc w:val="center"/>
              <w:ind w:right="63"/>
              <w:spacing w:after="0" w:line="180" w:lineRule="exact"/>
              <w:rPr>
                <w:sz w:val="20"/>
                <w:szCs w:val="20"/>
                <w:color w:val="auto"/>
              </w:rPr>
            </w:pPr>
            <w:r>
              <w:rPr>
                <w:rFonts w:ascii="Times New Roman" w:cs="Times New Roman" w:eastAsia="Times New Roman" w:hAnsi="Times New Roman"/>
                <w:sz w:val="16"/>
                <w:szCs w:val="16"/>
                <w:color w:val="auto"/>
              </w:rPr>
              <w:t>Base</w:t>
            </w:r>
          </w:p>
        </w:tc>
        <w:tc>
          <w:tcPr>
            <w:tcW w:w="2620" w:type="dxa"/>
            <w:vAlign w:val="bottom"/>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June 15, 2023</w:t>
            </w:r>
          </w:p>
        </w:tc>
        <w:tc>
          <w:tcPr>
            <w:tcW w:w="14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June 30, 2023</w:t>
            </w: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290,680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August 3, 2023</w:t>
            </w:r>
          </w:p>
        </w:tc>
        <w:tc>
          <w:tcPr>
            <w:tcW w:w="1820" w:type="dxa"/>
            <w:vAlign w:val="bottom"/>
            <w:shd w:val="clear" w:color="auto" w:fill="CFF0FC"/>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20" w:type="dxa"/>
            <w:vAlign w:val="bottom"/>
            <w:shd w:val="clear" w:color="auto" w:fill="CFF0FC"/>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August 31, 2023</w:t>
            </w:r>
          </w:p>
        </w:tc>
        <w:tc>
          <w:tcPr>
            <w:tcW w:w="14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September 20, 2023</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35,504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August 3, 2023</w:t>
            </w:r>
          </w:p>
        </w:tc>
        <w:tc>
          <w:tcPr>
            <w:tcW w:w="1820" w:type="dxa"/>
            <w:vAlign w:val="bottom"/>
          </w:tcPr>
          <w:p>
            <w:pPr>
              <w:jc w:val="center"/>
              <w:ind w:right="63"/>
              <w:spacing w:after="0" w:line="180" w:lineRule="exact"/>
              <w:rPr>
                <w:sz w:val="20"/>
                <w:szCs w:val="20"/>
                <w:color w:val="auto"/>
              </w:rPr>
            </w:pPr>
            <w:r>
              <w:rPr>
                <w:rFonts w:ascii="Times New Roman" w:cs="Times New Roman" w:eastAsia="Times New Roman" w:hAnsi="Times New Roman"/>
                <w:sz w:val="16"/>
                <w:szCs w:val="16"/>
                <w:color w:val="auto"/>
              </w:rPr>
              <w:t>Base</w:t>
            </w:r>
          </w:p>
        </w:tc>
        <w:tc>
          <w:tcPr>
            <w:tcW w:w="2620" w:type="dxa"/>
            <w:vAlign w:val="bottom"/>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September 15, 2023</w:t>
            </w:r>
          </w:p>
        </w:tc>
        <w:tc>
          <w:tcPr>
            <w:tcW w:w="14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September 29, 2023</w:t>
            </w: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269,763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November 2, 2023</w:t>
            </w:r>
          </w:p>
        </w:tc>
        <w:tc>
          <w:tcPr>
            <w:tcW w:w="1820" w:type="dxa"/>
            <w:vAlign w:val="bottom"/>
            <w:shd w:val="clear" w:color="auto" w:fill="CFF0FC"/>
          </w:tcPr>
          <w:p>
            <w:pPr>
              <w:jc w:val="center"/>
              <w:ind w:right="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20" w:type="dxa"/>
            <w:vAlign w:val="bottom"/>
            <w:shd w:val="clear" w:color="auto" w:fill="CFF0FC"/>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November 30, 2023</w:t>
            </w:r>
          </w:p>
        </w:tc>
        <w:tc>
          <w:tcPr>
            <w:tcW w:w="14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December 20, 2023</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32,157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November 2, 2023</w:t>
            </w:r>
          </w:p>
        </w:tc>
        <w:tc>
          <w:tcPr>
            <w:tcW w:w="1820" w:type="dxa"/>
            <w:vAlign w:val="bottom"/>
          </w:tcPr>
          <w:p>
            <w:pPr>
              <w:jc w:val="center"/>
              <w:ind w:right="63"/>
              <w:spacing w:after="0" w:line="180" w:lineRule="exact"/>
              <w:rPr>
                <w:sz w:val="20"/>
                <w:szCs w:val="20"/>
                <w:color w:val="auto"/>
              </w:rPr>
            </w:pPr>
            <w:r>
              <w:rPr>
                <w:rFonts w:ascii="Times New Roman" w:cs="Times New Roman" w:eastAsia="Times New Roman" w:hAnsi="Times New Roman"/>
                <w:sz w:val="16"/>
                <w:szCs w:val="16"/>
                <w:color w:val="auto"/>
              </w:rPr>
              <w:t>Base</w:t>
            </w:r>
          </w:p>
        </w:tc>
        <w:tc>
          <w:tcPr>
            <w:tcW w:w="2620" w:type="dxa"/>
            <w:vAlign w:val="bottom"/>
          </w:tcPr>
          <w:p>
            <w:pPr>
              <w:jc w:val="right"/>
              <w:ind w:right="605"/>
              <w:spacing w:after="0" w:line="180" w:lineRule="exact"/>
              <w:rPr>
                <w:sz w:val="20"/>
                <w:szCs w:val="20"/>
                <w:color w:val="auto"/>
              </w:rPr>
            </w:pPr>
            <w:r>
              <w:rPr>
                <w:rFonts w:ascii="Times New Roman" w:cs="Times New Roman" w:eastAsia="Times New Roman" w:hAnsi="Times New Roman"/>
                <w:sz w:val="16"/>
                <w:szCs w:val="16"/>
                <w:color w:val="auto"/>
              </w:rPr>
              <w:t>December 15, 2023</w:t>
            </w:r>
          </w:p>
        </w:tc>
        <w:tc>
          <w:tcPr>
            <w:tcW w:w="14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December 29, 2023</w:t>
            </w: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250,844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880" w:type="dxa"/>
            <w:vAlign w:val="bottom"/>
            <w:tcBorders>
              <w:bottom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 Shares Issued</w:t>
            </w:r>
          </w:p>
        </w:tc>
        <w:tc>
          <w:tcPr>
            <w:tcW w:w="1820" w:type="dxa"/>
            <w:vAlign w:val="bottom"/>
            <w:tcBorders>
              <w:bottom w:val="single" w:sz="8" w:color="CFF0FC"/>
            </w:tcBorders>
            <w:shd w:val="clear" w:color="auto" w:fill="CFF0FC"/>
          </w:tcPr>
          <w:p>
            <w:pPr>
              <w:spacing w:after="0"/>
              <w:rPr>
                <w:sz w:val="19"/>
                <w:szCs w:val="19"/>
                <w:color w:val="auto"/>
              </w:rPr>
            </w:pPr>
          </w:p>
        </w:tc>
        <w:tc>
          <w:tcPr>
            <w:tcW w:w="26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1,265,212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(1)See Note 11 for further information on base, supplemental and special dividends.</w:t>
      </w:r>
    </w:p>
    <w:p>
      <w:pPr>
        <w:spacing w:after="0" w:line="188"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2024 and December 31, 2023, we issued 1,231,937 and 1,265,212 shares of the Company's common stock, respectively, to investors who have not opted out of the Company's dividend reinvestment plan for proceeds of $24.7 million and $23.5 million, respectively.</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1, 2024. The amount and timing of stock repurchases under the program may vary depending on market conditions, and no assurance can be given that any particular amount of common stock will be repurchased.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8" w:name="page139"/>
    <w:bookmarkEnd w:id="138"/>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shares were repurchased during the years ended December 31, 2024 and December 31, 2023.</w:t>
      </w:r>
    </w:p>
    <w:p>
      <w:pPr>
        <w:spacing w:after="0" w:line="282" w:lineRule="exact"/>
        <w:rPr>
          <w:sz w:val="20"/>
          <w:szCs w:val="20"/>
          <w:color w:val="auto"/>
        </w:rPr>
      </w:pPr>
    </w:p>
    <w:p>
      <w:pPr>
        <w:ind w:left="240" w:hanging="234"/>
        <w:spacing w:after="0"/>
        <w:tabs>
          <w:tab w:leader="none" w:pos="24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the computation of basic and diluted earnings per common share:</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0"/>
        </w:trPr>
        <w:tc>
          <w:tcPr>
            <w:tcW w:w="5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186,566</w:t>
            </w:r>
          </w:p>
        </w:tc>
        <w:tc>
          <w:tcPr>
            <w:tcW w:w="18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222,023</w:t>
            </w:r>
          </w:p>
        </w:tc>
        <w:tc>
          <w:tcPr>
            <w:tcW w:w="300" w:type="dxa"/>
            <w:vAlign w:val="bottom"/>
            <w:shd w:val="clear" w:color="auto" w:fill="CFF0FC"/>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108,053</w:t>
            </w:r>
          </w:p>
        </w:tc>
      </w:tr>
      <w:tr>
        <w:trPr>
          <w:trHeight w:val="180"/>
        </w:trPr>
        <w:tc>
          <w:tcPr>
            <w:tcW w:w="5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shares of common stock outstanding—basic and diluted</w:t>
            </w:r>
          </w:p>
        </w:tc>
        <w:tc>
          <w:tcPr>
            <w:tcW w:w="10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92,035,165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85,131,264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78,197,826</w:t>
            </w:r>
          </w:p>
        </w:tc>
        <w:tc>
          <w:tcPr>
            <w:tcW w:w="80" w:type="dxa"/>
            <w:vAlign w:val="bottom"/>
          </w:tcPr>
          <w:p>
            <w:pPr>
              <w:spacing w:after="0"/>
              <w:rPr>
                <w:sz w:val="15"/>
                <w:szCs w:val="15"/>
                <w:color w:val="auto"/>
              </w:rPr>
            </w:pPr>
          </w:p>
        </w:tc>
      </w:tr>
      <w:tr>
        <w:trPr>
          <w:trHeight w:val="220"/>
        </w:trPr>
        <w:tc>
          <w:tcPr>
            <w:tcW w:w="526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Earnings per common share—basic and diluted</w:t>
            </w: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Dividends</w:t>
      </w:r>
    </w:p>
    <w:p>
      <w:pPr>
        <w:spacing w:after="0" w:line="94"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tables summarize dividends declared during the years ended December 31, 2024, December 31, 2023 and December 31,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74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74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2740" w:type="dxa"/>
            <w:vAlign w:val="bottom"/>
          </w:tcPr>
          <w:p>
            <w:pPr>
              <w:jc w:val="right"/>
              <w:ind w:right="128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r>
      <w:tr>
        <w:trPr>
          <w:trHeight w:val="180"/>
        </w:trPr>
        <w:tc>
          <w:tcPr>
            <w:tcW w:w="2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20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740" w:type="dxa"/>
            <w:vAlign w:val="bottom"/>
            <w:shd w:val="clear" w:color="auto" w:fill="CFF0FC"/>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February 29, 2024</w:t>
            </w:r>
          </w:p>
        </w:tc>
        <w:tc>
          <w:tcPr>
            <w:tcW w:w="17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March 20, 2024</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0.08</w:t>
            </w:r>
          </w:p>
        </w:tc>
        <w:tc>
          <w:tcPr>
            <w:tcW w:w="80" w:type="dxa"/>
            <w:vAlign w:val="bottom"/>
            <w:shd w:val="clear" w:color="auto" w:fill="CFF0FC"/>
          </w:tcPr>
          <w:p>
            <w:pPr>
              <w:spacing w:after="0"/>
              <w:rPr>
                <w:sz w:val="15"/>
                <w:szCs w:val="15"/>
                <w:color w:val="auto"/>
              </w:rPr>
            </w:pPr>
          </w:p>
        </w:tc>
      </w:tr>
      <w:tr>
        <w:trPr>
          <w:trHeight w:val="180"/>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20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740" w:type="dxa"/>
            <w:vAlign w:val="bottom"/>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March 15, 2024</w:t>
            </w:r>
          </w:p>
        </w:tc>
        <w:tc>
          <w:tcPr>
            <w:tcW w:w="17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March 28, 2024</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5"/>
                <w:szCs w:val="15"/>
                <w:color w:val="auto"/>
              </w:rPr>
            </w:pPr>
          </w:p>
        </w:tc>
      </w:tr>
      <w:tr>
        <w:trPr>
          <w:trHeight w:val="180"/>
        </w:trPr>
        <w:tc>
          <w:tcPr>
            <w:tcW w:w="2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20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740" w:type="dxa"/>
            <w:vAlign w:val="bottom"/>
            <w:shd w:val="clear" w:color="auto" w:fill="CFF0FC"/>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May 31, 2024</w:t>
            </w:r>
          </w:p>
        </w:tc>
        <w:tc>
          <w:tcPr>
            <w:tcW w:w="17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June 20, 2024</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FF0FC"/>
          </w:tcPr>
          <w:p>
            <w:pPr>
              <w:spacing w:after="0"/>
              <w:rPr>
                <w:sz w:val="15"/>
                <w:szCs w:val="15"/>
                <w:color w:val="auto"/>
              </w:rPr>
            </w:pPr>
          </w:p>
        </w:tc>
      </w:tr>
      <w:tr>
        <w:trPr>
          <w:trHeight w:val="180"/>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20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740" w:type="dxa"/>
            <w:vAlign w:val="bottom"/>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June 14, 2024</w:t>
            </w:r>
          </w:p>
        </w:tc>
        <w:tc>
          <w:tcPr>
            <w:tcW w:w="17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June 28, 2024</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5"/>
                <w:szCs w:val="15"/>
                <w:color w:val="auto"/>
              </w:rPr>
            </w:pPr>
          </w:p>
        </w:tc>
      </w:tr>
      <w:tr>
        <w:trPr>
          <w:trHeight w:val="180"/>
        </w:trPr>
        <w:tc>
          <w:tcPr>
            <w:tcW w:w="2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20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740" w:type="dxa"/>
            <w:vAlign w:val="bottom"/>
            <w:shd w:val="clear" w:color="auto" w:fill="CFF0FC"/>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August 30, 2024</w:t>
            </w:r>
          </w:p>
        </w:tc>
        <w:tc>
          <w:tcPr>
            <w:tcW w:w="17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September 20, 2024</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FF0FC"/>
          </w:tcPr>
          <w:p>
            <w:pPr>
              <w:spacing w:after="0"/>
              <w:rPr>
                <w:sz w:val="15"/>
                <w:szCs w:val="15"/>
                <w:color w:val="auto"/>
              </w:rPr>
            </w:pPr>
          </w:p>
        </w:tc>
      </w:tr>
      <w:tr>
        <w:trPr>
          <w:trHeight w:val="180"/>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20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740" w:type="dxa"/>
            <w:vAlign w:val="bottom"/>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September 16, 2024</w:t>
            </w:r>
          </w:p>
        </w:tc>
        <w:tc>
          <w:tcPr>
            <w:tcW w:w="17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5"/>
                <w:szCs w:val="15"/>
                <w:color w:val="auto"/>
              </w:rPr>
            </w:pPr>
          </w:p>
        </w:tc>
      </w:tr>
      <w:tr>
        <w:trPr>
          <w:trHeight w:val="180"/>
        </w:trPr>
        <w:tc>
          <w:tcPr>
            <w:tcW w:w="2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November 5, 2024</w:t>
            </w:r>
          </w:p>
        </w:tc>
        <w:tc>
          <w:tcPr>
            <w:tcW w:w="20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740" w:type="dxa"/>
            <w:vAlign w:val="bottom"/>
            <w:shd w:val="clear" w:color="auto" w:fill="CFF0FC"/>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November 29, 2024</w:t>
            </w:r>
          </w:p>
        </w:tc>
        <w:tc>
          <w:tcPr>
            <w:tcW w:w="17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December 20, 2024</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FF0FC"/>
          </w:tcPr>
          <w:p>
            <w:pPr>
              <w:spacing w:after="0"/>
              <w:rPr>
                <w:sz w:val="15"/>
                <w:szCs w:val="15"/>
                <w:color w:val="auto"/>
              </w:rPr>
            </w:pPr>
          </w:p>
        </w:tc>
      </w:tr>
      <w:tr>
        <w:trPr>
          <w:trHeight w:val="180"/>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November 5, 2024</w:t>
            </w:r>
          </w:p>
        </w:tc>
        <w:tc>
          <w:tcPr>
            <w:tcW w:w="20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740" w:type="dxa"/>
            <w:vAlign w:val="bottom"/>
          </w:tcPr>
          <w:p>
            <w:pPr>
              <w:jc w:val="right"/>
              <w:ind w:right="625"/>
              <w:spacing w:after="0" w:line="180" w:lineRule="exact"/>
              <w:rPr>
                <w:sz w:val="20"/>
                <w:szCs w:val="20"/>
                <w:color w:val="auto"/>
              </w:rPr>
            </w:pPr>
            <w:r>
              <w:rPr>
                <w:rFonts w:ascii="Times New Roman" w:cs="Times New Roman" w:eastAsia="Times New Roman" w:hAnsi="Times New Roman"/>
                <w:sz w:val="16"/>
                <w:szCs w:val="16"/>
                <w:color w:val="auto"/>
              </w:rPr>
              <w:t>December 16, 2024</w:t>
            </w:r>
          </w:p>
        </w:tc>
        <w:tc>
          <w:tcPr>
            <w:tcW w:w="17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5"/>
                <w:szCs w:val="15"/>
                <w:color w:val="auto"/>
              </w:rPr>
            </w:pPr>
          </w:p>
        </w:tc>
      </w:tr>
      <w:tr>
        <w:trPr>
          <w:trHeight w:val="220"/>
        </w:trPr>
        <w:tc>
          <w:tcPr>
            <w:tcW w:w="250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080" w:type="dxa"/>
            <w:vAlign w:val="bottom"/>
            <w:tcBorders>
              <w:bottom w:val="single" w:sz="8" w:color="CFF0FC"/>
            </w:tcBorders>
            <w:shd w:val="clear" w:color="auto" w:fill="CFF0FC"/>
          </w:tcPr>
          <w:p>
            <w:pPr>
              <w:spacing w:after="0"/>
              <w:rPr>
                <w:sz w:val="19"/>
                <w:szCs w:val="19"/>
                <w:color w:val="auto"/>
              </w:rPr>
            </w:pPr>
          </w:p>
        </w:tc>
        <w:tc>
          <w:tcPr>
            <w:tcW w:w="27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371"/>
        </w:trPr>
        <w:tc>
          <w:tcPr>
            <w:tcW w:w="2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4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74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080" w:type="dxa"/>
            <w:vAlign w:val="bottom"/>
          </w:tcPr>
          <w:p>
            <w:pPr>
              <w:jc w:val="center"/>
              <w:ind w:left="43"/>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740" w:type="dxa"/>
            <w:vAlign w:val="bottom"/>
          </w:tcPr>
          <w:p>
            <w:pPr>
              <w:jc w:val="right"/>
              <w:ind w:right="130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Dividend per Share</w:t>
            </w:r>
          </w:p>
        </w:tc>
      </w:tr>
      <w:tr>
        <w:trPr>
          <w:trHeight w:val="180"/>
        </w:trPr>
        <w:tc>
          <w:tcPr>
            <w:tcW w:w="2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February 16, 2023</w:t>
            </w:r>
          </w:p>
        </w:tc>
        <w:tc>
          <w:tcPr>
            <w:tcW w:w="2080" w:type="dxa"/>
            <w:vAlign w:val="bottom"/>
            <w:shd w:val="clear" w:color="auto" w:fill="CFF0FC"/>
          </w:tcPr>
          <w:p>
            <w:pPr>
              <w:jc w:val="center"/>
              <w:ind w:left="6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740" w:type="dxa"/>
            <w:vAlign w:val="bottom"/>
            <w:shd w:val="clear" w:color="auto" w:fill="CFF0FC"/>
          </w:tcPr>
          <w:p>
            <w:pPr>
              <w:jc w:val="right"/>
              <w:ind w:right="645"/>
              <w:spacing w:after="0" w:line="180" w:lineRule="exact"/>
              <w:rPr>
                <w:sz w:val="20"/>
                <w:szCs w:val="20"/>
                <w:color w:val="auto"/>
              </w:rPr>
            </w:pPr>
            <w:r>
              <w:rPr>
                <w:rFonts w:ascii="Times New Roman" w:cs="Times New Roman" w:eastAsia="Times New Roman" w:hAnsi="Times New Roman"/>
                <w:sz w:val="16"/>
                <w:szCs w:val="16"/>
                <w:color w:val="auto"/>
              </w:rPr>
              <w:t>February 28, 2023</w:t>
            </w:r>
          </w:p>
        </w:tc>
        <w:tc>
          <w:tcPr>
            <w:tcW w:w="17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March 20, 2023</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0.09</w:t>
            </w:r>
          </w:p>
        </w:tc>
        <w:tc>
          <w:tcPr>
            <w:tcW w:w="80" w:type="dxa"/>
            <w:vAlign w:val="bottom"/>
            <w:shd w:val="clear" w:color="auto" w:fill="CFF0FC"/>
          </w:tcPr>
          <w:p>
            <w:pPr>
              <w:spacing w:after="0"/>
              <w:rPr>
                <w:sz w:val="15"/>
                <w:szCs w:val="15"/>
                <w:color w:val="auto"/>
              </w:rPr>
            </w:pPr>
          </w:p>
        </w:tc>
      </w:tr>
      <w:tr>
        <w:trPr>
          <w:trHeight w:val="180"/>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February 16, 2023</w:t>
            </w:r>
          </w:p>
        </w:tc>
        <w:tc>
          <w:tcPr>
            <w:tcW w:w="2080" w:type="dxa"/>
            <w:vAlign w:val="bottom"/>
          </w:tcPr>
          <w:p>
            <w:pPr>
              <w:jc w:val="center"/>
              <w:ind w:left="6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740" w:type="dxa"/>
            <w:vAlign w:val="bottom"/>
          </w:tcPr>
          <w:p>
            <w:pPr>
              <w:jc w:val="right"/>
              <w:ind w:right="645"/>
              <w:spacing w:after="0" w:line="180" w:lineRule="exact"/>
              <w:rPr>
                <w:sz w:val="20"/>
                <w:szCs w:val="20"/>
                <w:color w:val="auto"/>
              </w:rPr>
            </w:pPr>
            <w:r>
              <w:rPr>
                <w:rFonts w:ascii="Times New Roman" w:cs="Times New Roman" w:eastAsia="Times New Roman" w:hAnsi="Times New Roman"/>
                <w:sz w:val="16"/>
                <w:szCs w:val="16"/>
                <w:color w:val="auto"/>
              </w:rPr>
              <w:t>March 15, 2023</w:t>
            </w:r>
          </w:p>
        </w:tc>
        <w:tc>
          <w:tcPr>
            <w:tcW w:w="17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March 31, 2023</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5"/>
                <w:szCs w:val="15"/>
                <w:color w:val="auto"/>
              </w:rPr>
            </w:pPr>
          </w:p>
        </w:tc>
      </w:tr>
      <w:tr>
        <w:trPr>
          <w:trHeight w:val="180"/>
        </w:trPr>
        <w:tc>
          <w:tcPr>
            <w:tcW w:w="2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May 8, 2023</w:t>
            </w:r>
          </w:p>
        </w:tc>
        <w:tc>
          <w:tcPr>
            <w:tcW w:w="2080" w:type="dxa"/>
            <w:vAlign w:val="bottom"/>
            <w:shd w:val="clear" w:color="auto" w:fill="CFF0FC"/>
          </w:tcPr>
          <w:p>
            <w:pPr>
              <w:jc w:val="center"/>
              <w:ind w:left="6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740" w:type="dxa"/>
            <w:vAlign w:val="bottom"/>
            <w:shd w:val="clear" w:color="auto" w:fill="CFF0FC"/>
          </w:tcPr>
          <w:p>
            <w:pPr>
              <w:jc w:val="right"/>
              <w:ind w:right="645"/>
              <w:spacing w:after="0" w:line="180" w:lineRule="exact"/>
              <w:rPr>
                <w:sz w:val="20"/>
                <w:szCs w:val="20"/>
                <w:color w:val="auto"/>
              </w:rPr>
            </w:pPr>
            <w:r>
              <w:rPr>
                <w:rFonts w:ascii="Times New Roman" w:cs="Times New Roman" w:eastAsia="Times New Roman" w:hAnsi="Times New Roman"/>
                <w:sz w:val="16"/>
                <w:szCs w:val="16"/>
                <w:color w:val="auto"/>
              </w:rPr>
              <w:t>May 31, 2023</w:t>
            </w:r>
          </w:p>
        </w:tc>
        <w:tc>
          <w:tcPr>
            <w:tcW w:w="17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June 20, 2023</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FF0FC"/>
          </w:tcPr>
          <w:p>
            <w:pPr>
              <w:spacing w:after="0"/>
              <w:rPr>
                <w:sz w:val="15"/>
                <w:szCs w:val="15"/>
                <w:color w:val="auto"/>
              </w:rPr>
            </w:pPr>
          </w:p>
        </w:tc>
      </w:tr>
      <w:tr>
        <w:trPr>
          <w:trHeight w:val="180"/>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May 8, 2023</w:t>
            </w:r>
          </w:p>
        </w:tc>
        <w:tc>
          <w:tcPr>
            <w:tcW w:w="2080" w:type="dxa"/>
            <w:vAlign w:val="bottom"/>
          </w:tcPr>
          <w:p>
            <w:pPr>
              <w:jc w:val="center"/>
              <w:ind w:left="6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740" w:type="dxa"/>
            <w:vAlign w:val="bottom"/>
          </w:tcPr>
          <w:p>
            <w:pPr>
              <w:jc w:val="right"/>
              <w:ind w:right="645"/>
              <w:spacing w:after="0" w:line="180" w:lineRule="exact"/>
              <w:rPr>
                <w:sz w:val="20"/>
                <w:szCs w:val="20"/>
                <w:color w:val="auto"/>
              </w:rPr>
            </w:pPr>
            <w:r>
              <w:rPr>
                <w:rFonts w:ascii="Times New Roman" w:cs="Times New Roman" w:eastAsia="Times New Roman" w:hAnsi="Times New Roman"/>
                <w:sz w:val="16"/>
                <w:szCs w:val="16"/>
                <w:color w:val="auto"/>
              </w:rPr>
              <w:t>June 15, 2023</w:t>
            </w:r>
          </w:p>
        </w:tc>
        <w:tc>
          <w:tcPr>
            <w:tcW w:w="17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June 30, 2023</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5"/>
                <w:szCs w:val="15"/>
                <w:color w:val="auto"/>
              </w:rPr>
            </w:pPr>
          </w:p>
        </w:tc>
      </w:tr>
      <w:tr>
        <w:trPr>
          <w:trHeight w:val="180"/>
        </w:trPr>
        <w:tc>
          <w:tcPr>
            <w:tcW w:w="2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August 3, 2023</w:t>
            </w:r>
          </w:p>
        </w:tc>
        <w:tc>
          <w:tcPr>
            <w:tcW w:w="2080" w:type="dxa"/>
            <w:vAlign w:val="bottom"/>
            <w:shd w:val="clear" w:color="auto" w:fill="CFF0FC"/>
          </w:tcPr>
          <w:p>
            <w:pPr>
              <w:jc w:val="center"/>
              <w:ind w:left="6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740" w:type="dxa"/>
            <w:vAlign w:val="bottom"/>
            <w:shd w:val="clear" w:color="auto" w:fill="CFF0FC"/>
          </w:tcPr>
          <w:p>
            <w:pPr>
              <w:jc w:val="right"/>
              <w:ind w:right="645"/>
              <w:spacing w:after="0" w:line="180" w:lineRule="exact"/>
              <w:rPr>
                <w:sz w:val="20"/>
                <w:szCs w:val="20"/>
                <w:color w:val="auto"/>
              </w:rPr>
            </w:pPr>
            <w:r>
              <w:rPr>
                <w:rFonts w:ascii="Times New Roman" w:cs="Times New Roman" w:eastAsia="Times New Roman" w:hAnsi="Times New Roman"/>
                <w:sz w:val="16"/>
                <w:szCs w:val="16"/>
                <w:color w:val="auto"/>
              </w:rPr>
              <w:t>August 31, 2023</w:t>
            </w:r>
          </w:p>
        </w:tc>
        <w:tc>
          <w:tcPr>
            <w:tcW w:w="17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September 20, 2023</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FF0FC"/>
          </w:tcPr>
          <w:p>
            <w:pPr>
              <w:spacing w:after="0"/>
              <w:rPr>
                <w:sz w:val="15"/>
                <w:szCs w:val="15"/>
                <w:color w:val="auto"/>
              </w:rPr>
            </w:pPr>
          </w:p>
        </w:tc>
      </w:tr>
      <w:tr>
        <w:trPr>
          <w:trHeight w:val="180"/>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August 3, 2023</w:t>
            </w:r>
          </w:p>
        </w:tc>
        <w:tc>
          <w:tcPr>
            <w:tcW w:w="2080" w:type="dxa"/>
            <w:vAlign w:val="bottom"/>
          </w:tcPr>
          <w:p>
            <w:pPr>
              <w:jc w:val="center"/>
              <w:ind w:left="6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740" w:type="dxa"/>
            <w:vAlign w:val="bottom"/>
          </w:tcPr>
          <w:p>
            <w:pPr>
              <w:jc w:val="right"/>
              <w:ind w:right="645"/>
              <w:spacing w:after="0" w:line="180" w:lineRule="exact"/>
              <w:rPr>
                <w:sz w:val="20"/>
                <w:szCs w:val="20"/>
                <w:color w:val="auto"/>
              </w:rPr>
            </w:pPr>
            <w:r>
              <w:rPr>
                <w:rFonts w:ascii="Times New Roman" w:cs="Times New Roman" w:eastAsia="Times New Roman" w:hAnsi="Times New Roman"/>
                <w:sz w:val="16"/>
                <w:szCs w:val="16"/>
                <w:color w:val="auto"/>
              </w:rPr>
              <w:t>September 15, 2023</w:t>
            </w:r>
          </w:p>
        </w:tc>
        <w:tc>
          <w:tcPr>
            <w:tcW w:w="17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September 29, 2023</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5"/>
                <w:szCs w:val="15"/>
                <w:color w:val="auto"/>
              </w:rPr>
            </w:pPr>
          </w:p>
        </w:tc>
      </w:tr>
      <w:tr>
        <w:trPr>
          <w:trHeight w:val="180"/>
        </w:trPr>
        <w:tc>
          <w:tcPr>
            <w:tcW w:w="2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November 2, 2023</w:t>
            </w:r>
          </w:p>
        </w:tc>
        <w:tc>
          <w:tcPr>
            <w:tcW w:w="2080" w:type="dxa"/>
            <w:vAlign w:val="bottom"/>
            <w:shd w:val="clear" w:color="auto" w:fill="CFF0FC"/>
          </w:tcPr>
          <w:p>
            <w:pPr>
              <w:jc w:val="center"/>
              <w:ind w:left="6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740" w:type="dxa"/>
            <w:vAlign w:val="bottom"/>
            <w:shd w:val="clear" w:color="auto" w:fill="CFF0FC"/>
          </w:tcPr>
          <w:p>
            <w:pPr>
              <w:jc w:val="right"/>
              <w:ind w:right="645"/>
              <w:spacing w:after="0" w:line="180" w:lineRule="exact"/>
              <w:rPr>
                <w:sz w:val="20"/>
                <w:szCs w:val="20"/>
                <w:color w:val="auto"/>
              </w:rPr>
            </w:pPr>
            <w:r>
              <w:rPr>
                <w:rFonts w:ascii="Times New Roman" w:cs="Times New Roman" w:eastAsia="Times New Roman" w:hAnsi="Times New Roman"/>
                <w:sz w:val="16"/>
                <w:szCs w:val="16"/>
                <w:color w:val="auto"/>
              </w:rPr>
              <w:t>November 30, 2023</w:t>
            </w:r>
          </w:p>
        </w:tc>
        <w:tc>
          <w:tcPr>
            <w:tcW w:w="17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December 20, 2023</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FF0FC"/>
          </w:tcPr>
          <w:p>
            <w:pPr>
              <w:spacing w:after="0"/>
              <w:rPr>
                <w:sz w:val="15"/>
                <w:szCs w:val="15"/>
                <w:color w:val="auto"/>
              </w:rPr>
            </w:pPr>
          </w:p>
        </w:tc>
      </w:tr>
      <w:tr>
        <w:trPr>
          <w:trHeight w:val="180"/>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November 2, 2023</w:t>
            </w:r>
          </w:p>
        </w:tc>
        <w:tc>
          <w:tcPr>
            <w:tcW w:w="2080" w:type="dxa"/>
            <w:vAlign w:val="bottom"/>
          </w:tcPr>
          <w:p>
            <w:pPr>
              <w:jc w:val="center"/>
              <w:ind w:left="6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740" w:type="dxa"/>
            <w:vAlign w:val="bottom"/>
          </w:tcPr>
          <w:p>
            <w:pPr>
              <w:jc w:val="right"/>
              <w:ind w:right="645"/>
              <w:spacing w:after="0" w:line="180" w:lineRule="exact"/>
              <w:rPr>
                <w:sz w:val="20"/>
                <w:szCs w:val="20"/>
                <w:color w:val="auto"/>
              </w:rPr>
            </w:pPr>
            <w:r>
              <w:rPr>
                <w:rFonts w:ascii="Times New Roman" w:cs="Times New Roman" w:eastAsia="Times New Roman" w:hAnsi="Times New Roman"/>
                <w:sz w:val="16"/>
                <w:szCs w:val="16"/>
                <w:color w:val="auto"/>
              </w:rPr>
              <w:t>December 15, 2023</w:t>
            </w:r>
          </w:p>
        </w:tc>
        <w:tc>
          <w:tcPr>
            <w:tcW w:w="17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December 29, 2023</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5"/>
                <w:szCs w:val="15"/>
                <w:color w:val="auto"/>
              </w:rPr>
            </w:pPr>
          </w:p>
        </w:tc>
      </w:tr>
      <w:tr>
        <w:trPr>
          <w:trHeight w:val="220"/>
        </w:trPr>
        <w:tc>
          <w:tcPr>
            <w:tcW w:w="250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080" w:type="dxa"/>
            <w:vAlign w:val="bottom"/>
            <w:tcBorders>
              <w:bottom w:val="single" w:sz="8" w:color="CFF0FC"/>
            </w:tcBorders>
            <w:shd w:val="clear" w:color="auto" w:fill="CFF0FC"/>
          </w:tcPr>
          <w:p>
            <w:pPr>
              <w:spacing w:after="0"/>
              <w:rPr>
                <w:sz w:val="19"/>
                <w:szCs w:val="19"/>
                <w:color w:val="auto"/>
              </w:rPr>
            </w:pPr>
          </w:p>
        </w:tc>
        <w:tc>
          <w:tcPr>
            <w:tcW w:w="27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562"/>
        </w:trPr>
        <w:tc>
          <w:tcPr>
            <w:tcW w:w="2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40" w:type="dxa"/>
            <w:vAlign w:val="bottom"/>
          </w:tcPr>
          <w:p>
            <w:pPr>
              <w:jc w:val="right"/>
              <w:ind w:right="1805"/>
              <w:spacing w:after="0"/>
              <w:rPr>
                <w:sz w:val="20"/>
                <w:szCs w:val="20"/>
                <w:color w:val="auto"/>
              </w:rPr>
            </w:pPr>
            <w:r>
              <w:rPr>
                <w:rFonts w:ascii="Times New Roman" w:cs="Times New Roman" w:eastAsia="Times New Roman" w:hAnsi="Times New Roman"/>
                <w:sz w:val="16"/>
                <w:szCs w:val="16"/>
                <w:color w:val="auto"/>
              </w:rPr>
              <w:t>F-51</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4"/>
        </w:trPr>
        <w:tc>
          <w:tcPr>
            <w:tcW w:w="2500" w:type="dxa"/>
            <w:vAlign w:val="bottom"/>
            <w:tcBorders>
              <w:bottom w:val="single" w:sz="8" w:color="EEEEEE"/>
            </w:tcBorders>
          </w:tcPr>
          <w:p>
            <w:pPr>
              <w:spacing w:after="0"/>
              <w:rPr>
                <w:sz w:val="24"/>
                <w:szCs w:val="24"/>
                <w:color w:val="auto"/>
              </w:rPr>
            </w:pPr>
          </w:p>
        </w:tc>
        <w:tc>
          <w:tcPr>
            <w:tcW w:w="208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56"/>
        </w:trPr>
        <w:tc>
          <w:tcPr>
            <w:tcW w:w="2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6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6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660" w:type="dxa"/>
            <w:vAlign w:val="bottom"/>
          </w:tcPr>
          <w:p>
            <w:pPr>
              <w:jc w:val="right"/>
              <w:ind w:right="1286"/>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760" w:type="dxa"/>
            <w:vAlign w:val="bottom"/>
          </w:tcPr>
          <w:p>
            <w:pPr>
              <w:jc w:val="right"/>
              <w:ind w:right="74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r>
      <w:tr>
        <w:trPr>
          <w:trHeight w:val="180"/>
        </w:trPr>
        <w:tc>
          <w:tcPr>
            <w:tcW w:w="2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February 17, 2022</w:t>
            </w:r>
          </w:p>
        </w:tc>
        <w:tc>
          <w:tcPr>
            <w:tcW w:w="212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60" w:type="dxa"/>
            <w:vAlign w:val="bottom"/>
            <w:shd w:val="clear" w:color="auto" w:fill="CFF0FC"/>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rPr>
              <w:t>February 28, 2022</w:t>
            </w:r>
          </w:p>
        </w:tc>
        <w:tc>
          <w:tcPr>
            <w:tcW w:w="176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March 31, 2022</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FF0FC"/>
          </w:tcPr>
          <w:p>
            <w:pPr>
              <w:spacing w:after="0"/>
              <w:rPr>
                <w:sz w:val="15"/>
                <w:szCs w:val="15"/>
                <w:color w:val="auto"/>
              </w:rPr>
            </w:pPr>
          </w:p>
        </w:tc>
      </w:tr>
      <w:tr>
        <w:trPr>
          <w:trHeight w:val="180"/>
        </w:trPr>
        <w:tc>
          <w:tcPr>
            <w:tcW w:w="2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February 17, 2022</w:t>
            </w:r>
          </w:p>
        </w:tc>
        <w:tc>
          <w:tcPr>
            <w:tcW w:w="21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660" w:type="dxa"/>
            <w:vAlign w:val="bottom"/>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rPr>
              <w:t>March 15, 2022</w:t>
            </w:r>
          </w:p>
        </w:tc>
        <w:tc>
          <w:tcPr>
            <w:tcW w:w="176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April 18, 2022</w:t>
            </w:r>
          </w:p>
        </w:tc>
        <w:tc>
          <w:tcPr>
            <w:tcW w:w="12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5"/>
                <w:szCs w:val="15"/>
                <w:color w:val="auto"/>
              </w:rPr>
            </w:pPr>
          </w:p>
        </w:tc>
      </w:tr>
      <w:tr>
        <w:trPr>
          <w:trHeight w:val="180"/>
        </w:trPr>
        <w:tc>
          <w:tcPr>
            <w:tcW w:w="2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May 3, 2022</w:t>
            </w:r>
          </w:p>
        </w:tc>
        <w:tc>
          <w:tcPr>
            <w:tcW w:w="212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660" w:type="dxa"/>
            <w:vAlign w:val="bottom"/>
            <w:shd w:val="clear" w:color="auto" w:fill="CFF0FC"/>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rPr>
              <w:t>May 31, 2022</w:t>
            </w:r>
          </w:p>
        </w:tc>
        <w:tc>
          <w:tcPr>
            <w:tcW w:w="176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June 30, 2022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FF0FC"/>
          </w:tcPr>
          <w:p>
            <w:pPr>
              <w:spacing w:after="0"/>
              <w:rPr>
                <w:sz w:val="15"/>
                <w:szCs w:val="15"/>
                <w:color w:val="auto"/>
              </w:rPr>
            </w:pPr>
          </w:p>
        </w:tc>
      </w:tr>
      <w:tr>
        <w:trPr>
          <w:trHeight w:val="180"/>
        </w:trPr>
        <w:tc>
          <w:tcPr>
            <w:tcW w:w="2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May 3, 2022</w:t>
            </w:r>
          </w:p>
        </w:tc>
        <w:tc>
          <w:tcPr>
            <w:tcW w:w="21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660" w:type="dxa"/>
            <w:vAlign w:val="bottom"/>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rPr>
              <w:t>June 15, 2022</w:t>
            </w:r>
          </w:p>
        </w:tc>
        <w:tc>
          <w:tcPr>
            <w:tcW w:w="176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July 15, 2022</w:t>
            </w:r>
          </w:p>
        </w:tc>
        <w:tc>
          <w:tcPr>
            <w:tcW w:w="12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5"/>
                <w:szCs w:val="15"/>
                <w:color w:val="auto"/>
              </w:rPr>
            </w:pPr>
          </w:p>
        </w:tc>
      </w:tr>
      <w:tr>
        <w:trPr>
          <w:trHeight w:val="180"/>
        </w:trPr>
        <w:tc>
          <w:tcPr>
            <w:tcW w:w="2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August 2, 2022</w:t>
            </w:r>
          </w:p>
        </w:tc>
        <w:tc>
          <w:tcPr>
            <w:tcW w:w="212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660" w:type="dxa"/>
            <w:vAlign w:val="bottom"/>
            <w:shd w:val="clear" w:color="auto" w:fill="CFF0FC"/>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rPr>
              <w:t>September 15, 2022</w:t>
            </w:r>
          </w:p>
        </w:tc>
        <w:tc>
          <w:tcPr>
            <w:tcW w:w="176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September 30, 2022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0.42</w:t>
            </w:r>
          </w:p>
        </w:tc>
        <w:tc>
          <w:tcPr>
            <w:tcW w:w="80" w:type="dxa"/>
            <w:vAlign w:val="bottom"/>
            <w:shd w:val="clear" w:color="auto" w:fill="CFF0FC"/>
          </w:tcPr>
          <w:p>
            <w:pPr>
              <w:spacing w:after="0"/>
              <w:rPr>
                <w:sz w:val="15"/>
                <w:szCs w:val="15"/>
                <w:color w:val="auto"/>
              </w:rPr>
            </w:pPr>
          </w:p>
        </w:tc>
      </w:tr>
      <w:tr>
        <w:trPr>
          <w:trHeight w:val="180"/>
        </w:trPr>
        <w:tc>
          <w:tcPr>
            <w:tcW w:w="2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November 1, 2022</w:t>
            </w:r>
          </w:p>
        </w:tc>
        <w:tc>
          <w:tcPr>
            <w:tcW w:w="21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660" w:type="dxa"/>
            <w:vAlign w:val="bottom"/>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rPr>
              <w:t>December 15, 2022</w:t>
            </w:r>
          </w:p>
        </w:tc>
        <w:tc>
          <w:tcPr>
            <w:tcW w:w="176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December 30, 2022</w:t>
            </w:r>
          </w:p>
        </w:tc>
        <w:tc>
          <w:tcPr>
            <w:tcW w:w="12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0.45</w:t>
            </w:r>
          </w:p>
        </w:tc>
        <w:tc>
          <w:tcPr>
            <w:tcW w:w="80" w:type="dxa"/>
            <w:vAlign w:val="bottom"/>
          </w:tcPr>
          <w:p>
            <w:pPr>
              <w:spacing w:after="0"/>
              <w:rPr>
                <w:sz w:val="15"/>
                <w:szCs w:val="15"/>
                <w:color w:val="auto"/>
              </w:rPr>
            </w:pPr>
          </w:p>
        </w:tc>
      </w:tr>
      <w:tr>
        <w:trPr>
          <w:trHeight w:val="220"/>
        </w:trPr>
        <w:tc>
          <w:tcPr>
            <w:tcW w:w="252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12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9"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The dividends declared during the years ended December 31, 2024, December 31, 2023 and December 31, 2022 were derived from net investment income and long-term capital gains, determined on a tax basis.</w:t>
      </w:r>
    </w:p>
    <w:p>
      <w:pPr>
        <w:spacing w:after="0" w:line="249" w:lineRule="exact"/>
        <w:rPr>
          <w:sz w:val="20"/>
          <w:szCs w:val="20"/>
          <w:color w:val="auto"/>
        </w:rPr>
      </w:pPr>
    </w:p>
    <w:p>
      <w:pPr>
        <w:ind w:left="240" w:hanging="234"/>
        <w:spacing w:after="0"/>
        <w:tabs>
          <w:tab w:leader="none" w:pos="24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The tax character of shareholder distributions attributable to the fiscal years ended December 31, 2024, December 31, 2023 and December 31, 2022 were as follows:</w:t>
      </w: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Ordinary Income </w:t>
            </w:r>
            <w:r>
              <w:rPr>
                <w:rFonts w:ascii="Times New Roman" w:cs="Times New Roman" w:eastAsia="Times New Roman" w:hAnsi="Times New Roman"/>
                <w:sz w:val="20"/>
                <w:szCs w:val="20"/>
                <w:color w:val="auto"/>
                <w:vertAlign w:val="superscript"/>
              </w:rPr>
              <w:t>(1)</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186,880</w:t>
            </w:r>
          </w:p>
        </w:tc>
        <w:tc>
          <w:tcPr>
            <w:tcW w:w="40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151,336</w:t>
            </w:r>
          </w:p>
        </w:tc>
        <w:tc>
          <w:tcPr>
            <w:tcW w:w="48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124,760</w:t>
            </w:r>
          </w:p>
        </w:tc>
        <w:tc>
          <w:tcPr>
            <w:tcW w:w="80" w:type="dxa"/>
            <w:vAlign w:val="bottom"/>
            <w:shd w:val="clear" w:color="auto" w:fill="CFF0FC"/>
          </w:tcPr>
          <w:p>
            <w:pPr>
              <w:spacing w:after="0"/>
              <w:rPr>
                <w:sz w:val="15"/>
                <w:szCs w:val="15"/>
                <w:color w:val="auto"/>
              </w:rPr>
            </w:pPr>
          </w:p>
        </w:tc>
      </w:tr>
      <w:tr>
        <w:trPr>
          <w:trHeight w:val="180"/>
        </w:trPr>
        <w:tc>
          <w:tcPr>
            <w:tcW w:w="3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Long Term Capital Gains</w:t>
            </w:r>
          </w:p>
        </w:tc>
        <w:tc>
          <w:tcPr>
            <w:tcW w:w="20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6,563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19,562</w:t>
            </w:r>
          </w:p>
        </w:tc>
        <w:tc>
          <w:tcPr>
            <w:tcW w:w="80" w:type="dxa"/>
            <w:vAlign w:val="bottom"/>
          </w:tcPr>
          <w:p>
            <w:pPr>
              <w:spacing w:after="0"/>
              <w:rPr>
                <w:sz w:val="15"/>
                <w:szCs w:val="15"/>
                <w:color w:val="auto"/>
              </w:rPr>
            </w:pPr>
          </w:p>
        </w:tc>
      </w:tr>
      <w:tr>
        <w:trPr>
          <w:trHeight w:val="220"/>
        </w:trPr>
        <w:tc>
          <w:tcPr>
            <w:tcW w:w="370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193,443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179,966</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144,322</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1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(1)For the years ended December 31, 2024, December 31, 2023 and December 31, 2022, 86.81%, 87.01% and 87.86% of ordinary income qualified as interest related dividend which is exempt from U.S. withholding tax applicable to non-U.S. shareholders.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tax basis components of distributable earnings for the years ended December 31, 2024, December 31, 2023 and December 31, 2022 were as follows: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13"/>
                <w:szCs w:val="13"/>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Pr>
          <w:p>
            <w:pPr>
              <w:spacing w:after="0"/>
              <w:rPr>
                <w:sz w:val="13"/>
                <w:szCs w:val="13"/>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4"/>
                <w:szCs w:val="14"/>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Undistributed net investment income - tax basis</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105,332</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85,002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36,436</w:t>
            </w:r>
          </w:p>
        </w:tc>
        <w:tc>
          <w:tcPr>
            <w:tcW w:w="100" w:type="dxa"/>
            <w:vAlign w:val="bottom"/>
            <w:shd w:val="clear" w:color="auto" w:fill="CFF0FC"/>
          </w:tcPr>
          <w:p>
            <w:pPr>
              <w:spacing w:after="0"/>
              <w:rPr>
                <w:sz w:val="15"/>
                <w:szCs w:val="15"/>
                <w:color w:val="auto"/>
              </w:rPr>
            </w:pP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Undistributed net realized gains (losses) - tax basis</w:t>
            </w:r>
          </w:p>
        </w:tc>
        <w:tc>
          <w:tcPr>
            <w:tcW w:w="1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6,562</w:t>
            </w:r>
          </w:p>
        </w:tc>
        <w:tc>
          <w:tcPr>
            <w:tcW w:w="20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26,377</w:t>
            </w:r>
          </w:p>
        </w:tc>
        <w:tc>
          <w:tcPr>
            <w:tcW w:w="100" w:type="dxa"/>
            <w:vAlign w:val="bottom"/>
          </w:tcPr>
          <w:p>
            <w:pPr>
              <w:spacing w:after="0"/>
              <w:rPr>
                <w:sz w:val="15"/>
                <w:szCs w:val="15"/>
                <w:color w:val="auto"/>
              </w:rPr>
            </w:pP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unrealized gains (losses) on investments</w:t>
            </w:r>
          </w:p>
        </w:tc>
        <w:tc>
          <w:tcPr>
            <w:tcW w:w="18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(9,540)</w:t>
            </w:r>
          </w:p>
        </w:tc>
        <w:tc>
          <w:tcPr>
            <w:tcW w:w="18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23,675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3,823</w:t>
            </w: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temporary differences</w:t>
            </w:r>
          </w:p>
        </w:tc>
        <w:tc>
          <w:tcPr>
            <w:tcW w:w="180" w:type="dxa"/>
            <w:vAlign w:val="bottom"/>
          </w:tcPr>
          <w:p>
            <w:pPr>
              <w:spacing w:after="0"/>
              <w:rPr>
                <w:sz w:val="15"/>
                <w:szCs w:val="15"/>
                <w:color w:val="auto"/>
              </w:rPr>
            </w:pPr>
          </w:p>
        </w:tc>
        <w:tc>
          <w:tcPr>
            <w:tcW w:w="16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(8,987)</w:t>
            </w:r>
          </w:p>
        </w:tc>
        <w:tc>
          <w:tcPr>
            <w:tcW w:w="180" w:type="dxa"/>
            <w:vAlign w:val="bottom"/>
          </w:tcPr>
          <w:p>
            <w:pPr>
              <w:spacing w:after="0"/>
              <w:rPr>
                <w:sz w:val="15"/>
                <w:szCs w:val="15"/>
                <w:color w:val="auto"/>
              </w:rPr>
            </w:pPr>
          </w:p>
        </w:tc>
        <w:tc>
          <w:tcPr>
            <w:tcW w:w="16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(14,463)</w:t>
            </w:r>
          </w:p>
        </w:tc>
        <w:tc>
          <w:tcPr>
            <w:tcW w:w="200" w:type="dxa"/>
            <w:vAlign w:val="bottom"/>
          </w:tcPr>
          <w:p>
            <w:pPr>
              <w:spacing w:after="0"/>
              <w:rPr>
                <w:sz w:val="15"/>
                <w:szCs w:val="15"/>
                <w:color w:val="auto"/>
              </w:rPr>
            </w:pPr>
          </w:p>
        </w:tc>
        <w:tc>
          <w:tcPr>
            <w:tcW w:w="15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(10,180)</w:t>
            </w:r>
          </w:p>
        </w:tc>
      </w:tr>
      <w:tr>
        <w:trPr>
          <w:trHeight w:val="200"/>
        </w:trPr>
        <w:tc>
          <w:tcPr>
            <w:tcW w:w="452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b w:val="1"/>
                <w:bCs w:val="1"/>
                <w:color w:val="auto"/>
              </w:rPr>
              <w:t>Total distributable earnings - book basis</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97,708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100,776</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56,456</w:t>
            </w:r>
          </w:p>
        </w:tc>
        <w:tc>
          <w:tcPr>
            <w:tcW w:w="100" w:type="dxa"/>
            <w:vAlign w:val="bottom"/>
            <w:shd w:val="clear" w:color="auto" w:fill="CFF0FC"/>
          </w:tcPr>
          <w:p>
            <w:pPr>
              <w:spacing w:after="0"/>
              <w:rPr>
                <w:sz w:val="17"/>
                <w:szCs w:val="17"/>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The following reconciles increase in net assets resulting from operations for the fiscal years ended December 31, 2024, December 31, 2023 and December 31, 2022, to taxable income at December 31, 2024, December 31, 2023 and December 31, 2022:</w:t>
      </w:r>
    </w:p>
    <w:p>
      <w:pPr>
        <w:spacing w:after="0" w:line="190"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3"/>
                <w:szCs w:val="13"/>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4"/>
                <w:szCs w:val="14"/>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4"/>
                <w:szCs w:val="14"/>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7"/>
        </w:trPr>
        <w:tc>
          <w:tcPr>
            <w:tcW w:w="37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Increase in net assets resulting from</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186,566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222,023</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108,053</w:t>
            </w:r>
          </w:p>
        </w:tc>
        <w:tc>
          <w:tcPr>
            <w:tcW w:w="80" w:type="dxa"/>
            <w:vAlign w:val="bottom"/>
            <w:shd w:val="clear" w:color="auto" w:fill="CFF0FC"/>
          </w:tcPr>
          <w:p>
            <w:pPr>
              <w:spacing w:after="0"/>
              <w:rPr>
                <w:sz w:val="16"/>
                <w:szCs w:val="16"/>
                <w:color w:val="auto"/>
              </w:rPr>
            </w:pP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unrealized (gains) losses on investments</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42,024</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(13,191 )</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74,969</w:t>
            </w:r>
          </w:p>
        </w:tc>
        <w:tc>
          <w:tcPr>
            <w:tcW w:w="80" w:type="dxa"/>
            <w:vAlign w:val="bottom"/>
            <w:shd w:val="clear" w:color="auto" w:fill="CFF0FC"/>
          </w:tcPr>
          <w:p>
            <w:pPr>
              <w:spacing w:after="0"/>
              <w:rPr>
                <w:sz w:val="15"/>
                <w:szCs w:val="15"/>
                <w:color w:val="auto"/>
              </w:rPr>
            </w:pPr>
          </w:p>
        </w:tc>
      </w:tr>
      <w:tr>
        <w:trPr>
          <w:trHeight w:val="180"/>
        </w:trPr>
        <w:tc>
          <w:tcPr>
            <w:tcW w:w="37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income for tax purposes, not book</w:t>
            </w:r>
          </w:p>
        </w:tc>
        <w:tc>
          <w:tcPr>
            <w:tcW w:w="220" w:type="dxa"/>
            <w:vAlign w:val="bottom"/>
          </w:tcPr>
          <w:p>
            <w:pPr>
              <w:spacing w:after="0"/>
              <w:rPr>
                <w:sz w:val="15"/>
                <w:szCs w:val="15"/>
                <w:color w:val="auto"/>
              </w:rPr>
            </w:pPr>
          </w:p>
        </w:tc>
        <w:tc>
          <w:tcPr>
            <w:tcW w:w="18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(1,815 )</w:t>
            </w:r>
          </w:p>
        </w:tc>
        <w:tc>
          <w:tcPr>
            <w:tcW w:w="220" w:type="dxa"/>
            <w:vAlign w:val="bottom"/>
          </w:tcPr>
          <w:p>
            <w:pPr>
              <w:spacing w:after="0"/>
              <w:rPr>
                <w:sz w:val="15"/>
                <w:szCs w:val="15"/>
                <w:color w:val="auto"/>
              </w:rPr>
            </w:pP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2,680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688</w:t>
            </w:r>
          </w:p>
        </w:tc>
        <w:tc>
          <w:tcPr>
            <w:tcW w:w="80" w:type="dxa"/>
            <w:vAlign w:val="bottom"/>
          </w:tcPr>
          <w:p>
            <w:pPr>
              <w:spacing w:after="0"/>
              <w:rPr>
                <w:sz w:val="15"/>
                <w:szCs w:val="15"/>
                <w:color w:val="auto"/>
              </w:rPr>
            </w:pP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organization costs</w:t>
            </w:r>
          </w:p>
        </w:tc>
        <w:tc>
          <w:tcPr>
            <w:tcW w:w="2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(100 )</w:t>
            </w:r>
          </w:p>
        </w:tc>
        <w:tc>
          <w:tcPr>
            <w:tcW w:w="22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(100 )</w:t>
            </w: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(100 )</w:t>
            </w:r>
          </w:p>
        </w:tc>
      </w:tr>
      <w:tr>
        <w:trPr>
          <w:trHeight w:val="180"/>
        </w:trPr>
        <w:tc>
          <w:tcPr>
            <w:tcW w:w="37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expenses not currently deductible</w:t>
            </w:r>
          </w:p>
        </w:tc>
        <w:tc>
          <w:tcPr>
            <w:tcW w:w="22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2,263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2,621</w:t>
            </w:r>
          </w:p>
        </w:tc>
        <w:tc>
          <w:tcPr>
            <w:tcW w:w="80" w:type="dxa"/>
            <w:vAlign w:val="bottom"/>
          </w:tcPr>
          <w:p>
            <w:pPr>
              <w:spacing w:after="0"/>
              <w:rPr>
                <w:sz w:val="15"/>
                <w:szCs w:val="15"/>
                <w:color w:val="auto"/>
              </w:rPr>
            </w:pP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book-tax differences</w:t>
            </w:r>
          </w:p>
        </w:tc>
        <w:tc>
          <w:tcPr>
            <w:tcW w:w="2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(12,365 )</w:t>
            </w:r>
          </w:p>
        </w:tc>
        <w:tc>
          <w:tcPr>
            <w:tcW w:w="22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(4,959 )</w:t>
            </w: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(11,123 )</w:t>
            </w:r>
          </w:p>
        </w:tc>
      </w:tr>
      <w:tr>
        <w:trPr>
          <w:trHeight w:val="180"/>
        </w:trPr>
        <w:tc>
          <w:tcPr>
            <w:tcW w:w="37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b w:val="1"/>
                <w:bCs w:val="1"/>
                <w:color w:val="auto"/>
              </w:rPr>
              <w:t>Taxable Income</w:t>
            </w:r>
          </w:p>
        </w:tc>
        <w:tc>
          <w:tcPr>
            <w:tcW w:w="2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218,119</w:t>
            </w:r>
          </w:p>
        </w:tc>
        <w:tc>
          <w:tcPr>
            <w:tcW w:w="240" w:type="dxa"/>
            <w:vAlign w:val="bottom"/>
          </w:tcPr>
          <w:p>
            <w:pPr>
              <w:spacing w:after="0"/>
              <w:rPr>
                <w:sz w:val="15"/>
                <w:szCs w:val="15"/>
                <w:color w:val="auto"/>
              </w:rPr>
            </w:pPr>
          </w:p>
        </w:tc>
        <w:tc>
          <w:tcPr>
            <w:tcW w:w="22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208,716</w:t>
            </w:r>
          </w:p>
        </w:tc>
        <w:tc>
          <w:tcPr>
            <w:tcW w:w="240" w:type="dxa"/>
            <w:vAlign w:val="bottom"/>
          </w:tcPr>
          <w:p>
            <w:pPr>
              <w:spacing w:after="0"/>
              <w:rPr>
                <w:sz w:val="15"/>
                <w:szCs w:val="15"/>
                <w:color w:val="auto"/>
              </w:rPr>
            </w:pPr>
          </w:p>
        </w:tc>
        <w:tc>
          <w:tcPr>
            <w:tcW w:w="22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175,108</w:t>
            </w:r>
          </w:p>
        </w:tc>
        <w:tc>
          <w:tcPr>
            <w:tcW w:w="80" w:type="dxa"/>
            <w:vAlign w:val="bottom"/>
          </w:tcPr>
          <w:p>
            <w:pPr>
              <w:spacing w:after="0"/>
              <w:rPr>
                <w:sz w:val="15"/>
                <w:szCs w:val="15"/>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Note: Taxable income is an estimate and is not fully determined until the Company’s tax return is filed. The Company's tax year changed from March 31 to December 31 during calendar year 2024.</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40" w:name="page141"/>
    <w:bookmarkEnd w:id="140"/>
    <w:p>
      <w:pPr>
        <w:spacing w:after="0" w:line="65" w:lineRule="exact"/>
        <w:rPr>
          <w:sz w:val="20"/>
          <w:szCs w:val="20"/>
          <w:color w:val="auto"/>
        </w:rPr>
      </w:pPr>
    </w:p>
    <w:p>
      <w:pPr>
        <w:ind w:right="100" w:firstLine="228"/>
        <w:spacing w:after="0" w:line="331" w:lineRule="auto"/>
        <w:rPr>
          <w:sz w:val="20"/>
          <w:szCs w:val="20"/>
          <w:color w:val="auto"/>
        </w:rPr>
      </w:pPr>
      <w:r>
        <w:rPr>
          <w:rFonts w:ascii="Times New Roman" w:cs="Times New Roman" w:eastAsia="Times New Roman" w:hAnsi="Times New Roman"/>
          <w:sz w:val="14"/>
          <w:szCs w:val="14"/>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08" w:lineRule="exact"/>
        <w:rPr>
          <w:sz w:val="20"/>
          <w:szCs w:val="20"/>
          <w:color w:val="auto"/>
        </w:rPr>
      </w:pPr>
    </w:p>
    <w:p>
      <w:pPr>
        <w:jc w:val="both"/>
        <w:ind w:right="120" w:firstLine="228"/>
        <w:spacing w:after="0" w:line="243" w:lineRule="auto"/>
        <w:rPr>
          <w:sz w:val="20"/>
          <w:szCs w:val="20"/>
          <w:color w:val="auto"/>
        </w:rPr>
      </w:pPr>
      <w:r>
        <w:rPr>
          <w:rFonts w:ascii="Times New Roman" w:cs="Times New Roman" w:eastAsia="Times New Roman" w:hAnsi="Times New Roman"/>
          <w:sz w:val="16"/>
          <w:szCs w:val="16"/>
          <w:color w:val="auto"/>
        </w:rPr>
        <w:t>The Company makes certain adjustments to the classification of stockholders’ equity as a result of permanent book -to- 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67" w:lineRule="exact"/>
        <w:rPr>
          <w:sz w:val="20"/>
          <w:szCs w:val="20"/>
          <w:color w:val="auto"/>
        </w:rPr>
      </w:pPr>
    </w:p>
    <w:p>
      <w:pPr>
        <w:ind w:right="46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January 1, 2024 through December 31, 2024, the Company increased distributable earnings and decreased additional paid in capital by $3.8 million which was primarily attributable to U.S. federal excise taxes.</w:t>
      </w:r>
    </w:p>
    <w:p>
      <w:pPr>
        <w:spacing w:after="0" w:line="155"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April 1, 2023 through December 31, 2023, the Company increased distributable earnings and decreased additional paid in capital by $1.9 million which was primarily attributable to U.S. federal excise taxes.</w:t>
      </w:r>
    </w:p>
    <w:p>
      <w:pPr>
        <w:spacing w:after="0" w:line="155"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April 1, 2022 through December 31, 2022, the Company increased distributable earnings and decreased additional paid in capital by $2.3 million which was primarily attributable to U.S. federal excise taxes.</w:t>
      </w:r>
    </w:p>
    <w:p>
      <w:pPr>
        <w:spacing w:after="0" w:line="155"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64" w:lineRule="exact"/>
        <w:rPr>
          <w:sz w:val="20"/>
          <w:szCs w:val="20"/>
          <w:color w:val="auto"/>
        </w:rPr>
      </w:pPr>
    </w:p>
    <w:p>
      <w:pPr>
        <w:jc w:val="both"/>
        <w:ind w:right="20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2024, the Company had a deferred tax liability of $5.2 million pertaining to net unrealized gains, related to eight of its investments. Given the unrealized gains generated by this entity, the deferred tax liability has been offset by a deferred tax asset of $0.6 million pertaining to operating losses. The Company recorded a current tax expense of $0.2 million and a deferred tax expense of $2.6 million for the year ended December 31, 2024.</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the Company had a deferred tax liability of $2.8 million pertaining to net unrealized gains, related to seven of its investments. Given the unrealized gains generated by this entity, the deferred tax liability has been offset by a deferred tax asset of $0.9 million pertaining to operating losses. The Company recorded a current tax expense of $0.1 million and a deferred tax benefit of $0.6 million for the year ended December 31, 2023.</w:t>
      </w:r>
    </w:p>
    <w:p>
      <w:pPr>
        <w:spacing w:after="0" w:line="164" w:lineRule="exact"/>
        <w:rPr>
          <w:sz w:val="20"/>
          <w:szCs w:val="20"/>
          <w:color w:val="auto"/>
        </w:rPr>
      </w:pPr>
    </w:p>
    <w:p>
      <w:pPr>
        <w:jc w:val="both"/>
        <w:ind w:right="24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2022, the Company had a deferred tax liability of $3.3 million pertaining to net unrealized gains, related to five of its investments. Given the unrealized gains generated by this entity, the deferred tax liability has been offset by a deferred tax asset of $0.8 million pertaining to operating losses. The Company recorded a current tax expense of $0.1 million and a deferred tax expense of $0.6 million for the year ended December 31, 2022.</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tax cost of the Company’s investments as of December 31, 2024 was $3,535,963, resulting in estimated gross unrealized gains and losses of $207,435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$216,975, respectively. The tax cost of the Company’s investments as of December 31, 2023 was $3,256,630, resulting in estimated gross unrealized gains and losses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$159,281 and $135,606, respectively. The tax cost of the Company’s investments as of December 31, 2022 was $2,787,005, resulting in estimated gross unrealized gains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losses of $109,609 and $105,786, respectively.</w:t>
      </w:r>
    </w:p>
    <w:p>
      <w:pPr>
        <w:spacing w:after="0" w:line="170"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To the extent that the Company determines that its estimated current year annual taxable income will exceed its estimated current year dividends from such taxable income, the Company accrues excise tax on estimated excess taxable income. For the year ended December 31, 2024, December 31, 2023 and December 31, 2022, a net expense of $3.8 million, $2.3 million and $2.2 million, respectively, was recorded for U.S. federal excise tax.</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1" w:name="page142"/>
    <w:bookmarkEnd w:id="141"/>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Financial Highlights</w:t>
      </w:r>
    </w:p>
    <w:p>
      <w:pPr>
        <w:spacing w:after="0" w:line="94" w:lineRule="exact"/>
        <w:rPr>
          <w:sz w:val="20"/>
          <w:szCs w:val="20"/>
          <w:color w:val="auto"/>
        </w:rPr>
      </w:pPr>
    </w:p>
    <w:p>
      <w:pPr>
        <w:ind w:right="480" w:firstLine="228"/>
        <w:spacing w:after="0" w:line="331" w:lineRule="auto"/>
        <w:rPr>
          <w:sz w:val="20"/>
          <w:szCs w:val="20"/>
          <w:color w:val="auto"/>
        </w:rPr>
      </w:pPr>
      <w:r>
        <w:rPr>
          <w:rFonts w:ascii="Times New Roman" w:cs="Times New Roman" w:eastAsia="Times New Roman" w:hAnsi="Times New Roman"/>
          <w:sz w:val="14"/>
          <w:szCs w:val="14"/>
          <w:color w:val="auto"/>
        </w:rPr>
        <w:t>The following per share data and ratios have been derived from information provided in the consolidated financial statements. The following are the financial highlights for one share of common stock outstanding during the years ended December 31, 2024, 2023, 2022, 2021, 2020, 2019, 2018, 2017, 2016, and 2015: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9"/>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w w:val="99"/>
              </w:rPr>
              <w:t>For the Years Ended December 31,</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2018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9"/>
              </w:rPr>
              <w:t>2017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11"/>
                <w:szCs w:val="11"/>
                <w:color w:val="auto"/>
              </w:rPr>
            </w:pPr>
          </w:p>
        </w:tc>
      </w:tr>
      <w:tr>
        <w:trPr>
          <w:trHeight w:val="132"/>
        </w:trPr>
        <w:tc>
          <w:tcPr>
            <w:tcW w:w="28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b w:val="1"/>
                <w:bCs w:val="1"/>
                <w:color w:val="auto"/>
              </w:rPr>
              <w:t xml:space="preserve">Per Share Data </w:t>
            </w:r>
            <w:r>
              <w:rPr>
                <w:rFonts w:ascii="Times New Roman" w:cs="Times New Roman" w:eastAsia="Times New Roman" w:hAnsi="Times New Roman"/>
                <w:sz w:val="14"/>
                <w:szCs w:val="14"/>
                <w:b w:val="1"/>
                <w:bCs w:val="1"/>
                <w:color w:val="auto"/>
                <w:vertAlign w:val="superscript"/>
              </w:rPr>
              <w:t>(7)(8)</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2"/>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asset value, beginning of period</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17.04</w:t>
            </w:r>
          </w:p>
        </w:tc>
        <w:tc>
          <w:tcPr>
            <w:tcW w:w="24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w:t>
            </w:r>
          </w:p>
        </w:tc>
        <w:tc>
          <w:tcPr>
            <w:tcW w:w="22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16.83</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15.53</w:t>
            </w:r>
          </w:p>
        </w:tc>
        <w:tc>
          <w:tcPr>
            <w:tcW w:w="100" w:type="dxa"/>
            <w:vAlign w:val="bottom"/>
          </w:tcPr>
          <w:p>
            <w:pPr>
              <w:spacing w:after="0"/>
              <w:rPr>
                <w:sz w:val="11"/>
                <w:szCs w:val="11"/>
                <w:color w:val="auto"/>
              </w:rPr>
            </w:pPr>
          </w:p>
        </w:tc>
      </w:tr>
      <w:tr>
        <w:trPr>
          <w:trHeight w:val="132"/>
        </w:trPr>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2"/>
        </w:trPr>
        <w:tc>
          <w:tcPr>
            <w:tcW w:w="286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 xml:space="preserve">Net investment income </w:t>
            </w:r>
            <w:r>
              <w:rPr>
                <w:rFonts w:ascii="Times New Roman" w:cs="Times New Roman" w:eastAsia="Times New Roman" w:hAnsi="Times New Roman"/>
                <w:sz w:val="14"/>
                <w:szCs w:val="14"/>
                <w:color w:val="auto"/>
                <w:vertAlign w:val="superscript"/>
              </w:rPr>
              <w:t>(1)</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11"/>
                <w:szCs w:val="11"/>
                <w:color w:val="auto"/>
              </w:rPr>
            </w:pPr>
          </w:p>
        </w:tc>
      </w:tr>
      <w:tr>
        <w:trPr>
          <w:trHeight w:val="120"/>
        </w:trPr>
        <w:tc>
          <w:tcPr>
            <w:tcW w:w="28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Net realized and unrealized gains</w:t>
            </w: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8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1"/>
                <w:szCs w:val="11"/>
                <w:color w:val="auto"/>
              </w:rPr>
              <w:t xml:space="preserve">(losses) </w:t>
            </w:r>
            <w:r>
              <w:rPr>
                <w:rFonts w:ascii="Times New Roman" w:cs="Times New Roman" w:eastAsia="Times New Roman" w:hAnsi="Times New Roman"/>
                <w:sz w:val="14"/>
                <w:szCs w:val="14"/>
                <w:color w:val="auto"/>
                <w:vertAlign w:val="superscript"/>
              </w:rPr>
              <w:t>(1)</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(0.36 )</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(0.75 )</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(0.39 )</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(0.14 )</w:t>
            </w: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(0.58 )</w:t>
            </w:r>
          </w:p>
        </w:tc>
      </w:tr>
      <w:tr>
        <w:trPr>
          <w:trHeight w:val="132"/>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from operations</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Pr>
          <w:p>
            <w:pPr>
              <w:spacing w:after="0"/>
              <w:rPr>
                <w:sz w:val="11"/>
                <w:szCs w:val="11"/>
                <w:color w:val="auto"/>
              </w:rPr>
            </w:pPr>
          </w:p>
        </w:tc>
      </w:tr>
      <w:tr>
        <w:trPr>
          <w:trHeight w:val="220"/>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xml:space="preserve">Issuance of common stock, net of offering costs </w:t>
            </w:r>
            <w:r>
              <w:rPr>
                <w:rFonts w:ascii="Times New Roman" w:cs="Times New Roman" w:eastAsia="Times New Roman" w:hAnsi="Times New Roman"/>
                <w:sz w:val="14"/>
                <w:szCs w:val="14"/>
                <w:color w:val="auto"/>
                <w:vertAlign w:val="superscript"/>
              </w:rPr>
              <w:t>(2)</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86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 xml:space="preserve">Settlement of 2022 Convertible Notes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8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 xml:space="preserve">Repurchase of common stock </w:t>
            </w:r>
            <w:r>
              <w:rPr>
                <w:rFonts w:ascii="Times New Roman" w:cs="Times New Roman" w:eastAsia="Times New Roman" w:hAnsi="Times New Roman"/>
                <w:sz w:val="14"/>
                <w:szCs w:val="14"/>
                <w:color w:val="auto"/>
                <w:vertAlign w:val="superscript"/>
              </w:rPr>
              <w:t>(2)</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(0.02 )</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86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 xml:space="preserve">Repurchase of debt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(0.01 )</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8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 xml:space="preserve">Dividends declared from net investment income </w:t>
            </w:r>
            <w:r>
              <w:rPr>
                <w:rFonts w:ascii="Times New Roman" w:cs="Times New Roman" w:eastAsia="Times New Roman" w:hAnsi="Times New Roman"/>
                <w:sz w:val="14"/>
                <w:szCs w:val="14"/>
                <w:color w:val="auto"/>
                <w:vertAlign w:val="superscript"/>
              </w:rPr>
              <w:t>(2)</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(2.09 )</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(2.10 )</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(1.59 )</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(2.80 )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(2.07 )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(1.81 )</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(1.77 )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(1.53 )</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(1.39 )</w:t>
            </w: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(1.15 )</w:t>
            </w:r>
          </w:p>
        </w:tc>
      </w:tr>
      <w:tr>
        <w:trPr>
          <w:trHeight w:val="120"/>
        </w:trPr>
        <w:tc>
          <w:tcPr>
            <w:tcW w:w="28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Dividends declared from realized</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860" w:type="dxa"/>
            <w:vAlign w:val="bottom"/>
          </w:tcPr>
          <w:p>
            <w:pPr>
              <w:ind w:left="40"/>
              <w:spacing w:after="0" w:line="144" w:lineRule="exact"/>
              <w:rPr>
                <w:sz w:val="20"/>
                <w:szCs w:val="20"/>
                <w:color w:val="auto"/>
              </w:rPr>
            </w:pPr>
            <w:r>
              <w:rPr>
                <w:rFonts w:ascii="Times New Roman" w:cs="Times New Roman" w:eastAsia="Times New Roman" w:hAnsi="Times New Roman"/>
                <w:sz w:val="11"/>
                <w:szCs w:val="11"/>
                <w:color w:val="auto"/>
              </w:rPr>
              <w:t xml:space="preserve">gains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(0.25 )</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(0.79 )</w:t>
            </w:r>
          </w:p>
        </w:tc>
        <w:tc>
          <w:tcPr>
            <w:tcW w:w="10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(0.23 )</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(0.01 )</w:t>
            </w:r>
          </w:p>
        </w:tc>
        <w:tc>
          <w:tcPr>
            <w:tcW w:w="10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(0.22 )</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(0.17 )</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(0.41 )</w:t>
            </w:r>
          </w:p>
        </w:tc>
      </w:tr>
      <w:tr>
        <w:trPr>
          <w:trHeight w:val="132"/>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increase/(decrease) in net assets</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(0.36 )</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(0.32 )</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(0.38 )</w:t>
            </w:r>
          </w:p>
        </w:tc>
      </w:tr>
      <w:tr>
        <w:trPr>
          <w:trHeight w:val="132"/>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 Value, End of Period</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24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17.04</w:t>
            </w:r>
          </w:p>
        </w:tc>
        <w:tc>
          <w:tcPr>
            <w:tcW w:w="22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16.83</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100" w:type="dxa"/>
            <w:vAlign w:val="bottom"/>
          </w:tcPr>
          <w:p>
            <w:pPr>
              <w:spacing w:after="0"/>
              <w:rPr>
                <w:sz w:val="11"/>
                <w:szCs w:val="11"/>
                <w:color w:val="auto"/>
              </w:rPr>
            </w:pPr>
          </w:p>
        </w:tc>
      </w:tr>
      <w:tr>
        <w:trPr>
          <w:trHeight w:val="132"/>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Per share market value at end of period</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21.60</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17.80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23.39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21.47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18.68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16.22</w:t>
            </w:r>
          </w:p>
        </w:tc>
        <w:tc>
          <w:tcPr>
            <w:tcW w:w="100" w:type="dxa"/>
            <w:vAlign w:val="bottom"/>
            <w:shd w:val="clear" w:color="auto" w:fill="CFF0FC"/>
          </w:tcPr>
          <w:p>
            <w:pPr>
              <w:spacing w:after="0"/>
              <w:rPr>
                <w:sz w:val="11"/>
                <w:szCs w:val="11"/>
                <w:color w:val="auto"/>
              </w:rPr>
            </w:pPr>
          </w:p>
        </w:tc>
      </w:tr>
      <w:tr>
        <w:trPr>
          <w:trHeight w:val="120"/>
        </w:trPr>
        <w:tc>
          <w:tcPr>
            <w:tcW w:w="28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Total return based on market value with reinvestment of</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86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dividends </w:t>
            </w:r>
            <w:r>
              <w:rPr>
                <w:rFonts w:ascii="Times New Roman" w:cs="Times New Roman" w:eastAsia="Times New Roman" w:hAnsi="Times New Roman"/>
                <w:sz w:val="14"/>
                <w:szCs w:val="14"/>
                <w:color w:val="auto"/>
                <w:vertAlign w:val="superscript"/>
              </w:rPr>
              <w:t>(3)</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9.33 %</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35.68 %</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32.80 %</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11.24 %</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30.57 %</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4.24 %</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15.75 %</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26.74 %</w:t>
            </w: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5.75 %</w:t>
            </w:r>
          </w:p>
        </w:tc>
      </w:tr>
      <w:tr>
        <w:trPr>
          <w:trHeight w:val="132"/>
        </w:trPr>
        <w:tc>
          <w:tcPr>
            <w:tcW w:w="28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color w:val="auto"/>
              </w:rPr>
              <w:t xml:space="preserve">Total return based on market value </w:t>
            </w:r>
            <w:r>
              <w:rPr>
                <w:rFonts w:ascii="Times New Roman" w:cs="Times New Roman" w:eastAsia="Times New Roman" w:hAnsi="Times New Roman"/>
                <w:sz w:val="14"/>
                <w:szCs w:val="14"/>
                <w:color w:val="auto"/>
                <w:vertAlign w:val="superscript"/>
              </w:rPr>
              <w:t>(4)</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8.29 %</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33.14 %</w:t>
            </w: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30.02 %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7.36 %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28.69 %</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0.35 %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15.36 %</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24.78 %</w:t>
            </w: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5.71 %</w:t>
            </w:r>
          </w:p>
        </w:tc>
      </w:tr>
      <w:tr>
        <w:trPr>
          <w:trHeight w:val="132"/>
        </w:trPr>
        <w:tc>
          <w:tcPr>
            <w:tcW w:w="286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color w:val="auto"/>
              </w:rPr>
              <w:t xml:space="preserve">Total return based on net asset value </w:t>
            </w:r>
            <w:r>
              <w:rPr>
                <w:rFonts w:ascii="Times New Roman" w:cs="Times New Roman" w:eastAsia="Times New Roman" w:hAnsi="Times New Roman"/>
                <w:sz w:val="14"/>
                <w:szCs w:val="14"/>
                <w:color w:val="auto"/>
                <w:vertAlign w:val="superscript"/>
              </w:rPr>
              <w:t>(5)</w:t>
            </w: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12.98 %</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16.09 %</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8.79 %</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19.06 %</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15.63 %</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14.71 %</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12.06 %</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11.87 %</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15.54 %</w:t>
            </w:r>
          </w:p>
        </w:tc>
        <w:tc>
          <w:tcPr>
            <w:tcW w:w="10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7.62 %</w:t>
            </w:r>
          </w:p>
        </w:tc>
      </w:tr>
      <w:tr>
        <w:trPr>
          <w:trHeight w:val="132"/>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Shares Outstanding, End of Period</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75,771,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67,684,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66,524,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65,412,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60,247,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59,716,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54,163,9</w:t>
            </w:r>
          </w:p>
        </w:tc>
        <w:tc>
          <w:tcPr>
            <w:tcW w:w="100" w:type="dxa"/>
            <w:vAlign w:val="bottom"/>
            <w:shd w:val="clear" w:color="auto" w:fill="CFF0FC"/>
          </w:tcPr>
          <w:p>
            <w:pPr>
              <w:spacing w:after="0"/>
              <w:rPr>
                <w:sz w:val="11"/>
                <w:szCs w:val="11"/>
                <w:color w:val="auto"/>
              </w:rPr>
            </w:pPr>
          </w:p>
        </w:tc>
      </w:tr>
      <w:tr>
        <w:trPr>
          <w:trHeight w:val="132"/>
        </w:trPr>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93,661,436</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87,829,499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81,389,287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FF0FC"/>
          </w:tcPr>
          <w:p>
            <w:pPr>
              <w:spacing w:after="0"/>
              <w:rPr>
                <w:sz w:val="11"/>
                <w:szCs w:val="11"/>
                <w:color w:val="auto"/>
              </w:rPr>
            </w:pPr>
          </w:p>
        </w:tc>
      </w:tr>
      <w:tr>
        <w:trPr>
          <w:trHeight w:val="132"/>
        </w:trPr>
        <w:tc>
          <w:tcPr>
            <w:tcW w:w="2860" w:type="dxa"/>
            <w:vAlign w:val="bottom"/>
          </w:tcPr>
          <w:p>
            <w:pPr>
              <w:ind w:left="20"/>
              <w:spacing w:after="0" w:line="132" w:lineRule="exact"/>
              <w:rPr>
                <w:sz w:val="20"/>
                <w:szCs w:val="20"/>
                <w:color w:val="auto"/>
              </w:rPr>
            </w:pPr>
            <w:r>
              <w:rPr>
                <w:rFonts w:ascii="Times New Roman" w:cs="Times New Roman" w:eastAsia="Times New Roman" w:hAnsi="Times New Roman"/>
                <w:sz w:val="11"/>
                <w:szCs w:val="11"/>
                <w:b w:val="1"/>
                <w:bCs w:val="1"/>
                <w:color w:val="auto"/>
              </w:rPr>
              <w:t xml:space="preserve">Ratios / Supplemental Data </w:t>
            </w:r>
            <w:r>
              <w:rPr>
                <w:rFonts w:ascii="Times New Roman" w:cs="Times New Roman" w:eastAsia="Times New Roman" w:hAnsi="Times New Roman"/>
                <w:sz w:val="14"/>
                <w:szCs w:val="14"/>
                <w:b w:val="1"/>
                <w:bCs w:val="1"/>
                <w:color w:val="auto"/>
                <w:vertAlign w:val="superscript"/>
              </w:rPr>
              <w:t>(6)</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Ratio of net expenses to average net assets</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16.65 %</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16.92 %</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11.05 %</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11.17 %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11.10 %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11.27 %</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11.32 %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9.41 %</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9.39 %</w:t>
            </w: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9.31 %</w:t>
            </w:r>
          </w:p>
        </w:tc>
      </w:tr>
      <w:tr>
        <w:trPr>
          <w:trHeight w:val="132"/>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Ratio of net investment income to average net assets</w:t>
            </w: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13.96 %</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13.75 %</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12.85 %</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11.67 %</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13.26 %</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11.73 %</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13.80 %</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12.49 %</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11.84 %</w:t>
            </w:r>
          </w:p>
        </w:tc>
        <w:tc>
          <w:tcPr>
            <w:tcW w:w="10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11.35 %</w:t>
            </w:r>
          </w:p>
        </w:tc>
      </w:tr>
      <w:tr>
        <w:trPr>
          <w:trHeight w:val="132"/>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Portfolio turnover</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24.44 %</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16.92 %</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26.67 %</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44.23 %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41.88 %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30.89 %</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44.57 %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58.08 %</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37.40 %</w:t>
            </w: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34.51 %</w:t>
            </w:r>
          </w:p>
        </w:tc>
      </w:tr>
      <w:tr>
        <w:trPr>
          <w:trHeight w:val="132"/>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assets, end of period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1,161,3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2860" w:type="dxa"/>
            <w:vAlign w:val="bottom"/>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1,607,529</w:t>
            </w:r>
          </w:p>
        </w:tc>
        <w:tc>
          <w:tcPr>
            <w:tcW w:w="24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1,496,375</w:t>
            </w:r>
          </w:p>
        </w:tc>
        <w:tc>
          <w:tcPr>
            <w:tcW w:w="22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1,341,569</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2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4"/>
              </w:rPr>
              <w:t>969,284</w:t>
            </w:r>
          </w:p>
        </w:tc>
        <w:tc>
          <w:tcPr>
            <w:tcW w:w="2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820,741</w:t>
            </w:r>
          </w:p>
        </w:tc>
        <w:tc>
          <w:tcPr>
            <w:tcW w:w="100" w:type="dxa"/>
            <w:vAlign w:val="bottom"/>
          </w:tcPr>
          <w:p>
            <w:pPr>
              <w:spacing w:after="0"/>
              <w:rPr>
                <w:sz w:val="11"/>
                <w:szCs w:val="1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per share data was derived by using the weighted average shares outstanding during the period.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per share data was derived by using the actual shares outstanding at the date of the relevant transactions.</w:t>
      </w:r>
    </w:p>
    <w:p>
      <w:pPr>
        <w:ind w:right="340" w:firstLine="6"/>
        <w:spacing w:after="0" w:line="234" w:lineRule="auto"/>
        <w:tabs>
          <w:tab w:leader="none" w:pos="21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rFonts w:ascii="Times New Roman" w:cs="Times New Roman" w:eastAsia="Times New Roman" w:hAnsi="Times New Roman"/>
          <w:sz w:val="16"/>
          <w:szCs w:val="16"/>
          <w:color w:val="auto"/>
        </w:rPr>
      </w:pPr>
    </w:p>
    <w:p>
      <w:pPr>
        <w:ind w:right="2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(4)Total return based on market value is calculated as the change in market value per share during the period plus declared dividends per share, divided by the beginning market value per share.</w:t>
      </w:r>
    </w:p>
    <w:p>
      <w:pPr>
        <w:spacing w:after="0" w:line="1" w:lineRule="exact"/>
        <w:rPr>
          <w:rFonts w:ascii="Times New Roman" w:cs="Times New Roman" w:eastAsia="Times New Roman" w:hAnsi="Times New Roman"/>
          <w:sz w:val="16"/>
          <w:szCs w:val="16"/>
          <w:color w:val="auto"/>
        </w:rPr>
      </w:pPr>
    </w:p>
    <w:p>
      <w:pPr>
        <w:ind w:right="48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(5)Total return based on net asset value is calculated as the change in net asset value per share during the period plus declared dividends per share, divided by the beginning net asset value per share.</w:t>
      </w:r>
    </w:p>
    <w:p>
      <w:pPr>
        <w:spacing w:after="0" w:line="1" w:lineRule="exact"/>
        <w:rPr>
          <w:rFonts w:ascii="Times New Roman" w:cs="Times New Roman" w:eastAsia="Times New Roman" w:hAnsi="Times New Roman"/>
          <w:sz w:val="16"/>
          <w:szCs w:val="16"/>
          <w:color w:val="auto"/>
        </w:rPr>
      </w:pPr>
    </w:p>
    <w:p>
      <w:pPr>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(6)The ratios reflect an annualized amount.</w:t>
      </w:r>
    </w:p>
    <w:p>
      <w:pPr>
        <w:ind w:right="4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(7)The ratio of net expenses to average net assets in the table above reflects the Adviser’s waivers of its right to receive a portion of the Management Fee pursuant to the Leverage Waiver for the year ended December 31, 2024. Excluding the effects of the waivers, the ratio of net expenses to average net assets would have been 16.75% and 17.00% for the years ended December 31, 2024 and December 31, 2023. The ratio of net expenses to average net assets in the table above reflects the Adviser’s waivers of its right to receive a portion of the Management Fee pursuant to the Leverage Waiver for the years ended December 31, 2023 and 2022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w:t>
      </w:r>
    </w:p>
    <w:p>
      <w:pPr>
        <w:spacing w:after="0" w:line="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(8)Table may not sum due to rounding.</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2" w:name="page143"/>
    <w:bookmarkEnd w:id="142"/>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Selected Quarterly Financial Data (Unaudited)</w:t>
      </w:r>
    </w:p>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Q4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Q2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123,704</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65"/>
              <w:spacing w:after="0" w:line="180" w:lineRule="exact"/>
              <w:rPr>
                <w:sz w:val="20"/>
                <w:szCs w:val="20"/>
                <w:color w:val="auto"/>
              </w:rPr>
            </w:pPr>
            <w:r>
              <w:rPr>
                <w:rFonts w:ascii="Times New Roman" w:cs="Times New Roman" w:eastAsia="Times New Roman" w:hAnsi="Times New Roman"/>
                <w:sz w:val="16"/>
                <w:szCs w:val="16"/>
                <w:color w:val="auto"/>
                <w:w w:val="99"/>
              </w:rPr>
              <w:t>119,223</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121,816</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117,783</w:t>
            </w:r>
          </w:p>
        </w:tc>
      </w:tr>
      <w:tr>
        <w:trPr>
          <w:trHeight w:val="180"/>
        </w:trPr>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64,949</w:t>
            </w:r>
          </w:p>
        </w:tc>
        <w:tc>
          <w:tcPr>
            <w:tcW w:w="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80" w:type="dxa"/>
            <w:vAlign w:val="bottom"/>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63,599</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5"/>
                <w:szCs w:val="15"/>
                <w:color w:val="auto"/>
              </w:rPr>
            </w:pPr>
          </w:p>
        </w:tc>
        <w:tc>
          <w:tcPr>
            <w:tcW w:w="80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65,446</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64,571</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57,585</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54,926</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55,144</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52,362</w:t>
            </w:r>
          </w:p>
        </w:tc>
      </w:tr>
      <w:tr>
        <w:trPr>
          <w:trHeight w:val="180"/>
        </w:trPr>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(6,594 )</w:t>
            </w:r>
          </w:p>
        </w:tc>
        <w:tc>
          <w:tcPr>
            <w:tcW w:w="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80" w:type="dxa"/>
            <w:vAlign w:val="bottom"/>
          </w:tcPr>
          <w:p>
            <w:pPr>
              <w:jc w:val="right"/>
              <w:ind w:right="105"/>
              <w:spacing w:after="0" w:line="180" w:lineRule="exact"/>
              <w:rPr>
                <w:sz w:val="20"/>
                <w:szCs w:val="20"/>
                <w:color w:val="auto"/>
              </w:rPr>
            </w:pPr>
            <w:r>
              <w:rPr>
                <w:rFonts w:ascii="Times New Roman" w:cs="Times New Roman" w:eastAsia="Times New Roman" w:hAnsi="Times New Roman"/>
                <w:sz w:val="16"/>
                <w:szCs w:val="16"/>
                <w:color w:val="auto"/>
                <w:w w:val="98"/>
              </w:rPr>
              <w:t>(14,271 )</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5"/>
                <w:szCs w:val="15"/>
                <w:color w:val="auto"/>
              </w:rPr>
            </w:pPr>
          </w:p>
        </w:tc>
        <w:tc>
          <w:tcPr>
            <w:tcW w:w="8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(7,742 )</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(4,844 )</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50,992</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40,655</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47,401</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47,518</w:t>
            </w: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17.16</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17.12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8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17.19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17.17</w:t>
            </w:r>
          </w:p>
        </w:tc>
      </w:tr>
      <w:tr>
        <w:trPr>
          <w:trHeight w:val="396"/>
        </w:trPr>
        <w:tc>
          <w:tcPr>
            <w:tcW w:w="4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Q4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Q3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Q2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8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119,542</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114,435</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107,605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96,505</w:t>
            </w:r>
          </w:p>
        </w:tc>
      </w:tr>
      <w:tr>
        <w:trPr>
          <w:trHeight w:val="180"/>
        </w:trPr>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8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64,269</w:t>
            </w:r>
          </w:p>
        </w:tc>
        <w:tc>
          <w:tcPr>
            <w:tcW w:w="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63,980</w:t>
            </w:r>
          </w:p>
        </w:tc>
        <w:tc>
          <w:tcPr>
            <w:tcW w:w="16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57,919</w:t>
            </w:r>
          </w:p>
        </w:tc>
        <w:tc>
          <w:tcPr>
            <w:tcW w:w="140" w:type="dxa"/>
            <w:vAlign w:val="bottom"/>
          </w:tcPr>
          <w:p>
            <w:pPr>
              <w:spacing w:after="0"/>
              <w:rPr>
                <w:sz w:val="15"/>
                <w:szCs w:val="15"/>
                <w:color w:val="auto"/>
              </w:rPr>
            </w:pPr>
          </w:p>
        </w:tc>
        <w:tc>
          <w:tcPr>
            <w:tcW w:w="3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53,155</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54,684</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49,994</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48,784</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42,937</w:t>
            </w:r>
          </w:p>
        </w:tc>
      </w:tr>
      <w:tr>
        <w:trPr>
          <w:trHeight w:val="180"/>
        </w:trPr>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8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(3,523 )</w:t>
            </w:r>
          </w:p>
        </w:tc>
        <w:tc>
          <w:tcPr>
            <w:tcW w:w="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14,826</w:t>
            </w:r>
          </w:p>
        </w:tc>
        <w:tc>
          <w:tcPr>
            <w:tcW w:w="16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4,306</w:t>
            </w:r>
          </w:p>
        </w:tc>
        <w:tc>
          <w:tcPr>
            <w:tcW w:w="140" w:type="dxa"/>
            <w:vAlign w:val="bottom"/>
          </w:tcPr>
          <w:p>
            <w:pPr>
              <w:spacing w:after="0"/>
              <w:rPr>
                <w:sz w:val="15"/>
                <w:szCs w:val="15"/>
                <w:color w:val="auto"/>
              </w:rPr>
            </w:pPr>
          </w:p>
        </w:tc>
        <w:tc>
          <w:tcPr>
            <w:tcW w:w="3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10,015</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8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51,161</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64,820</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53,090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52,952</w:t>
            </w: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17.04</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6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4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16.59</w:t>
            </w:r>
          </w:p>
        </w:tc>
      </w:tr>
      <w:tr>
        <w:trPr>
          <w:trHeight w:val="348"/>
        </w:trPr>
        <w:tc>
          <w:tcPr>
            <w:tcW w:w="4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Q4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Q3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Q2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100,149</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77,839</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63,888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67,429</w:t>
            </w:r>
          </w:p>
        </w:tc>
      </w:tr>
      <w:tr>
        <w:trPr>
          <w:trHeight w:val="180"/>
        </w:trPr>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47,536</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40,659</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23,066</w:t>
            </w:r>
          </w:p>
        </w:tc>
        <w:tc>
          <w:tcPr>
            <w:tcW w:w="140" w:type="dxa"/>
            <w:vAlign w:val="bottom"/>
          </w:tcPr>
          <w:p>
            <w:pPr>
              <w:spacing w:after="0"/>
              <w:rPr>
                <w:sz w:val="15"/>
                <w:szCs w:val="15"/>
                <w:color w:val="auto"/>
              </w:rPr>
            </w:pP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31,717</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52,613</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37,180</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40,822</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35,712</w:t>
            </w:r>
          </w:p>
        </w:tc>
      </w:tr>
      <w:tr>
        <w:trPr>
          <w:trHeight w:val="180"/>
        </w:trPr>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(6,351 )</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(2,749 )</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(54,347 )</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5,173</w:t>
            </w:r>
          </w:p>
        </w:tc>
      </w:tr>
      <w:tr>
        <w:trPr>
          <w:trHeight w:val="180"/>
        </w:trPr>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46,262</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34,431</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(13,525 )</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40,885</w:t>
            </w: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16.48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16.36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16.88</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5"/>
          <w:szCs w:val="15"/>
          <w:color w:val="auto"/>
        </w:rPr>
        <w:t>Net expenses include income taxes, including excise taxes.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Subsequent Events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2024.</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90" w:lineRule="exact"/>
        <w:rPr>
          <w:sz w:val="20"/>
          <w:szCs w:val="20"/>
          <w:color w:val="auto"/>
        </w:rPr>
      </w:pPr>
    </w:p>
    <w:p>
      <w:pPr>
        <w:ind w:right="80" w:firstLine="22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Annual Report, we carried out an evaluation, under the supervision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with the participation of our management, including our Chief Executive Officer and Chief Financial Officer, of the effectiveness of the design and operation of our disclosure controls and procedures (as defined in Rule 13a- 15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5"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Management’s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 internal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over financial reporting (as defined in Rules 13a -15(f)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6"/>
          <w:szCs w:val="16"/>
          <w:i w:val="1"/>
          <w:iCs w:val="1"/>
          <w:color w:val="auto"/>
        </w:rPr>
        <w:t>Internal Control—Integrated Framework (2013)</w:t>
      </w:r>
      <w:r>
        <w:rPr>
          <w:rFonts w:ascii="Times New Roman" w:cs="Times New Roman" w:eastAsia="Times New Roman" w:hAnsi="Times New Roman"/>
          <w:sz w:val="16"/>
          <w:szCs w:val="16"/>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management concluded that our internal control over financial reporting was effective as of December 31, 2024.</w:t>
      </w:r>
    </w:p>
    <w:p>
      <w:pPr>
        <w:spacing w:after="0" w:line="172"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jc w:val="both"/>
        <w:ind w:right="260" w:firstLine="22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Attestation Report of the Independent Registered Public Accounting Firm. </w:t>
      </w:r>
      <w:r>
        <w:rPr>
          <w:rFonts w:ascii="Times New Roman" w:cs="Times New Roman" w:eastAsia="Times New Roman" w:hAnsi="Times New Roman"/>
          <w:sz w:val="16"/>
          <w:szCs w:val="16"/>
          <w:color w:val="auto"/>
        </w:rPr>
        <w:t>Our independent registered public accounting firm, KPMG LLP, has issued an audit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report on the effectiveness of our internal control over financial reporting, which is set forth under the heading “Report of Independent Registered Public Accounting Firm” on page F-2.</w:t>
      </w:r>
    </w:p>
    <w:p>
      <w:pPr>
        <w:spacing w:after="0" w:line="160" w:lineRule="exact"/>
        <w:rPr>
          <w:sz w:val="20"/>
          <w:szCs w:val="20"/>
          <w:color w:val="auto"/>
        </w:rPr>
      </w:pPr>
    </w:p>
    <w:p>
      <w:pPr>
        <w:ind w:right="200" w:firstLine="22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our internal control over financial reporting that occurred during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completed fiscal quarter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4" w:name="page145"/>
    <w:bookmarkEnd w:id="144"/>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9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Except for the information regarding the SOX Code of Business Conduct and Ethics (which is set forth below), information in response to this item is incorporated by reference from our Proxy Statement relating to our 2025 annual meeting of stockholders. The Proxy Statement will be filed with the SEC within 120 days after the end of the fiscal year covered by this Form 10-K pursuant to Regulation 14A under the Exchange Act.</w:t>
      </w:r>
    </w:p>
    <w:p>
      <w:pPr>
        <w:spacing w:after="0" w:line="16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2025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2025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 AND RELATED TRANSACTION, AND DIRECTOR INDEPENDENCE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2025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1" w:right="760"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documents are filed as part of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(1)Financial Statements—Financial statements are included in Item 8. See the Index to the consolidated financial statements on page F-1 of this annual report on Form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74" w:lineRule="exact"/>
        <w:rPr>
          <w:sz w:val="20"/>
          <w:szCs w:val="20"/>
          <w:color w:val="auto"/>
        </w:rPr>
      </w:pPr>
    </w:p>
    <w:p>
      <w:pPr>
        <w:ind w:right="720"/>
        <w:spacing w:after="0" w:line="331" w:lineRule="auto"/>
        <w:rPr>
          <w:sz w:val="20"/>
          <w:szCs w:val="20"/>
          <w:color w:val="auto"/>
        </w:rPr>
      </w:pPr>
      <w:r>
        <w:rPr>
          <w:rFonts w:ascii="Times New Roman" w:cs="Times New Roman" w:eastAsia="Times New Roman" w:hAnsi="Times New Roman"/>
          <w:sz w:val="14"/>
          <w:szCs w:val="14"/>
          <w:color w:val="auto"/>
        </w:rPr>
        <w:t>(2)Financial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(3)Exhibits—The following is a list of all exhibits filed as a part of this annual report on Form 10-K, including those incorporated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Exhibit No</w:t>
            </w:r>
          </w:p>
        </w:tc>
        <w:tc>
          <w:tcPr>
            <w:tcW w:w="9600" w:type="dxa"/>
            <w:vAlign w:val="bottom"/>
            <w:gridSpan w:val="23"/>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272"/>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9600" w:type="dxa"/>
            <w:vAlign w:val="bottom"/>
            <w:gridSpan w:val="23"/>
          </w:tcPr>
          <w:p>
            <w:pPr>
              <w:spacing w:after="0"/>
              <w:rPr>
                <w:rFonts w:ascii="Times New Roman" w:cs="Times New Roman" w:eastAsia="Times New Roman" w:hAnsi="Times New Roman"/>
                <w:sz w:val="16"/>
                <w:szCs w:val="16"/>
                <w:color w:val="0000FF"/>
                <w:w w:val="97"/>
              </w:rPr>
            </w:pPr>
            <w:hyperlink r:id="rId213">
              <w:r>
                <w:rPr>
                  <w:rFonts w:ascii="Times New Roman" w:cs="Times New Roman" w:eastAsia="Times New Roman" w:hAnsi="Times New Roman"/>
                  <w:sz w:val="16"/>
                  <w:szCs w:val="16"/>
                  <w:color w:val="0000FF"/>
                  <w:w w:val="97"/>
                </w:rPr>
                <w:t>Restated Certificate of Incorporation (incorporated by reference to Exhibit 3.2 to Amendment No. 1 to the Company’s Current Report on Form 8-K filed</w:t>
              </w:r>
            </w:hyperlink>
          </w:p>
        </w:tc>
      </w:tr>
      <w:tr>
        <w:trPr>
          <w:trHeight w:val="160"/>
        </w:trPr>
        <w:tc>
          <w:tcPr>
            <w:tcW w:w="960" w:type="dxa"/>
            <w:vAlign w:val="bottom"/>
          </w:tcPr>
          <w:p>
            <w:pPr>
              <w:spacing w:after="0"/>
              <w:rPr>
                <w:sz w:val="13"/>
                <w:szCs w:val="13"/>
                <w:color w:val="auto"/>
              </w:rPr>
            </w:pPr>
          </w:p>
        </w:tc>
        <w:tc>
          <w:tcPr>
            <w:tcW w:w="95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on June 19, 2020).</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9600" w:type="dxa"/>
            <w:vAlign w:val="bottom"/>
            <w:gridSpan w:val="23"/>
          </w:tcPr>
          <w:p>
            <w:pPr>
              <w:spacing w:after="0"/>
              <w:rPr>
                <w:rFonts w:ascii="Times New Roman" w:cs="Times New Roman" w:eastAsia="Times New Roman" w:hAnsi="Times New Roman"/>
                <w:sz w:val="16"/>
                <w:szCs w:val="16"/>
                <w:color w:val="0000FF"/>
                <w:w w:val="98"/>
              </w:rPr>
            </w:pPr>
            <w:hyperlink r:id="rId214">
              <w:r>
                <w:rPr>
                  <w:rFonts w:ascii="Times New Roman" w:cs="Times New Roman" w:eastAsia="Times New Roman" w:hAnsi="Times New Roman"/>
                  <w:sz w:val="16"/>
                  <w:szCs w:val="16"/>
                  <w:color w:val="0000FF"/>
                  <w:w w:val="98"/>
                </w:rPr>
                <w:t>Second Amended and Restated Bylaws dated July 10, 2023 (incorporated by reference to Exhibit 3.1 to the Company’s Current Report on Form 8-K/A</w:t>
              </w:r>
            </w:hyperlink>
          </w:p>
        </w:tc>
      </w:tr>
      <w:tr>
        <w:trPr>
          <w:trHeight w:val="160"/>
        </w:trPr>
        <w:tc>
          <w:tcPr>
            <w:tcW w:w="960" w:type="dxa"/>
            <w:vAlign w:val="bottom"/>
          </w:tcPr>
          <w:p>
            <w:pPr>
              <w:spacing w:after="0"/>
              <w:rPr>
                <w:sz w:val="13"/>
                <w:szCs w:val="13"/>
                <w:color w:val="auto"/>
              </w:rPr>
            </w:pPr>
          </w:p>
        </w:tc>
        <w:tc>
          <w:tcPr>
            <w:tcW w:w="744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filed on July 17, 2023)</w:t>
              </w:r>
              <w:r>
                <w:rPr>
                  <w:rFonts w:ascii="Times New Roman" w:cs="Times New Roman" w:eastAsia="Times New Roman" w:hAnsi="Times New Roman"/>
                  <w:sz w:val="16"/>
                  <w:szCs w:val="16"/>
                  <w:color w:val="000000"/>
                </w:rPr>
                <w:t>.</w:t>
              </w:r>
            </w:hyperlink>
          </w:p>
        </w:tc>
        <w:tc>
          <w:tcPr>
            <w:tcW w:w="40" w:type="dxa"/>
            <w:vAlign w:val="bottom"/>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950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7"/>
              </w:rPr>
            </w:pPr>
            <w:hyperlink r:id="rId215">
              <w:r>
                <w:rPr>
                  <w:rFonts w:ascii="Times New Roman" w:cs="Times New Roman" w:eastAsia="Times New Roman" w:hAnsi="Times New Roman"/>
                  <w:sz w:val="16"/>
                  <w:szCs w:val="16"/>
                  <w:color w:val="0000FF"/>
                  <w:w w:val="97"/>
                </w:rPr>
                <w:t>Form of Common Stock Certificate (incorporated by reference to Exhibit 4.2 to the Company’s Annual Report on Form 10-K filed on March 22, 2012)</w:t>
              </w:r>
            </w:hyperlink>
            <w:r>
              <w:rPr>
                <w:rFonts w:ascii="Times New Roman" w:cs="Times New Roman" w:eastAsia="Times New Roman" w:hAnsi="Times New Roman"/>
                <w:sz w:val="16"/>
                <w:szCs w:val="16"/>
                <w:color w:val="0000FF"/>
                <w:w w:val="97"/>
              </w:rPr>
              <w:t>.</w:t>
            </w:r>
          </w:p>
        </w:tc>
        <w:tc>
          <w:tcPr>
            <w:tcW w:w="100" w:type="dxa"/>
            <w:vAlign w:val="bottom"/>
            <w:gridSpan w:val="4"/>
          </w:tcPr>
          <w:p>
            <w:pPr>
              <w:spacing w:after="0"/>
              <w:rPr>
                <w:sz w:val="24"/>
                <w:szCs w:val="24"/>
                <w:color w:val="auto"/>
              </w:rPr>
            </w:pPr>
          </w:p>
        </w:tc>
      </w:tr>
      <w:tr>
        <w:trPr>
          <w:trHeight w:val="43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9600" w:type="dxa"/>
            <w:vAlign w:val="bottom"/>
            <w:gridSpan w:val="23"/>
          </w:tcPr>
          <w:p>
            <w:pPr>
              <w:spacing w:after="0"/>
              <w:rPr>
                <w:rFonts w:ascii="Times New Roman" w:cs="Times New Roman" w:eastAsia="Times New Roman" w:hAnsi="Times New Roman"/>
                <w:sz w:val="16"/>
                <w:szCs w:val="16"/>
                <w:color w:val="0000FF"/>
                <w:w w:val="98"/>
              </w:rPr>
            </w:pPr>
            <w:hyperlink r:id="rId216">
              <w:r>
                <w:rPr>
                  <w:rFonts w:ascii="Times New Roman" w:cs="Times New Roman" w:eastAsia="Times New Roman" w:hAnsi="Times New Roman"/>
                  <w:sz w:val="16"/>
                  <w:szCs w:val="16"/>
                  <w:color w:val="0000FF"/>
                  <w:w w:val="98"/>
                </w:rPr>
                <w:t>Third Supplemental Indenture, dated as of February 3, 2021, between Sixth Street Specialty Lending, Inc. and Wells Fargo Bank, National Association,</w:t>
              </w:r>
            </w:hyperlink>
          </w:p>
        </w:tc>
      </w:tr>
      <w:tr>
        <w:trPr>
          <w:trHeight w:val="160"/>
        </w:trPr>
        <w:tc>
          <w:tcPr>
            <w:tcW w:w="960" w:type="dxa"/>
            <w:vAlign w:val="bottom"/>
          </w:tcPr>
          <w:p>
            <w:pPr>
              <w:spacing w:after="0"/>
              <w:rPr>
                <w:sz w:val="13"/>
                <w:szCs w:val="13"/>
                <w:color w:val="auto"/>
              </w:rPr>
            </w:pPr>
          </w:p>
        </w:tc>
        <w:tc>
          <w:tcPr>
            <w:tcW w:w="95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as Trustee (incorporated by reference to Exhibit 4.2 to the Company’s Current Report on Form 8-K filed on February 3, 2021).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9600" w:type="dxa"/>
            <w:vAlign w:val="bottom"/>
            <w:gridSpan w:val="23"/>
          </w:tcPr>
          <w:p>
            <w:pPr>
              <w:spacing w:after="0"/>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Form of 2.500% Note (incorporated by reference to Exhibit 4.2 to the Company’s Current Report on Form 8-K filed on February 3, 2021)</w:t>
              </w:r>
            </w:hyperlink>
            <w:r>
              <w:rPr>
                <w:rFonts w:ascii="Times New Roman" w:cs="Times New Roman" w:eastAsia="Times New Roman" w:hAnsi="Times New Roman"/>
                <w:sz w:val="16"/>
                <w:szCs w:val="16"/>
                <w:color w:val="0000FF"/>
              </w:rPr>
              <w:t>.</w:t>
            </w:r>
          </w:p>
        </w:tc>
      </w:tr>
      <w:tr>
        <w:trPr>
          <w:trHeight w:val="20"/>
        </w:trPr>
        <w:tc>
          <w:tcPr>
            <w:tcW w:w="96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9600" w:type="dxa"/>
            <w:vAlign w:val="bottom"/>
            <w:gridSpan w:val="23"/>
          </w:tcPr>
          <w:p>
            <w:pPr>
              <w:spacing w:after="0"/>
              <w:rPr>
                <w:rFonts w:ascii="Times New Roman" w:cs="Times New Roman" w:eastAsia="Times New Roman" w:hAnsi="Times New Roman"/>
                <w:sz w:val="16"/>
                <w:szCs w:val="16"/>
                <w:color w:val="0000FF"/>
                <w:w w:val="98"/>
              </w:rPr>
            </w:pPr>
            <w:hyperlink r:id="rId217">
              <w:r>
                <w:rPr>
                  <w:rFonts w:ascii="Times New Roman" w:cs="Times New Roman" w:eastAsia="Times New Roman" w:hAnsi="Times New Roman"/>
                  <w:sz w:val="16"/>
                  <w:szCs w:val="16"/>
                  <w:color w:val="0000FF"/>
                  <w:w w:val="98"/>
                </w:rPr>
                <w:t>Fourth Supplemental Indenture, dated as of August 14, 2023, between Sixth Street Specialty Lending, Inc. and Computershare Trust Company, N.A., as</w:t>
              </w:r>
            </w:hyperlink>
          </w:p>
        </w:tc>
      </w:tr>
      <w:tr>
        <w:trPr>
          <w:trHeight w:val="160"/>
        </w:trPr>
        <w:tc>
          <w:tcPr>
            <w:tcW w:w="960" w:type="dxa"/>
            <w:vAlign w:val="bottom"/>
          </w:tcPr>
          <w:p>
            <w:pPr>
              <w:spacing w:after="0"/>
              <w:rPr>
                <w:sz w:val="13"/>
                <w:szCs w:val="13"/>
                <w:color w:val="auto"/>
              </w:rPr>
            </w:pPr>
          </w:p>
        </w:tc>
        <w:tc>
          <w:tcPr>
            <w:tcW w:w="95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w w:val="97"/>
              </w:rPr>
            </w:pPr>
            <w:hyperlink r:id="rId217">
              <w:r>
                <w:rPr>
                  <w:rFonts w:ascii="Times New Roman" w:cs="Times New Roman" w:eastAsia="Times New Roman" w:hAnsi="Times New Roman"/>
                  <w:sz w:val="16"/>
                  <w:szCs w:val="16"/>
                  <w:color w:val="0000FF"/>
                  <w:w w:val="97"/>
                </w:rPr>
                <w:t>successor to Wells Fargo Bank, National Association, as Trustee (incorporated by reference to Exhibit 4.2 to the Company’s Current Report on Form 8-</w:t>
              </w:r>
            </w:hyperlink>
          </w:p>
        </w:tc>
        <w:tc>
          <w:tcPr>
            <w:tcW w:w="60" w:type="dxa"/>
            <w:vAlign w:val="bottom"/>
            <w:gridSpan w:val="2"/>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950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K filed on August 14, 2023).</w:t>
              </w:r>
            </w:hyperlink>
          </w:p>
        </w:tc>
        <w:tc>
          <w:tcPr>
            <w:tcW w:w="10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9280" w:type="dxa"/>
            <w:vAlign w:val="bottom"/>
            <w:tcBorders>
              <w:bottom w:val="single" w:sz="8" w:color="0000EE"/>
            </w:tcBorders>
            <w:gridSpan w:val="15"/>
          </w:tcPr>
          <w:p>
            <w:pPr>
              <w:spacing w:after="0"/>
              <w:rPr>
                <w:rFonts w:ascii="Times New Roman" w:cs="Times New Roman" w:eastAsia="Times New Roman" w:hAnsi="Times New Roman"/>
                <w:sz w:val="16"/>
                <w:szCs w:val="16"/>
                <w:color w:val="0000FF"/>
                <w:w w:val="97"/>
              </w:rPr>
            </w:pPr>
            <w:hyperlink r:id="rId217">
              <w:r>
                <w:rPr>
                  <w:rFonts w:ascii="Times New Roman" w:cs="Times New Roman" w:eastAsia="Times New Roman" w:hAnsi="Times New Roman"/>
                  <w:sz w:val="16"/>
                  <w:szCs w:val="16"/>
                  <w:color w:val="0000FF"/>
                  <w:w w:val="97"/>
                </w:rPr>
                <w:t>Form of 6.950% Note Due 2028 (incorporated by reference to Exhibit 4.2 to the Company’s Current Report on Form 8-K filed on August 14, 2023)</w:t>
              </w:r>
            </w:hyperlink>
            <w:r>
              <w:rPr>
                <w:rFonts w:ascii="Times New Roman" w:cs="Times New Roman" w:eastAsia="Times New Roman" w:hAnsi="Times New Roman"/>
                <w:sz w:val="16"/>
                <w:szCs w:val="16"/>
                <w:color w:val="0000FF"/>
                <w:w w:val="97"/>
              </w:rPr>
              <w:t>.</w:t>
            </w:r>
          </w:p>
        </w:tc>
        <w:tc>
          <w:tcPr>
            <w:tcW w:w="320" w:type="dxa"/>
            <w:vAlign w:val="bottom"/>
            <w:gridSpan w:val="8"/>
          </w:tcPr>
          <w:p>
            <w:pPr>
              <w:spacing w:after="0"/>
              <w:rPr>
                <w:sz w:val="24"/>
                <w:szCs w:val="24"/>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9600" w:type="dxa"/>
            <w:vAlign w:val="bottom"/>
            <w:gridSpan w:val="23"/>
          </w:tcPr>
          <w:p>
            <w:pPr>
              <w:spacing w:after="0"/>
              <w:rPr>
                <w:rFonts w:ascii="Times New Roman" w:cs="Times New Roman" w:eastAsia="Times New Roman" w:hAnsi="Times New Roman"/>
                <w:sz w:val="16"/>
                <w:szCs w:val="16"/>
                <w:color w:val="0000FF"/>
                <w:w w:val="99"/>
              </w:rPr>
            </w:pPr>
            <w:hyperlink r:id="rId218">
              <w:r>
                <w:rPr>
                  <w:rFonts w:ascii="Times New Roman" w:cs="Times New Roman" w:eastAsia="Times New Roman" w:hAnsi="Times New Roman"/>
                  <w:sz w:val="16"/>
                  <w:szCs w:val="16"/>
                  <w:color w:val="0000FF"/>
                  <w:w w:val="99"/>
                </w:rPr>
                <w:t>Indenture, dated as of January 16, 2024, between Sixth Street Specialty Lending, Inc. and U.S. Bank Trust Company, National Association, as Trustee</w:t>
              </w:r>
            </w:hyperlink>
          </w:p>
        </w:tc>
      </w:tr>
      <w:tr>
        <w:trPr>
          <w:trHeight w:val="160"/>
        </w:trPr>
        <w:tc>
          <w:tcPr>
            <w:tcW w:w="960" w:type="dxa"/>
            <w:vAlign w:val="bottom"/>
          </w:tcPr>
          <w:p>
            <w:pPr>
              <w:spacing w:after="0"/>
              <w:rPr>
                <w:sz w:val="13"/>
                <w:szCs w:val="13"/>
                <w:color w:val="auto"/>
              </w:rPr>
            </w:pPr>
          </w:p>
        </w:tc>
        <w:tc>
          <w:tcPr>
            <w:tcW w:w="726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7"/>
              </w:rPr>
            </w:pPr>
            <w:hyperlink r:id="rId218">
              <w:r>
                <w:rPr>
                  <w:rFonts w:ascii="Times New Roman" w:cs="Times New Roman" w:eastAsia="Times New Roman" w:hAnsi="Times New Roman"/>
                  <w:sz w:val="16"/>
                  <w:szCs w:val="16"/>
                  <w:color w:val="0000FF"/>
                  <w:w w:val="97"/>
                </w:rPr>
                <w:t>(incorporated by reference to Exhibit 4.1 to the Company’s Current Report on Form 8-K filed on January 16, 2024).</w:t>
              </w:r>
            </w:hyperlink>
          </w:p>
        </w:tc>
        <w:tc>
          <w:tcPr>
            <w:tcW w:w="2160" w:type="dxa"/>
            <w:vAlign w:val="bottom"/>
            <w:tcBorders>
              <w:top w:val="single" w:sz="8" w:color="0000EE"/>
            </w:tcBorders>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w:t>
            </w:r>
          </w:p>
        </w:tc>
        <w:tc>
          <w:tcPr>
            <w:tcW w:w="9600" w:type="dxa"/>
            <w:vAlign w:val="bottom"/>
            <w:gridSpan w:val="23"/>
          </w:tcPr>
          <w:p>
            <w:pPr>
              <w:spacing w:after="0"/>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First Supplemental Indenture, dated as of January 16, 2024, between Sixth Street Specialty Lending, Inc. and U.S. Bank Trust Company, National</w:t>
              </w:r>
            </w:hyperlink>
          </w:p>
        </w:tc>
      </w:tr>
      <w:tr>
        <w:trPr>
          <w:trHeight w:val="160"/>
        </w:trPr>
        <w:tc>
          <w:tcPr>
            <w:tcW w:w="960" w:type="dxa"/>
            <w:vAlign w:val="bottom"/>
          </w:tcPr>
          <w:p>
            <w:pPr>
              <w:spacing w:after="0"/>
              <w:rPr>
                <w:sz w:val="13"/>
                <w:szCs w:val="13"/>
                <w:color w:val="auto"/>
              </w:rPr>
            </w:pPr>
          </w:p>
        </w:tc>
        <w:tc>
          <w:tcPr>
            <w:tcW w:w="872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FF"/>
                <w:w w:val="97"/>
              </w:rPr>
            </w:pPr>
            <w:hyperlink r:id="rId219">
              <w:r>
                <w:rPr>
                  <w:rFonts w:ascii="Times New Roman" w:cs="Times New Roman" w:eastAsia="Times New Roman" w:hAnsi="Times New Roman"/>
                  <w:sz w:val="16"/>
                  <w:szCs w:val="16"/>
                  <w:color w:val="0000FF"/>
                  <w:w w:val="97"/>
                </w:rPr>
                <w:t>Association, as Trustee (incorporated by reference to Exhibit 4.2 to the Company's Current Report on Form 8-K filed on January 16, 2024).</w:t>
              </w:r>
            </w:hyperlink>
          </w:p>
        </w:tc>
        <w:tc>
          <w:tcPr>
            <w:tcW w:w="44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w:t>
            </w:r>
          </w:p>
        </w:tc>
        <w:tc>
          <w:tcPr>
            <w:tcW w:w="8260" w:type="dxa"/>
            <w:vAlign w:val="bottom"/>
            <w:tcBorders>
              <w:bottom w:val="single" w:sz="8" w:color="0000EE"/>
            </w:tcBorders>
            <w:gridSpan w:val="10"/>
          </w:tcPr>
          <w:p>
            <w:pPr>
              <w:spacing w:after="0"/>
              <w:rPr>
                <w:rFonts w:ascii="Times New Roman" w:cs="Times New Roman" w:eastAsia="Times New Roman" w:hAnsi="Times New Roman"/>
                <w:sz w:val="16"/>
                <w:szCs w:val="16"/>
                <w:color w:val="0000FF"/>
                <w:w w:val="97"/>
              </w:rPr>
            </w:pPr>
            <w:hyperlink r:id="rId219">
              <w:r>
                <w:rPr>
                  <w:rFonts w:ascii="Times New Roman" w:cs="Times New Roman" w:eastAsia="Times New Roman" w:hAnsi="Times New Roman"/>
                  <w:sz w:val="16"/>
                  <w:szCs w:val="16"/>
                  <w:color w:val="0000FF"/>
                  <w:w w:val="97"/>
                </w:rPr>
                <w:t>Form of 6.125% Note Due 2029 (included in Exhibit 4.2 to the Company’s Current Report on Form 8-K filed on January 16, 2024)</w:t>
              </w:r>
            </w:hyperlink>
            <w:r>
              <w:rPr>
                <w:rFonts w:ascii="Times New Roman" w:cs="Times New Roman" w:eastAsia="Times New Roman" w:hAnsi="Times New Roman"/>
                <w:sz w:val="16"/>
                <w:szCs w:val="16"/>
                <w:color w:val="0000FF"/>
                <w:w w:val="97"/>
              </w:rPr>
              <w:t>.</w:t>
            </w:r>
          </w:p>
        </w:tc>
        <w:tc>
          <w:tcPr>
            <w:tcW w:w="1340" w:type="dxa"/>
            <w:vAlign w:val="bottom"/>
            <w:gridSpan w:val="13"/>
          </w:tcPr>
          <w:p>
            <w:pPr>
              <w:spacing w:after="0"/>
              <w:rPr>
                <w:sz w:val="24"/>
                <w:szCs w:val="24"/>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w:t>
            </w:r>
          </w:p>
        </w:tc>
        <w:tc>
          <w:tcPr>
            <w:tcW w:w="9600" w:type="dxa"/>
            <w:vAlign w:val="bottom"/>
            <w:gridSpan w:val="23"/>
          </w:tcPr>
          <w:p>
            <w:pPr>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Description of Securities Registered Pursuant to Section 12 of the Securities Exchange Act of 1934 (incorporated by reference to Exhibit 4.8 to the</w:t>
              </w:r>
            </w:hyperlink>
          </w:p>
        </w:tc>
      </w:tr>
      <w:tr>
        <w:trPr>
          <w:trHeight w:val="160"/>
        </w:trPr>
        <w:tc>
          <w:tcPr>
            <w:tcW w:w="960" w:type="dxa"/>
            <w:vAlign w:val="bottom"/>
          </w:tcPr>
          <w:p>
            <w:pPr>
              <w:spacing w:after="0"/>
              <w:rPr>
                <w:sz w:val="13"/>
                <w:szCs w:val="13"/>
                <w:color w:val="auto"/>
              </w:rPr>
            </w:pPr>
          </w:p>
        </w:tc>
        <w:tc>
          <w:tcPr>
            <w:tcW w:w="442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7"/>
              </w:rPr>
            </w:pPr>
            <w:hyperlink r:id="rId220">
              <w:r>
                <w:rPr>
                  <w:rFonts w:ascii="Times New Roman" w:cs="Times New Roman" w:eastAsia="Times New Roman" w:hAnsi="Times New Roman"/>
                  <w:sz w:val="16"/>
                  <w:szCs w:val="16"/>
                  <w:color w:val="0000FF"/>
                  <w:w w:val="97"/>
                </w:rPr>
                <w:t>Company’s Annual Report on Form 10-K filed on February 15, 2024).</w:t>
              </w:r>
            </w:hyperlink>
          </w:p>
        </w:tc>
        <w:tc>
          <w:tcPr>
            <w:tcW w:w="4800" w:type="dxa"/>
            <w:vAlign w:val="bottom"/>
            <w:tcBorders>
              <w:top w:val="single" w:sz="8" w:color="0000EE"/>
            </w:tcBorders>
            <w:gridSpan w:val="10"/>
          </w:tcPr>
          <w:p>
            <w:pPr>
              <w:spacing w:after="0"/>
              <w:rPr>
                <w:sz w:val="13"/>
                <w:szCs w:val="13"/>
                <w:color w:val="auto"/>
              </w:rPr>
            </w:pPr>
          </w:p>
        </w:tc>
        <w:tc>
          <w:tcPr>
            <w:tcW w:w="260" w:type="dxa"/>
            <w:vAlign w:val="bottom"/>
            <w:gridSpan w:val="4"/>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9600" w:type="dxa"/>
            <w:vAlign w:val="bottom"/>
            <w:gridSpan w:val="23"/>
          </w:tcPr>
          <w:p>
            <w:pPr>
              <w:spacing w:after="0"/>
              <w:rPr>
                <w:rFonts w:ascii="Times New Roman" w:cs="Times New Roman" w:eastAsia="Times New Roman" w:hAnsi="Times New Roman"/>
                <w:sz w:val="16"/>
                <w:szCs w:val="16"/>
                <w:color w:val="0000FF"/>
                <w:w w:val="98"/>
              </w:rPr>
            </w:pPr>
            <w:hyperlink r:id="rId221">
              <w:r>
                <w:rPr>
                  <w:rFonts w:ascii="Times New Roman" w:cs="Times New Roman" w:eastAsia="Times New Roman" w:hAnsi="Times New Roman"/>
                  <w:sz w:val="16"/>
                  <w:szCs w:val="16"/>
                  <w:color w:val="0000FF"/>
                  <w:w w:val="98"/>
                </w:rPr>
                <w:t>Form of Indemnification Agreement between the Company and certain officers and directors (incorporated by reference to Exhibit 10.3 to Amendment</w:t>
              </w:r>
            </w:hyperlink>
          </w:p>
        </w:tc>
      </w:tr>
      <w:tr>
        <w:trPr>
          <w:trHeight w:val="160"/>
        </w:trPr>
        <w:tc>
          <w:tcPr>
            <w:tcW w:w="960" w:type="dxa"/>
            <w:vAlign w:val="bottom"/>
          </w:tcPr>
          <w:p>
            <w:pPr>
              <w:spacing w:after="0"/>
              <w:rPr>
                <w:sz w:val="13"/>
                <w:szCs w:val="13"/>
                <w:color w:val="auto"/>
              </w:rPr>
            </w:pPr>
          </w:p>
        </w:tc>
        <w:tc>
          <w:tcPr>
            <w:tcW w:w="948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No. 1 to the Company’s Registration Statement on Form 10 filed on March 14, 2011).</w:t>
              </w:r>
            </w:hyperlink>
          </w:p>
        </w:tc>
        <w:tc>
          <w:tcPr>
            <w:tcW w:w="120" w:type="dxa"/>
            <w:vAlign w:val="bottom"/>
            <w:gridSpan w:val="5"/>
          </w:tcPr>
          <w:p>
            <w:pPr>
              <w:spacing w:after="0"/>
              <w:rPr>
                <w:sz w:val="13"/>
                <w:szCs w:val="13"/>
                <w:color w:val="auto"/>
              </w:rPr>
            </w:pPr>
          </w:p>
        </w:tc>
      </w:tr>
      <w:tr>
        <w:trPr>
          <w:trHeight w:val="506"/>
        </w:trPr>
        <w:tc>
          <w:tcPr>
            <w:tcW w:w="960" w:type="dxa"/>
            <w:vAlign w:val="bottom"/>
          </w:tcPr>
          <w:p>
            <w:pPr>
              <w:spacing w:after="0"/>
              <w:rPr>
                <w:sz w:val="24"/>
                <w:szCs w:val="24"/>
                <w:color w:val="auto"/>
              </w:rPr>
            </w:pPr>
          </w:p>
        </w:tc>
        <w:tc>
          <w:tcPr>
            <w:tcW w:w="4420" w:type="dxa"/>
            <w:vAlign w:val="bottom"/>
            <w:tcBorders>
              <w:top w:val="single" w:sz="8" w:color="0000EE"/>
            </w:tcBorders>
            <w:gridSpan w:val="4"/>
          </w:tcPr>
          <w:p>
            <w:pPr>
              <w:ind w:left="4240"/>
              <w:spacing w:after="0"/>
              <w:rPr>
                <w:sz w:val="20"/>
                <w:szCs w:val="20"/>
                <w:color w:val="auto"/>
              </w:rPr>
            </w:pPr>
            <w:r>
              <w:rPr>
                <w:rFonts w:ascii="Times New Roman" w:cs="Times New Roman" w:eastAsia="Times New Roman" w:hAnsi="Times New Roman"/>
                <w:sz w:val="16"/>
                <w:szCs w:val="16"/>
                <w:color w:val="auto"/>
                <w:w w:val="99"/>
              </w:rPr>
              <w:t>91</w:t>
            </w:r>
          </w:p>
        </w:tc>
        <w:tc>
          <w:tcPr>
            <w:tcW w:w="96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6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26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Exhibit No</w:t>
            </w:r>
          </w:p>
        </w:tc>
        <w:tc>
          <w:tcPr>
            <w:tcW w:w="9620" w:type="dxa"/>
            <w:vAlign w:val="bottom"/>
            <w:gridSpan w:val="28"/>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272"/>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9620" w:type="dxa"/>
            <w:vAlign w:val="bottom"/>
            <w:gridSpan w:val="28"/>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Amended and Restated Investment Advisory and Management Agreement, dated December 12, 2011, between the Company and the Adviser</w:t>
              </w:r>
            </w:hyperlink>
          </w:p>
        </w:tc>
      </w:tr>
      <w:tr>
        <w:trPr>
          <w:trHeight w:val="160"/>
        </w:trPr>
        <w:tc>
          <w:tcPr>
            <w:tcW w:w="960" w:type="dxa"/>
            <w:vAlign w:val="bottom"/>
          </w:tcPr>
          <w:p>
            <w:pPr>
              <w:spacing w:after="0"/>
              <w:rPr>
                <w:sz w:val="13"/>
                <w:szCs w:val="13"/>
                <w:color w:val="auto"/>
              </w:rPr>
            </w:pPr>
          </w:p>
        </w:tc>
        <w:tc>
          <w:tcPr>
            <w:tcW w:w="886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(incorporated by reference to Exhibit 10.1 to the Company’s Current Report on Form 8-K filed on December 13, 2011).</w:t>
              </w:r>
            </w:hyperlink>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9620" w:type="dxa"/>
            <w:vAlign w:val="bottom"/>
            <w:gridSpan w:val="28"/>
          </w:tcPr>
          <w:p>
            <w:pPr>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Custodian Agreement dated November 29, 2012 (incorporated by reference to Exhibit 10.1 to the Company’s Current Report on Form 8-K filed on</w:t>
              </w:r>
            </w:hyperlink>
          </w:p>
        </w:tc>
      </w:tr>
      <w:tr>
        <w:trPr>
          <w:trHeight w:val="160"/>
        </w:trPr>
        <w:tc>
          <w:tcPr>
            <w:tcW w:w="960" w:type="dxa"/>
            <w:vAlign w:val="bottom"/>
          </w:tcPr>
          <w:p>
            <w:pPr>
              <w:spacing w:after="0"/>
              <w:rPr>
                <w:sz w:val="13"/>
                <w:szCs w:val="13"/>
                <w:color w:val="auto"/>
              </w:rPr>
            </w:pPr>
          </w:p>
        </w:tc>
        <w:tc>
          <w:tcPr>
            <w:tcW w:w="922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December 4, 2012).</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620" w:type="dxa"/>
            <w:vAlign w:val="bottom"/>
            <w:gridSpan w:val="28"/>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Second Amended and Restated Senior Secured Credit Agreement, dated February 27, 2014, among TPG Specialty Lending, Inc., as Borrower, the</w:t>
              </w:r>
            </w:hyperlink>
          </w:p>
        </w:tc>
      </w:tr>
      <w:tr>
        <w:trPr>
          <w:trHeight w:val="160"/>
        </w:trPr>
        <w:tc>
          <w:tcPr>
            <w:tcW w:w="960" w:type="dxa"/>
            <w:vAlign w:val="bottom"/>
          </w:tcPr>
          <w:p>
            <w:pPr>
              <w:spacing w:after="0"/>
              <w:rPr>
                <w:sz w:val="13"/>
                <w:szCs w:val="13"/>
                <w:color w:val="auto"/>
              </w:rPr>
            </w:pPr>
          </w:p>
        </w:tc>
        <w:tc>
          <w:tcPr>
            <w:tcW w:w="918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w w:val="98"/>
              </w:rPr>
            </w:pPr>
            <w:hyperlink r:id="rId225">
              <w:r>
                <w:rPr>
                  <w:rFonts w:ascii="Times New Roman" w:cs="Times New Roman" w:eastAsia="Times New Roman" w:hAnsi="Times New Roman"/>
                  <w:sz w:val="16"/>
                  <w:szCs w:val="16"/>
                  <w:color w:val="0000FF"/>
                  <w:w w:val="98"/>
                </w:rPr>
                <w:t>Lenders Party Hereto and Truist Bank (as successor by merger to SunTrust Bank), as Administrative Agent, and JPMorgan Chase Bank, N.A., as</w:t>
              </w:r>
            </w:hyperlink>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852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FF"/>
                <w:w w:val="97"/>
              </w:rPr>
            </w:pPr>
            <w:hyperlink r:id="rId225">
              <w:r>
                <w:rPr>
                  <w:rFonts w:ascii="Times New Roman" w:cs="Times New Roman" w:eastAsia="Times New Roman" w:hAnsi="Times New Roman"/>
                  <w:sz w:val="16"/>
                  <w:szCs w:val="16"/>
                  <w:color w:val="0000FF"/>
                  <w:w w:val="97"/>
                </w:rPr>
                <w:t>Syndication Agent (incorporated by reference to Exhibit 10.20 to the Company’s Annual Report on Form 10-K filed on March 4, 2014).</w:t>
              </w:r>
            </w:hyperlink>
          </w:p>
        </w:tc>
        <w:tc>
          <w:tcPr>
            <w:tcW w:w="580" w:type="dxa"/>
            <w:vAlign w:val="bottom"/>
            <w:tcBorders>
              <w:top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9620" w:type="dxa"/>
            <w:vAlign w:val="bottom"/>
            <w:gridSpan w:val="28"/>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Dividend Reinvestment Plan of TPG Specialty Lending, Inc. (incorporated by reference to Exhibit (e) to Pre-Effective Amendment No. 4 to the</w:t>
              </w:r>
            </w:hyperlink>
          </w:p>
        </w:tc>
      </w:tr>
      <w:tr>
        <w:trPr>
          <w:trHeight w:val="160"/>
        </w:trPr>
        <w:tc>
          <w:tcPr>
            <w:tcW w:w="960" w:type="dxa"/>
            <w:vAlign w:val="bottom"/>
          </w:tcPr>
          <w:p>
            <w:pPr>
              <w:spacing w:after="0"/>
              <w:rPr>
                <w:sz w:val="13"/>
                <w:szCs w:val="13"/>
                <w:color w:val="auto"/>
              </w:rPr>
            </w:pPr>
          </w:p>
        </w:tc>
        <w:tc>
          <w:tcPr>
            <w:tcW w:w="90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Company’s Registration Statement on Form N-2 filed on March 17, 2014).</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9060" w:type="dxa"/>
            <w:vAlign w:val="bottom"/>
            <w:tcBorders>
              <w:bottom w:val="single" w:sz="8" w:color="0000EE"/>
            </w:tcBorders>
            <w:gridSpan w:val="14"/>
          </w:tcPr>
          <w:p>
            <w:pPr>
              <w:spacing w:after="0"/>
              <w:rPr>
                <w:rFonts w:ascii="Times New Roman" w:cs="Times New Roman" w:eastAsia="Times New Roman" w:hAnsi="Times New Roman"/>
                <w:sz w:val="16"/>
                <w:szCs w:val="16"/>
                <w:color w:val="0000FF"/>
                <w:w w:val="97"/>
              </w:rPr>
            </w:pPr>
            <w:hyperlink r:id="rId227">
              <w:r>
                <w:rPr>
                  <w:rFonts w:ascii="Times New Roman" w:cs="Times New Roman" w:eastAsia="Times New Roman" w:hAnsi="Times New Roman"/>
                  <w:sz w:val="16"/>
                  <w:szCs w:val="16"/>
                  <w:color w:val="0000FF"/>
                  <w:w w:val="97"/>
                </w:rPr>
                <w:t>Form of Increase Letter pursuant to the Second Amended and Restated Senior Secured Credit Agreement, dated February 27, 2014, among TPG</w:t>
              </w:r>
            </w:hyperlink>
          </w:p>
        </w:tc>
        <w:tc>
          <w:tcPr>
            <w:tcW w:w="560" w:type="dxa"/>
            <w:vAlign w:val="bottom"/>
            <w:gridSpan w:val="14"/>
          </w:tcPr>
          <w:p>
            <w:pPr>
              <w:spacing w:after="0"/>
              <w:rPr>
                <w:sz w:val="24"/>
                <w:szCs w:val="24"/>
                <w:color w:val="auto"/>
              </w:rPr>
            </w:pPr>
          </w:p>
        </w:tc>
      </w:tr>
      <w:tr>
        <w:trPr>
          <w:trHeight w:val="160"/>
        </w:trPr>
        <w:tc>
          <w:tcPr>
            <w:tcW w:w="960" w:type="dxa"/>
            <w:vAlign w:val="bottom"/>
          </w:tcPr>
          <w:p>
            <w:pPr>
              <w:spacing w:after="0"/>
              <w:rPr>
                <w:sz w:val="13"/>
                <w:szCs w:val="13"/>
                <w:color w:val="auto"/>
              </w:rPr>
            </w:pPr>
          </w:p>
        </w:tc>
        <w:tc>
          <w:tcPr>
            <w:tcW w:w="9620" w:type="dxa"/>
            <w:vAlign w:val="bottom"/>
            <w:tcBorders>
              <w:bottom w:val="single" w:sz="8" w:color="0000EE"/>
            </w:tcBorders>
            <w:gridSpan w:val="28"/>
          </w:tcPr>
          <w:p>
            <w:pPr>
              <w:spacing w:after="0" w:line="160" w:lineRule="exact"/>
              <w:rPr>
                <w:rFonts w:ascii="Times New Roman" w:cs="Times New Roman" w:eastAsia="Times New Roman" w:hAnsi="Times New Roman"/>
                <w:sz w:val="16"/>
                <w:szCs w:val="16"/>
                <w:color w:val="0000FF"/>
                <w:w w:val="97"/>
              </w:rPr>
            </w:pPr>
            <w:hyperlink r:id="rId227">
              <w:r>
                <w:rPr>
                  <w:rFonts w:ascii="Times New Roman" w:cs="Times New Roman" w:eastAsia="Times New Roman" w:hAnsi="Times New Roman"/>
                  <w:sz w:val="16"/>
                  <w:szCs w:val="16"/>
                  <w:color w:val="0000FF"/>
                  <w:w w:val="97"/>
                </w:rPr>
                <w:t>Specialty Lending, Inc., as Borrower, the Lenders Party Hereto and Truist Bank (as successor by merger to SunTrust Bank), as Administrative Agent, and</w:t>
              </w:r>
            </w:hyperlink>
          </w:p>
        </w:tc>
      </w:tr>
      <w:tr>
        <w:trPr>
          <w:trHeight w:val="160"/>
        </w:trPr>
        <w:tc>
          <w:tcPr>
            <w:tcW w:w="960" w:type="dxa"/>
            <w:vAlign w:val="bottom"/>
          </w:tcPr>
          <w:p>
            <w:pPr>
              <w:spacing w:after="0"/>
              <w:rPr>
                <w:sz w:val="13"/>
                <w:szCs w:val="13"/>
                <w:color w:val="auto"/>
              </w:rPr>
            </w:pPr>
          </w:p>
        </w:tc>
        <w:tc>
          <w:tcPr>
            <w:tcW w:w="9620" w:type="dxa"/>
            <w:vAlign w:val="bottom"/>
            <w:gridSpan w:val="28"/>
          </w:tcPr>
          <w:p>
            <w:pPr>
              <w:spacing w:after="0" w:line="160" w:lineRule="exact"/>
              <w:rPr>
                <w:rFonts w:ascii="Times New Roman" w:cs="Times New Roman" w:eastAsia="Times New Roman" w:hAnsi="Times New Roman"/>
                <w:sz w:val="16"/>
                <w:szCs w:val="16"/>
                <w:color w:val="0000FF"/>
                <w:w w:val="97"/>
              </w:rPr>
            </w:pPr>
            <w:hyperlink r:id="rId227">
              <w:r>
                <w:rPr>
                  <w:rFonts w:ascii="Times New Roman" w:cs="Times New Roman" w:eastAsia="Times New Roman" w:hAnsi="Times New Roman"/>
                  <w:sz w:val="16"/>
                  <w:szCs w:val="16"/>
                  <w:color w:val="0000FF"/>
                  <w:w w:val="97"/>
                </w:rPr>
                <w:t>JPMorgan Chase Bank, N.A., as Syndication Agent (incorporated by reference to Exhibit 10.3 to the Company’s Quarterly Annual Report on Form 10-Q</w:t>
              </w:r>
            </w:hyperlink>
          </w:p>
        </w:tc>
      </w:tr>
      <w:tr>
        <w:trPr>
          <w:trHeight w:val="160"/>
        </w:trPr>
        <w:tc>
          <w:tcPr>
            <w:tcW w:w="960" w:type="dxa"/>
            <w:vAlign w:val="bottom"/>
          </w:tcPr>
          <w:p>
            <w:pPr>
              <w:spacing w:after="0"/>
              <w:rPr>
                <w:sz w:val="13"/>
                <w:szCs w:val="13"/>
                <w:color w:val="auto"/>
              </w:rPr>
            </w:pPr>
          </w:p>
        </w:tc>
        <w:tc>
          <w:tcPr>
            <w:tcW w:w="158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227">
              <w:r>
                <w:rPr>
                  <w:rFonts w:ascii="Times New Roman" w:cs="Times New Roman" w:eastAsia="Times New Roman" w:hAnsi="Times New Roman"/>
                  <w:sz w:val="16"/>
                  <w:szCs w:val="16"/>
                  <w:color w:val="0000FF"/>
                  <w:w w:val="96"/>
                </w:rPr>
                <w:t>filed on August 4, 2014).</w:t>
              </w:r>
            </w:hyperlink>
          </w:p>
        </w:tc>
        <w:tc>
          <w:tcPr>
            <w:tcW w:w="8020" w:type="dxa"/>
            <w:vAlign w:val="bottom"/>
            <w:tcBorders>
              <w:top w:val="single" w:sz="8" w:color="0000EE"/>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9620" w:type="dxa"/>
            <w:vAlign w:val="bottom"/>
            <w:gridSpan w:val="28"/>
          </w:tcPr>
          <w:p>
            <w:pPr>
              <w:spacing w:after="0"/>
              <w:rPr>
                <w:rFonts w:ascii="Times New Roman" w:cs="Times New Roman" w:eastAsia="Times New Roman" w:hAnsi="Times New Roman"/>
                <w:sz w:val="16"/>
                <w:szCs w:val="16"/>
                <w:color w:val="0000FF"/>
                <w:w w:val="99"/>
              </w:rPr>
            </w:pPr>
            <w:hyperlink r:id="rId228">
              <w:r>
                <w:rPr>
                  <w:rFonts w:ascii="Times New Roman" w:cs="Times New Roman" w:eastAsia="Times New Roman" w:hAnsi="Times New Roman"/>
                  <w:sz w:val="16"/>
                  <w:szCs w:val="16"/>
                  <w:color w:val="0000FF"/>
                  <w:w w:val="99"/>
                </w:rPr>
                <w:t>First Amendment to Second Amended and Restated Senior Secured Revolving Credit Agreement, dated June 3, 2014, among TPG Specialty Lending,</w:t>
              </w:r>
            </w:hyperlink>
          </w:p>
        </w:tc>
      </w:tr>
      <w:tr>
        <w:trPr>
          <w:trHeight w:val="160"/>
        </w:trPr>
        <w:tc>
          <w:tcPr>
            <w:tcW w:w="960" w:type="dxa"/>
            <w:vAlign w:val="bottom"/>
          </w:tcPr>
          <w:p>
            <w:pPr>
              <w:spacing w:after="0"/>
              <w:rPr>
                <w:sz w:val="13"/>
                <w:szCs w:val="13"/>
                <w:color w:val="auto"/>
              </w:rPr>
            </w:pPr>
          </w:p>
        </w:tc>
        <w:tc>
          <w:tcPr>
            <w:tcW w:w="9420" w:type="dxa"/>
            <w:vAlign w:val="bottom"/>
            <w:tcBorders>
              <w:top w:val="single" w:sz="8" w:color="0000EE"/>
              <w:bottom w:val="single" w:sz="8" w:color="0000EE"/>
            </w:tcBorders>
            <w:gridSpan w:val="23"/>
          </w:tcPr>
          <w:p>
            <w:pPr>
              <w:spacing w:after="0" w:line="160" w:lineRule="exact"/>
              <w:rPr>
                <w:rFonts w:ascii="Times New Roman" w:cs="Times New Roman" w:eastAsia="Times New Roman" w:hAnsi="Times New Roman"/>
                <w:sz w:val="16"/>
                <w:szCs w:val="16"/>
                <w:color w:val="0000FF"/>
                <w:w w:val="97"/>
              </w:rPr>
            </w:pPr>
            <w:hyperlink r:id="rId228">
              <w:r>
                <w:rPr>
                  <w:rFonts w:ascii="Times New Roman" w:cs="Times New Roman" w:eastAsia="Times New Roman" w:hAnsi="Times New Roman"/>
                  <w:sz w:val="16"/>
                  <w:szCs w:val="16"/>
                  <w:color w:val="0000FF"/>
                  <w:w w:val="97"/>
                </w:rPr>
                <w:t>Inc., as Borrower, the Lenders party thereto and Truist Bank (as successor by merger to SunTrust Bank), as Administrative Agent and Collateral Agent</w:t>
              </w:r>
            </w:hyperlink>
          </w:p>
        </w:tc>
        <w:tc>
          <w:tcPr>
            <w:tcW w:w="4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7480" w:type="dxa"/>
            <w:vAlign w:val="bottom"/>
            <w:tcBorders>
              <w:bottom w:val="single" w:sz="8" w:color="0000EE"/>
            </w:tcBorders>
            <w:gridSpan w:val="8"/>
          </w:tcPr>
          <w:p>
            <w:pPr>
              <w:spacing w:after="0" w:line="160" w:lineRule="exact"/>
              <w:rPr>
                <w:rFonts w:ascii="Times New Roman" w:cs="Times New Roman" w:eastAsia="Times New Roman" w:hAnsi="Times New Roman"/>
                <w:sz w:val="16"/>
                <w:szCs w:val="16"/>
                <w:color w:val="0000FF"/>
                <w:w w:val="97"/>
              </w:rPr>
            </w:pPr>
            <w:hyperlink r:id="rId228">
              <w:r>
                <w:rPr>
                  <w:rFonts w:ascii="Times New Roman" w:cs="Times New Roman" w:eastAsia="Times New Roman" w:hAnsi="Times New Roman"/>
                  <w:sz w:val="16"/>
                  <w:szCs w:val="16"/>
                  <w:color w:val="0000FF"/>
                  <w:w w:val="97"/>
                </w:rPr>
                <w:t>(incorporated by reference to Exhibit 10.4 to the Company’s Quarterly Report on Form 10-Q filed on August 4, 2014).</w:t>
              </w:r>
            </w:hyperlink>
          </w:p>
        </w:tc>
        <w:tc>
          <w:tcPr>
            <w:tcW w:w="200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9620" w:type="dxa"/>
            <w:vAlign w:val="bottom"/>
            <w:gridSpan w:val="28"/>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Second Amendment to Second Amended and Restated Senior Secured Revolving Credit Agreement, dated June 27, 2014, among TPG Specialty</w:t>
              </w:r>
            </w:hyperlink>
          </w:p>
        </w:tc>
      </w:tr>
      <w:tr>
        <w:trPr>
          <w:trHeight w:val="160"/>
        </w:trPr>
        <w:tc>
          <w:tcPr>
            <w:tcW w:w="960" w:type="dxa"/>
            <w:vAlign w:val="bottom"/>
          </w:tcPr>
          <w:p>
            <w:pPr>
              <w:spacing w:after="0"/>
              <w:rPr>
                <w:sz w:val="13"/>
                <w:szCs w:val="13"/>
                <w:color w:val="auto"/>
              </w:rPr>
            </w:pPr>
          </w:p>
        </w:tc>
        <w:tc>
          <w:tcPr>
            <w:tcW w:w="906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0000FF"/>
                <w:w w:val="94"/>
              </w:rPr>
            </w:pPr>
            <w:hyperlink r:id="rId229">
              <w:r>
                <w:rPr>
                  <w:rFonts w:ascii="Times New Roman" w:cs="Times New Roman" w:eastAsia="Times New Roman" w:hAnsi="Times New Roman"/>
                  <w:sz w:val="16"/>
                  <w:szCs w:val="16"/>
                  <w:color w:val="0000FF"/>
                  <w:w w:val="94"/>
                </w:rPr>
                <w:t>Lending, Inc., as Borrower, Morgan Stanley Bank, N.A., as a Lender, and Truist Bank (as successor by merger to SunTrust Bank), as Administrative</w:t>
              </w:r>
            </w:hyperlink>
          </w:p>
        </w:tc>
        <w:tc>
          <w:tcPr>
            <w:tcW w:w="60" w:type="dxa"/>
            <w:vAlign w:val="bottom"/>
            <w:tcBorders>
              <w:bottom w:val="single" w:sz="8" w:color="0000EE"/>
            </w:tcBorders>
            <w:gridSpan w:val="2"/>
          </w:tcPr>
          <w:p>
            <w:pPr>
              <w:spacing w:after="0"/>
              <w:rPr>
                <w:sz w:val="13"/>
                <w:szCs w:val="13"/>
                <w:color w:val="auto"/>
              </w:rPr>
            </w:pPr>
          </w:p>
        </w:tc>
        <w:tc>
          <w:tcPr>
            <w:tcW w:w="40" w:type="dxa"/>
            <w:vAlign w:val="bottom"/>
            <w:tcBorders>
              <w:bottom w:val="single" w:sz="8" w:color="0000EE"/>
            </w:tcBorders>
          </w:tcPr>
          <w:p>
            <w:pPr>
              <w:spacing w:after="0"/>
              <w:rPr>
                <w:sz w:val="13"/>
                <w:szCs w:val="13"/>
                <w:color w:val="auto"/>
              </w:rPr>
            </w:pPr>
          </w:p>
        </w:tc>
        <w:tc>
          <w:tcPr>
            <w:tcW w:w="120" w:type="dxa"/>
            <w:vAlign w:val="bottom"/>
            <w:tcBorders>
              <w:bottom w:val="single" w:sz="8" w:color="0000EE"/>
            </w:tcBorders>
            <w:gridSpan w:val="3"/>
          </w:tcPr>
          <w:p>
            <w:pPr>
              <w:spacing w:after="0"/>
              <w:rPr>
                <w:sz w:val="13"/>
                <w:szCs w:val="13"/>
                <w:color w:val="auto"/>
              </w:rPr>
            </w:pPr>
          </w:p>
        </w:tc>
        <w:tc>
          <w:tcPr>
            <w:tcW w:w="6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7840" w:type="dxa"/>
            <w:vAlign w:val="bottom"/>
            <w:tcBorders>
              <w:bottom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229">
              <w:r>
                <w:rPr>
                  <w:rFonts w:ascii="Times New Roman" w:cs="Times New Roman" w:eastAsia="Times New Roman" w:hAnsi="Times New Roman"/>
                  <w:sz w:val="16"/>
                  <w:szCs w:val="16"/>
                  <w:color w:val="0000FF"/>
                  <w:w w:val="97"/>
                </w:rPr>
                <w:t>Agent (incorporated by reference to Exhibit 10.5 to the Company’s Quarterly Report on Form 10-Q filed on August 4, 2014).</w:t>
              </w:r>
            </w:hyperlink>
          </w:p>
        </w:tc>
        <w:tc>
          <w:tcPr>
            <w:tcW w:w="150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9180" w:type="dxa"/>
            <w:vAlign w:val="bottom"/>
            <w:tcBorders>
              <w:bottom w:val="single" w:sz="8" w:color="0000EE"/>
            </w:tcBorders>
            <w:gridSpan w:val="18"/>
          </w:tcPr>
          <w:p>
            <w:pPr>
              <w:spacing w:after="0"/>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Third Amendment to Second Amended and Restated Senior Secured Revolving Credit Agreement, dated October 17, 2014, among TPG Specialty</w:t>
              </w:r>
            </w:hyperlink>
          </w:p>
        </w:tc>
        <w:tc>
          <w:tcPr>
            <w:tcW w:w="440" w:type="dxa"/>
            <w:vAlign w:val="bottom"/>
            <w:gridSpan w:val="10"/>
          </w:tcPr>
          <w:p>
            <w:pPr>
              <w:spacing w:after="0"/>
              <w:rPr>
                <w:sz w:val="24"/>
                <w:szCs w:val="24"/>
                <w:color w:val="auto"/>
              </w:rPr>
            </w:pPr>
          </w:p>
        </w:tc>
      </w:tr>
      <w:tr>
        <w:trPr>
          <w:trHeight w:val="160"/>
        </w:trPr>
        <w:tc>
          <w:tcPr>
            <w:tcW w:w="960" w:type="dxa"/>
            <w:vAlign w:val="bottom"/>
          </w:tcPr>
          <w:p>
            <w:pPr>
              <w:spacing w:after="0"/>
              <w:rPr>
                <w:sz w:val="13"/>
                <w:szCs w:val="13"/>
                <w:color w:val="auto"/>
              </w:rPr>
            </w:pPr>
          </w:p>
        </w:tc>
        <w:tc>
          <w:tcPr>
            <w:tcW w:w="9620" w:type="dxa"/>
            <w:vAlign w:val="bottom"/>
            <w:gridSpan w:val="28"/>
          </w:tcPr>
          <w:p>
            <w:pPr>
              <w:spacing w:after="0" w:line="160" w:lineRule="exact"/>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r>
      <w:tr>
        <w:trPr>
          <w:trHeight w:val="160"/>
        </w:trPr>
        <w:tc>
          <w:tcPr>
            <w:tcW w:w="960" w:type="dxa"/>
            <w:vAlign w:val="bottom"/>
          </w:tcPr>
          <w:p>
            <w:pPr>
              <w:spacing w:after="0"/>
              <w:rPr>
                <w:sz w:val="13"/>
                <w:szCs w:val="13"/>
                <w:color w:val="auto"/>
              </w:rPr>
            </w:pPr>
          </w:p>
        </w:tc>
        <w:tc>
          <w:tcPr>
            <w:tcW w:w="676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by reference to Exhibit 10.1 to the Company’s Quarterly Report on Form 10-Q filed on November 3, 2014).</w:t>
              </w:r>
            </w:hyperlink>
          </w:p>
        </w:tc>
        <w:tc>
          <w:tcPr>
            <w:tcW w:w="284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9500" w:type="dxa"/>
            <w:vAlign w:val="bottom"/>
            <w:tcBorders>
              <w:bottom w:val="single" w:sz="8" w:color="0000EE"/>
            </w:tcBorders>
            <w:gridSpan w:val="26"/>
          </w:tcPr>
          <w:p>
            <w:pPr>
              <w:spacing w:after="0"/>
              <w:rPr>
                <w:rFonts w:ascii="Times New Roman" w:cs="Times New Roman" w:eastAsia="Times New Roman" w:hAnsi="Times New Roman"/>
                <w:sz w:val="16"/>
                <w:szCs w:val="16"/>
                <w:color w:val="0000FF"/>
                <w:w w:val="97"/>
              </w:rPr>
            </w:pPr>
            <w:hyperlink r:id="rId231">
              <w:r>
                <w:rPr>
                  <w:rFonts w:ascii="Times New Roman" w:cs="Times New Roman" w:eastAsia="Times New Roman" w:hAnsi="Times New Roman"/>
                  <w:sz w:val="16"/>
                  <w:szCs w:val="16"/>
                  <w:color w:val="0000FF"/>
                  <w:w w:val="97"/>
                </w:rPr>
                <w:t>Second Amended and Restated Credit and Security Agreement, dated as of March 27, 2015, among TPG SL SPV, LLC, as Borrower, the Lenders from</w:t>
              </w:r>
            </w:hyperlink>
          </w:p>
        </w:tc>
        <w:tc>
          <w:tcPr>
            <w:tcW w:w="120" w:type="dxa"/>
            <w:vAlign w:val="bottom"/>
            <w:gridSpan w:val="2"/>
          </w:tcPr>
          <w:p>
            <w:pPr>
              <w:spacing w:after="0"/>
              <w:rPr>
                <w:sz w:val="24"/>
                <w:szCs w:val="24"/>
                <w:color w:val="auto"/>
              </w:rPr>
            </w:pPr>
          </w:p>
        </w:tc>
      </w:tr>
      <w:tr>
        <w:trPr>
          <w:trHeight w:val="160"/>
        </w:trPr>
        <w:tc>
          <w:tcPr>
            <w:tcW w:w="960" w:type="dxa"/>
            <w:vAlign w:val="bottom"/>
          </w:tcPr>
          <w:p>
            <w:pPr>
              <w:spacing w:after="0"/>
              <w:rPr>
                <w:sz w:val="13"/>
                <w:szCs w:val="13"/>
                <w:color w:val="auto"/>
              </w:rPr>
            </w:pPr>
          </w:p>
        </w:tc>
        <w:tc>
          <w:tcPr>
            <w:tcW w:w="9620" w:type="dxa"/>
            <w:vAlign w:val="bottom"/>
            <w:gridSpan w:val="28"/>
          </w:tcPr>
          <w:p>
            <w:pPr>
              <w:spacing w:after="0" w:line="160" w:lineRule="exact"/>
              <w:rPr>
                <w:rFonts w:ascii="Times New Roman" w:cs="Times New Roman" w:eastAsia="Times New Roman" w:hAnsi="Times New Roman"/>
                <w:sz w:val="16"/>
                <w:szCs w:val="16"/>
                <w:color w:val="0000FF"/>
                <w:w w:val="97"/>
              </w:rPr>
            </w:pPr>
            <w:hyperlink r:id="rId231">
              <w:r>
                <w:rPr>
                  <w:rFonts w:ascii="Times New Roman" w:cs="Times New Roman" w:eastAsia="Times New Roman" w:hAnsi="Times New Roman"/>
                  <w:sz w:val="16"/>
                  <w:szCs w:val="16"/>
                  <w:color w:val="0000FF"/>
                  <w:w w:val="97"/>
                </w:rPr>
                <w:t>time to time parties thereto, Natixis, New York Branch, as Facility Agent and State Street Bank and Trust Company, as Collateral Agent (incorporated by</w:t>
              </w:r>
            </w:hyperlink>
          </w:p>
        </w:tc>
      </w:tr>
      <w:tr>
        <w:trPr>
          <w:trHeight w:val="160"/>
        </w:trPr>
        <w:tc>
          <w:tcPr>
            <w:tcW w:w="960" w:type="dxa"/>
            <w:vAlign w:val="bottom"/>
          </w:tcPr>
          <w:p>
            <w:pPr>
              <w:spacing w:after="0"/>
              <w:rPr>
                <w:sz w:val="13"/>
                <w:szCs w:val="13"/>
                <w:color w:val="auto"/>
              </w:rPr>
            </w:pPr>
          </w:p>
        </w:tc>
        <w:tc>
          <w:tcPr>
            <w:tcW w:w="61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7"/>
              </w:rPr>
            </w:pPr>
            <w:hyperlink r:id="rId231">
              <w:r>
                <w:rPr>
                  <w:rFonts w:ascii="Times New Roman" w:cs="Times New Roman" w:eastAsia="Times New Roman" w:hAnsi="Times New Roman"/>
                  <w:sz w:val="16"/>
                  <w:szCs w:val="16"/>
                  <w:color w:val="0000FF"/>
                  <w:w w:val="97"/>
                </w:rPr>
                <w:t>reference to Exhibit 10.1 to the Company’s Current Report on Form 8-K filed on March 30, 2015).</w:t>
              </w:r>
            </w:hyperlink>
          </w:p>
        </w:tc>
        <w:tc>
          <w:tcPr>
            <w:tcW w:w="3420" w:type="dxa"/>
            <w:vAlign w:val="bottom"/>
            <w:tcBorders>
              <w:top w:val="single" w:sz="8" w:color="0000EE"/>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9160" w:type="dxa"/>
            <w:vAlign w:val="bottom"/>
            <w:tcBorders>
              <w:bottom w:val="single" w:sz="8" w:color="0000EE"/>
            </w:tcBorders>
            <w:gridSpan w:val="17"/>
          </w:tcPr>
          <w:p>
            <w:pPr>
              <w:spacing w:after="0"/>
              <w:rPr>
                <w:rFonts w:ascii="Times New Roman" w:cs="Times New Roman" w:eastAsia="Times New Roman" w:hAnsi="Times New Roman"/>
                <w:sz w:val="16"/>
                <w:szCs w:val="16"/>
                <w:color w:val="0000FF"/>
                <w:w w:val="97"/>
              </w:rPr>
            </w:pPr>
            <w:hyperlink r:id="rId232">
              <w:r>
                <w:rPr>
                  <w:rFonts w:ascii="Times New Roman" w:cs="Times New Roman" w:eastAsia="Times New Roman" w:hAnsi="Times New Roman"/>
                  <w:sz w:val="16"/>
                  <w:szCs w:val="16"/>
                  <w:color w:val="0000FF"/>
                  <w:w w:val="97"/>
                </w:rPr>
                <w:t>Fourth Amendment to Second Amended and Restated Senior Secured Revolving Credit Agreement, dated October 2, 2015, among TPG Specialty</w:t>
              </w:r>
            </w:hyperlink>
          </w:p>
        </w:tc>
        <w:tc>
          <w:tcPr>
            <w:tcW w:w="460" w:type="dxa"/>
            <w:vAlign w:val="bottom"/>
            <w:gridSpan w:val="11"/>
          </w:tcPr>
          <w:p>
            <w:pPr>
              <w:spacing w:after="0"/>
              <w:rPr>
                <w:sz w:val="24"/>
                <w:szCs w:val="24"/>
                <w:color w:val="auto"/>
              </w:rPr>
            </w:pPr>
          </w:p>
        </w:tc>
      </w:tr>
      <w:tr>
        <w:trPr>
          <w:trHeight w:val="160"/>
        </w:trPr>
        <w:tc>
          <w:tcPr>
            <w:tcW w:w="960" w:type="dxa"/>
            <w:vAlign w:val="bottom"/>
          </w:tcPr>
          <w:p>
            <w:pPr>
              <w:spacing w:after="0"/>
              <w:rPr>
                <w:sz w:val="13"/>
                <w:szCs w:val="13"/>
                <w:color w:val="auto"/>
              </w:rPr>
            </w:pPr>
          </w:p>
        </w:tc>
        <w:tc>
          <w:tcPr>
            <w:tcW w:w="9620" w:type="dxa"/>
            <w:vAlign w:val="bottom"/>
            <w:gridSpan w:val="28"/>
          </w:tcPr>
          <w:p>
            <w:pPr>
              <w:spacing w:after="0" w:line="160" w:lineRule="exact"/>
              <w:rPr>
                <w:rFonts w:ascii="Times New Roman" w:cs="Times New Roman" w:eastAsia="Times New Roman" w:hAnsi="Times New Roman"/>
                <w:sz w:val="16"/>
                <w:szCs w:val="16"/>
                <w:color w:val="0000FF"/>
                <w:w w:val="97"/>
              </w:rPr>
            </w:pPr>
            <w:hyperlink r:id="rId232">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r>
      <w:tr>
        <w:trPr>
          <w:trHeight w:val="160"/>
        </w:trPr>
        <w:tc>
          <w:tcPr>
            <w:tcW w:w="960" w:type="dxa"/>
            <w:vAlign w:val="bottom"/>
          </w:tcPr>
          <w:p>
            <w:pPr>
              <w:spacing w:after="0"/>
              <w:rPr>
                <w:sz w:val="13"/>
                <w:szCs w:val="13"/>
                <w:color w:val="auto"/>
              </w:rPr>
            </w:pPr>
          </w:p>
        </w:tc>
        <w:tc>
          <w:tcPr>
            <w:tcW w:w="676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r:id="rId232">
              <w:r>
                <w:rPr>
                  <w:rFonts w:ascii="Times New Roman" w:cs="Times New Roman" w:eastAsia="Times New Roman" w:hAnsi="Times New Roman"/>
                  <w:sz w:val="16"/>
                  <w:szCs w:val="16"/>
                  <w:color w:val="0000FF"/>
                  <w:w w:val="97"/>
                </w:rPr>
                <w:t>by reference to Exhibit 10.1 to the Company’s Quarterly Report on Form 10-Q filed on November 3, 2015).</w:t>
              </w:r>
            </w:hyperlink>
          </w:p>
        </w:tc>
        <w:tc>
          <w:tcPr>
            <w:tcW w:w="284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9280" w:type="dxa"/>
            <w:vAlign w:val="bottom"/>
            <w:tcBorders>
              <w:bottom w:val="single" w:sz="8" w:color="0000EE"/>
            </w:tcBorders>
            <w:gridSpan w:val="20"/>
          </w:tcPr>
          <w:p>
            <w:pPr>
              <w:spacing w:after="0"/>
              <w:rPr>
                <w:rFonts w:ascii="Times New Roman" w:cs="Times New Roman" w:eastAsia="Times New Roman" w:hAnsi="Times New Roman"/>
                <w:sz w:val="16"/>
                <w:szCs w:val="16"/>
                <w:color w:val="0000FF"/>
                <w:w w:val="97"/>
              </w:rPr>
            </w:pPr>
            <w:hyperlink r:id="rId233">
              <w:r>
                <w:rPr>
                  <w:rFonts w:ascii="Times New Roman" w:cs="Times New Roman" w:eastAsia="Times New Roman" w:hAnsi="Times New Roman"/>
                  <w:sz w:val="16"/>
                  <w:szCs w:val="16"/>
                  <w:color w:val="0000FF"/>
                  <w:w w:val="97"/>
                </w:rPr>
                <w:t>Fifth Amendment to Second Amended and Restated Senior Secured Revolving Credit Agreement, dated December 22, 2016, among TPG Specialty</w:t>
              </w:r>
            </w:hyperlink>
          </w:p>
        </w:tc>
        <w:tc>
          <w:tcPr>
            <w:tcW w:w="340" w:type="dxa"/>
            <w:vAlign w:val="bottom"/>
            <w:gridSpan w:val="8"/>
          </w:tcPr>
          <w:p>
            <w:pPr>
              <w:spacing w:after="0"/>
              <w:rPr>
                <w:sz w:val="24"/>
                <w:szCs w:val="24"/>
                <w:color w:val="auto"/>
              </w:rPr>
            </w:pPr>
          </w:p>
        </w:tc>
      </w:tr>
      <w:tr>
        <w:trPr>
          <w:trHeight w:val="160"/>
        </w:trPr>
        <w:tc>
          <w:tcPr>
            <w:tcW w:w="960" w:type="dxa"/>
            <w:vAlign w:val="bottom"/>
          </w:tcPr>
          <w:p>
            <w:pPr>
              <w:spacing w:after="0"/>
              <w:rPr>
                <w:sz w:val="13"/>
                <w:szCs w:val="13"/>
                <w:color w:val="auto"/>
              </w:rPr>
            </w:pPr>
          </w:p>
        </w:tc>
        <w:tc>
          <w:tcPr>
            <w:tcW w:w="9620" w:type="dxa"/>
            <w:vAlign w:val="bottom"/>
            <w:gridSpan w:val="28"/>
          </w:tcPr>
          <w:p>
            <w:pPr>
              <w:spacing w:after="0" w:line="160" w:lineRule="exact"/>
              <w:rPr>
                <w:rFonts w:ascii="Times New Roman" w:cs="Times New Roman" w:eastAsia="Times New Roman" w:hAnsi="Times New Roman"/>
                <w:sz w:val="16"/>
                <w:szCs w:val="16"/>
                <w:color w:val="0000FF"/>
                <w:w w:val="97"/>
              </w:rPr>
            </w:pPr>
            <w:hyperlink r:id="rId233">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r>
      <w:tr>
        <w:trPr>
          <w:trHeight w:val="160"/>
        </w:trPr>
        <w:tc>
          <w:tcPr>
            <w:tcW w:w="960" w:type="dxa"/>
            <w:vAlign w:val="bottom"/>
          </w:tcPr>
          <w:p>
            <w:pPr>
              <w:spacing w:after="0"/>
              <w:rPr>
                <w:sz w:val="13"/>
                <w:szCs w:val="13"/>
                <w:color w:val="auto"/>
              </w:rPr>
            </w:pPr>
          </w:p>
        </w:tc>
        <w:tc>
          <w:tcPr>
            <w:tcW w:w="960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by reference to Exhibit 10.15 to the Company’s Annual Report on Form 10-K filed on February 22, 2017).</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70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9620" w:type="dxa"/>
            <w:vAlign w:val="bottom"/>
            <w:gridSpan w:val="28"/>
          </w:tcPr>
          <w:p>
            <w:pPr>
              <w:spacing w:after="0"/>
              <w:rPr>
                <w:rFonts w:ascii="Times New Roman" w:cs="Times New Roman" w:eastAsia="Times New Roman" w:hAnsi="Times New Roman"/>
                <w:sz w:val="16"/>
                <w:szCs w:val="16"/>
                <w:color w:val="0000FF"/>
                <w:w w:val="99"/>
              </w:rPr>
            </w:pPr>
            <w:hyperlink r:id="rId234">
              <w:r>
                <w:rPr>
                  <w:rFonts w:ascii="Times New Roman" w:cs="Times New Roman" w:eastAsia="Times New Roman" w:hAnsi="Times New Roman"/>
                  <w:sz w:val="16"/>
                  <w:szCs w:val="16"/>
                  <w:color w:val="0000FF"/>
                  <w:w w:val="99"/>
                </w:rPr>
                <w:t>Amended and Restated Administration Agreement, dated as of February 22, 2017 between the Company and the Adviser (incorporated by reference to</w:t>
              </w:r>
            </w:hyperlink>
          </w:p>
        </w:tc>
      </w:tr>
      <w:tr>
        <w:trPr>
          <w:trHeight w:val="160"/>
        </w:trPr>
        <w:tc>
          <w:tcPr>
            <w:tcW w:w="960" w:type="dxa"/>
            <w:vAlign w:val="bottom"/>
          </w:tcPr>
          <w:p>
            <w:pPr>
              <w:spacing w:after="0"/>
              <w:rPr>
                <w:sz w:val="13"/>
                <w:szCs w:val="13"/>
                <w:color w:val="auto"/>
              </w:rPr>
            </w:pPr>
          </w:p>
        </w:tc>
        <w:tc>
          <w:tcPr>
            <w:tcW w:w="570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7"/>
              </w:rPr>
            </w:pPr>
            <w:hyperlink r:id="rId234">
              <w:r>
                <w:rPr>
                  <w:rFonts w:ascii="Times New Roman" w:cs="Times New Roman" w:eastAsia="Times New Roman" w:hAnsi="Times New Roman"/>
                  <w:sz w:val="16"/>
                  <w:szCs w:val="16"/>
                  <w:color w:val="0000FF"/>
                  <w:w w:val="97"/>
                </w:rPr>
                <w:t>Exhibit 10.16 to the Company’s Annual Report on Form 10-K filed on February 22, 2017).</w:t>
              </w:r>
            </w:hyperlink>
          </w:p>
        </w:tc>
        <w:tc>
          <w:tcPr>
            <w:tcW w:w="3760" w:type="dxa"/>
            <w:vAlign w:val="bottom"/>
            <w:tcBorders>
              <w:top w:val="single" w:sz="8" w:color="0000EE"/>
            </w:tcBorders>
            <w:gridSpan w:val="20"/>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922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7"/>
              </w:rPr>
            </w:pPr>
            <w:hyperlink r:id="rId235">
              <w:r>
                <w:rPr>
                  <w:rFonts w:ascii="Times New Roman" w:cs="Times New Roman" w:eastAsia="Times New Roman" w:hAnsi="Times New Roman"/>
                  <w:sz w:val="16"/>
                  <w:szCs w:val="16"/>
                  <w:color w:val="0000FF"/>
                  <w:w w:val="97"/>
                </w:rPr>
                <w:t>Sixth Amendment to Second Amended and Restated Senior Secured Revolving Credit Agreement, dated February 20, 2018, among TPG Specialty</w:t>
              </w:r>
            </w:hyperlink>
          </w:p>
        </w:tc>
        <w:tc>
          <w:tcPr>
            <w:tcW w:w="400" w:type="dxa"/>
            <w:vAlign w:val="bottom"/>
            <w:gridSpan w:val="9"/>
          </w:tcPr>
          <w:p>
            <w:pPr>
              <w:spacing w:after="0"/>
              <w:rPr>
                <w:sz w:val="24"/>
                <w:szCs w:val="24"/>
                <w:color w:val="auto"/>
              </w:rPr>
            </w:pPr>
          </w:p>
        </w:tc>
      </w:tr>
      <w:tr>
        <w:trPr>
          <w:trHeight w:val="160"/>
        </w:trPr>
        <w:tc>
          <w:tcPr>
            <w:tcW w:w="960" w:type="dxa"/>
            <w:vAlign w:val="bottom"/>
          </w:tcPr>
          <w:p>
            <w:pPr>
              <w:spacing w:after="0"/>
              <w:rPr>
                <w:sz w:val="13"/>
                <w:szCs w:val="13"/>
                <w:color w:val="auto"/>
              </w:rPr>
            </w:pPr>
          </w:p>
        </w:tc>
        <w:tc>
          <w:tcPr>
            <w:tcW w:w="9620" w:type="dxa"/>
            <w:vAlign w:val="bottom"/>
            <w:gridSpan w:val="28"/>
          </w:tcPr>
          <w:p>
            <w:pPr>
              <w:spacing w:after="0" w:line="160" w:lineRule="exact"/>
              <w:rPr>
                <w:rFonts w:ascii="Times New Roman" w:cs="Times New Roman" w:eastAsia="Times New Roman" w:hAnsi="Times New Roman"/>
                <w:sz w:val="16"/>
                <w:szCs w:val="16"/>
                <w:color w:val="0000FF"/>
                <w:w w:val="97"/>
              </w:rPr>
            </w:pPr>
            <w:hyperlink r:id="rId235">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r>
      <w:tr>
        <w:trPr>
          <w:trHeight w:val="160"/>
        </w:trPr>
        <w:tc>
          <w:tcPr>
            <w:tcW w:w="960" w:type="dxa"/>
            <w:vAlign w:val="bottom"/>
          </w:tcPr>
          <w:p>
            <w:pPr>
              <w:spacing w:after="0"/>
              <w:rPr>
                <w:sz w:val="13"/>
                <w:szCs w:val="13"/>
                <w:color w:val="auto"/>
              </w:rPr>
            </w:pPr>
          </w:p>
        </w:tc>
        <w:tc>
          <w:tcPr>
            <w:tcW w:w="960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by reference to Exhibit 10.16 to the Company’s Annual Report on Form 10-K filed on February 21, 2018).</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6660" w:type="dxa"/>
            <w:vAlign w:val="bottom"/>
            <w:gridSpan w:val="6"/>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9120" w:type="dxa"/>
            <w:vAlign w:val="bottom"/>
            <w:tcBorders>
              <w:bottom w:val="single" w:sz="8" w:color="0000EE"/>
            </w:tcBorders>
            <w:gridSpan w:val="16"/>
          </w:tcPr>
          <w:p>
            <w:pPr>
              <w:spacing w:after="0"/>
              <w:rPr>
                <w:rFonts w:ascii="Times New Roman" w:cs="Times New Roman" w:eastAsia="Times New Roman" w:hAnsi="Times New Roman"/>
                <w:sz w:val="16"/>
                <w:szCs w:val="16"/>
                <w:color w:val="0000FF"/>
                <w:w w:val="97"/>
              </w:rPr>
            </w:pPr>
            <w:hyperlink r:id="rId236">
              <w:r>
                <w:rPr>
                  <w:rFonts w:ascii="Times New Roman" w:cs="Times New Roman" w:eastAsia="Times New Roman" w:hAnsi="Times New Roman"/>
                  <w:sz w:val="16"/>
                  <w:szCs w:val="16"/>
                  <w:color w:val="0000FF"/>
                  <w:w w:val="97"/>
                </w:rPr>
                <w:t>Seventh Amendment to Second Amended and Restated Senior Secured Revolving Credit Agreement, dated as of November 5, 2018, among TPG</w:t>
              </w:r>
            </w:hyperlink>
          </w:p>
        </w:tc>
        <w:tc>
          <w:tcPr>
            <w:tcW w:w="500" w:type="dxa"/>
            <w:vAlign w:val="bottom"/>
            <w:gridSpan w:val="12"/>
          </w:tcPr>
          <w:p>
            <w:pPr>
              <w:spacing w:after="0"/>
              <w:rPr>
                <w:sz w:val="24"/>
                <w:szCs w:val="24"/>
                <w:color w:val="auto"/>
              </w:rPr>
            </w:pPr>
          </w:p>
        </w:tc>
      </w:tr>
      <w:tr>
        <w:trPr>
          <w:trHeight w:val="160"/>
        </w:trPr>
        <w:tc>
          <w:tcPr>
            <w:tcW w:w="960" w:type="dxa"/>
            <w:vAlign w:val="bottom"/>
          </w:tcPr>
          <w:p>
            <w:pPr>
              <w:spacing w:after="0"/>
              <w:rPr>
                <w:sz w:val="13"/>
                <w:szCs w:val="13"/>
                <w:color w:val="auto"/>
              </w:rPr>
            </w:pPr>
          </w:p>
        </w:tc>
        <w:tc>
          <w:tcPr>
            <w:tcW w:w="9620" w:type="dxa"/>
            <w:vAlign w:val="bottom"/>
            <w:gridSpan w:val="28"/>
          </w:tcPr>
          <w:p>
            <w:pPr>
              <w:spacing w:after="0" w:line="160"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Specialty Lending, Inc., as Borrower, the Lenders party thereto and Truist Bank (as successor by merger to SunTrust Bank), as Administrative Agent</w:t>
              </w:r>
            </w:hyperlink>
          </w:p>
        </w:tc>
      </w:tr>
      <w:tr>
        <w:trPr>
          <w:trHeight w:val="160"/>
        </w:trPr>
        <w:tc>
          <w:tcPr>
            <w:tcW w:w="960" w:type="dxa"/>
            <w:vAlign w:val="bottom"/>
          </w:tcPr>
          <w:p>
            <w:pPr>
              <w:spacing w:after="0"/>
              <w:rPr>
                <w:sz w:val="13"/>
                <w:szCs w:val="13"/>
                <w:color w:val="auto"/>
              </w:rPr>
            </w:pPr>
          </w:p>
        </w:tc>
        <w:tc>
          <w:tcPr>
            <w:tcW w:w="936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(incorporated by reference to Exhibit 10.1 to the Company's Quarterly Report on Form 10-Q filed on November 6, 2018).</w:t>
              </w:r>
            </w:hyperlink>
          </w:p>
        </w:tc>
        <w:tc>
          <w:tcPr>
            <w:tcW w:w="260" w:type="dxa"/>
            <w:vAlign w:val="bottom"/>
            <w:gridSpan w:val="6"/>
          </w:tcPr>
          <w:p>
            <w:pPr>
              <w:spacing w:after="0"/>
              <w:rPr>
                <w:sz w:val="13"/>
                <w:szCs w:val="13"/>
                <w:color w:val="auto"/>
              </w:rPr>
            </w:pPr>
          </w:p>
        </w:tc>
      </w:tr>
      <w:tr>
        <w:trPr>
          <w:trHeight w:val="506"/>
        </w:trPr>
        <w:tc>
          <w:tcPr>
            <w:tcW w:w="960" w:type="dxa"/>
            <w:vAlign w:val="bottom"/>
          </w:tcPr>
          <w:p>
            <w:pPr>
              <w:spacing w:after="0"/>
              <w:rPr>
                <w:sz w:val="24"/>
                <w:szCs w:val="24"/>
                <w:color w:val="auto"/>
              </w:rPr>
            </w:pPr>
          </w:p>
        </w:tc>
        <w:tc>
          <w:tcPr>
            <w:tcW w:w="4680" w:type="dxa"/>
            <w:vAlign w:val="bottom"/>
            <w:tcBorders>
              <w:top w:val="single" w:sz="8" w:color="0000EE"/>
            </w:tcBorders>
            <w:gridSpan w:val="3"/>
          </w:tcPr>
          <w:p>
            <w:pPr>
              <w:ind w:left="4240"/>
              <w:spacing w:after="0"/>
              <w:rPr>
                <w:sz w:val="20"/>
                <w:szCs w:val="20"/>
                <w:color w:val="auto"/>
              </w:rPr>
            </w:pPr>
            <w:r>
              <w:rPr>
                <w:rFonts w:ascii="Times New Roman" w:cs="Times New Roman" w:eastAsia="Times New Roman" w:hAnsi="Times New Roman"/>
                <w:sz w:val="16"/>
                <w:szCs w:val="16"/>
                <w:color w:val="auto"/>
              </w:rPr>
              <w:t>92</w:t>
            </w:r>
          </w:p>
        </w:tc>
        <w:tc>
          <w:tcPr>
            <w:tcW w:w="10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6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8" w:right="66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Exhibit No</w:t>
            </w:r>
          </w:p>
        </w:tc>
        <w:tc>
          <w:tcPr>
            <w:tcW w:w="9600" w:type="dxa"/>
            <w:vAlign w:val="bottom"/>
            <w:gridSpan w:val="28"/>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272"/>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9600" w:type="dxa"/>
            <w:vAlign w:val="bottom"/>
            <w:gridSpan w:val="28"/>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Eighth Amendment to Second Amended and Restated Senior Secured Revolving Credit Agreement, dated as of February 14, 2019, among TPG</w:t>
              </w:r>
            </w:hyperlink>
          </w:p>
        </w:tc>
      </w:tr>
      <w:tr>
        <w:trPr>
          <w:trHeight w:val="160"/>
        </w:trPr>
        <w:tc>
          <w:tcPr>
            <w:tcW w:w="960" w:type="dxa"/>
            <w:vAlign w:val="bottom"/>
          </w:tcPr>
          <w:p>
            <w:pPr>
              <w:spacing w:after="0"/>
              <w:rPr>
                <w:sz w:val="13"/>
                <w:szCs w:val="13"/>
                <w:color w:val="auto"/>
              </w:rPr>
            </w:pPr>
          </w:p>
        </w:tc>
        <w:tc>
          <w:tcPr>
            <w:tcW w:w="900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w w:val="98"/>
              </w:rPr>
            </w:pPr>
            <w:hyperlink r:id="rId238">
              <w:r>
                <w:rPr>
                  <w:rFonts w:ascii="Times New Roman" w:cs="Times New Roman" w:eastAsia="Times New Roman" w:hAnsi="Times New Roman"/>
                  <w:sz w:val="16"/>
                  <w:szCs w:val="16"/>
                  <w:color w:val="0000FF"/>
                  <w:w w:val="98"/>
                </w:rPr>
                <w:t>Specialty Lending, Inc., as Borrower, the Lenders party thereto and Truist Bank (as successor by merger to SunTrust Bank), as Administrative</w:t>
              </w:r>
            </w:hyperlink>
          </w:p>
        </w:tc>
        <w:tc>
          <w:tcPr>
            <w:tcW w:w="600" w:type="dxa"/>
            <w:vAlign w:val="bottom"/>
            <w:gridSpan w:val="9"/>
          </w:tcPr>
          <w:p>
            <w:pPr>
              <w:spacing w:after="0" w:line="160"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Agent.</w:t>
              </w:r>
            </w:hyperlink>
          </w:p>
        </w:tc>
      </w:tr>
      <w:tr>
        <w:trPr>
          <w:trHeight w:val="160"/>
        </w:trPr>
        <w:tc>
          <w:tcPr>
            <w:tcW w:w="960" w:type="dxa"/>
            <w:vAlign w:val="bottom"/>
          </w:tcPr>
          <w:p>
            <w:pPr>
              <w:spacing w:after="0"/>
              <w:rPr>
                <w:sz w:val="13"/>
                <w:szCs w:val="13"/>
                <w:color w:val="auto"/>
              </w:rPr>
            </w:pPr>
          </w:p>
        </w:tc>
        <w:tc>
          <w:tcPr>
            <w:tcW w:w="7540" w:type="dxa"/>
            <w:vAlign w:val="bottom"/>
            <w:tcBorders>
              <w:top w:val="single" w:sz="8" w:color="0000EE"/>
              <w:bottom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r:id="rId238">
              <w:r>
                <w:rPr>
                  <w:rFonts w:ascii="Times New Roman" w:cs="Times New Roman" w:eastAsia="Times New Roman" w:hAnsi="Times New Roman"/>
                  <w:sz w:val="16"/>
                  <w:szCs w:val="16"/>
                  <w:color w:val="0000FF"/>
                  <w:w w:val="97"/>
                </w:rPr>
                <w:t>(incorporated by reference to Exhibit 10.16 to the Company’s Annual Report on Form 10-K filed on February 20, 2019).</w:t>
              </w:r>
            </w:hyperlink>
          </w:p>
        </w:tc>
        <w:tc>
          <w:tcPr>
            <w:tcW w:w="1840" w:type="dxa"/>
            <w:vAlign w:val="bottom"/>
            <w:tcBorders>
              <w:top w:val="single" w:sz="8" w:color="0000EE"/>
            </w:tcBorders>
            <w:gridSpan w:val="8"/>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9600" w:type="dxa"/>
            <w:vAlign w:val="bottom"/>
            <w:gridSpan w:val="28"/>
          </w:tcPr>
          <w:p>
            <w:pPr>
              <w:spacing w:after="0"/>
              <w:rPr>
                <w:rFonts w:ascii="Times New Roman" w:cs="Times New Roman" w:eastAsia="Times New Roman" w:hAnsi="Times New Roman"/>
                <w:sz w:val="16"/>
                <w:szCs w:val="16"/>
                <w:color w:val="0000FF"/>
                <w:w w:val="98"/>
              </w:rPr>
            </w:pPr>
            <w:hyperlink r:id="rId239">
              <w:r>
                <w:rPr>
                  <w:rFonts w:ascii="Times New Roman" w:cs="Times New Roman" w:eastAsia="Times New Roman" w:hAnsi="Times New Roman"/>
                  <w:sz w:val="16"/>
                  <w:szCs w:val="16"/>
                  <w:color w:val="0000FF"/>
                  <w:w w:val="98"/>
                </w:rPr>
                <w:t>Ninth Amendment to Second Amended and Restated Senior Secured Revolving Credit Agreement, dated as of January 31, 2020, among TPG Specialty</w:t>
              </w:r>
            </w:hyperlink>
          </w:p>
        </w:tc>
      </w:tr>
      <w:tr>
        <w:trPr>
          <w:trHeight w:val="160"/>
        </w:trPr>
        <w:tc>
          <w:tcPr>
            <w:tcW w:w="960" w:type="dxa"/>
            <w:vAlign w:val="bottom"/>
          </w:tcPr>
          <w:p>
            <w:pPr>
              <w:spacing w:after="0"/>
              <w:rPr>
                <w:sz w:val="13"/>
                <w:szCs w:val="13"/>
                <w:color w:val="auto"/>
              </w:rPr>
            </w:pPr>
          </w:p>
        </w:tc>
        <w:tc>
          <w:tcPr>
            <w:tcW w:w="9480" w:type="dxa"/>
            <w:vAlign w:val="bottom"/>
            <w:tcBorders>
              <w:top w:val="single" w:sz="8" w:color="0000EE"/>
              <w:bottom w:val="single" w:sz="8" w:color="0000EE"/>
            </w:tcBorders>
            <w:gridSpan w:val="27"/>
          </w:tcPr>
          <w:p>
            <w:pPr>
              <w:spacing w:after="0" w:line="160" w:lineRule="exact"/>
              <w:rPr>
                <w:rFonts w:ascii="Times New Roman" w:cs="Times New Roman" w:eastAsia="Times New Roman" w:hAnsi="Times New Roman"/>
                <w:sz w:val="16"/>
                <w:szCs w:val="16"/>
                <w:color w:val="0000FF"/>
                <w:w w:val="95"/>
              </w:rPr>
            </w:pPr>
            <w:hyperlink r:id="rId239">
              <w:r>
                <w:rPr>
                  <w:rFonts w:ascii="Times New Roman" w:cs="Times New Roman" w:eastAsia="Times New Roman" w:hAnsi="Times New Roman"/>
                  <w:sz w:val="16"/>
                  <w:szCs w:val="16"/>
                  <w:color w:val="0000FF"/>
                  <w:w w:val="95"/>
                </w:rPr>
                <w:t>Lending, Inc., as Borrower, the Lenders party thereto and Truist Bank (as successor by merger to SunTrust Bank), as Administrative Agent. (incorporated</w:t>
              </w:r>
            </w:hyperlink>
          </w:p>
        </w:tc>
        <w:tc>
          <w:tcPr>
            <w:tcW w:w="120" w:type="dxa"/>
            <w:vAlign w:val="bottom"/>
            <w:tcBorders>
              <w:bottom w:val="single" w:sz="8" w:color="0000EE"/>
            </w:tcBorders>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6660" w:type="dxa"/>
            <w:vAlign w:val="bottom"/>
            <w:tcBorders>
              <w:bottom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239">
              <w:r>
                <w:rPr>
                  <w:rFonts w:ascii="Times New Roman" w:cs="Times New Roman" w:eastAsia="Times New Roman" w:hAnsi="Times New Roman"/>
                  <w:sz w:val="16"/>
                  <w:szCs w:val="16"/>
                  <w:color w:val="0000FF"/>
                  <w:w w:val="97"/>
                </w:rPr>
                <w:t>by reference to Exhibit 10.17 to the Company’s Annual Report on Form 10-K filed on February 19, 2020).</w:t>
              </w:r>
            </w:hyperlink>
          </w:p>
        </w:tc>
        <w:tc>
          <w:tcPr>
            <w:tcW w:w="2940" w:type="dxa"/>
            <w:vAlign w:val="bottom"/>
            <w:gridSpan w:val="18"/>
          </w:tcPr>
          <w:p>
            <w:pPr>
              <w:spacing w:after="0"/>
              <w:rPr>
                <w:sz w:val="13"/>
                <w:szCs w:val="13"/>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9600" w:type="dxa"/>
            <w:vAlign w:val="bottom"/>
            <w:gridSpan w:val="28"/>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Tenth Amendment to Second Amended and Restated Senior Secured Revolving Credit Agreement, dated as of February 5, 2021, among Sixth Street</w:t>
              </w:r>
            </w:hyperlink>
          </w:p>
        </w:tc>
      </w:tr>
      <w:tr>
        <w:trPr>
          <w:trHeight w:val="160"/>
        </w:trPr>
        <w:tc>
          <w:tcPr>
            <w:tcW w:w="960" w:type="dxa"/>
            <w:vAlign w:val="bottom"/>
          </w:tcPr>
          <w:p>
            <w:pPr>
              <w:spacing w:after="0"/>
              <w:rPr>
                <w:sz w:val="13"/>
                <w:szCs w:val="13"/>
                <w:color w:val="auto"/>
              </w:rPr>
            </w:pPr>
          </w:p>
        </w:tc>
        <w:tc>
          <w:tcPr>
            <w:tcW w:w="9320" w:type="dxa"/>
            <w:vAlign w:val="bottom"/>
            <w:tcBorders>
              <w:top w:val="single" w:sz="8" w:color="0000EE"/>
              <w:bottom w:val="single" w:sz="8" w:color="0000EE"/>
            </w:tcBorders>
            <w:gridSpan w:val="21"/>
          </w:tcPr>
          <w:p>
            <w:pPr>
              <w:spacing w:after="0" w:line="160" w:lineRule="exact"/>
              <w:rPr>
                <w:rFonts w:ascii="Times New Roman" w:cs="Times New Roman" w:eastAsia="Times New Roman" w:hAnsi="Times New Roman"/>
                <w:sz w:val="16"/>
                <w:szCs w:val="16"/>
                <w:color w:val="0000FF"/>
                <w:w w:val="97"/>
              </w:rPr>
            </w:pPr>
            <w:hyperlink r:id="rId240">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754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r:id="rId240">
              <w:r>
                <w:rPr>
                  <w:rFonts w:ascii="Times New Roman" w:cs="Times New Roman" w:eastAsia="Times New Roman" w:hAnsi="Times New Roman"/>
                  <w:sz w:val="16"/>
                  <w:szCs w:val="16"/>
                  <w:color w:val="0000FF"/>
                  <w:w w:val="97"/>
                </w:rPr>
                <w:t>(incorporated by reference to Exhibit 10.18 to the Company’s Annual Report on Form 10-K filed on February 17, 2021).</w:t>
              </w:r>
            </w:hyperlink>
          </w:p>
        </w:tc>
        <w:tc>
          <w:tcPr>
            <w:tcW w:w="18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9600" w:type="dxa"/>
            <w:vAlign w:val="bottom"/>
            <w:gridSpan w:val="28"/>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Eleventh Amendment to Second Amended and</w:t>
              </w:r>
            </w:hyperlink>
          </w:p>
        </w:tc>
      </w:tr>
      <w:tr>
        <w:trPr>
          <w:trHeight w:val="20"/>
        </w:trPr>
        <w:tc>
          <w:tcPr>
            <w:tcW w:w="9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60"/>
        </w:trPr>
        <w:tc>
          <w:tcPr>
            <w:tcW w:w="960" w:type="dxa"/>
            <w:vAlign w:val="bottom"/>
          </w:tcPr>
          <w:p>
            <w:pPr>
              <w:spacing w:after="0"/>
              <w:rPr>
                <w:sz w:val="13"/>
                <w:szCs w:val="13"/>
                <w:color w:val="auto"/>
              </w:rPr>
            </w:pPr>
          </w:p>
        </w:tc>
        <w:tc>
          <w:tcPr>
            <w:tcW w:w="9600" w:type="dxa"/>
            <w:vAlign w:val="bottom"/>
            <w:gridSpan w:val="28"/>
          </w:tcPr>
          <w:p>
            <w:pPr>
              <w:ind w:left="40"/>
              <w:spacing w:after="0" w:line="160"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Restated Senior Secured Revolving Credit Agreement, dated as of December 21, 2021, among Sixth Street Specialty</w:t>
              </w:r>
            </w:hyperlink>
          </w:p>
        </w:tc>
      </w:tr>
      <w:tr>
        <w:trPr>
          <w:trHeight w:val="160"/>
        </w:trPr>
        <w:tc>
          <w:tcPr>
            <w:tcW w:w="960" w:type="dxa"/>
            <w:vAlign w:val="bottom"/>
          </w:tcPr>
          <w:p>
            <w:pPr>
              <w:spacing w:after="0"/>
              <w:rPr>
                <w:sz w:val="13"/>
                <w:szCs w:val="13"/>
                <w:color w:val="auto"/>
              </w:rPr>
            </w:pPr>
          </w:p>
        </w:tc>
        <w:tc>
          <w:tcPr>
            <w:tcW w:w="7320" w:type="dxa"/>
            <w:vAlign w:val="bottom"/>
            <w:tcBorders>
              <w:top w:val="single" w:sz="8" w:color="0000EE"/>
              <w:bottom w:val="single" w:sz="8" w:color="0000EE"/>
            </w:tcBorders>
            <w:gridSpan w:val="13"/>
          </w:tcPr>
          <w:p>
            <w:pPr>
              <w:ind w:left="40"/>
              <w:spacing w:after="0" w:line="160" w:lineRule="exact"/>
              <w:rPr>
                <w:rFonts w:ascii="Times New Roman" w:cs="Times New Roman" w:eastAsia="Times New Roman" w:hAnsi="Times New Roman"/>
                <w:sz w:val="16"/>
                <w:szCs w:val="16"/>
                <w:color w:val="0000FF"/>
                <w:w w:val="96"/>
              </w:rPr>
            </w:pPr>
            <w:hyperlink r:id="rId241">
              <w:r>
                <w:rPr>
                  <w:rFonts w:ascii="Times New Roman" w:cs="Times New Roman" w:eastAsia="Times New Roman" w:hAnsi="Times New Roman"/>
                  <w:sz w:val="16"/>
                  <w:szCs w:val="16"/>
                  <w:color w:val="0000FF"/>
                  <w:w w:val="96"/>
                </w:rPr>
                <w:t>Lending, Inc., as Borrower, the Lenders party thereto and Truist Bank (as successor by merger to SunTrust Bank), as</w:t>
              </w:r>
            </w:hyperlink>
          </w:p>
        </w:tc>
        <w:tc>
          <w:tcPr>
            <w:tcW w:w="20" w:type="dxa"/>
            <w:vAlign w:val="bottom"/>
            <w:tcBorders>
              <w:bottom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9600" w:type="dxa"/>
            <w:vAlign w:val="bottom"/>
            <w:gridSpan w:val="28"/>
          </w:tcPr>
          <w:p>
            <w:pPr>
              <w:ind w:left="40"/>
              <w:spacing w:after="0" w:line="160"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Administrative Agent (incorporated by reference to Exhibit 10.19 to the Company’s Annual Report on Form 10-K filed on</w:t>
              </w:r>
            </w:hyperlink>
          </w:p>
        </w:tc>
      </w:tr>
      <w:tr>
        <w:trPr>
          <w:trHeight w:val="160"/>
        </w:trPr>
        <w:tc>
          <w:tcPr>
            <w:tcW w:w="960" w:type="dxa"/>
            <w:vAlign w:val="bottom"/>
          </w:tcPr>
          <w:p>
            <w:pPr>
              <w:spacing w:after="0"/>
              <w:rPr>
                <w:sz w:val="13"/>
                <w:szCs w:val="13"/>
                <w:color w:val="auto"/>
              </w:rPr>
            </w:pPr>
          </w:p>
        </w:tc>
        <w:tc>
          <w:tcPr>
            <w:tcW w:w="1280" w:type="dxa"/>
            <w:vAlign w:val="bottom"/>
            <w:tcBorders>
              <w:top w:val="single" w:sz="8" w:color="0000EE"/>
              <w:bottom w:val="single" w:sz="8" w:color="0000EE"/>
            </w:tcBorders>
          </w:tcPr>
          <w:p>
            <w:pPr>
              <w:ind w:left="40"/>
              <w:spacing w:after="0" w:line="160" w:lineRule="exact"/>
              <w:rPr>
                <w:rFonts w:ascii="Times New Roman" w:cs="Times New Roman" w:eastAsia="Times New Roman" w:hAnsi="Times New Roman"/>
                <w:sz w:val="16"/>
                <w:szCs w:val="16"/>
                <w:color w:val="0000FF"/>
                <w:w w:val="95"/>
              </w:rPr>
            </w:pPr>
            <w:hyperlink r:id="rId241">
              <w:r>
                <w:rPr>
                  <w:rFonts w:ascii="Times New Roman" w:cs="Times New Roman" w:eastAsia="Times New Roman" w:hAnsi="Times New Roman"/>
                  <w:sz w:val="16"/>
                  <w:szCs w:val="16"/>
                  <w:color w:val="0000FF"/>
                  <w:w w:val="95"/>
                </w:rPr>
                <w:t>February 17, 2022).</w:t>
              </w:r>
            </w:hyperlink>
          </w:p>
        </w:tc>
        <w:tc>
          <w:tcPr>
            <w:tcW w:w="6400" w:type="dxa"/>
            <w:vAlign w:val="bottom"/>
            <w:tcBorders>
              <w:top w:val="single" w:sz="8" w:color="0000EE"/>
            </w:tcBorders>
            <w:gridSpan w:val="17"/>
          </w:tcPr>
          <w:p>
            <w:pPr>
              <w:spacing w:after="0"/>
              <w:rPr>
                <w:sz w:val="13"/>
                <w:szCs w:val="13"/>
                <w:color w:val="auto"/>
              </w:rPr>
            </w:pPr>
          </w:p>
        </w:tc>
        <w:tc>
          <w:tcPr>
            <w:tcW w:w="16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9600" w:type="dxa"/>
            <w:vAlign w:val="bottom"/>
            <w:gridSpan w:val="28"/>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Twelfth Amendment to Second Amended and Restated Senior Secured Revolving Credit Agreement, dated as of April 25, 2022, among Sixth Street</w:t>
              </w:r>
            </w:hyperlink>
          </w:p>
        </w:tc>
      </w:tr>
      <w:tr>
        <w:trPr>
          <w:trHeight w:val="160"/>
        </w:trPr>
        <w:tc>
          <w:tcPr>
            <w:tcW w:w="960" w:type="dxa"/>
            <w:vAlign w:val="bottom"/>
          </w:tcPr>
          <w:p>
            <w:pPr>
              <w:spacing w:after="0"/>
              <w:rPr>
                <w:sz w:val="13"/>
                <w:szCs w:val="13"/>
                <w:color w:val="auto"/>
              </w:rPr>
            </w:pPr>
          </w:p>
        </w:tc>
        <w:tc>
          <w:tcPr>
            <w:tcW w:w="930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w w:val="97"/>
              </w:rPr>
            </w:pPr>
            <w:hyperlink r:id="rId242">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934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(incorporated by reference to Exhibit 10.1 to the Company’s Quarterly Report on Form 10-Q filed on May 5, 2022).</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9600" w:type="dxa"/>
            <w:vAlign w:val="bottom"/>
            <w:gridSpan w:val="28"/>
          </w:tcPr>
          <w:p>
            <w:pPr>
              <w:spacing w:after="0"/>
              <w:rPr>
                <w:rFonts w:ascii="Times New Roman" w:cs="Times New Roman" w:eastAsia="Times New Roman" w:hAnsi="Times New Roman"/>
                <w:sz w:val="16"/>
                <w:szCs w:val="16"/>
                <w:color w:val="0000FF"/>
                <w:w w:val="99"/>
              </w:rPr>
            </w:pPr>
            <w:hyperlink r:id="rId243">
              <w:r>
                <w:rPr>
                  <w:rFonts w:ascii="Times New Roman" w:cs="Times New Roman" w:eastAsia="Times New Roman" w:hAnsi="Times New Roman"/>
                  <w:sz w:val="16"/>
                  <w:szCs w:val="16"/>
                  <w:color w:val="0000FF"/>
                  <w:w w:val="99"/>
                </w:rPr>
                <w:t>Thirteenth Amendment to Second Amended and Restated Senior Secured Revolving Credit Agreement, dated as of Ma</w:t>
              </w:r>
              <w:r>
                <w:rPr>
                  <w:rFonts w:ascii="Times New Roman" w:cs="Times New Roman" w:eastAsia="Times New Roman" w:hAnsi="Times New Roman"/>
                  <w:sz w:val="16"/>
                  <w:szCs w:val="16"/>
                  <w:color w:val="000000"/>
                  <w:w w:val="99"/>
                </w:rPr>
                <w:t>y</w:t>
              </w:r>
              <w:r>
                <w:rPr>
                  <w:rFonts w:ascii="Times New Roman" w:cs="Times New Roman" w:eastAsia="Times New Roman" w:hAnsi="Times New Roman"/>
                  <w:sz w:val="16"/>
                  <w:szCs w:val="16"/>
                  <w:color w:val="0000FF"/>
                  <w:w w:val="99"/>
                </w:rPr>
                <w:t xml:space="preserve"> 19, 2022, among Sixth Street</w:t>
              </w:r>
            </w:hyperlink>
          </w:p>
        </w:tc>
      </w:tr>
      <w:tr>
        <w:trPr>
          <w:trHeight w:val="20"/>
        </w:trPr>
        <w:tc>
          <w:tcPr>
            <w:tcW w:w="96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60"/>
        </w:trPr>
        <w:tc>
          <w:tcPr>
            <w:tcW w:w="960" w:type="dxa"/>
            <w:vAlign w:val="bottom"/>
          </w:tcPr>
          <w:p>
            <w:pPr>
              <w:spacing w:after="0"/>
              <w:rPr>
                <w:sz w:val="13"/>
                <w:szCs w:val="13"/>
                <w:color w:val="auto"/>
              </w:rPr>
            </w:pPr>
          </w:p>
        </w:tc>
        <w:tc>
          <w:tcPr>
            <w:tcW w:w="9600" w:type="dxa"/>
            <w:vAlign w:val="bottom"/>
            <w:gridSpan w:val="28"/>
          </w:tcPr>
          <w:p>
            <w:pPr>
              <w:spacing w:after="0" w:line="160"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Specialty Lending, Inc., as Borrower, the Lenders party thereto and Truist Bank (as successor by merger to SunTrust Bank), as Administrative Agent</w:t>
              </w:r>
            </w:hyperlink>
          </w:p>
        </w:tc>
      </w:tr>
      <w:tr>
        <w:trPr>
          <w:trHeight w:val="20"/>
        </w:trPr>
        <w:tc>
          <w:tcPr>
            <w:tcW w:w="96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60"/>
        </w:trPr>
        <w:tc>
          <w:tcPr>
            <w:tcW w:w="960" w:type="dxa"/>
            <w:vAlign w:val="bottom"/>
          </w:tcPr>
          <w:p>
            <w:pPr>
              <w:spacing w:after="0"/>
              <w:rPr>
                <w:sz w:val="13"/>
                <w:szCs w:val="13"/>
                <w:color w:val="auto"/>
              </w:rPr>
            </w:pPr>
          </w:p>
        </w:tc>
        <w:tc>
          <w:tcPr>
            <w:tcW w:w="9600" w:type="dxa"/>
            <w:vAlign w:val="bottom"/>
            <w:gridSpan w:val="28"/>
          </w:tcPr>
          <w:p>
            <w:pPr>
              <w:spacing w:after="0" w:line="160"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(incorporated by reference to Exhibit 10.2 to the Company’s Quarterly Report on Form 10-Q filed on August 2, 2022).</w:t>
              </w:r>
            </w:hyperlink>
          </w:p>
        </w:tc>
      </w:tr>
      <w:tr>
        <w:trPr>
          <w:trHeight w:val="20"/>
        </w:trPr>
        <w:tc>
          <w:tcPr>
            <w:tcW w:w="96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9600" w:type="dxa"/>
            <w:vAlign w:val="bottom"/>
            <w:gridSpan w:val="28"/>
          </w:tcPr>
          <w:p>
            <w:pPr>
              <w:spacing w:after="0"/>
              <w:rPr>
                <w:rFonts w:ascii="Times New Roman" w:cs="Times New Roman" w:eastAsia="Times New Roman" w:hAnsi="Times New Roman"/>
                <w:sz w:val="16"/>
                <w:szCs w:val="16"/>
                <w:color w:val="0000FF"/>
                <w:w w:val="99"/>
              </w:rPr>
            </w:pPr>
            <w:hyperlink r:id="rId244">
              <w:r>
                <w:rPr>
                  <w:rFonts w:ascii="Times New Roman" w:cs="Times New Roman" w:eastAsia="Times New Roman" w:hAnsi="Times New Roman"/>
                  <w:sz w:val="16"/>
                  <w:szCs w:val="16"/>
                  <w:color w:val="0000FF"/>
                  <w:w w:val="99"/>
                </w:rPr>
                <w:t>Fourteenth Amendment to Second Amended and Restated Senior Secured Revolving Credit Agreement, dated as of June 12, 2023, among Sixth Street</w:t>
              </w:r>
            </w:hyperlink>
          </w:p>
        </w:tc>
      </w:tr>
      <w:tr>
        <w:trPr>
          <w:trHeight w:val="20"/>
        </w:trPr>
        <w:tc>
          <w:tcPr>
            <w:tcW w:w="960" w:type="dxa"/>
            <w:vAlign w:val="bottom"/>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60"/>
        </w:trPr>
        <w:tc>
          <w:tcPr>
            <w:tcW w:w="960" w:type="dxa"/>
            <w:vAlign w:val="bottom"/>
          </w:tcPr>
          <w:p>
            <w:pPr>
              <w:spacing w:after="0"/>
              <w:rPr>
                <w:sz w:val="13"/>
                <w:szCs w:val="13"/>
                <w:color w:val="auto"/>
              </w:rPr>
            </w:pPr>
          </w:p>
        </w:tc>
        <w:tc>
          <w:tcPr>
            <w:tcW w:w="9600" w:type="dxa"/>
            <w:vAlign w:val="bottom"/>
            <w:gridSpan w:val="28"/>
          </w:tcPr>
          <w:p>
            <w:pPr>
              <w:spacing w:after="0" w:line="160"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Specialty Lending, Inc., as Borrower, the Lenders party thereto and Truist Bank (as successor by merger to SunTrust Bank), as Administrative Agent</w:t>
              </w:r>
            </w:hyperlink>
          </w:p>
        </w:tc>
      </w:tr>
      <w:tr>
        <w:trPr>
          <w:trHeight w:val="20"/>
        </w:trPr>
        <w:tc>
          <w:tcPr>
            <w:tcW w:w="960" w:type="dxa"/>
            <w:vAlign w:val="bottom"/>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04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160"/>
        </w:trPr>
        <w:tc>
          <w:tcPr>
            <w:tcW w:w="960" w:type="dxa"/>
            <w:vAlign w:val="bottom"/>
          </w:tcPr>
          <w:p>
            <w:pPr>
              <w:spacing w:after="0"/>
              <w:rPr>
                <w:sz w:val="13"/>
                <w:szCs w:val="13"/>
                <w:color w:val="auto"/>
              </w:rPr>
            </w:pPr>
          </w:p>
        </w:tc>
        <w:tc>
          <w:tcPr>
            <w:tcW w:w="9600" w:type="dxa"/>
            <w:vAlign w:val="bottom"/>
            <w:gridSpan w:val="28"/>
          </w:tcPr>
          <w:p>
            <w:pPr>
              <w:spacing w:after="0" w:line="160"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(incorporated by reference to Exhibit 10.1 to the Company’s Quarterly Report on Form 10-Q filed on August 3, 2023).</w:t>
              </w:r>
            </w:hyperlink>
          </w:p>
        </w:tc>
      </w:tr>
      <w:tr>
        <w:trPr>
          <w:trHeight w:val="20"/>
        </w:trPr>
        <w:tc>
          <w:tcPr>
            <w:tcW w:w="96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9600" w:type="dxa"/>
            <w:vAlign w:val="bottom"/>
            <w:gridSpan w:val="28"/>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Fifteenth Amendment to Second Amended and Restated Senior Secured Revolving Credit Agreement, dated as of April 24, 2024, among Sixth Street</w:t>
              </w:r>
            </w:hyperlink>
          </w:p>
        </w:tc>
      </w:tr>
      <w:tr>
        <w:trPr>
          <w:trHeight w:val="160"/>
        </w:trPr>
        <w:tc>
          <w:tcPr>
            <w:tcW w:w="960" w:type="dxa"/>
            <w:vAlign w:val="bottom"/>
          </w:tcPr>
          <w:p>
            <w:pPr>
              <w:spacing w:after="0"/>
              <w:rPr>
                <w:sz w:val="13"/>
                <w:szCs w:val="13"/>
                <w:color w:val="auto"/>
              </w:rPr>
            </w:pPr>
          </w:p>
        </w:tc>
        <w:tc>
          <w:tcPr>
            <w:tcW w:w="936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FF"/>
                <w:w w:val="97"/>
              </w:rPr>
            </w:pPr>
            <w:hyperlink r:id="rId245">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240" w:type="dxa"/>
            <w:vAlign w:val="bottom"/>
            <w:gridSpan w:val="5"/>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730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FF"/>
                <w:w w:val="97"/>
              </w:rPr>
            </w:pPr>
            <w:hyperlink r:id="rId245">
              <w:r>
                <w:rPr>
                  <w:rFonts w:ascii="Times New Roman" w:cs="Times New Roman" w:eastAsia="Times New Roman" w:hAnsi="Times New Roman"/>
                  <w:sz w:val="16"/>
                  <w:szCs w:val="16"/>
                  <w:color w:val="0000FF"/>
                  <w:w w:val="97"/>
                </w:rPr>
                <w:t>(incorporated by reference to Exhibit 10.1 to the Company’s Quarterly Report on Form 10-Q filed on July 31, 2024).</w:t>
              </w:r>
            </w:hyperlink>
          </w:p>
        </w:tc>
        <w:tc>
          <w:tcPr>
            <w:tcW w:w="2040" w:type="dxa"/>
            <w:vAlign w:val="bottom"/>
            <w:tcBorders>
              <w:top w:val="single" w:sz="8" w:color="0000EE"/>
            </w:tcBorders>
            <w:gridSpan w:val="10"/>
          </w:tcPr>
          <w:p>
            <w:pPr>
              <w:spacing w:after="0"/>
              <w:rPr>
                <w:sz w:val="13"/>
                <w:szCs w:val="13"/>
                <w:color w:val="auto"/>
              </w:rPr>
            </w:pPr>
          </w:p>
        </w:tc>
        <w:tc>
          <w:tcPr>
            <w:tcW w:w="260" w:type="dxa"/>
            <w:vAlign w:val="bottom"/>
            <w:gridSpan w:val="6"/>
          </w:tcPr>
          <w:p>
            <w:pPr>
              <w:spacing w:after="0"/>
              <w:rPr>
                <w:sz w:val="13"/>
                <w:szCs w:val="13"/>
                <w:color w:val="auto"/>
              </w:rPr>
            </w:pPr>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9600" w:type="dxa"/>
            <w:vAlign w:val="bottom"/>
            <w:gridSpan w:val="28"/>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Sixth Street Specialty Lending, Inc.’s Statement of Policy on Insider Trading.</w:t>
              </w:r>
            </w:hyperlink>
          </w:p>
        </w:tc>
      </w:tr>
      <w:tr>
        <w:trPr>
          <w:trHeight w:val="34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32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Subsidiaries of Sixth Street Specialty Lending, Inc.</w:t>
              </w:r>
            </w:hyperlink>
          </w:p>
        </w:tc>
        <w:tc>
          <w:tcPr>
            <w:tcW w:w="1620" w:type="dxa"/>
            <w:vAlign w:val="bottom"/>
            <w:tcBorders>
              <w:top w:val="single" w:sz="8" w:color="0000EE"/>
            </w:tcBorders>
            <w:gridSpan w:val="2"/>
          </w:tcPr>
          <w:p>
            <w:pPr>
              <w:spacing w:after="0"/>
              <w:rPr>
                <w:sz w:val="24"/>
                <w:szCs w:val="24"/>
                <w:color w:val="auto"/>
              </w:rPr>
            </w:pPr>
          </w:p>
        </w:tc>
        <w:tc>
          <w:tcPr>
            <w:tcW w:w="4760" w:type="dxa"/>
            <w:vAlign w:val="bottom"/>
            <w:gridSpan w:val="21"/>
          </w:tcPr>
          <w:p>
            <w:pPr>
              <w:spacing w:after="0"/>
              <w:rPr>
                <w:sz w:val="24"/>
                <w:szCs w:val="24"/>
                <w:color w:val="auto"/>
              </w:rPr>
            </w:pPr>
          </w:p>
        </w:tc>
      </w:tr>
      <w:tr>
        <w:trPr>
          <w:trHeight w:val="28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378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Consent of Independent Registered Public Accounting Firm</w:t>
              </w:r>
            </w:hyperlink>
          </w:p>
        </w:tc>
        <w:tc>
          <w:tcPr>
            <w:tcW w:w="5820" w:type="dxa"/>
            <w:vAlign w:val="bottom"/>
            <w:gridSpan w:val="22"/>
          </w:tcPr>
          <w:p>
            <w:pPr>
              <w:spacing w:after="0"/>
              <w:rPr>
                <w:sz w:val="24"/>
                <w:szCs w:val="24"/>
                <w:color w:val="auto"/>
              </w:rPr>
            </w:pPr>
          </w:p>
        </w:tc>
      </w:tr>
      <w:tr>
        <w:trPr>
          <w:trHeight w:val="386"/>
        </w:trPr>
        <w:tc>
          <w:tcPr>
            <w:tcW w:w="960" w:type="dxa"/>
            <w:vAlign w:val="bottom"/>
          </w:tcPr>
          <w:p>
            <w:pPr>
              <w:spacing w:after="0"/>
              <w:rPr>
                <w:sz w:val="24"/>
                <w:szCs w:val="24"/>
                <w:color w:val="auto"/>
              </w:rPr>
            </w:pPr>
          </w:p>
        </w:tc>
        <w:tc>
          <w:tcPr>
            <w:tcW w:w="4840" w:type="dxa"/>
            <w:vAlign w:val="bottom"/>
            <w:gridSpan w:val="7"/>
          </w:tcPr>
          <w:p>
            <w:pPr>
              <w:ind w:left="4240"/>
              <w:spacing w:after="0"/>
              <w:rPr>
                <w:sz w:val="20"/>
                <w:szCs w:val="20"/>
                <w:color w:val="auto"/>
              </w:rPr>
            </w:pPr>
            <w:r>
              <w:rPr>
                <w:rFonts w:ascii="Times New Roman" w:cs="Times New Roman" w:eastAsia="Times New Roman" w:hAnsi="Times New Roman"/>
                <w:sz w:val="16"/>
                <w:szCs w:val="16"/>
                <w:color w:val="auto"/>
              </w:rPr>
              <w:t>93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74"/>
        </w:trPr>
        <w:tc>
          <w:tcPr>
            <w:tcW w:w="96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8" w:right="680" w:bottom="1440" w:gutter="0" w:footer="0" w:header="0"/>
        </w:sectPr>
      </w:pPr>
    </w:p>
    <w:bookmarkStart w:id="148" w:name="page149"/>
    <w:bookmarkEnd w:id="148"/>
    <w:tbl>
      <w:tblPr>
        <w:tblLayout w:type="fixed"/>
        <w:tblInd w:w="2" w:type="dxa"/>
        <w:tblCellMar>
          <w:top w:w="0" w:type="dxa"/>
          <w:left w:w="0" w:type="dxa"/>
          <w:bottom w:w="0" w:type="dxa"/>
          <w:right w:w="0" w:type="dxa"/>
        </w:tblCellMar>
      </w:tblPr>
      <w:tr>
        <w:trPr>
          <w:trHeight w:val="172"/>
        </w:trPr>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Exhibit No</w:t>
            </w:r>
          </w:p>
        </w:tc>
        <w:tc>
          <w:tcPr>
            <w:tcW w:w="9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32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18 U.S.C. Section 1350, as Adopted Pursuant to Section 302 of the Sarbanes-Oxley Act of 2002.</w:t>
              </w:r>
            </w:hyperlink>
          </w:p>
        </w:tc>
      </w:tr>
      <w:tr>
        <w:trPr>
          <w:trHeight w:val="28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280" w:type="dxa"/>
            <w:vAlign w:val="bottom"/>
            <w:tcBorders>
              <w:bottom w:val="single" w:sz="8" w:color="0000EE"/>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18 U.S.C. Section 1350, as Adopted Pursuant to Section 302 of the Sarbanes-Oxley Act of 2002.</w:t>
              </w:r>
            </w:hyperlink>
          </w:p>
        </w:tc>
        <w:tc>
          <w:tcPr>
            <w:tcW w:w="40" w:type="dxa"/>
            <w:vAlign w:val="bottom"/>
          </w:tcPr>
          <w:p>
            <w:pPr>
              <w:spacing w:after="0"/>
              <w:rPr>
                <w:sz w:val="24"/>
                <w:szCs w:val="24"/>
                <w:color w:val="auto"/>
              </w:rPr>
            </w:pPr>
          </w:p>
        </w:tc>
      </w:tr>
    </w:tbl>
    <w:p>
      <w:pPr>
        <w:spacing w:after="0" w:line="119" w:lineRule="exact"/>
        <w:rPr>
          <w:sz w:val="20"/>
          <w:szCs w:val="20"/>
          <w:color w:val="auto"/>
        </w:rPr>
      </w:pPr>
    </w:p>
    <w:p>
      <w:pPr>
        <w:ind w:left="942" w:hanging="942"/>
        <w:spacing w:after="0"/>
        <w:tabs>
          <w:tab w:leader="none" w:pos="942" w:val="left"/>
        </w:tabs>
        <w:numPr>
          <w:ilvl w:val="0"/>
          <w:numId w:val="15"/>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CEO and CFO Pursuant to 18 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-8890</wp:posOffset>
            </wp:positionV>
            <wp:extent cx="554863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5548630" cy="7620"/>
                    </a:xfrm>
                    <a:prstGeom prst="rect">
                      <a:avLst/>
                    </a:prstGeom>
                    <a:noFill/>
                  </pic:spPr>
                </pic:pic>
              </a:graphicData>
            </a:graphic>
          </wp:anchor>
        </w:drawing>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9580" w:type="dxa"/>
            <w:vAlign w:val="bottom"/>
            <w:gridSpan w:val="4"/>
          </w:tcPr>
          <w:p>
            <w:pPr>
              <w:spacing w:after="0"/>
              <w:rPr>
                <w:rFonts w:ascii="Times New Roman" w:cs="Times New Roman" w:eastAsia="Times New Roman" w:hAnsi="Times New Roman"/>
                <w:sz w:val="16"/>
                <w:szCs w:val="16"/>
                <w:color w:val="0000FF"/>
                <w:w w:val="98"/>
              </w:rPr>
            </w:pPr>
            <w:hyperlink r:id="rId248">
              <w:r>
                <w:rPr>
                  <w:rFonts w:ascii="Times New Roman" w:cs="Times New Roman" w:eastAsia="Times New Roman" w:hAnsi="Times New Roman"/>
                  <w:sz w:val="16"/>
                  <w:szCs w:val="16"/>
                  <w:color w:val="0000FF"/>
                  <w:w w:val="98"/>
                </w:rPr>
                <w:t>Incentive Compensation Clawback Policy (incorporated by reference to Exhibit 97.1 to the Company’s Annual Report on Form 10-K filed on February</w:t>
              </w:r>
            </w:hyperlink>
          </w:p>
        </w:tc>
      </w:tr>
      <w:tr>
        <w:trPr>
          <w:trHeight w:val="160"/>
        </w:trPr>
        <w:tc>
          <w:tcPr>
            <w:tcW w:w="940" w:type="dxa"/>
            <w:vAlign w:val="bottom"/>
          </w:tcPr>
          <w:p>
            <w:pPr>
              <w:spacing w:after="0"/>
              <w:rPr>
                <w:sz w:val="13"/>
                <w:szCs w:val="13"/>
                <w:color w:val="auto"/>
              </w:rPr>
            </w:pPr>
          </w:p>
        </w:tc>
        <w:tc>
          <w:tcPr>
            <w:tcW w:w="6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4"/>
              </w:rPr>
            </w:pPr>
            <w:hyperlink r:id="rId248">
              <w:r>
                <w:rPr>
                  <w:rFonts w:ascii="Times New Roman" w:cs="Times New Roman" w:eastAsia="Times New Roman" w:hAnsi="Times New Roman"/>
                  <w:sz w:val="16"/>
                  <w:szCs w:val="16"/>
                  <w:color w:val="0000FF"/>
                  <w:w w:val="94"/>
                </w:rPr>
                <w:t>15, 2024).</w:t>
              </w:r>
            </w:hyperlink>
          </w:p>
        </w:tc>
        <w:tc>
          <w:tcPr>
            <w:tcW w:w="4940" w:type="dxa"/>
            <w:vAlign w:val="bottom"/>
            <w:tcBorders>
              <w:top w:val="single" w:sz="8" w:color="0000EE"/>
            </w:tcBorders>
          </w:tcPr>
          <w:p>
            <w:pPr>
              <w:spacing w:after="0"/>
              <w:rPr>
                <w:sz w:val="13"/>
                <w:szCs w:val="13"/>
                <w:color w:val="auto"/>
              </w:rPr>
            </w:pPr>
          </w:p>
        </w:tc>
        <w:tc>
          <w:tcPr>
            <w:tcW w:w="39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558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Report of Independent Registered Public Accounting Firm on Supplemental Information.</w:t>
              </w:r>
            </w:hyperlink>
          </w:p>
        </w:tc>
        <w:tc>
          <w:tcPr>
            <w:tcW w:w="4000" w:type="dxa"/>
            <w:vAlign w:val="bottom"/>
            <w:gridSpan w:val="2"/>
          </w:tcPr>
          <w:p>
            <w:pPr>
              <w:spacing w:after="0"/>
              <w:rPr>
                <w:sz w:val="24"/>
                <w:szCs w:val="24"/>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58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 Inline</w:t>
            </w:r>
          </w:p>
        </w:tc>
      </w:tr>
      <w:tr>
        <w:trPr>
          <w:trHeight w:val="203"/>
        </w:trPr>
        <w:tc>
          <w:tcPr>
            <w:tcW w:w="940" w:type="dxa"/>
            <w:vAlign w:val="bottom"/>
          </w:tcPr>
          <w:p>
            <w:pPr>
              <w:spacing w:after="0"/>
              <w:rPr>
                <w:sz w:val="17"/>
                <w:szCs w:val="17"/>
                <w:color w:val="auto"/>
              </w:rPr>
            </w:pPr>
          </w:p>
        </w:tc>
        <w:tc>
          <w:tcPr>
            <w:tcW w:w="9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76"/>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spacing w:after="0" w:line="73" w:lineRule="exact"/>
        <w:rPr>
          <w:sz w:val="20"/>
          <w:szCs w:val="20"/>
          <w:color w:val="auto"/>
        </w:rPr>
      </w:pPr>
    </w:p>
    <w:p>
      <w:pPr>
        <w:ind w:left="5182" w:right="4560" w:hanging="5182"/>
        <w:spacing w:after="0" w:line="518" w:lineRule="auto"/>
        <w:tabs>
          <w:tab w:leader="none" w:pos="93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628650</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2"/>
          </w:cols>
          <w:pgMar w:left="678" w:top="1338" w:right="70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11"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6"/>
          <w:szCs w:val="16"/>
          <w:color w:val="auto"/>
        </w:rPr>
        <w:t>Date: February 13, 2025</w:t>
      </w:r>
      <w:r>
        <w:rPr>
          <w:sz w:val="20"/>
          <w:szCs w:val="20"/>
          <w:color w:val="auto"/>
        </w:rPr>
        <w:tab/>
      </w:r>
      <w:r>
        <w:rPr>
          <w:rFonts w:ascii="Times New Roman" w:cs="Times New Roman" w:eastAsia="Times New Roman" w:hAnsi="Times New Roman"/>
          <w:sz w:val="14"/>
          <w:szCs w:val="14"/>
          <w:b w:val="1"/>
          <w:bCs w:val="1"/>
          <w:color w:val="auto"/>
        </w:rPr>
        <w:t>SIXTH STREET SPECIALTY LENDING, INC.</w:t>
      </w:r>
    </w:p>
    <w:p>
      <w:pPr>
        <w:spacing w:after="0" w:line="2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/s/ Joshua Easterly</w:t>
      </w:r>
    </w:p>
    <w:p>
      <w:pPr>
        <w:spacing w:after="0" w:line="1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February 13,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6120" w:type="dxa"/>
            <w:vAlign w:val="bottom"/>
          </w:tcPr>
          <w:p>
            <w:pPr>
              <w:ind w:left="300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356"/>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Joshua Easterly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Chief Executive Officer, Director and Chairman of the Board of Directors (principal executive</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Joshua Easterly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officer)</w:t>
            </w:r>
          </w:p>
        </w:tc>
      </w:tr>
      <w:tr>
        <w:trPr>
          <w:trHeight w:val="301"/>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Ian Simmonds</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Ian Simmonds</w:t>
            </w:r>
          </w:p>
        </w:tc>
        <w:tc>
          <w:tcPr>
            <w:tcW w:w="6120" w:type="dxa"/>
            <w:vAlign w:val="bottom"/>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Graf</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Deputy Chief Financial Officer (principal accounting officer)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Michael Graf</w:t>
            </w:r>
          </w:p>
        </w:tc>
        <w:tc>
          <w:tcPr>
            <w:tcW w:w="6120" w:type="dxa"/>
            <w:vAlign w:val="bottom"/>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Judy Slotkin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 and Chairman of the Audit Committee</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Judy Slotkin</w:t>
            </w:r>
          </w:p>
        </w:tc>
        <w:tc>
          <w:tcPr>
            <w:tcW w:w="6120" w:type="dxa"/>
            <w:vAlign w:val="bottom"/>
          </w:tcPr>
          <w:p>
            <w:pPr>
              <w:spacing w:after="0"/>
              <w:rPr>
                <w:sz w:val="16"/>
                <w:szCs w:val="16"/>
                <w:color w:val="auto"/>
              </w:rPr>
            </w:pPr>
          </w:p>
        </w:tc>
      </w:tr>
      <w:tr>
        <w:trPr>
          <w:trHeight w:val="289"/>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 Emery Covington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P. Emery Covington</w:t>
            </w:r>
          </w:p>
        </w:tc>
        <w:tc>
          <w:tcPr>
            <w:tcW w:w="6120" w:type="dxa"/>
            <w:vAlign w:val="bottom"/>
          </w:tcPr>
          <w:p>
            <w:pPr>
              <w:spacing w:after="0"/>
              <w:rPr>
                <w:sz w:val="16"/>
                <w:szCs w:val="16"/>
                <w:color w:val="auto"/>
              </w:rPr>
            </w:pPr>
          </w:p>
        </w:tc>
      </w:tr>
      <w:tr>
        <w:trPr>
          <w:trHeight w:val="301"/>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Hurley Doddy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Hurley Doddy</w:t>
            </w:r>
          </w:p>
        </w:tc>
        <w:tc>
          <w:tcPr>
            <w:tcW w:w="6120" w:type="dxa"/>
            <w:vAlign w:val="bottom"/>
          </w:tcPr>
          <w:p>
            <w:pPr>
              <w:spacing w:after="0"/>
              <w:rPr>
                <w:sz w:val="16"/>
                <w:szCs w:val="16"/>
                <w:color w:val="auto"/>
              </w:rPr>
            </w:pPr>
          </w:p>
        </w:tc>
      </w:tr>
      <w:tr>
        <w:trPr>
          <w:trHeight w:val="289"/>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Fishman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Michael Fishman</w:t>
            </w:r>
          </w:p>
        </w:tc>
        <w:tc>
          <w:tcPr>
            <w:tcW w:w="6120" w:type="dxa"/>
            <w:vAlign w:val="bottom"/>
          </w:tcPr>
          <w:p>
            <w:pPr>
              <w:spacing w:after="0"/>
              <w:rPr>
                <w:sz w:val="16"/>
                <w:szCs w:val="16"/>
                <w:color w:val="auto"/>
              </w:rPr>
            </w:pPr>
          </w:p>
        </w:tc>
      </w:tr>
      <w:tr>
        <w:trPr>
          <w:trHeight w:val="289"/>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Jennifer Gordon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Jennifer Gordon</w:t>
            </w:r>
          </w:p>
        </w:tc>
        <w:tc>
          <w:tcPr>
            <w:tcW w:w="6120" w:type="dxa"/>
            <w:vAlign w:val="bottom"/>
          </w:tcPr>
          <w:p>
            <w:pPr>
              <w:spacing w:after="0"/>
              <w:rPr>
                <w:sz w:val="16"/>
                <w:szCs w:val="16"/>
                <w:color w:val="auto"/>
              </w:rPr>
            </w:pPr>
          </w:p>
        </w:tc>
      </w:tr>
      <w:tr>
        <w:trPr>
          <w:trHeight w:val="313"/>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A. Higginbotham</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Richard A. Higginbotham</w:t>
            </w:r>
          </w:p>
        </w:tc>
        <w:tc>
          <w:tcPr>
            <w:tcW w:w="6120" w:type="dxa"/>
            <w:vAlign w:val="bottom"/>
          </w:tcPr>
          <w:p>
            <w:pPr>
              <w:spacing w:after="0"/>
              <w:rPr>
                <w:sz w:val="16"/>
                <w:szCs w:val="16"/>
                <w:color w:val="auto"/>
              </w:rPr>
            </w:pPr>
          </w:p>
        </w:tc>
      </w:tr>
      <w:tr>
        <w:trPr>
          <w:trHeight w:val="289"/>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A. Ross</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John A. Ross</w:t>
            </w:r>
          </w:p>
        </w:tc>
        <w:tc>
          <w:tcPr>
            <w:tcW w:w="6120" w:type="dxa"/>
            <w:vAlign w:val="bottom"/>
          </w:tcPr>
          <w:p>
            <w:pPr>
              <w:spacing w:after="0"/>
              <w:rPr>
                <w:sz w:val="16"/>
                <w:szCs w:val="16"/>
                <w:color w:val="auto"/>
              </w:rPr>
            </w:pPr>
          </w:p>
        </w:tc>
      </w:tr>
      <w:tr>
        <w:trPr>
          <w:trHeight w:val="289"/>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David Stiepleman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David Stiepleman</w:t>
            </w:r>
          </w:p>
        </w:tc>
        <w:tc>
          <w:tcPr>
            <w:tcW w:w="6120" w:type="dxa"/>
            <w:vAlign w:val="bottom"/>
          </w:tcPr>
          <w:p>
            <w:pPr>
              <w:spacing w:after="0"/>
              <w:rPr>
                <w:sz w:val="16"/>
                <w:szCs w:val="16"/>
                <w:color w:val="auto"/>
              </w:rPr>
            </w:pPr>
          </w:p>
        </w:tc>
      </w:tr>
      <w:tr>
        <w:trPr>
          <w:trHeight w:val="289"/>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Ronald K. Tanemura</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Ronald K. Tanemura</w:t>
            </w:r>
          </w:p>
        </w:tc>
        <w:tc>
          <w:tcPr>
            <w:tcW w:w="6120" w:type="dxa"/>
            <w:vAlign w:val="bottom"/>
          </w:tcPr>
          <w:p>
            <w:pPr>
              <w:spacing w:after="0"/>
              <w:rPr>
                <w:sz w:val="16"/>
                <w:szCs w:val="16"/>
                <w:color w:val="auto"/>
              </w:rPr>
            </w:pPr>
          </w:p>
        </w:tc>
      </w:tr>
      <w:tr>
        <w:trPr>
          <w:trHeight w:val="55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96</w:t>
            </w:r>
          </w:p>
        </w:tc>
      </w:tr>
      <w:tr>
        <w:trPr>
          <w:trHeight w:val="674"/>
        </w:trPr>
        <w:tc>
          <w:tcPr>
            <w:tcW w:w="20" w:type="dxa"/>
            <w:vAlign w:val="bottom"/>
            <w:tcBorders>
              <w:bottom w:val="single" w:sz="8" w:color="EEEEEE"/>
            </w:tcBorders>
          </w:tcPr>
          <w:p>
            <w:pPr>
              <w:spacing w:after="0"/>
              <w:rPr>
                <w:sz w:val="24"/>
                <w:szCs w:val="24"/>
                <w:color w:val="auto"/>
              </w:rPr>
            </w:pPr>
          </w:p>
        </w:tc>
        <w:tc>
          <w:tcPr>
            <w:tcW w:w="4420" w:type="dxa"/>
            <w:vAlign w:val="bottom"/>
            <w:tcBorders>
              <w:bottom w:val="single" w:sz="8" w:color="EEEEEE"/>
            </w:tcBorders>
          </w:tcPr>
          <w:p>
            <w:pPr>
              <w:spacing w:after="0"/>
              <w:rPr>
                <w:sz w:val="24"/>
                <w:szCs w:val="24"/>
                <w:color w:val="auto"/>
              </w:rPr>
            </w:pPr>
          </w:p>
        </w:tc>
        <w:tc>
          <w:tcPr>
            <w:tcW w:w="6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SIXTH STREET SPECIALTY LENDING,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SIXTH STREET LENDING PARTNERS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STATEMENT OF POLICY ON INSIDER TRADING</w:t>
      </w: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240" w:lineRule="exact"/>
        <w:rPr>
          <w:sz w:val="20"/>
          <w:szCs w:val="20"/>
          <w:color w:val="auto"/>
        </w:rPr>
      </w:pPr>
    </w:p>
    <w:p>
      <w:pPr>
        <w:jc w:val="both"/>
        <w:ind w:right="360" w:firstLine="696"/>
        <w:spacing w:after="0" w:line="268" w:lineRule="auto"/>
        <w:rPr>
          <w:sz w:val="20"/>
          <w:szCs w:val="20"/>
          <w:color w:val="auto"/>
        </w:rPr>
      </w:pPr>
      <w:r>
        <w:rPr>
          <w:rFonts w:ascii="Times New Roman" w:cs="Times New Roman" w:eastAsia="Times New Roman" w:hAnsi="Times New Roman"/>
          <w:sz w:val="19"/>
          <w:szCs w:val="19"/>
          <w:color w:val="auto"/>
        </w:rPr>
        <w:t>It is illegal for any person, either personally or on behalf of others, to trade in securities on the basis of material, non-public information. It is also illegal to communicate (or “tip”) material, non-public information to others who may trade in securities on the basis of that information. These illegal activities are commonly referred to as “insider trading.”</w:t>
      </w:r>
    </w:p>
    <w:p>
      <w:pPr>
        <w:spacing w:after="0" w:line="144" w:lineRule="exact"/>
        <w:rPr>
          <w:sz w:val="20"/>
          <w:szCs w:val="20"/>
          <w:color w:val="auto"/>
        </w:rPr>
      </w:pPr>
    </w:p>
    <w:p>
      <w:pPr>
        <w:ind w:right="60" w:firstLine="696"/>
        <w:spacing w:after="0" w:line="256" w:lineRule="auto"/>
        <w:rPr>
          <w:sz w:val="20"/>
          <w:szCs w:val="20"/>
          <w:color w:val="auto"/>
        </w:rPr>
      </w:pPr>
      <w:r>
        <w:rPr>
          <w:rFonts w:ascii="Times New Roman" w:cs="Times New Roman" w:eastAsia="Times New Roman" w:hAnsi="Times New Roman"/>
          <w:sz w:val="19"/>
          <w:szCs w:val="19"/>
          <w:color w:val="auto"/>
        </w:rPr>
        <w:t>Potential penalties for each insider trading violation include imprisonment for up to 10 years, civil fines of up to three times the profit gained or loss avoided by the trading, and criminal fines of up to $1 million. In addition, a company whose director, officer, or employee violates the insider trading prohibitions may be liable for a civil fine of up to the greater of $1 million or three times the profit gained or loss avoided as a result of the director, officer, or employee’s insider trading violations. Furthermore, engaging in short-term trading or other speculative transactions involving the securities of Sixth Street Specialty Lending, Inc. (“</w:t>
      </w:r>
      <w:r>
        <w:rPr>
          <w:rFonts w:ascii="Times New Roman" w:cs="Times New Roman" w:eastAsia="Times New Roman" w:hAnsi="Times New Roman"/>
          <w:sz w:val="19"/>
          <w:szCs w:val="19"/>
          <w:b w:val="1"/>
          <w:bCs w:val="1"/>
          <w:i w:val="1"/>
          <w:iCs w:val="1"/>
          <w:color w:val="auto"/>
        </w:rPr>
        <w:t>SLX</w:t>
      </w:r>
      <w:r>
        <w:rPr>
          <w:rFonts w:ascii="Times New Roman" w:cs="Times New Roman" w:eastAsia="Times New Roman" w:hAnsi="Times New Roman"/>
          <w:sz w:val="19"/>
          <w:szCs w:val="19"/>
          <w:color w:val="auto"/>
        </w:rPr>
        <w:t>”) or the securities of Sixth Street Lending Partners (“</w:t>
      </w:r>
      <w:r>
        <w:rPr>
          <w:rFonts w:ascii="Times New Roman" w:cs="Times New Roman" w:eastAsia="Times New Roman" w:hAnsi="Times New Roman"/>
          <w:sz w:val="19"/>
          <w:szCs w:val="19"/>
          <w:b w:val="1"/>
          <w:bCs w:val="1"/>
          <w:i w:val="1"/>
          <w:iCs w:val="1"/>
          <w:color w:val="auto"/>
        </w:rPr>
        <w:t>SLP</w:t>
      </w:r>
      <w:r>
        <w:rPr>
          <w:rFonts w:ascii="Times New Roman" w:cs="Times New Roman" w:eastAsia="Times New Roman" w:hAnsi="Times New Roman"/>
          <w:sz w:val="19"/>
          <w:szCs w:val="19"/>
          <w:color w:val="auto"/>
        </w:rPr>
        <w:t>,” and together with SLX, the “</w:t>
      </w:r>
      <w:r>
        <w:rPr>
          <w:rFonts w:ascii="Times New Roman" w:cs="Times New Roman" w:eastAsia="Times New Roman" w:hAnsi="Times New Roman"/>
          <w:sz w:val="19"/>
          <w:szCs w:val="19"/>
          <w:b w:val="1"/>
          <w:bCs w:val="1"/>
          <w:i w:val="1"/>
          <w:iCs w:val="1"/>
          <w:color w:val="auto"/>
        </w:rPr>
        <w:t>Companies</w:t>
      </w:r>
      <w:r>
        <w:rPr>
          <w:rFonts w:ascii="Times New Roman" w:cs="Times New Roman" w:eastAsia="Times New Roman" w:hAnsi="Times New Roman"/>
          <w:sz w:val="19"/>
          <w:szCs w:val="19"/>
          <w:color w:val="auto"/>
        </w:rPr>
        <w:t>”), to the extent a trading market develops for SLP’s securities, may subject you to additional penalties.</w:t>
      </w:r>
    </w:p>
    <w:p>
      <w:pPr>
        <w:spacing w:after="0" w:line="157" w:lineRule="exact"/>
        <w:rPr>
          <w:sz w:val="20"/>
          <w:szCs w:val="20"/>
          <w:color w:val="auto"/>
        </w:rPr>
      </w:pPr>
    </w:p>
    <w:p>
      <w:pPr>
        <w:ind w:right="280" w:firstLine="696"/>
        <w:spacing w:after="0" w:line="268" w:lineRule="auto"/>
        <w:rPr>
          <w:sz w:val="20"/>
          <w:szCs w:val="20"/>
          <w:color w:val="auto"/>
        </w:rPr>
      </w:pPr>
      <w:r>
        <w:rPr>
          <w:rFonts w:ascii="Times New Roman" w:cs="Times New Roman" w:eastAsia="Times New Roman" w:hAnsi="Times New Roman"/>
          <w:sz w:val="19"/>
          <w:szCs w:val="19"/>
          <w:color w:val="auto"/>
        </w:rPr>
        <w:t>Moreover, a director, trustee, officer, or employee’s failure to comply with a Company’s insider trading policy may subject such person to sanctions imposed by the Company, including dismissal for cause, whether or not such person’s failure to comply with this policy results in a violation of law.</w:t>
      </w:r>
    </w:p>
    <w:p>
      <w:pPr>
        <w:spacing w:after="0" w:line="144" w:lineRule="exact"/>
        <w:rPr>
          <w:sz w:val="20"/>
          <w:szCs w:val="20"/>
          <w:color w:val="auto"/>
        </w:rPr>
      </w:pPr>
    </w:p>
    <w:p>
      <w:pPr>
        <w:ind w:right="120" w:firstLine="696"/>
        <w:spacing w:after="0" w:line="259" w:lineRule="auto"/>
        <w:rPr>
          <w:sz w:val="20"/>
          <w:szCs w:val="20"/>
          <w:color w:val="auto"/>
        </w:rPr>
      </w:pPr>
      <w:r>
        <w:rPr>
          <w:rFonts w:ascii="Times New Roman" w:cs="Times New Roman" w:eastAsia="Times New Roman" w:hAnsi="Times New Roman"/>
          <w:sz w:val="19"/>
          <w:szCs w:val="19"/>
          <w:color w:val="auto"/>
        </w:rPr>
        <w:t>This memorandum sets forth each Company’s policy against insider trading. The objective of this policy is to protect both you and the Company from securities law violations, or even the appearance thereof. All directors, trustees, officers, and employees (including temporary employees) of a Company, and each of its respective subsidiaries, and its respective investment adviser, Sixth Street Specialty Lending Advisers, LLC (the “</w:t>
      </w:r>
      <w:r>
        <w:rPr>
          <w:rFonts w:ascii="Times New Roman" w:cs="Times New Roman" w:eastAsia="Times New Roman" w:hAnsi="Times New Roman"/>
          <w:sz w:val="19"/>
          <w:szCs w:val="19"/>
          <w:b w:val="1"/>
          <w:bCs w:val="1"/>
          <w:i w:val="1"/>
          <w:iCs w:val="1"/>
          <w:color w:val="auto"/>
        </w:rPr>
        <w:t>SLX Adviser</w:t>
      </w:r>
      <w:r>
        <w:rPr>
          <w:rFonts w:ascii="Times New Roman" w:cs="Times New Roman" w:eastAsia="Times New Roman" w:hAnsi="Times New Roman"/>
          <w:sz w:val="19"/>
          <w:szCs w:val="19"/>
          <w:color w:val="auto"/>
        </w:rPr>
        <w:t>”) or Sixth Street Lending Partners Advisers, LLC (the “</w:t>
      </w:r>
      <w:r>
        <w:rPr>
          <w:rFonts w:ascii="Times New Roman" w:cs="Times New Roman" w:eastAsia="Times New Roman" w:hAnsi="Times New Roman"/>
          <w:sz w:val="19"/>
          <w:szCs w:val="19"/>
          <w:b w:val="1"/>
          <w:bCs w:val="1"/>
          <w:i w:val="1"/>
          <w:iCs w:val="1"/>
          <w:color w:val="auto"/>
        </w:rPr>
        <w:t>SLP Adviser</w:t>
      </w:r>
      <w:r>
        <w:rPr>
          <w:rFonts w:ascii="Times New Roman" w:cs="Times New Roman" w:eastAsia="Times New Roman" w:hAnsi="Times New Roman"/>
          <w:sz w:val="19"/>
          <w:szCs w:val="19"/>
          <w:color w:val="auto"/>
        </w:rPr>
        <w:t>,” and together with the SLX Adviser, the “</w:t>
      </w:r>
      <w:r>
        <w:rPr>
          <w:rFonts w:ascii="Times New Roman" w:cs="Times New Roman" w:eastAsia="Times New Roman" w:hAnsi="Times New Roman"/>
          <w:sz w:val="19"/>
          <w:szCs w:val="19"/>
          <w:b w:val="1"/>
          <w:bCs w:val="1"/>
          <w:i w:val="1"/>
          <w:iCs w:val="1"/>
          <w:color w:val="auto"/>
        </w:rPr>
        <w:t>Advisers</w:t>
      </w:r>
      <w:r>
        <w:rPr>
          <w:rFonts w:ascii="Times New Roman" w:cs="Times New Roman" w:eastAsia="Times New Roman" w:hAnsi="Times New Roman"/>
          <w:sz w:val="19"/>
          <w:szCs w:val="19"/>
          <w:color w:val="auto"/>
        </w:rPr>
        <w:t>”), as applicable, must comply with this policy.</w:t>
      </w:r>
    </w:p>
    <w:p>
      <w:pPr>
        <w:spacing w:after="0" w:line="154"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auto"/>
        </w:rPr>
        <w:t>You are encouraged to ask questions and seek any follow-up information that you may require with respect to the matters set forth in this policy. Please direct your questions to Sixth Street legal and compliance staff (“</w:t>
      </w:r>
      <w:r>
        <w:rPr>
          <w:rFonts w:ascii="Times New Roman" w:cs="Times New Roman" w:eastAsia="Times New Roman" w:hAnsi="Times New Roman"/>
          <w:sz w:val="19"/>
          <w:szCs w:val="19"/>
          <w:b w:val="1"/>
          <w:bCs w:val="1"/>
          <w:i w:val="1"/>
          <w:iCs w:val="1"/>
          <w:color w:val="auto"/>
        </w:rPr>
        <w:t>Sixth Street Legal and Compliance</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Statement of Policy</w:t>
      </w:r>
    </w:p>
    <w:p>
      <w:pPr>
        <w:spacing w:after="0" w:line="204"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It is the policy of the Companies that no director, trustee, officer or employee (including a temporary employee) of the Companies, or each of their respective subsidiaries, and their Advisers, or any other person designated by the Chief Compliance Officer, or this policy, as being subject to this policy, who is aware of material nonpublic information relating to the Companies, the Advisers or any of the Companies’ portfolio companies may, directly or through family members or other persons or entities, (a) buy or sell securities of the Companies (other than pursuant to a pre-approved</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678815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7" w:right="660" w:bottom="1440" w:gutter="0" w:footer="0" w:header="0"/>
        </w:sectPr>
      </w:pPr>
    </w:p>
    <w:bookmarkStart w:id="152" w:name="page153"/>
    <w:bookmarkEnd w:id="152"/>
    <w:p>
      <w:pPr>
        <w:spacing w:after="0" w:line="23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trading plan that complies with Rule 10b5-1 of the Securities Exchange Act of 1934) or the securities of the Companies’ portfolio companies, or engage in any other action to take personal advantage of that information, or (b) pass that information on to others outside of the Companies, including family and friends.</w:t>
      </w:r>
    </w:p>
    <w:p>
      <w:pPr>
        <w:spacing w:after="0" w:line="144"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In addition, it is the policy of the Companies that no director, trustee, officer, or employee (including a temporary employee) of the Companies or the Advisers who, in the course of working for or on behalf of either Company, learns of material non-public information about a company with which such Company does, or proposes to do, business, including a customer or supplier of the Company, may trade in that company’s securities until the information becomes public or is no longer material.</w:t>
      </w:r>
    </w:p>
    <w:p>
      <w:pPr>
        <w:spacing w:after="0" w:line="150" w:lineRule="exact"/>
        <w:rPr>
          <w:sz w:val="20"/>
          <w:szCs w:val="20"/>
          <w:color w:val="auto"/>
        </w:rPr>
      </w:pPr>
    </w:p>
    <w:p>
      <w:pPr>
        <w:ind w:right="260" w:firstLine="696"/>
        <w:spacing w:after="0" w:line="262" w:lineRule="auto"/>
        <w:rPr>
          <w:sz w:val="20"/>
          <w:szCs w:val="20"/>
          <w:color w:val="auto"/>
        </w:rPr>
      </w:pPr>
      <w:r>
        <w:rPr>
          <w:rFonts w:ascii="Times New Roman" w:cs="Times New Roman" w:eastAsia="Times New Roman" w:hAnsi="Times New Roman"/>
          <w:sz w:val="19"/>
          <w:szCs w:val="19"/>
          <w:color w:val="auto"/>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Companies’ reputation for adhering to the highest standards of conduct.</w:t>
      </w:r>
    </w:p>
    <w:p>
      <w:pPr>
        <w:spacing w:after="0" w:line="148" w:lineRule="exact"/>
        <w:rPr>
          <w:sz w:val="20"/>
          <w:szCs w:val="20"/>
          <w:color w:val="auto"/>
        </w:rPr>
      </w:pPr>
    </w:p>
    <w:p>
      <w:pPr>
        <w:ind w:right="10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What information is material? </w:t>
      </w:r>
      <w:r>
        <w:rPr>
          <w:rFonts w:ascii="Times New Roman" w:cs="Times New Roman" w:eastAsia="Times New Roman" w:hAnsi="Times New Roman"/>
          <w:sz w:val="19"/>
          <w:szCs w:val="19"/>
          <w:color w:val="auto"/>
        </w:rPr>
        <w:t>All information that an investor might consider important in deciding whether to buy, sell,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hold securities is considered material. Information that is likely to affect the price of a company’s securities is almost always material. Examples of some types of material information are: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•financial results or expectations for the quarter or the year;</w:t>
      </w:r>
    </w:p>
    <w:p>
      <w:pPr>
        <w:spacing w:after="0" w:line="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•financial forecasts;</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•changes in distributions;</w:t>
      </w:r>
    </w:p>
    <w:p>
      <w:pPr>
        <w:spacing w:after="0" w:line="10" w:lineRule="exact"/>
        <w:rPr>
          <w:sz w:val="20"/>
          <w:szCs w:val="20"/>
          <w:color w:val="auto"/>
        </w:rPr>
      </w:pPr>
    </w:p>
    <w:p>
      <w:pPr>
        <w:ind w:left="1420" w:right="720"/>
        <w:spacing w:after="0" w:line="250" w:lineRule="auto"/>
        <w:rPr>
          <w:sz w:val="20"/>
          <w:szCs w:val="20"/>
          <w:color w:val="auto"/>
        </w:rPr>
      </w:pPr>
      <w:r>
        <w:rPr>
          <w:rFonts w:ascii="Times New Roman" w:cs="Times New Roman" w:eastAsia="Times New Roman" w:hAnsi="Times New Roman"/>
          <w:sz w:val="19"/>
          <w:szCs w:val="19"/>
          <w:color w:val="auto"/>
        </w:rPr>
        <w:t>•possible mergers, acquisitions, joint ventures and other purchases and sales of companies and investments in companies;</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•changes in customer relationships with significant customers;</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•obtaining or losing important contracts;</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•important product developments;</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•major financing developments;</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•major personnel changes; and</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•major litigation developments.</w:t>
      </w:r>
    </w:p>
    <w:p>
      <w:pPr>
        <w:spacing w:after="0" w:line="178" w:lineRule="exact"/>
        <w:rPr>
          <w:sz w:val="20"/>
          <w:szCs w:val="20"/>
          <w:color w:val="auto"/>
        </w:rPr>
      </w:pPr>
    </w:p>
    <w:p>
      <w:pPr>
        <w:ind w:firstLine="696"/>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What is non-public information? </w:t>
      </w:r>
      <w:r>
        <w:rPr>
          <w:rFonts w:ascii="Times New Roman" w:cs="Times New Roman" w:eastAsia="Times New Roman" w:hAnsi="Times New Roman"/>
          <w:sz w:val="19"/>
          <w:szCs w:val="19"/>
          <w:color w:val="auto"/>
        </w:rPr>
        <w:t>Information is considered to be non-public unless it has been effectively disclosed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public. Examples of public disclosure include public filings with the Securities and Exchange Commission and company or portfolio company press releases. Not only must the information have been publicly disclosed, but there must also have been adequate time for the market as a whole to digest the information. Although timing may vary depending upon the circumstances, a good rule of thumb is that information is considered non-public until the third business day after public disclosure.</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961390</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53" w:name="page154"/>
    <w:bookmarkEnd w:id="153"/>
    <w:p>
      <w:pPr>
        <w:spacing w:after="0" w:line="231" w:lineRule="exact"/>
        <w:rPr>
          <w:sz w:val="20"/>
          <w:szCs w:val="20"/>
          <w:color w:val="auto"/>
        </w:rPr>
      </w:pPr>
    </w:p>
    <w:p>
      <w:pPr>
        <w:ind w:right="14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What transactions are prohibited? </w:t>
      </w:r>
      <w:r>
        <w:rPr>
          <w:rFonts w:ascii="Times New Roman" w:cs="Times New Roman" w:eastAsia="Times New Roman" w:hAnsi="Times New Roman"/>
          <w:sz w:val="19"/>
          <w:szCs w:val="19"/>
          <w:color w:val="auto"/>
        </w:rPr>
        <w:t>When you know material, non-public information about the Companies or any of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respective portfolio companies, you, your spouse, and members of your immediate family living in your household are prohibited from the following activities:</w:t>
      </w:r>
    </w:p>
    <w:p>
      <w:pPr>
        <w:spacing w:after="0" w:line="144" w:lineRule="exact"/>
        <w:rPr>
          <w:sz w:val="20"/>
          <w:szCs w:val="20"/>
          <w:color w:val="auto"/>
        </w:rPr>
      </w:pPr>
    </w:p>
    <w:p>
      <w:pPr>
        <w:ind w:left="1420" w:right="1120"/>
        <w:spacing w:after="0" w:line="262" w:lineRule="auto"/>
        <w:rPr>
          <w:sz w:val="20"/>
          <w:szCs w:val="20"/>
          <w:color w:val="auto"/>
        </w:rPr>
      </w:pPr>
      <w:r>
        <w:rPr>
          <w:rFonts w:ascii="Times New Roman" w:cs="Times New Roman" w:eastAsia="Times New Roman" w:hAnsi="Times New Roman"/>
          <w:sz w:val="19"/>
          <w:szCs w:val="19"/>
          <w:color w:val="auto"/>
        </w:rPr>
        <w:t>•trading in the Companies’ securities (including trading in puts and calls for the Companies’ securities); •having others trade for you in the Companies’ securities;</w:t>
      </w:r>
    </w:p>
    <w:p>
      <w:pPr>
        <w:spacing w:after="0" w:line="1" w:lineRule="exact"/>
        <w:rPr>
          <w:sz w:val="20"/>
          <w:szCs w:val="20"/>
          <w:color w:val="auto"/>
        </w:rPr>
      </w:pPr>
    </w:p>
    <w:p>
      <w:pPr>
        <w:ind w:left="1420" w:right="520"/>
        <w:spacing w:after="0" w:line="256" w:lineRule="auto"/>
        <w:rPr>
          <w:sz w:val="20"/>
          <w:szCs w:val="20"/>
          <w:color w:val="auto"/>
        </w:rPr>
      </w:pPr>
      <w:r>
        <w:rPr>
          <w:rFonts w:ascii="Times New Roman" w:cs="Times New Roman" w:eastAsia="Times New Roman" w:hAnsi="Times New Roman"/>
          <w:sz w:val="19"/>
          <w:szCs w:val="19"/>
          <w:color w:val="auto"/>
        </w:rPr>
        <w:t>•trading in or having others trade for you in securities of any of the Companies’ respective portfolio companies; •disclosing the information to anyone else who might then trade; and •exercising stock options if the option shares are to be immediately sold.</w:t>
      </w:r>
    </w:p>
    <w:p>
      <w:pPr>
        <w:spacing w:after="0" w:line="155" w:lineRule="exact"/>
        <w:rPr>
          <w:sz w:val="20"/>
          <w:szCs w:val="20"/>
          <w:color w:val="auto"/>
        </w:rPr>
      </w:pPr>
    </w:p>
    <w:p>
      <w:pPr>
        <w:ind w:right="400" w:firstLine="696"/>
        <w:spacing w:after="0" w:line="286" w:lineRule="auto"/>
        <w:rPr>
          <w:sz w:val="20"/>
          <w:szCs w:val="20"/>
          <w:color w:val="auto"/>
        </w:rPr>
      </w:pPr>
      <w:r>
        <w:rPr>
          <w:rFonts w:ascii="Times New Roman" w:cs="Times New Roman" w:eastAsia="Times New Roman" w:hAnsi="Times New Roman"/>
          <w:sz w:val="19"/>
          <w:szCs w:val="19"/>
          <w:color w:val="auto"/>
        </w:rPr>
        <w:t>Neither you nor anyone acting on your behalf nor anyone who learns the information from you (including your spouse and family members) can trade. This prohibition continues whenever and for as long as you know material, non-public information.</w:t>
      </w:r>
    </w:p>
    <w:p>
      <w:pPr>
        <w:spacing w:after="0" w:line="127" w:lineRule="exact"/>
        <w:rPr>
          <w:sz w:val="20"/>
          <w:szCs w:val="20"/>
          <w:color w:val="auto"/>
        </w:rPr>
      </w:pPr>
    </w:p>
    <w:p>
      <w:pPr>
        <w:jc w:val="both"/>
        <w:ind w:right="340" w:firstLine="696"/>
        <w:spacing w:after="0" w:line="268" w:lineRule="auto"/>
        <w:rPr>
          <w:sz w:val="20"/>
          <w:szCs w:val="20"/>
          <w:color w:val="auto"/>
        </w:rPr>
      </w:pPr>
      <w:r>
        <w:rPr>
          <w:rFonts w:ascii="Times New Roman" w:cs="Times New Roman" w:eastAsia="Times New Roman" w:hAnsi="Times New Roman"/>
          <w:sz w:val="19"/>
          <w:szCs w:val="19"/>
          <w:color w:val="auto"/>
        </w:rPr>
        <w:t>Although it is most likely that any material, non-public information you might learn would be about the Companies or their respective subsidiaries, these prohibitions also apply to trading in the securities of any company including any portfolio company or potential merger partner about which you have material, non-public information.</w:t>
      </w:r>
    </w:p>
    <w:p>
      <w:pPr>
        <w:spacing w:after="0" w:line="142" w:lineRule="exact"/>
        <w:rPr>
          <w:sz w:val="20"/>
          <w:szCs w:val="20"/>
          <w:color w:val="auto"/>
        </w:rPr>
      </w:pPr>
    </w:p>
    <w:p>
      <w:pPr>
        <w:ind w:right="40" w:firstLine="696"/>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Transactions by Family Members. </w:t>
      </w:r>
      <w:r>
        <w:rPr>
          <w:rFonts w:ascii="Times New Roman" w:cs="Times New Roman" w:eastAsia="Times New Roman" w:hAnsi="Times New Roman"/>
          <w:sz w:val="19"/>
          <w:szCs w:val="19"/>
          <w:color w:val="auto"/>
        </w:rPr>
        <w:t>As noted above, the Companies’ insider trading policy applies to your family members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who reside with you, and any family members who do not live in your household but whose transactions in the Companies’ securities or the securities of any of the Companies’ respective portfolio companies are directed by you or are subject to your influence or control (such as parents or children who consult with you before they trade in such securities). You are responsible for the transactions of these other persons and therefore should make them aware of the need to confer with you before they trade in the Companies’ securities.</w:t>
      </w:r>
    </w:p>
    <w:p>
      <w:pPr>
        <w:spacing w:after="0" w:line="149"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What is a Rule 10b5- 1 trading plan? </w:t>
      </w:r>
      <w:r>
        <w:rPr>
          <w:rFonts w:ascii="Times New Roman" w:cs="Times New Roman" w:eastAsia="Times New Roman" w:hAnsi="Times New Roman"/>
          <w:sz w:val="19"/>
          <w:szCs w:val="19"/>
          <w:color w:val="auto"/>
        </w:rPr>
        <w:t>Notwithstanding the prohibition against insider trading, Rule 10b5-1 of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Act of 1934 and this policy permit directors, trustees, officers and employees to trade in the Companies’ securities regardless of their awareness of inside information if the transaction is made pursuant to a pre-arranged trading plan that was entered into when the director, trustee, officer, or employee was not in possession of material nonpublic information. This policy requires trading plans to be written and to specify the amount of, date on, and price at which the securities are to be traded or establish a formula for determining such items. A director, trustee, officer, or employee who wishes to enter into a trading plan must submit the trading plan to Sixth Street Legal and Compliance for approval prior to the adoption or amendment of the trading plan. Trading plans may not be adopted when the director, trustee, officer or employee is in possession of material nonpublic information about the Companies. A director, trustee, officer or employee may amend or replace his or her trading plan only during periods when trading is permitted in accordance with this policy.</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961390</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54" w:name="page155"/>
    <w:bookmarkEnd w:id="154"/>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Transactions Under Company Plans</w:t>
      </w:r>
    </w:p>
    <w:p>
      <w:pPr>
        <w:spacing w:after="0" w:line="202" w:lineRule="exact"/>
        <w:rPr>
          <w:sz w:val="20"/>
          <w:szCs w:val="20"/>
          <w:color w:val="auto"/>
        </w:rPr>
      </w:pPr>
    </w:p>
    <w:p>
      <w:pPr>
        <w:ind w:right="40" w:firstLine="696"/>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Distribution Reinvestment Plan. </w:t>
      </w:r>
      <w:r>
        <w:rPr>
          <w:rFonts w:ascii="Times New Roman" w:cs="Times New Roman" w:eastAsia="Times New Roman" w:hAnsi="Times New Roman"/>
          <w:sz w:val="19"/>
          <w:szCs w:val="19"/>
          <w:color w:val="auto"/>
        </w:rPr>
        <w:t>The Companies’ insider trading policy does not apply to purchases of the Companies’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securities under the Companies’ respective distribution reinvestment plans, if any, resulting from your reinvestment of distributions paid on such Company’s securities. The policy does apply, however, to voluntary purchases of the Companies’ securities resulting from your election to participate in the plan or your increase in the level of participation in the plan. The policy also applies to your sale of any securities of the Companies purchased pursuant to the plan.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Additional Prohibited Transactions</w:t>
      </w:r>
    </w:p>
    <w:p>
      <w:pPr>
        <w:spacing w:after="0" w:line="204" w:lineRule="exact"/>
        <w:rPr>
          <w:sz w:val="20"/>
          <w:szCs w:val="20"/>
          <w:color w:val="auto"/>
        </w:rPr>
      </w:pPr>
    </w:p>
    <w:p>
      <w:pPr>
        <w:jc w:val="both"/>
        <w:ind w:right="20" w:firstLine="696"/>
        <w:spacing w:after="0" w:line="262" w:lineRule="auto"/>
        <w:rPr>
          <w:sz w:val="20"/>
          <w:szCs w:val="20"/>
          <w:color w:val="auto"/>
        </w:rPr>
      </w:pPr>
      <w:r>
        <w:rPr>
          <w:rFonts w:ascii="Times New Roman" w:cs="Times New Roman" w:eastAsia="Times New Roman" w:hAnsi="Times New Roman"/>
          <w:sz w:val="19"/>
          <w:szCs w:val="19"/>
          <w:color w:val="auto"/>
        </w:rPr>
        <w:t>The Companies considers it improper and inappropriate for any director, trustee, officer, or other employee of the Companies or the Advisers to engage in short-term or speculative transactions in the Companies’ securities, to the extent a trading market develops for such securities. It therefore is the Companies’ policy that directors, trustees, officers, and other employees may not engage in any of the following transactions:</w:t>
      </w:r>
    </w:p>
    <w:p>
      <w:pPr>
        <w:spacing w:after="0" w:line="148"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Short-Term Trading. </w:t>
      </w:r>
      <w:r>
        <w:rPr>
          <w:rFonts w:ascii="Times New Roman" w:cs="Times New Roman" w:eastAsia="Times New Roman" w:hAnsi="Times New Roman"/>
          <w:sz w:val="19"/>
          <w:szCs w:val="19"/>
          <w:color w:val="auto"/>
        </w:rPr>
        <w:t>An employee’s short-term trading of the Companies’ securities may be distracting to the employee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unduly focus the employee on the Companies’ short-term stock market performance instead of the Companies’ long-term business objectives. For these reasons, any director, trustee, officer, or other employee of the Companies who purchases the Companies’ securities may not sell any of such Company’s securities of the same class during the six months following the purchase. In addition, Section 16(b) of the Securities Exchange Act of 1934 imposes short-swing profit restrictions on the purchase or sale of the Companies’ securities by the Companies’ respective officers and directors or trustees and certain other persons.</w:t>
      </w:r>
    </w:p>
    <w:p>
      <w:pPr>
        <w:spacing w:after="0" w:line="151"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Short Sales. </w:t>
      </w:r>
      <w:r>
        <w:rPr>
          <w:rFonts w:ascii="Times New Roman" w:cs="Times New Roman" w:eastAsia="Times New Roman" w:hAnsi="Times New Roman"/>
          <w:sz w:val="19"/>
          <w:szCs w:val="19"/>
          <w:color w:val="auto"/>
        </w:rPr>
        <w:t>Short sales of the Companies’ securities evidence an expectation on the part of the seller that the securities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decline in value, and therefore signal to the market that the seller has no confidence in the relevant Company or its short- term prospects. In addition, short sales may reduce the seller’s incentive to improve the Companies’ performance. Finally, section 16(c) of the Securities Exchange Act of 1934 prohibits officers and directors, and certain other persons, from engaging in short sales.</w:t>
      </w:r>
    </w:p>
    <w:p>
      <w:pPr>
        <w:spacing w:after="0" w:line="147" w:lineRule="exact"/>
        <w:rPr>
          <w:sz w:val="20"/>
          <w:szCs w:val="20"/>
          <w:color w:val="auto"/>
        </w:rPr>
      </w:pPr>
    </w:p>
    <w:p>
      <w:pPr>
        <w:ind w:right="300" w:firstLine="696"/>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Publicly Traded Options. </w:t>
      </w:r>
      <w:r>
        <w:rPr>
          <w:rFonts w:ascii="Times New Roman" w:cs="Times New Roman" w:eastAsia="Times New Roman" w:hAnsi="Times New Roman"/>
          <w:sz w:val="19"/>
          <w:szCs w:val="19"/>
          <w:color w:val="auto"/>
        </w:rPr>
        <w:t>A transaction in options, puts, calls, or other derivative securities is, in effect, a bet on the short-term movement of the Companies’ stock and therefore creates the appearance that the director, trustee, officer, or employee is trading based on inside information. Transactions of this sort also may unduly focus the director, trustee, officer, or employee’s attention on short-term performance at the expense of the Companies’ long -term objectives. Accordingly, transactions in puts, calls, or other derivative securities, on an exchange or in any other organized market, are prohibited by this policy. (Option positions arising from certain types of hedging transactions are governed by the section below captioned “Hedging Transactions.”)</w:t>
      </w:r>
    </w:p>
    <w:p>
      <w:pPr>
        <w:spacing w:after="0" w:line="151" w:lineRule="exact"/>
        <w:rPr>
          <w:sz w:val="20"/>
          <w:szCs w:val="20"/>
          <w:color w:val="auto"/>
        </w:rPr>
      </w:pPr>
    </w:p>
    <w:p>
      <w:pPr>
        <w:ind w:right="4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Hedging Transactions. </w:t>
      </w:r>
      <w:r>
        <w:rPr>
          <w:rFonts w:ascii="Times New Roman" w:cs="Times New Roman" w:eastAsia="Times New Roman" w:hAnsi="Times New Roman"/>
          <w:sz w:val="19"/>
          <w:szCs w:val="19"/>
          <w:color w:val="auto"/>
        </w:rPr>
        <w:t>Certain forms of hedging or monetization transactions, such as zero-cost collars and forward sale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contracts, allow a director, officer, or employee to lock in much of the value of his or her stock holdings, often in exchange for all or part of the potential for upside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961390</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5" w:name="page156"/>
    <w:bookmarkEnd w:id="155"/>
    <w:p>
      <w:pPr>
        <w:spacing w:after="0" w:line="23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appreciation in the stock. These transactions allow the director, officer, or employee to continue to own the covered securities, but without the full risks and rewards of ownership. When that occurs, the director, trustee, officer, or employee may no longer have the same objectives as the relevant Company’s other shareholders. Therefore, the Companies strongly discourage you from engaging in such transactions. Any person wishing to enter into such an arrangement must first pre-clear the proposed transaction with Sixth Street Legal and Compliance.</w:t>
      </w:r>
    </w:p>
    <w:p>
      <w:pPr>
        <w:spacing w:after="0" w:line="152"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Margin Accounts and Pledges. </w:t>
      </w:r>
      <w:r>
        <w:rPr>
          <w:rFonts w:ascii="Times New Roman" w:cs="Times New Roman" w:eastAsia="Times New Roman" w:hAnsi="Times New Roman"/>
          <w:sz w:val="19"/>
          <w:szCs w:val="19"/>
          <w:color w:val="auto"/>
        </w:rPr>
        <w:t>Securities held in a margin account may be sold by the broker without the customer’s consent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Companies’ securities, directors, trustees, officers, and employees are prohibited from holding the Companies’ securities in a margin account or pledging the Companies’ securities as collateral for a loan. An exception to this prohibition may be granted where a person wishes to pledge the Companies’ securities as collateral for a loan (not including margin debt) and clearly demonstrates the financial capacity to repay the loan without resort to the pledged securities. Any person who wishes to pledge the Companies’ securities as collateral for a loan must submit a request for approval to Sixth Street Legal and Compliance at least two weeks prior to the proposed execution of documents evidencing the proposed pledge.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Post-Termination Transactions</w:t>
      </w:r>
    </w:p>
    <w:p>
      <w:pPr>
        <w:spacing w:after="0" w:line="200" w:lineRule="exact"/>
        <w:rPr>
          <w:sz w:val="20"/>
          <w:szCs w:val="20"/>
          <w:color w:val="auto"/>
        </w:rPr>
      </w:pPr>
    </w:p>
    <w:p>
      <w:pPr>
        <w:spacing w:after="0" w:line="232"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9"/>
          <w:szCs w:val="19"/>
          <w:color w:val="auto"/>
        </w:rPr>
        <w:t>The policy continues to apply to your transactions in the Companies’ securities even after you have terminated employment or otherwise disassociated yourself from the Companies and/or the Advisers. If you are in possession of material, non-public information when your relationship terminates, you may not trade in the Companies’ securities until that information has become public or is no longer material.</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Unauthorized Disclosure</w:t>
      </w:r>
    </w:p>
    <w:p>
      <w:pPr>
        <w:spacing w:after="0" w:line="204"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As discussed above, the disclosure of material, non-public information to others can lead to significant legal difficulties. Therefore, you should not discuss material, non-public information about the Companies with anyone, including other employees, except as required in the performance of your regular duties.</w:t>
      </w:r>
    </w:p>
    <w:p>
      <w:pPr>
        <w:spacing w:after="0" w:line="144" w:lineRule="exact"/>
        <w:rPr>
          <w:sz w:val="20"/>
          <w:szCs w:val="20"/>
          <w:color w:val="auto"/>
        </w:rPr>
      </w:pPr>
    </w:p>
    <w:p>
      <w:pPr>
        <w:ind w:right="280" w:firstLine="696"/>
        <w:spacing w:after="0" w:line="268" w:lineRule="auto"/>
        <w:rPr>
          <w:sz w:val="20"/>
          <w:szCs w:val="20"/>
          <w:color w:val="auto"/>
        </w:rPr>
      </w:pPr>
      <w:r>
        <w:rPr>
          <w:rFonts w:ascii="Times New Roman" w:cs="Times New Roman" w:eastAsia="Times New Roman" w:hAnsi="Times New Roman"/>
          <w:sz w:val="19"/>
          <w:szCs w:val="19"/>
          <w:color w:val="auto"/>
        </w:rPr>
        <w:t>Also, it is important that only specifically designated representatives of the Companies discuss the Companies with the news media, securities analysts, and investors. Inquiries of this type received by any employee should be referred to the Chief Executive Officer, Chief Compliance Officer, either Company’s Investor Relations, and Sixth Street Communications.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Pre-Clearance Procedures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961390</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6" w:name="page157"/>
    <w:bookmarkEnd w:id="156"/>
    <w:p>
      <w:pPr>
        <w:spacing w:after="0" w:line="233" w:lineRule="exact"/>
        <w:rPr>
          <w:sz w:val="20"/>
          <w:szCs w:val="20"/>
          <w:color w:val="auto"/>
        </w:rPr>
      </w:pPr>
    </w:p>
    <w:p>
      <w:pPr>
        <w:ind w:right="60" w:firstLine="696"/>
        <w:spacing w:after="0" w:line="256" w:lineRule="auto"/>
        <w:rPr>
          <w:sz w:val="20"/>
          <w:szCs w:val="20"/>
          <w:color w:val="auto"/>
        </w:rPr>
      </w:pPr>
      <w:r>
        <w:rPr>
          <w:rFonts w:ascii="Times New Roman" w:cs="Times New Roman" w:eastAsia="Times New Roman" w:hAnsi="Times New Roman"/>
          <w:sz w:val="19"/>
          <w:szCs w:val="19"/>
          <w:color w:val="auto"/>
        </w:rPr>
        <w:t>To help prevent inadvertent violations of the federal securities laws and to avoid even the appearance of trading on inside information, directors, trustees and executive officers of the Companies and any other persons designated by Sixth Street Legal and Compliance as being subject to the Companies’ pre-clearance procedures, together with their immediate family members living in their households, may not engage in any transaction involving the Companies’ securities (including a stock plan transaction such as an option exercise, gift, loan or pledge or hedge, contribution to a trust, or any other transfer) without first obtaining pre-clearance of the transaction from Sixth Street Legal and Compliance. Sixth Street Legal and Compliance is under no obligation to approve a trade submitted for pre-clearance, and may determine not to permit the trade.</w:t>
      </w:r>
    </w:p>
    <w:p>
      <w:pPr>
        <w:spacing w:after="0" w:line="157"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auto"/>
        </w:rPr>
        <w:t>Any person subject to the pre -clearance requirements who wishes to implement a trading plan under Rule 10b5-1 of the Securities Exchange Act of 1934 must first pre-clear the plan with Sixth Street Legal and Compliance. As required by Rule 10b5-1, you may enter into a trading plan only when you are not in possession of material nonpublic information. In addition, you may not enter into a trading plan during a blackout period. Transactions effected pursuant to a pre- cleared trading plan will not require further pre-clearance at the time of the transaction if the plan specifies the dates, prices, and amounts of the contemplated trades, or establishes a formula for determining the dates, prices, and amounts.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Open Window and Blackout Periods</w:t>
      </w:r>
    </w:p>
    <w:p>
      <w:pPr>
        <w:spacing w:after="0" w:line="202"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b w:val="1"/>
          <w:bCs w:val="1"/>
          <w:color w:val="auto"/>
        </w:rPr>
        <w:t>Open Window Periods</w:t>
      </w:r>
      <w:r>
        <w:rPr>
          <w:rFonts w:ascii="Times New Roman" w:cs="Times New Roman" w:eastAsia="Times New Roman" w:hAnsi="Times New Roman"/>
          <w:sz w:val="19"/>
          <w:szCs w:val="19"/>
          <w:color w:val="auto"/>
        </w:rPr>
        <w:t>. No Sixth Street employee, director, trustee or officer, nor Sixth Street itself (which includes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execute a transaction in a Company’s security except during an “open window period,” which ordinarily will begin at the close of business on the second business day following the release of such Company’s earnings and will end three weeks thereafter. The ability to trade during such an open window period may be curtailed where specific events so require in a so-called “event-specific blackout period,” as discussed below. The ability to trade during such an open window period may be curtailed at the discretion of Sixth Street Legal and Compliance. Any trading by insiders of the Companies must be pre-cleared by Sixth Street Legal and Compliance and trading in either Company’s securities by Sixth Street Employees is subject to normal Sixth Street trade pre-clearance requirements, expect with respect to trades executed pursuant to an approved Company 10b5-1 trading plan as described above.</w:t>
      </w:r>
    </w:p>
    <w:p>
      <w:pPr>
        <w:spacing w:after="0" w:line="160"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Event -specific Blackout Periods. </w:t>
      </w:r>
      <w:r>
        <w:rPr>
          <w:rFonts w:ascii="Times New Roman" w:cs="Times New Roman" w:eastAsia="Times New Roman" w:hAnsi="Times New Roman"/>
          <w:sz w:val="19"/>
          <w:szCs w:val="19"/>
          <w:color w:val="auto"/>
        </w:rPr>
        <w:t>From time to time, during the open window period, an event may occur that is material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Companies and is known by only a few directors, trustees or executives. So long as the event remains material and nonpublic, directors, trustees, executive officers, and such other persons as are designated by Sixth Street Legal and Compliance may not trade in the Companies’ securities. This restriction applies regardless of whether such persons have actual knowledge of the material event in question. The existence of an event-specific blackout will not be announced, other than to those who are aware of the event giving rise to the blackout. If, however, a person whose trades are subject to pre-clearance requests permission to trade in the Companies’ securities during an event-specific blackout, Sixth Street Legal and Compliance will inform the requester of the existence of a blackout period, without disclosing the reason for the blackout. Any person made aware of the existence of an event-specific blackout should not disclose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961390</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57" w:name="page158"/>
    <w:bookmarkEnd w:id="157"/>
    <w:p>
      <w:pPr>
        <w:spacing w:after="0" w:line="233"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9"/>
          <w:szCs w:val="19"/>
          <w:color w:val="auto"/>
        </w:rPr>
        <w:t>the existence of the blackout to any other person. The failure of Sixth Street Legal and Compliance to designate a person as being subject to an event-specific blackout will not relieve that person of the obligation not to trade while aware of material, nonpublic information.</w:t>
      </w:r>
    </w:p>
    <w:p>
      <w:pPr>
        <w:spacing w:after="0" w:line="1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Questions about this Policy</w:t>
      </w:r>
    </w:p>
    <w:p>
      <w:pPr>
        <w:spacing w:after="0" w:line="204"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Compliance by all directors, trustees, officers, and employees with this policy is of the utmost importance both for you and for the Companies. If you have any questions about the application of this policy to any particular case, please immediately contact Sixth Street Legal and Compliance.</w:t>
      </w:r>
    </w:p>
    <w:p>
      <w:pPr>
        <w:spacing w:after="0" w:line="142" w:lineRule="exact"/>
        <w:rPr>
          <w:sz w:val="20"/>
          <w:szCs w:val="20"/>
          <w:color w:val="auto"/>
        </w:rPr>
      </w:pPr>
    </w:p>
    <w:p>
      <w:pPr>
        <w:ind w:right="52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Your failure to observe this policy could lead to significant legal problems, as well as other serious consequences, including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961390</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440" w:right="82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77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SUBSIDIARIES OF SIXTH STREET SPECIALTY LENDING, INC.</w:t>
            </w:r>
          </w:p>
        </w:tc>
      </w:tr>
      <w:tr>
        <w:trPr>
          <w:trHeight w:val="338"/>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Jurisdiction</w:t>
            </w:r>
          </w:p>
        </w:tc>
      </w:tr>
      <w:tr>
        <w:trPr>
          <w:trHeight w:val="159"/>
        </w:trPr>
        <w:tc>
          <w:tcPr>
            <w:tcW w:w="278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TC Lending, LLC</w:t>
            </w: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27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Sixth Street SL SPV, LLC</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27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Sixth Street SL Holding, LLC</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Sixth Street Specialty Lending Sub, LLC</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214"/>
        </w:trPr>
        <w:tc>
          <w:tcPr>
            <w:tcW w:w="278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7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on Form N-2 of our report dated February 13, 2025, with respect to the consolidated financial statements of Sixth Street Specialty Lending, Inc. and the effectiveness of internal control over financial reporting, and our report dated February 13, 2025 on the senior securities table included herein as an exhibit to the Form 10-K. We also consent to the references to our firm under the headings “Senior Securities” and “Controls and Procedures” in the Form 10-K.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rPr>
          <w:sz w:val="20"/>
          <w:szCs w:val="20"/>
          <w:color w:val="auto"/>
        </w:rPr>
      </w:pPr>
      <w:r>
        <w:rPr>
          <w:rFonts w:ascii="Times New Roman" w:cs="Times New Roman" w:eastAsia="Times New Roman" w:hAnsi="Times New Roman"/>
          <w:sz w:val="16"/>
          <w:szCs w:val="16"/>
          <w:color w:val="auto"/>
        </w:rPr>
        <w:t>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1002665</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Joshua Easterly,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annual report on Form 10-K for the year ended December 31, 2024, of Sixth Street Specialty Lending, Inc.;</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2025</w:t>
      </w:r>
    </w:p>
    <w:p>
      <w:pPr>
        <w:spacing w:after="0" w:line="200" w:lineRule="exact"/>
        <w:rPr>
          <w:sz w:val="20"/>
          <w:szCs w:val="20"/>
          <w:color w:val="auto"/>
        </w:rPr>
      </w:pPr>
    </w:p>
    <w:p>
      <w:pPr>
        <w:jc w:val="center"/>
        <w:ind w:left="2800"/>
        <w:spacing w:after="0"/>
        <w:tabs>
          <w:tab w:leader="none" w:pos="120" w:val="left"/>
        </w:tabs>
        <w:rPr>
          <w:sz w:val="20"/>
          <w:szCs w:val="20"/>
          <w:color w:val="auto"/>
        </w:rPr>
      </w:pPr>
      <w:r>
        <w:rPr>
          <w:rFonts w:ascii="Times New Roman" w:cs="Times New Roman" w:eastAsia="Times New Roman" w:hAnsi="Times New Roman"/>
          <w:sz w:val="16"/>
          <w:szCs w:val="16"/>
          <w:color w:val="auto"/>
        </w:rPr>
        <w:t>By:</w:t>
        <w:tab/>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2"/>
          <w:szCs w:val="12"/>
          <w:color w:val="auto"/>
        </w:rPr>
        <w:t>ASTERLY</w:t>
      </w:r>
    </w:p>
    <w:p>
      <w:pPr>
        <w:spacing w:after="0" w:line="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Joshua Easterly</w:t>
      </w:r>
    </w:p>
    <w:p>
      <w:pPr>
        <w:ind w:left="6200"/>
        <w:spacing w:after="0" w:line="234" w:lineRule="auto"/>
        <w:rPr>
          <w:sz w:val="20"/>
          <w:szCs w:val="20"/>
          <w:color w:val="auto"/>
        </w:rPr>
      </w:pPr>
      <w:r>
        <w:rPr>
          <w:rFonts w:ascii="Times New Roman" w:cs="Times New Roman" w:eastAsia="Times New Roman" w:hAnsi="Times New Roman"/>
          <w:sz w:val="16"/>
          <w:szCs w:val="16"/>
          <w:color w:val="auto"/>
        </w:rPr>
        <w:t>Chief Executive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629285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Simmonds,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annual report on Form 10-K for the year ended December 31, 2024, of Sixth Street Specialty Lending, Inc.;</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2025</w:t>
      </w:r>
    </w:p>
    <w:p>
      <w:pPr>
        <w:spacing w:after="0" w:line="200" w:lineRule="exact"/>
        <w:rPr>
          <w:sz w:val="20"/>
          <w:szCs w:val="20"/>
          <w:color w:val="auto"/>
        </w:rPr>
      </w:pPr>
    </w:p>
    <w:p>
      <w:pPr>
        <w:ind w:left="5820"/>
        <w:spacing w:after="0"/>
        <w:tabs>
          <w:tab w:leader="none" w:pos="61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I</w:t>
      </w:r>
      <w:r>
        <w:rPr>
          <w:rFonts w:ascii="Times New Roman" w:cs="Times New Roman" w:eastAsia="Times New Roman" w:hAnsi="Times New Roman"/>
          <w:sz w:val="11"/>
          <w:szCs w:val="11"/>
          <w:color w:val="auto"/>
        </w:rPr>
        <w:t>AN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IMMONDS</w:t>
      </w:r>
    </w:p>
    <w:p>
      <w:pPr>
        <w:spacing w:after="0" w:line="1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Ian Simmonds</w:t>
      </w:r>
    </w:p>
    <w:p>
      <w:pPr>
        <w:ind w:left="6180"/>
        <w:spacing w:after="0" w:line="234"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720725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In connection with the annual report on Form 10-K of Sixth Street Specialty Lending, Inc. (the “Company”) for the annual period ended December 31, 2024,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as applicable, of the Securities Exchange Act of 1934;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2"/>
          <w:szCs w:val="12"/>
          <w:color w:val="auto"/>
        </w:rPr>
        <w:t>ASTERLY</w:t>
      </w:r>
    </w:p>
    <w:p>
      <w:pPr>
        <w:spacing w:after="0" w:line="1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Name:  Joshua Easterly</w:t>
      </w:r>
    </w:p>
    <w:p>
      <w:pPr>
        <w:ind w:left="636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ind w:left="68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2025</w:t>
      </w:r>
    </w:p>
    <w:p>
      <w:pPr>
        <w:spacing w:after="0" w:line="28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I</w:t>
      </w:r>
      <w:r>
        <w:rPr>
          <w:rFonts w:ascii="Times New Roman" w:cs="Times New Roman" w:eastAsia="Times New Roman" w:hAnsi="Times New Roman"/>
          <w:sz w:val="12"/>
          <w:szCs w:val="12"/>
          <w:color w:val="auto"/>
        </w:rPr>
        <w:t>AN</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2"/>
          <w:szCs w:val="12"/>
          <w:color w:val="auto"/>
        </w:rPr>
        <w:t>IMMONDS</w:t>
      </w:r>
    </w:p>
    <w:p>
      <w:pPr>
        <w:spacing w:after="0" w:line="1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Name:  Ian Simmonds</w:t>
      </w:r>
    </w:p>
    <w:p>
      <w:pPr>
        <w:ind w:left="636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ind w:left="68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662940</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9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on Supplemental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Street Specialty Lending, Inc.:</w:t>
      </w:r>
    </w:p>
    <w:p>
      <w:pPr>
        <w:spacing w:after="0" w:line="15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have audited, in accordance with the standards of the Public Company Accounting Oversight Board (United States) (the PCAOB), the consolidated financial statements of Sixth Street Specialty Lending, Inc. and subsidiaries (the Company) as of December 31, 2024 and 2023, and for each of the years in the three-year period ended December 31, 2024, and our report dated February 13, 2025 expressed an unqualified opinion on those consolidated financial statements.</w:t>
      </w:r>
    </w:p>
    <w:p>
      <w:pPr>
        <w:spacing w:after="0" w:line="15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We have also previously audited, in accordance with the standards of the PCAOB, the consolidated balance sheets of the Company, including the consolidated schedules of investments, as of December 31, 2022, 2021, and 2020, and the related consolidated statements of operations, changes in net assets, and cash flows for the years ended December 31, 2021 and 2020 (none of which is presented herein), and we expressed unqualified opinions on those consolidated financial statements. The senior securities information included in Part II, Item 5 of the Annual Report on Form 10 -K of the Company as of December 31, 2024, under the caption “Senior Securities” (the Senior Securities Table), has been subjected to audit procedures performed in conjunction with the audit of the Company’s respective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respective consolidated financial statements as a whole.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rPr>
          <w:sz w:val="20"/>
          <w:szCs w:val="20"/>
          <w:color w:val="auto"/>
        </w:rPr>
      </w:pPr>
      <w:r>
        <w:rPr>
          <w:rFonts w:ascii="Times New Roman" w:cs="Times New Roman" w:eastAsia="Times New Roman" w:hAnsi="Times New Roman"/>
          <w:sz w:val="16"/>
          <w:szCs w:val="16"/>
          <w:color w:val="auto"/>
        </w:rPr>
        <w:t>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64" w:name="page165"/>
    <w:bookmarkEnd w:id="16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7"/>
    </w:lvl>
  </w:abstractNum>
  <w:abstractNum w:abstractNumId="3">
    <w:nsid w:val="4DB127F8"/>
    <w:multiLevelType w:val="hybridMultilevel"/>
    <w:lvl w:ilvl="0">
      <w:lvlJc w:val="left"/>
      <w:lvlText w:val="(%1)"/>
      <w:numFmt w:val="decimal"/>
      <w:start w:val="10"/>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6"/>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8"/>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2"/>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1"/>
      <w:numFmt w:val="decimal"/>
      <w:start w:val="32"/>
    </w:lvl>
  </w:abstractNum>
  <w:abstractNum w:abstractNumId="15">
    <w:nsid w:val="6B68079A"/>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22" Type="http://schemas.openxmlformats.org/officeDocument/2006/relationships/image" Target="media/image206.png"/><Relationship Id="rId237"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13" Type="http://schemas.openxmlformats.org/officeDocument/2006/relationships/hyperlink" Target="https://www.sec.gov/Archives/edgar/data/1508655/000119312520174009/d936084dex32.htm" TargetMode="External"/><Relationship Id="rId214" Type="http://schemas.openxmlformats.org/officeDocument/2006/relationships/hyperlink" Target="https://www.sec.gov/Archives/edgar/data/1508655/000119312523188221/d534568dex31.htm" TargetMode="External"/><Relationship Id="rId215" Type="http://schemas.openxmlformats.org/officeDocument/2006/relationships/hyperlink" Target="https://www.sec.gov/Archives/edgar/data/1508655/000119312512127485/d318388dex42.htm" TargetMode="External"/><Relationship Id="rId216" Type="http://schemas.openxmlformats.org/officeDocument/2006/relationships/hyperlink" Target="https://www.sec.gov/Archives/edgar/data/1508655/000119312521027315/d114372dex42.htm" TargetMode="External"/><Relationship Id="rId217" Type="http://schemas.openxmlformats.org/officeDocument/2006/relationships/hyperlink" Target="https://www.sec.gov/Archives/edgar/data/1508655/000119312523212327/d480136dex42.htm" TargetMode="External"/><Relationship Id="rId218" Type="http://schemas.openxmlformats.org/officeDocument/2006/relationships/hyperlink" Target="https://www.sec.gov/Archives/edgar/data/1508655/000119312524008558/d652899dex41.htm" TargetMode="External"/><Relationship Id="rId219" Type="http://schemas.openxmlformats.org/officeDocument/2006/relationships/hyperlink" Target="https://www.sec.gov/Archives/edgar/data/1508655/000119312524008558/d652899dex42.htm" TargetMode="External"/><Relationship Id="rId220" Type="http://schemas.openxmlformats.org/officeDocument/2006/relationships/hyperlink" Target="https://www.sec.gov/Archives/edgar/data/1508655/000095017024015845/tslx-ex4_8.htm" TargetMode="External"/><Relationship Id="rId221" Type="http://schemas.openxmlformats.org/officeDocument/2006/relationships/hyperlink" Target="https://www.sec.gov/Archives/edgar/data/1508655/000095012311025019/y90239exv10w3.htm" TargetMode="External"/><Relationship Id="rId223" Type="http://schemas.openxmlformats.org/officeDocument/2006/relationships/hyperlink" Target="https://www.sec.gov/Archives/edgar/data/1508655/000119312511339263/d269504dex101.htm" TargetMode="External"/><Relationship Id="rId224" Type="http://schemas.openxmlformats.org/officeDocument/2006/relationships/hyperlink" Target="https://www.sec.gov/Archives/edgar/data/1508655/000119312512490609/d446947dex101.htm" TargetMode="External"/><Relationship Id="rId225" Type="http://schemas.openxmlformats.org/officeDocument/2006/relationships/hyperlink" Target="https://www.sec.gov/Archives/edgar/data/1508655/000119312514082476/d673597dex1020.htm" TargetMode="External"/><Relationship Id="rId226" Type="http://schemas.openxmlformats.org/officeDocument/2006/relationships/hyperlink" Target="https://www.sec.gov/Archives/edgar/data/1508655/000119312514102674/d630521dex99e.htm" TargetMode="External"/><Relationship Id="rId227" Type="http://schemas.openxmlformats.org/officeDocument/2006/relationships/hyperlink" Target="https://www.sec.gov/Archives/edgar/data/1508655/000119312514293593/d769019dex103.htm" TargetMode="External"/><Relationship Id="rId228" Type="http://schemas.openxmlformats.org/officeDocument/2006/relationships/hyperlink" Target="https://www.sec.gov/Archives/edgar/data/1508655/000119312514293593/d769019dex104.htm" TargetMode="External"/><Relationship Id="rId229" Type="http://schemas.openxmlformats.org/officeDocument/2006/relationships/hyperlink" Target="https://www.sec.gov/Archives/edgar/data/1508655/000119312514293593/d769019dex105.htm" TargetMode="External"/><Relationship Id="rId230" Type="http://schemas.openxmlformats.org/officeDocument/2006/relationships/hyperlink" Target="https://www.sec.gov/Archives/edgar/data/0001508655/000119312514394267/d813731dex101.htm" TargetMode="External"/><Relationship Id="rId231" Type="http://schemas.openxmlformats.org/officeDocument/2006/relationships/hyperlink" Target="https://www.sec.gov/Archives/edgar/data/0001508655/000119312515111830/d899694dex101.htm" TargetMode="External"/><Relationship Id="rId232" Type="http://schemas.openxmlformats.org/officeDocument/2006/relationships/hyperlink" Target="https://www.sec.gov/Archives/edgar/data/0001508655/000156459015009165/tslx-ex101_394.htm" TargetMode="External"/><Relationship Id="rId233" Type="http://schemas.openxmlformats.org/officeDocument/2006/relationships/hyperlink" Target="https://www.sec.gov/Archives/edgar/data/0001508655/000156459017002010/tslx-ex1015_196.htm" TargetMode="External"/><Relationship Id="rId234" Type="http://schemas.openxmlformats.org/officeDocument/2006/relationships/hyperlink" Target="https://www.sec.gov/Archives/edgar/data/0001508655/000156459017002010/tslx-ex1016_267.htm" TargetMode="External"/><Relationship Id="rId235" Type="http://schemas.openxmlformats.org/officeDocument/2006/relationships/hyperlink" Target="https://www.sec.gov/Archives/edgar/data/1508655/000156459018002665/tslx-ex1016_374.htm" TargetMode="External"/><Relationship Id="rId236" Type="http://schemas.openxmlformats.org/officeDocument/2006/relationships/hyperlink" Target="https://www.sec.gov/Archives/edgar/data/1508655/000156459018027390/tslx-ex101_128.htm" TargetMode="External"/><Relationship Id="rId238" Type="http://schemas.openxmlformats.org/officeDocument/2006/relationships/hyperlink" Target="https://www.sec.gov/Archives/edgar/data/1508655/000156459019003442/tslx-ex1016_204.htm" TargetMode="External"/><Relationship Id="rId239" Type="http://schemas.openxmlformats.org/officeDocument/2006/relationships/hyperlink" Target="https://www.sec.gov/Archives/edgar/data/1508655/000156459020005268/tslx-ex1017_198.htm" TargetMode="External"/><Relationship Id="rId240" Type="http://schemas.openxmlformats.org/officeDocument/2006/relationships/hyperlink" Target="https://www.sec.gov/Archives/edgar/data/1508655/000156459021006366/tslx-ex1018_279.htm" TargetMode="External"/><Relationship Id="rId241" Type="http://schemas.openxmlformats.org/officeDocument/2006/relationships/hyperlink" Target="https://www.sec.gov/Archives/edgar/data/1508655/000156459022005558/tslx-ex1019_75.htm" TargetMode="External"/><Relationship Id="rId242" Type="http://schemas.openxmlformats.org/officeDocument/2006/relationships/hyperlink" Target="https://www.sec.gov/Archives/edgar/data/1508655/000156459022017420/tslx-ex101_114.htm" TargetMode="External"/><Relationship Id="rId243" Type="http://schemas.openxmlformats.org/officeDocument/2006/relationships/hyperlink" Target="https://www.sec.gov/Archives/edgar/data/1508655/000095017022013859/tslx-ex10_2.htm" TargetMode="External"/><Relationship Id="rId244" Type="http://schemas.openxmlformats.org/officeDocument/2006/relationships/hyperlink" Target="https://www.sec.gov/Archives/edgar/data/1508655/000095017023038066/tslx-ex10_1.htm" TargetMode="External"/><Relationship Id="rId245" Type="http://schemas.openxmlformats.org/officeDocument/2006/relationships/hyperlink" Target="https://www.sec.gov/Archives/edgar/data/1508655/000095017024088524/tslx-ex10_1.htm" TargetMode="External"/><Relationship Id="rId248" Type="http://schemas.openxmlformats.org/officeDocument/2006/relationships/hyperlink" Target="https://www.sec.gov/Archives/edgar/data/1508655/000095017024015845/tsl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2025-02-13T15:24:47Z</dcterms:created>
  <dcterms:modified xsi:type="dcterms:W3CDTF">2025-02-13T15:24:47Z</dcterms:modified>
</cp:coreProperties>
</file>