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93322ddef14a.htm"/>
        <w:bookmarkStart w:id="1" w:name="ksd393322ddef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(RULE 14a-101)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Filed by the Registrant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Sixth Street Specialty Lending,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151130" cy="45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130" cy="45720"/>
                    </a:xfrm>
                    <a:prstGeom prst="rect">
                      <a:avLst/>
                    </a:prstGeom>
                  </pic:spPr>
                </pic:pic>
              </a:graphicData>
            </a:graphic>
          </wp:inline>
        </w:drawing>
      </w:r>
      <w:r>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Sixth Street Specialty Lending, Inc. </w:t>
      </w:r>
    </w:p>
    <w:p>
      <w:pPr>
        <w:pStyle w:val="TextBody"/>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spacing w:before="0" w:after="0"/>
        <w:jc w:val="left"/>
        <w:rPr>
          <w:rFonts w:ascii="Times New Roman" w:hAnsi="Times New Roman"/>
          <w:sz w:val="20"/>
        </w:rPr>
      </w:pPr>
      <w:r>
        <w:rPr>
          <w:rFonts w:ascii="Times New Roman" w:hAnsi="Times New Roman"/>
          <w:sz w:val="20"/>
        </w:rPr>
        <w:t xml:space="preserve">Dallas, TX 75201 </w:t>
      </w:r>
    </w:p>
    <w:p>
      <w:pPr>
        <w:pStyle w:val="TextBody"/>
        <w:spacing w:before="240" w:after="0"/>
        <w:jc w:val="left"/>
        <w:rPr>
          <w:rFonts w:ascii="Times New Roman" w:hAnsi="Times New Roman"/>
          <w:sz w:val="20"/>
        </w:rPr>
      </w:pPr>
      <w:r>
        <w:rPr>
          <w:rFonts w:ascii="Times New Roman" w:hAnsi="Times New Roman"/>
          <w:sz w:val="20"/>
        </w:rPr>
        <w:t xml:space="preserve">April 13, 2023 </w:t>
      </w:r>
    </w:p>
    <w:p>
      <w:pPr>
        <w:pStyle w:val="TextBody"/>
        <w:spacing w:before="240" w:after="0"/>
        <w:jc w:val="left"/>
        <w:rPr>
          <w:rFonts w:ascii="Times New Roman" w:hAnsi="Times New Roman"/>
          <w:sz w:val="20"/>
        </w:rPr>
      </w:pPr>
      <w:r>
        <w:rPr>
          <w:rFonts w:ascii="Times New Roman" w:hAnsi="Times New Roman"/>
          <w:sz w:val="20"/>
        </w:rPr>
        <w:t xml:space="preserve">To Our Stockholders: </w:t>
      </w:r>
    </w:p>
    <w:p>
      <w:pPr>
        <w:pStyle w:val="TextBody"/>
        <w:spacing w:before="240" w:after="0"/>
        <w:jc w:val="left"/>
        <w:rPr>
          <w:rFonts w:ascii="Times New Roman" w:hAnsi="Times New Roman"/>
          <w:sz w:val="20"/>
        </w:rPr>
      </w:pPr>
      <w:r>
        <w:rPr>
          <w:rFonts w:ascii="Times New Roman" w:hAnsi="Times New Roman"/>
          <w:sz w:val="20"/>
        </w:rPr>
        <w:t xml:space="preserve">We are pleased to invite you to attend a Special Meeting of Stockholders of Sixth Street Specialty Lending, Inc. to be held on May 25, 2023, at 10:00 a.m., Eastern Time, at the offices of Cleary Gottlieb Steen &amp; Hamilton LLP, One Liberty Plaza, 38th Floor, New York, NY 10006. </w:t>
      </w:r>
    </w:p>
    <w:p>
      <w:pPr>
        <w:pStyle w:val="TextBody"/>
        <w:spacing w:before="240" w:after="0"/>
        <w:jc w:val="left"/>
        <w:rPr>
          <w:rFonts w:ascii="Times New Roman" w:hAnsi="Times New Roman"/>
          <w:sz w:val="20"/>
        </w:rPr>
      </w:pPr>
      <w:r>
        <w:rPr>
          <w:rFonts w:ascii="Times New Roman" w:hAnsi="Times New Roman"/>
          <w:sz w:val="20"/>
        </w:rPr>
        <w:t xml:space="preserve">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 </w:t>
      </w:r>
    </w:p>
    <w:p>
      <w:pPr>
        <w:pStyle w:val="TextBody"/>
        <w:spacing w:before="240" w:after="0"/>
        <w:jc w:val="left"/>
        <w:rPr>
          <w:rFonts w:ascii="Times New Roman" w:hAnsi="Times New Roman"/>
          <w:sz w:val="20"/>
        </w:rPr>
      </w:pPr>
      <w:r>
        <w:rPr>
          <w:rFonts w:ascii="Times New Roman" w:hAnsi="Times New Roman"/>
          <w:sz w:val="20"/>
        </w:rPr>
        <w:t xml:space="preserve">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 </w:t>
      </w:r>
    </w:p>
    <w:p>
      <w:pPr>
        <w:pStyle w:val="TextBody"/>
        <w:spacing w:before="240" w:after="0"/>
        <w:jc w:val="left"/>
        <w:rPr>
          <w:rFonts w:ascii="Times New Roman" w:hAnsi="Times New Roman"/>
          <w:sz w:val="20"/>
        </w:rPr>
      </w:pPr>
      <w:r>
        <w:rPr>
          <w:rFonts w:ascii="Times New Roman" w:hAnsi="Times New Roman"/>
          <w:sz w:val="20"/>
        </w:rPr>
        <w:t xml:space="preserve">You will also receive separate proxy materials for the Annual Meeting of Stockholders, which will be held at the same place and on the same date stated above, but not at the same time. Please be certain to vote separately each proxy card that you receive from us. </w:t>
      </w:r>
    </w:p>
    <w:p>
      <w:pPr>
        <w:pStyle w:val="TextBody"/>
        <w:spacing w:before="240" w:after="0"/>
        <w:jc w:val="left"/>
        <w:rPr>
          <w:rFonts w:ascii="Times New Roman" w:hAnsi="Times New Roman"/>
          <w:sz w:val="20"/>
        </w:rPr>
      </w:pPr>
      <w:r>
        <w:rPr>
          <w:rFonts w:ascii="Times New Roman" w:hAnsi="Times New Roman"/>
          <w:sz w:val="20"/>
        </w:rPr>
        <w:t xml:space="preserve">On behalf of management and our Board of Directors, we thank you for your continued support of Sixth Street Specialty Lending, Inc.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Joshua Easterly</w:t>
            </w:r>
          </w:p>
        </w:tc>
      </w:tr>
      <w:tr>
        <w:trPr/>
        <w:tc>
          <w:tcPr>
            <w:tcW w:w="4082" w:type="dxa"/>
            <w:tcBorders/>
            <w:shd w:fill="auto" w:val="clear"/>
          </w:tcPr>
          <w:p>
            <w:pPr>
              <w:pStyle w:val="TableContents"/>
              <w:spacing w:before="0" w:after="283"/>
              <w:rPr/>
            </w:pPr>
            <w:r>
              <w:rPr/>
              <w:t>Joshua Easterly</w:t>
            </w:r>
          </w:p>
        </w:tc>
      </w:tr>
      <w:tr>
        <w:trPr/>
        <w:tc>
          <w:tcPr>
            <w:tcW w:w="4082" w:type="dxa"/>
            <w:tcBorders/>
            <w:shd w:fill="auto" w:val="clear"/>
          </w:tcPr>
          <w:p>
            <w:pPr>
              <w:pStyle w:val="TableContents"/>
              <w:spacing w:before="0" w:after="283"/>
              <w:rPr>
                <w:i/>
              </w:rPr>
            </w:pPr>
            <w:r>
              <w:rPr>
                <w:i/>
              </w:rPr>
              <w:t>Chairman of the Board of Directors</w:t>
            </w:r>
          </w:p>
        </w:tc>
      </w:tr>
    </w:tbl>
    <w:p>
      <w:pPr>
        <w:pStyle w:val="TextBody"/>
        <w:spacing w:before="240" w:after="0"/>
        <w:jc w:val="left"/>
        <w:rPr>
          <w:rFonts w:ascii="Times New Roman" w:hAnsi="Times New Roman"/>
          <w:sz w:val="20"/>
        </w:rPr>
      </w:pPr>
      <w:r>
        <w:rPr>
          <w:rFonts w:ascii="Times New Roman" w:hAnsi="Times New Roman"/>
          <w:sz w:val="20"/>
        </w:rPr>
        <w:t xml:space="preserve">April 13,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Important Notice Regarding the Availability of Proxy Material for the Special Meeting of Stockholders to Be Held on May 25</w:t>
      </w:r>
      <w:r>
        <w:rPr>
          <w:rFonts w:ascii="Times New Roman" w:hAnsi="Times New Roman"/>
          <w:sz w:val="20"/>
        </w:rPr>
        <w:t xml:space="preserve">, </w:t>
      </w:r>
      <w:r>
        <w:rPr>
          <w:rFonts w:ascii="Times New Roman" w:hAnsi="Times New Roman"/>
          <w:b/>
          <w:sz w:val="20"/>
        </w:rPr>
        <w:t xml:space="preserve">2023. </w:t>
      </w:r>
    </w:p>
    <w:p>
      <w:pPr>
        <w:pStyle w:val="TextBody"/>
        <w:spacing w:before="120" w:after="0"/>
        <w:jc w:val="left"/>
        <w:rPr>
          <w:rFonts w:ascii="Times New Roman" w:hAnsi="Times New Roman"/>
          <w:sz w:val="20"/>
        </w:rPr>
      </w:pPr>
      <w:r>
        <w:rPr>
          <w:rFonts w:ascii="Times New Roman" w:hAnsi="Times New Roman"/>
          <w:sz w:val="20"/>
        </w:rPr>
        <w:t xml:space="preserve">Our proxy statement is available online at www.proxyvote.com. </w:t>
      </w:r>
    </w:p>
    <w:p>
      <w:pPr>
        <w:pStyle w:val="TextBody"/>
        <w:spacing w:before="240" w:after="0"/>
        <w:jc w:val="left"/>
        <w:rPr>
          <w:rFonts w:ascii="Times New Roman" w:hAnsi="Times New Roman"/>
          <w:sz w:val="20"/>
        </w:rPr>
      </w:pPr>
      <w:r>
        <w:rPr>
          <w:rFonts w:ascii="Times New Roman" w:hAnsi="Times New Roman"/>
          <w:sz w:val="20"/>
        </w:rPr>
        <w:t xml:space="preserve">The following information applicable to the Special Meeting of Stockholders may be found in the proxy statement and accompanying proxy card: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time and location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list of the matters intended to be acted on and our recommendations regarding those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control/identification numbers that you need to access proxy material online;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about attending the meeting and voting in person.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151130" cy="45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130" cy="4572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spacing w:before="0" w:after="0"/>
        <w:jc w:val="center"/>
        <w:rPr>
          <w:rFonts w:ascii="Times New Roman" w:hAnsi="Times New Roman"/>
          <w:sz w:val="20"/>
        </w:rPr>
      </w:pPr>
      <w:r>
        <w:rPr>
          <w:rFonts w:ascii="Times New Roman" w:hAnsi="Times New Roman"/>
          <w:sz w:val="20"/>
        </w:rPr>
        <w:t xml:space="preserve">Dallas, TX 75201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Notice of a Special Meeting of Stockholders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TO OUR STOCKHOLDERS: </w:t>
      </w:r>
    </w:p>
    <w:p>
      <w:pPr>
        <w:pStyle w:val="TextBody"/>
        <w:spacing w:before="120" w:after="0"/>
        <w:jc w:val="left"/>
        <w:rPr>
          <w:rFonts w:ascii="Times New Roman" w:hAnsi="Times New Roman"/>
          <w:sz w:val="20"/>
        </w:rPr>
      </w:pPr>
      <w:r>
        <w:rPr>
          <w:rFonts w:ascii="Times New Roman" w:hAnsi="Times New Roman"/>
          <w:sz w:val="20"/>
        </w:rPr>
        <w:t xml:space="preserve">NOTICE IS HEREBY GIVEN that a Special Meeting of Stockholders of Sixth Street Specialty Lending, Inc. will be held at the offices of Cleary Gottlieb Steen &amp; Hamilton LLP, One Liberty Plaza, 38th Floor, New York, NY 10006 on May 25, 2023, at 10:00 a.m., Eastern Time. The Special Meeting of Stockholders is being held for the following purpose: </w:t>
      </w:r>
    </w:p>
    <w:p>
      <w:pPr>
        <w:pStyle w:val="TextBody"/>
        <w:spacing w:before="12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 </w:t>
      </w:r>
    </w:p>
    <w:p>
      <w:pPr>
        <w:pStyle w:val="TextBody"/>
        <w:spacing w:before="240" w:after="0"/>
        <w:jc w:val="left"/>
        <w:rPr>
          <w:rFonts w:ascii="Times New Roman" w:hAnsi="Times New Roman"/>
          <w:sz w:val="20"/>
        </w:rPr>
      </w:pPr>
      <w:r>
        <w:rPr>
          <w:rFonts w:ascii="Times New Roman" w:hAnsi="Times New Roman"/>
          <w:sz w:val="20"/>
        </w:rPr>
        <w:t xml:space="preserve">Only stockholders of record at the close of business on March 31, 2023, are entitled to notice of and to vote at the Special Meeting of Stockholders or any postponement or adjournment thereof. </w:t>
      </w:r>
    </w:p>
    <w:p>
      <w:pPr>
        <w:pStyle w:val="TextBody"/>
        <w:spacing w:before="240" w:after="0"/>
        <w:jc w:val="left"/>
        <w:rPr>
          <w:rFonts w:ascii="Times New Roman" w:hAnsi="Times New Roman"/>
          <w:sz w:val="20"/>
        </w:rPr>
      </w:pPr>
      <w:r>
        <w:rPr>
          <w:rFonts w:ascii="Times New Roman" w:hAnsi="Times New Roman"/>
          <w:sz w:val="20"/>
        </w:rPr>
        <w:t xml:space="preserve">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w:t>
      </w:r>
    </w:p>
    <w:p>
      <w:pPr>
        <w:pStyle w:val="TextBody"/>
        <w:spacing w:before="240" w:after="0"/>
        <w:jc w:val="left"/>
        <w:rPr>
          <w:rFonts w:ascii="Times New Roman" w:hAnsi="Times New Roman"/>
          <w:sz w:val="20"/>
        </w:rPr>
      </w:pPr>
      <w:r>
        <w:rPr>
          <w:rFonts w:ascii="Times New Roman" w:hAnsi="Times New Roman"/>
          <w:b/>
          <w:sz w:val="20"/>
        </w:rPr>
        <w:t>Your vote is extremely important to us.</w:t>
      </w:r>
      <w:r>
        <w:rPr>
          <w:rFonts w:ascii="Times New Roman" w:hAnsi="Times New Roman"/>
          <w:sz w:val="20"/>
        </w:rPr>
        <w:t xml:space="preserve"> Whether or not you plan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 </w:t>
      </w:r>
    </w:p>
    <w:p>
      <w:pPr>
        <w:pStyle w:val="TextBody"/>
        <w:spacing w:before="240" w:after="0"/>
        <w:jc w:val="left"/>
        <w:rPr>
          <w:rFonts w:ascii="Times New Roman" w:hAnsi="Times New Roman"/>
          <w:b/>
          <w:sz w:val="20"/>
        </w:rPr>
      </w:pPr>
      <w:r>
        <w:rPr>
          <w:rFonts w:ascii="Times New Roman" w:hAnsi="Times New Roman"/>
          <w:b/>
          <w:sz w:val="20"/>
        </w:rPr>
        <w:t xml:space="preserve">THE BOARD OF DIRECTORS, INCLUDING THE INDEPENDENT DIRECTORS, UNANIMOUSLY RECOMMENDS THAT YOU VOTE FOR THE PROPOSAL.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Anton Brett</w:t>
            </w:r>
          </w:p>
        </w:tc>
      </w:tr>
      <w:tr>
        <w:trPr/>
        <w:tc>
          <w:tcPr>
            <w:tcW w:w="4082" w:type="dxa"/>
            <w:tcBorders/>
            <w:shd w:fill="auto" w:val="clear"/>
          </w:tcPr>
          <w:p>
            <w:pPr>
              <w:pStyle w:val="TableContents"/>
              <w:spacing w:before="0" w:after="283"/>
              <w:rPr/>
            </w:pPr>
            <w:r>
              <w:rPr/>
              <w:t>Anton Brett</w:t>
            </w:r>
          </w:p>
        </w:tc>
      </w:tr>
      <w:tr>
        <w:trPr/>
        <w:tc>
          <w:tcPr>
            <w:tcW w:w="4082" w:type="dxa"/>
            <w:tcBorders/>
            <w:shd w:fill="auto" w:val="clear"/>
          </w:tcPr>
          <w:p>
            <w:pPr>
              <w:pStyle w:val="TableContents"/>
              <w:spacing w:before="0" w:after="283"/>
              <w:rPr>
                <w:i/>
              </w:rPr>
            </w:pPr>
            <w:r>
              <w:rPr>
                <w:i/>
              </w:rPr>
              <w:t>Chief Compliance Officer and Secretary</w:t>
            </w:r>
          </w:p>
        </w:tc>
      </w:tr>
    </w:tbl>
    <w:p>
      <w:pPr>
        <w:pStyle w:val="TextBody"/>
        <w:spacing w:before="240" w:after="0"/>
        <w:jc w:val="left"/>
        <w:rPr>
          <w:rFonts w:ascii="Times New Roman" w:hAnsi="Times New Roman"/>
          <w:sz w:val="20"/>
        </w:rPr>
      </w:pPr>
      <w:r>
        <w:rPr>
          <w:rFonts w:ascii="Times New Roman" w:hAnsi="Times New Roman"/>
          <w:sz w:val="20"/>
        </w:rPr>
        <w:t xml:space="preserve">April 13, 2023 </w:t>
      </w:r>
    </w:p>
    <w:p>
      <w:pPr>
        <w:pStyle w:val="TextBody"/>
        <w:spacing w:before="240" w:after="0"/>
        <w:jc w:val="left"/>
        <w:rPr>
          <w:rFonts w:ascii="Times New Roman" w:hAnsi="Times New Roman"/>
          <w:b/>
          <w:sz w:val="20"/>
        </w:rPr>
      </w:pPr>
      <w:r>
        <w:rPr>
          <w:rFonts w:ascii="Times New Roman" w:hAnsi="Times New Roman"/>
          <w:b/>
          <w:sz w:val="20"/>
          <w:u w:val="single"/>
        </w:rPr>
        <w:t>YOUR VOTE IS IMPORTANT</w:t>
      </w:r>
      <w:r>
        <w:rPr>
          <w:rFonts w:ascii="Times New Roman" w:hAnsi="Times New Roman"/>
          <w:b/>
          <w:sz w:val="20"/>
        </w:rPr>
        <w:t xml:space="preserve">! WE HOPE YOU WILL VOTE OVER THE INTERNET, BY PHONE OR BY MARKING, SIGNING AND RETURNING YOUR PROXY AS SOON AS POSSIBLE, WHETHER OR NOT YOU PLAN TO ATTEND THE MEETING. EVEN IF YOU VOTE YOUR SHARES PRIOR TO THE MEETING, YOU STILL MAY ATTEND THE MEETING AND VOTE YOUR SHARES IN PERSON.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60"/>
        <w:gridCol w:w="359"/>
        <w:gridCol w:w="96"/>
        <w:gridCol w:w="427"/>
        <w:gridCol w:w="63"/>
      </w:tblGrid>
      <w:tr>
        <w:trPr/>
        <w:tc>
          <w:tcPr>
            <w:tcW w:w="926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6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5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1">
              <w:r>
                <w:rPr>
                  <w:rStyle w:val="InternetLink"/>
                  <w:rFonts w:ascii="Times New Roman" w:hAnsi="Times New Roman"/>
                  <w:sz w:val="20"/>
                </w:rPr>
                <w:t>Proxy Statement for a Special Meeting of Stockholders</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2">
              <w:r>
                <w:rPr>
                  <w:rStyle w:val="InternetLink"/>
                  <w:rFonts w:ascii="Times New Roman" w:hAnsi="Times New Roman"/>
                  <w:sz w:val="20"/>
                </w:rPr>
                <w:t>Security Ownership of Certain Beneficial Owners and Management</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3">
              <w:r>
                <w:rPr>
                  <w:rStyle w:val="InternetLink"/>
                  <w:rFonts w:ascii="Times New Roman" w:hAnsi="Times New Roman"/>
                  <w:sz w:val="20"/>
                </w:rPr>
                <w:t>Proposal No.  1Authorization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4">
              <w:r>
                <w:rPr>
                  <w:rStyle w:val="InternetLink"/>
                  <w:rFonts w:ascii="Times New Roman" w:hAnsi="Times New Roman"/>
                  <w:sz w:val="20"/>
                </w:rPr>
                <w:t>Other Business</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5">
              <w:r>
                <w:rPr>
                  <w:rStyle w:val="InternetLink"/>
                  <w:rFonts w:ascii="Times New Roman" w:hAnsi="Times New Roman"/>
                  <w:sz w:val="20"/>
                </w:rPr>
                <w:t xml:space="preserve">Stockholder Proposals and Nominations for the 2023 Annual Meeting of Stockholders </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6">
              <w:r>
                <w:rPr>
                  <w:rStyle w:val="InternetLink"/>
                  <w:rFonts w:ascii="Times New Roman" w:hAnsi="Times New Roman"/>
                  <w:sz w:val="20"/>
                </w:rPr>
                <w:t>Annual Report</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7">
              <w:r>
                <w:rPr>
                  <w:rStyle w:val="InternetLink"/>
                  <w:rFonts w:ascii="Times New Roman" w:hAnsi="Times New Roman"/>
                  <w:sz w:val="20"/>
                </w:rPr>
                <w:t>Householding of Proxy Materials</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393322_8">
              <w:r>
                <w:rPr>
                  <w:rStyle w:val="InternetLink"/>
                  <w:rFonts w:ascii="Times New Roman" w:hAnsi="Times New Roman"/>
                  <w:sz w:val="20"/>
                </w:rPr>
                <w:t>Privacy Principles</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151130" cy="45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130" cy="4572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spacing w:before="0" w:after="0"/>
        <w:jc w:val="center"/>
        <w:rPr>
          <w:rFonts w:ascii="Times New Roman" w:hAnsi="Times New Roman"/>
          <w:sz w:val="20"/>
        </w:rPr>
      </w:pPr>
      <w:r>
        <w:rPr>
          <w:rFonts w:ascii="Times New Roman" w:hAnsi="Times New Roman"/>
          <w:sz w:val="20"/>
        </w:rPr>
        <w:t xml:space="preserve">Dallas, TX 75201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xml:space="preserve">  </w:t>
      </w:r>
    </w:p>
    <w:p>
      <w:pPr>
        <w:pStyle w:val="TextBody"/>
        <w:spacing w:before="240" w:after="0"/>
        <w:jc w:val="center"/>
        <w:rPr>
          <w:rFonts w:ascii="Times New Roman" w:hAnsi="Times New Roman"/>
          <w:b/>
          <w:sz w:val="20"/>
        </w:rPr>
      </w:pPr>
      <w:bookmarkStart w:id="3" w:name="toc393322_1"/>
      <w:bookmarkEnd w:id="3"/>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A </w:t>
      </w:r>
    </w:p>
    <w:p>
      <w:pPr>
        <w:pStyle w:val="TextBody"/>
        <w:spacing w:before="0" w:after="0"/>
        <w:jc w:val="center"/>
        <w:rPr>
          <w:rFonts w:ascii="Times New Roman" w:hAnsi="Times New Roman"/>
          <w:b/>
          <w:sz w:val="20"/>
        </w:rPr>
      </w:pPr>
      <w:r>
        <w:rPr>
          <w:rFonts w:ascii="Times New Roman" w:hAnsi="Times New Roman"/>
          <w:b/>
          <w:sz w:val="20"/>
        </w:rPr>
        <w:t xml:space="preserve">SPECIAL MEETING OF STOCKHOLDERS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Cleary Gottlieb Steen &amp; Hamilton LLP, One Liberty Plaza, 38th Floor, New York, NY 10006 on May 25, 2023, at 10:00 a.m., Eastern Time. Only holders of record of our common stock at the close of business on March 31, 2023, which is the record date, will be entitled to vote at the Meeting. At the close of business on the record date, we had 81,751,865 shares of common stock outstanding and entitled to vote. </w:t>
      </w:r>
    </w:p>
    <w:p>
      <w:pPr>
        <w:pStyle w:val="TextBody"/>
        <w:spacing w:before="240" w:after="0"/>
        <w:jc w:val="left"/>
        <w:rPr>
          <w:rFonts w:ascii="Times New Roman" w:hAnsi="Times New Roman"/>
          <w:sz w:val="20"/>
        </w:rPr>
      </w:pPr>
      <w:r>
        <w:rPr>
          <w:rFonts w:ascii="Times New Roman" w:hAnsi="Times New Roman"/>
          <w:sz w:val="20"/>
        </w:rPr>
        <w:t xml:space="preserve">It is anticipated that the Notice of Internet Availability of Proxy Materials will first be sent to Stockholders on or about April 13, 2023. This proxy statement, including the accompanying form of proxy (collectively, the Proxy Statement), will first be made available to stockholders on or about April 13, 2023. The Proxy Statement can be accessed online at www.proxyvote.com. </w:t>
      </w:r>
    </w:p>
    <w:p>
      <w:pPr>
        <w:pStyle w:val="TextBody"/>
        <w:spacing w:before="240" w:after="0"/>
        <w:jc w:val="left"/>
        <w:rPr>
          <w:rFonts w:ascii="Times New Roman" w:hAnsi="Times New Roman"/>
          <w:sz w:val="20"/>
        </w:rPr>
      </w:pPr>
      <w:r>
        <w:rPr>
          <w:rFonts w:ascii="Times New Roman" w:hAnsi="Times New Roman"/>
          <w:sz w:val="20"/>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hAnsi="Times New Roman"/>
          <w:b/>
          <w:sz w:val="20"/>
        </w:rPr>
        <w:t xml:space="preserve">FOR </w:t>
      </w:r>
      <w:r>
        <w:rPr>
          <w:rFonts w:ascii="Times New Roman" w:hAnsi="Times New Roman"/>
          <w:sz w:val="20"/>
        </w:rPr>
        <w:t xml:space="preserve">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 </w:t>
      </w:r>
    </w:p>
    <w:p>
      <w:pPr>
        <w:pStyle w:val="TextBody"/>
        <w:spacing w:before="240" w:after="0"/>
        <w:jc w:val="left"/>
        <w:rPr>
          <w:rFonts w:ascii="Times New Roman" w:hAnsi="Times New Roman"/>
          <w:sz w:val="20"/>
        </w:rPr>
      </w:pPr>
      <w:r>
        <w:rPr>
          <w:rFonts w:ascii="Times New Roman" w:hAnsi="Times New Roman"/>
          <w:sz w:val="20"/>
        </w:rPr>
        <w:t xml:space="preserve">The Special Meeting of Stockholders is being held for the following purpose: </w:t>
      </w:r>
    </w:p>
    <w:p>
      <w:pPr>
        <w:pStyle w:val="TextBody"/>
        <w:spacing w:before="24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Quorum, Effect of Abstentions and Broker Non-Votes, Vote Required to Approve the Proposal </w:t>
      </w:r>
    </w:p>
    <w:p>
      <w:pPr>
        <w:pStyle w:val="TextBody"/>
        <w:spacing w:before="120" w:after="0"/>
        <w:jc w:val="left"/>
        <w:rPr>
          <w:rFonts w:ascii="Times New Roman" w:hAnsi="Times New Roman"/>
          <w:sz w:val="20"/>
        </w:rPr>
      </w:pPr>
      <w:r>
        <w:rPr>
          <w:rFonts w:ascii="Times New Roman" w:hAnsi="Times New Roman"/>
          <w:sz w:val="20"/>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Times New Roman" w:hAnsi="Times New Roman"/>
          <w:b/>
          <w:sz w:val="20"/>
        </w:rPr>
        <w:t>For this reason, it is imperative that stockholders vote or provide instructions to their broker as to how to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 </w:t>
      </w:r>
    </w:p>
    <w:p>
      <w:pPr>
        <w:pStyle w:val="TextBody"/>
        <w:spacing w:before="360" w:after="0"/>
        <w:jc w:val="left"/>
        <w:rPr>
          <w:rFonts w:ascii="Times New Roman" w:hAnsi="Times New Roman"/>
          <w:b/>
          <w:sz w:val="20"/>
        </w:rPr>
      </w:pPr>
      <w:r>
        <w:rPr>
          <w:rFonts w:ascii="Times New Roman" w:hAnsi="Times New Roman"/>
          <w:b/>
          <w:sz w:val="20"/>
        </w:rPr>
        <w:t xml:space="preserve">Adjournment of Meeting </w:t>
      </w:r>
    </w:p>
    <w:p>
      <w:pPr>
        <w:pStyle w:val="TextBody"/>
        <w:spacing w:before="120" w:after="0"/>
        <w:jc w:val="left"/>
        <w:rPr>
          <w:rFonts w:ascii="Times New Roman" w:hAnsi="Times New Roman"/>
          <w:sz w:val="20"/>
        </w:rPr>
      </w:pPr>
      <w:r>
        <w:rPr>
          <w:rFonts w:ascii="Times New Roman" w:hAnsi="Times New Roman"/>
          <w:sz w:val="20"/>
        </w:rPr>
        <w:t xml:space="preserve">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 </w:t>
      </w:r>
    </w:p>
    <w:p>
      <w:pPr>
        <w:pStyle w:val="TextBody"/>
        <w:spacing w:before="240" w:after="0"/>
        <w:jc w:val="left"/>
        <w:rPr>
          <w:rFonts w:ascii="Times New Roman" w:hAnsi="Times New Roman"/>
          <w:sz w:val="20"/>
        </w:rPr>
      </w:pPr>
      <w:r>
        <w:rPr>
          <w:rFonts w:ascii="Times New Roman" w:hAnsi="Times New Roman"/>
          <w:sz w:val="20"/>
        </w:rPr>
        <w:t xml:space="preserve">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w:t>
      </w:r>
    </w:p>
    <w:p>
      <w:pPr>
        <w:pStyle w:val="TextBody"/>
        <w:spacing w:before="360" w:after="0"/>
        <w:jc w:val="left"/>
        <w:rPr>
          <w:rFonts w:ascii="Times New Roman" w:hAnsi="Times New Roman"/>
          <w:b/>
          <w:sz w:val="20"/>
        </w:rPr>
      </w:pPr>
      <w:r>
        <w:rPr>
          <w:rFonts w:ascii="Times New Roman" w:hAnsi="Times New Roman"/>
          <w:b/>
          <w:sz w:val="20"/>
        </w:rPr>
        <w:t xml:space="preserve">Proxies for the Meeting </w:t>
      </w:r>
    </w:p>
    <w:p>
      <w:pPr>
        <w:pStyle w:val="TextBody"/>
        <w:spacing w:before="120" w:after="0"/>
        <w:jc w:val="left"/>
        <w:rPr>
          <w:rFonts w:ascii="Times New Roman" w:hAnsi="Times New Roman"/>
          <w:sz w:val="20"/>
        </w:rPr>
      </w:pPr>
      <w:r>
        <w:rPr>
          <w:rFonts w:ascii="Times New Roman" w:hAnsi="Times New Roman"/>
          <w:sz w:val="20"/>
        </w:rPr>
        <w:t xml:space="preserve">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Other Information Regarding This Proxy </w:t>
      </w:r>
    </w:p>
    <w:p>
      <w:pPr>
        <w:pStyle w:val="TextBody"/>
        <w:spacing w:before="120" w:after="0"/>
        <w:jc w:val="left"/>
        <w:rPr>
          <w:rFonts w:ascii="Times New Roman" w:hAnsi="Times New Roman"/>
          <w:sz w:val="20"/>
        </w:rPr>
      </w:pPr>
      <w:r>
        <w:rPr>
          <w:rFonts w:ascii="Times New Roman" w:hAnsi="Times New Roman"/>
          <w:sz w:val="20"/>
        </w:rPr>
        <w:t xml:space="preserve">The Company will pay the expenses of soliciting proxies to be voted at the Meeting. The Company has retained Broadridge Investor Communication Solutions, Inc. to assist with the distribution and collection of proxies for a fee of approximately $75,000, plus reimbursement of expenses. </w:t>
      </w:r>
    </w:p>
    <w:p>
      <w:pPr>
        <w:pStyle w:val="TextBody"/>
        <w:spacing w:before="240" w:after="0"/>
        <w:jc w:val="left"/>
        <w:rPr>
          <w:rFonts w:ascii="Times New Roman" w:hAnsi="Times New Roman"/>
          <w:sz w:val="20"/>
        </w:rPr>
      </w:pPr>
      <w:r>
        <w:rPr>
          <w:rFonts w:ascii="Times New Roman" w:hAnsi="Times New Roman"/>
          <w:sz w:val="20"/>
        </w:rPr>
        <w:t xml:space="preserve">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 </w:t>
      </w:r>
    </w:p>
    <w:p>
      <w:pPr>
        <w:pStyle w:val="TextBody"/>
        <w:spacing w:before="240" w:after="0"/>
        <w:jc w:val="left"/>
        <w:rPr>
          <w:rFonts w:ascii="Times New Roman" w:hAnsi="Times New Roman"/>
          <w:sz w:val="20"/>
        </w:rPr>
      </w:pPr>
      <w:r>
        <w:rPr>
          <w:rFonts w:ascii="Times New Roman" w:hAnsi="Times New Roman"/>
          <w:sz w:val="20"/>
        </w:rPr>
        <w:t xml:space="preserve">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w:t>
      </w:r>
    </w:p>
    <w:p>
      <w:pPr>
        <w:pStyle w:val="TextBody"/>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spacing w:before="120" w:after="0"/>
        <w:jc w:val="left"/>
        <w:rPr>
          <w:rFonts w:ascii="Times New Roman" w:hAnsi="Times New Roman"/>
          <w:sz w:val="20"/>
        </w:rPr>
      </w:pPr>
      <w:r>
        <w:rPr>
          <w:rFonts w:ascii="Times New Roman" w:hAnsi="Times New Roman"/>
          <w:sz w:val="20"/>
        </w:rPr>
        <w:t xml:space="preserve">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 </w:t>
      </w:r>
    </w:p>
    <w:p>
      <w:pPr>
        <w:pStyle w:val="TextBody"/>
        <w:spacing w:before="240" w:after="0"/>
        <w:jc w:val="left"/>
        <w:rPr>
          <w:rFonts w:ascii="Times New Roman" w:hAnsi="Times New Roman"/>
          <w:sz w:val="20"/>
        </w:rPr>
      </w:pPr>
      <w:r>
        <w:rPr>
          <w:rFonts w:ascii="Times New Roman" w:hAnsi="Times New Roman"/>
          <w:sz w:val="20"/>
        </w:rPr>
        <w:t xml:space="preserve">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 </w:t>
      </w:r>
    </w:p>
    <w:p>
      <w:pPr>
        <w:pStyle w:val="TextBody"/>
        <w:spacing w:before="360" w:after="0"/>
        <w:jc w:val="left"/>
        <w:rPr>
          <w:rFonts w:ascii="Times New Roman" w:hAnsi="Times New Roman"/>
          <w:b/>
          <w:sz w:val="20"/>
        </w:rPr>
      </w:pPr>
      <w:r>
        <w:rPr>
          <w:rFonts w:ascii="Times New Roman" w:hAnsi="Times New Roman"/>
          <w:b/>
          <w:sz w:val="20"/>
        </w:rPr>
        <w:t xml:space="preserve">Contact Information for Proxy Solicitation </w:t>
      </w:r>
    </w:p>
    <w:p>
      <w:pPr>
        <w:pStyle w:val="TextBody"/>
        <w:spacing w:before="120" w:after="0"/>
        <w:jc w:val="left"/>
        <w:rPr>
          <w:rFonts w:ascii="Times New Roman" w:hAnsi="Times New Roman"/>
          <w:sz w:val="20"/>
        </w:rPr>
      </w:pPr>
      <w:r>
        <w:rPr>
          <w:rFonts w:ascii="Times New Roman" w:hAnsi="Times New Roman"/>
          <w:sz w:val="20"/>
        </w:rPr>
        <w:t xml:space="preserve">You can contact us by mail sent to the attention of the Secretary of the Company, Anton Brett, Sixth Street Specialty Lending, Inc., 888 7th Avenue, 41st Floor, New York, NY 10106, or by email at abrett@sixthstreet.com. You can call us by dialing 469-621-2033. You can access our proxy materials online at www.proxyvote.com. </w:t>
      </w:r>
    </w:p>
    <w:p>
      <w:pPr>
        <w:pStyle w:val="TextBody"/>
        <w:spacing w:before="360" w:after="0"/>
        <w:jc w:val="left"/>
        <w:rPr>
          <w:rFonts w:ascii="Times New Roman" w:hAnsi="Times New Roman"/>
          <w:b/>
          <w:sz w:val="20"/>
        </w:rPr>
      </w:pPr>
      <w:r>
        <w:rPr>
          <w:rFonts w:ascii="Times New Roman" w:hAnsi="Times New Roman"/>
          <w:b/>
          <w:sz w:val="20"/>
        </w:rPr>
        <w:t xml:space="preserve">Attendance and Participation </w:t>
      </w:r>
    </w:p>
    <w:p>
      <w:pPr>
        <w:pStyle w:val="TextBody"/>
        <w:spacing w:before="120" w:after="0"/>
        <w:jc w:val="left"/>
        <w:rPr>
          <w:rFonts w:ascii="Times New Roman" w:hAnsi="Times New Roman"/>
          <w:sz w:val="20"/>
        </w:rPr>
      </w:pPr>
      <w:r>
        <w:rPr>
          <w:rFonts w:ascii="Times New Roman" w:hAnsi="Times New Roman"/>
          <w:sz w:val="20"/>
        </w:rPr>
        <w:t xml:space="preserve">The Companys Meeting will be conducted in-person at the offices of Cleary Gottlieb Steen &amp; Hamilton LLP, One Liberty Plaza, 38th Floor, New York, NY 10006. Stockholders as of the close of business on March 31, 2023, the record date, are entitled to participate in and vote at the Meeting. If you have a question pertaining to the business of the Meeting, please submit it in accordance with the procedures described below. </w:t>
      </w:r>
    </w:p>
    <w:p>
      <w:pPr>
        <w:pStyle w:val="TextBody"/>
        <w:spacing w:before="240" w:after="0"/>
        <w:jc w:val="left"/>
        <w:rPr>
          <w:rFonts w:ascii="Times New Roman" w:hAnsi="Times New Roman"/>
          <w:sz w:val="20"/>
        </w:rPr>
      </w:pPr>
      <w:r>
        <w:rPr>
          <w:rFonts w:ascii="Times New Roman" w:hAnsi="Times New Roman"/>
          <w:sz w:val="20"/>
        </w:rPr>
        <w:t xml:space="preserve">To participate in the Meeting, you will need the 16-digit control number included on your proxy card, your voting instruction form, or the Notice of Internet Availability of Proxy Materials previously mailed or made available to stockholders entitled to vote at the Meeting. </w:t>
      </w:r>
    </w:p>
    <w:p>
      <w:pPr>
        <w:pStyle w:val="TextBody"/>
        <w:spacing w:before="240" w:after="0"/>
        <w:jc w:val="left"/>
        <w:rPr>
          <w:rFonts w:ascii="Times New Roman" w:hAnsi="Times New Roman"/>
          <w:sz w:val="20"/>
        </w:rPr>
      </w:pPr>
      <w:r>
        <w:rPr>
          <w:rFonts w:ascii="Times New Roman" w:hAnsi="Times New Roman"/>
          <w:sz w:val="20"/>
        </w:rPr>
        <w:t xml:space="preserve">In-person admission to the Meeting will be on a first-come, first served basis. Please bring proof of your common share ownership, such as a current brokerage statement and photo identification. If you are representing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 </w:t>
      </w:r>
    </w:p>
    <w:p>
      <w:pPr>
        <w:pStyle w:val="TextBody"/>
        <w:spacing w:before="240" w:after="0"/>
        <w:jc w:val="left"/>
        <w:rPr>
          <w:rFonts w:ascii="Times New Roman" w:hAnsi="Times New Roman"/>
          <w:sz w:val="20"/>
        </w:rPr>
      </w:pPr>
      <w:r>
        <w:rPr>
          <w:rFonts w:ascii="Times New Roman" w:hAnsi="Times New Roman"/>
          <w:sz w:val="20"/>
        </w:rPr>
        <w:t xml:space="preserve">The Annual Meeting of Stockholders will begin promptly at 9:30 a.m., Eastern Time, and the Special Meeting of Stockholders will begin promptly at 10:00 a.m., Eastern Time. Participants should allow plenty of time to check in prior to the start of the meetings. </w:t>
      </w:r>
    </w:p>
    <w:p>
      <w:pPr>
        <w:pStyle w:val="TextBody"/>
        <w:spacing w:before="240" w:after="0"/>
        <w:jc w:val="left"/>
        <w:rPr>
          <w:rFonts w:ascii="Times New Roman" w:hAnsi="Times New Roman"/>
          <w:sz w:val="20"/>
        </w:rPr>
      </w:pPr>
      <w:r>
        <w:rPr>
          <w:rFonts w:ascii="Times New Roman" w:hAnsi="Times New Roman"/>
          <w:sz w:val="20"/>
        </w:rPr>
        <w:t xml:space="preserve">You can vote in person at the Meeting. If you hold your shares in street name, you must obtain a proxy from the record holder to vote in person. </w:t>
      </w:r>
    </w:p>
    <w:p>
      <w:pPr>
        <w:pStyle w:val="TextBody"/>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spacing w:before="120" w:after="0"/>
        <w:jc w:val="left"/>
        <w:rPr>
          <w:rFonts w:ascii="Times New Roman" w:hAnsi="Times New Roman"/>
          <w:sz w:val="20"/>
        </w:rPr>
      </w:pPr>
      <w:r>
        <w:rPr>
          <w:rFonts w:ascii="Times New Roman" w:hAnsi="Times New Roman"/>
          <w:sz w:val="20"/>
        </w:rPr>
        <w:t xml:space="preserve">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 </w:t>
      </w:r>
    </w:p>
    <w:p>
      <w:pPr>
        <w:pStyle w:val="TextBody"/>
        <w:spacing w:before="360" w:after="0"/>
        <w:jc w:val="left"/>
        <w:rPr>
          <w:rFonts w:ascii="Times New Roman" w:hAnsi="Times New Roman"/>
          <w:b/>
          <w:sz w:val="20"/>
        </w:rPr>
      </w:pPr>
      <w:r>
        <w:rPr>
          <w:rFonts w:ascii="Times New Roman" w:hAnsi="Times New Roman"/>
          <w:b/>
          <w:sz w:val="20"/>
        </w:rPr>
        <w:t xml:space="preserve">Stockholder List </w:t>
      </w:r>
    </w:p>
    <w:p>
      <w:pPr>
        <w:pStyle w:val="TextBody"/>
        <w:spacing w:before="120" w:after="0"/>
        <w:jc w:val="left"/>
        <w:rPr>
          <w:rFonts w:ascii="Times New Roman" w:hAnsi="Times New Roman"/>
          <w:sz w:val="20"/>
        </w:rPr>
      </w:pPr>
      <w:r>
        <w:rPr>
          <w:rFonts w:ascii="Times New Roman" w:hAnsi="Times New Roman"/>
          <w:sz w:val="20"/>
        </w:rPr>
        <w:t xml:space="preserve">The list of our stockholders of record entitled to vote at the Meeting will be made available for viewing by stockholders at the Meeting for any purpose germane to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393322_2"/>
      <w:bookmarkEnd w:id="4"/>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2023,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 </w:t>
      </w:r>
    </w:p>
    <w:p>
      <w:pPr>
        <w:pStyle w:val="TextBody"/>
        <w:spacing w:before="240" w:after="0"/>
        <w:jc w:val="left"/>
        <w:rPr>
          <w:rFonts w:ascii="Times New Roman" w:hAnsi="Times New Roman"/>
          <w:sz w:val="20"/>
        </w:rPr>
      </w:pPr>
      <w:r>
        <w:rPr>
          <w:rFonts w:ascii="Times New Roman" w:hAnsi="Times New Roman"/>
          <w:sz w:val="20"/>
        </w:rPr>
        <w:t xml:space="preserve">The percentage ownership is based on 81,751,865 shares of common stock outstanding as of March 31, 2023.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283"/>
        <w:gridCol w:w="348"/>
        <w:gridCol w:w="68"/>
        <w:gridCol w:w="1170"/>
        <w:gridCol w:w="60"/>
        <w:gridCol w:w="348"/>
        <w:gridCol w:w="187"/>
        <w:gridCol w:w="1013"/>
        <w:gridCol w:w="278"/>
      </w:tblGrid>
      <w:tr>
        <w:trPr/>
        <w:tc>
          <w:tcPr>
            <w:tcW w:w="4283"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4283"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Individual or Identity of Group</w:t>
            </w:r>
          </w:p>
        </w:tc>
        <w:tc>
          <w:tcPr>
            <w:tcW w:w="348" w:type="dxa"/>
            <w:tcBorders/>
            <w:shd w:fill="auto" w:val="clear"/>
            <w:vAlign w:val="bottom"/>
          </w:tcPr>
          <w:p>
            <w:pPr>
              <w:pStyle w:val="TableContents"/>
              <w:spacing w:before="0" w:after="283"/>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Shares of</w:t>
            </w:r>
            <w:r>
              <w:rPr/>
              <w:br/>
            </w:r>
            <w:r>
              <w:rPr>
                <w:b/>
              </w:rPr>
              <w:t>Common  Stock</w:t>
            </w:r>
            <w:r>
              <w:rPr/>
              <w:br/>
            </w:r>
            <w:r>
              <w:rPr>
                <w:b/>
              </w:rPr>
              <w:t>Beneficially</w:t>
            </w:r>
            <w:r>
              <w:rPr/>
              <w:br/>
            </w:r>
            <w:r>
              <w:rPr>
                <w:b/>
              </w:rPr>
              <w:t>Owned(1)</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Percent of</w:t>
            </w:r>
            <w:r>
              <w:rPr/>
              <w:br/>
            </w:r>
            <w:r>
              <w:rPr>
                <w:b/>
              </w:rPr>
              <w:t>Common</w:t>
            </w:r>
            <w:r>
              <w:rPr/>
              <w:br/>
            </w:r>
            <w:r>
              <w:rPr>
                <w:b/>
              </w:rPr>
              <w:t>Stock</w:t>
            </w:r>
            <w:r>
              <w:rPr/>
              <w:br/>
            </w:r>
            <w:r>
              <w:rPr>
                <w:b/>
              </w:rPr>
              <w:t>Beneficially</w:t>
            </w:r>
            <w:r>
              <w:rPr/>
              <w:br/>
            </w:r>
            <w:r>
              <w:rPr>
                <w:b/>
              </w:rPr>
              <w:t>Owned(1)</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b/>
                <w:sz w:val="20"/>
              </w:rPr>
            </w:pPr>
            <w:r>
              <w:rPr>
                <w:rFonts w:ascii="Times New Roman" w:hAnsi="Times New Roman"/>
                <w:b/>
                <w:sz w:val="20"/>
              </w:rPr>
              <w:t>Directors and Executive Officers:</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117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13"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4283" w:type="dxa"/>
            <w:tcBorders/>
            <w:shd w:fill="auto" w:val="clear"/>
          </w:tcPr>
          <w:p>
            <w:pPr>
              <w:pStyle w:val="TableContents"/>
              <w:spacing w:before="0" w:after="0"/>
              <w:rPr>
                <w:rFonts w:ascii="Times New Roman" w:hAnsi="Times New Roman"/>
                <w:i/>
                <w:sz w:val="20"/>
              </w:rPr>
            </w:pPr>
            <w:r>
              <w:rPr>
                <w:rFonts w:ascii="Times New Roman" w:hAnsi="Times New Roman"/>
                <w:i/>
                <w:sz w:val="20"/>
              </w:rPr>
              <w:t>Interested Directors</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013"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r>
      <w:tr>
        <w:trPr/>
        <w:tc>
          <w:tcPr>
            <w:tcW w:w="4283" w:type="dxa"/>
            <w:tcBorders/>
            <w:shd w:fill="CCEEFF" w:val="clear"/>
          </w:tcPr>
          <w:p>
            <w:pPr>
              <w:pStyle w:val="TableContents"/>
              <w:spacing w:before="0" w:after="0"/>
              <w:rPr>
                <w:rFonts w:ascii="Times New Roman" w:hAnsi="Times New Roman"/>
                <w:sz w:val="20"/>
              </w:rPr>
            </w:pPr>
            <w:r>
              <w:rPr>
                <w:rFonts w:ascii="Times New Roman" w:hAnsi="Times New Roman"/>
                <w:sz w:val="20"/>
              </w:rPr>
              <w:t>Joshua Easterly (Director Nominee) (2)</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56,355</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0.1</w:t>
            </w:r>
          </w:p>
        </w:tc>
        <w:tc>
          <w:tcPr>
            <w:tcW w:w="278" w:type="dxa"/>
            <w:tcBorders/>
            <w:shd w:fill="CCEEFF" w:val="clear"/>
            <w:vAlign w:val="bottom"/>
          </w:tcPr>
          <w:p>
            <w:pPr>
              <w:pStyle w:val="TableContents"/>
              <w:spacing w:before="0" w:after="283"/>
              <w:rPr/>
            </w:pPr>
            <w:r>
              <w:rPr/>
              <w:t>% </w:t>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Michael Fishman (Director Nominee) (3)</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36,366</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sz w:val="20"/>
              </w:rPr>
            </w:pPr>
            <w:r>
              <w:rPr>
                <w:rFonts w:ascii="Times New Roman" w:hAnsi="Times New Roman"/>
                <w:sz w:val="20"/>
              </w:rPr>
              <w:t>Jennifer Gordon</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2,500</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David Stiepleman (4)</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11,079</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i/>
                <w:sz w:val="20"/>
              </w:rPr>
            </w:pPr>
            <w:r>
              <w:rPr>
                <w:rFonts w:ascii="Times New Roman" w:hAnsi="Times New Roman"/>
                <w:i/>
                <w:sz w:val="20"/>
              </w:rPr>
              <w:t>Independent Directors</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117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13"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Hurley Doddy (Director Nominee)</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20,087</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sz w:val="20"/>
              </w:rPr>
            </w:pPr>
            <w:r>
              <w:rPr>
                <w:rFonts w:ascii="Times New Roman" w:hAnsi="Times New Roman"/>
                <w:sz w:val="20"/>
              </w:rPr>
              <w:t>Richard Higginbotham</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29,000</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John Ross</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35,000</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sz w:val="20"/>
              </w:rPr>
            </w:pPr>
            <w:r>
              <w:rPr>
                <w:rFonts w:ascii="Times New Roman" w:hAnsi="Times New Roman"/>
                <w:sz w:val="20"/>
              </w:rPr>
              <w:t>Judy Slotkin</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10,005</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Ronald Tanemura</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86,516</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0.1</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i/>
                <w:sz w:val="20"/>
              </w:rPr>
            </w:pPr>
            <w:r>
              <w:rPr>
                <w:rFonts w:ascii="Times New Roman" w:hAnsi="Times New Roman"/>
                <w:i/>
                <w:sz w:val="20"/>
              </w:rPr>
              <w:t>Named Executive Officers Who Are Not Directors</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117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13"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Ian Simmonds</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5,351</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4283" w:type="dxa"/>
            <w:tcBorders/>
            <w:shd w:fill="CCEEFF" w:val="clear"/>
          </w:tcPr>
          <w:p>
            <w:pPr>
              <w:pStyle w:val="TableContents"/>
              <w:spacing w:before="0" w:after="0"/>
              <w:rPr>
                <w:rFonts w:ascii="Times New Roman" w:hAnsi="Times New Roman"/>
                <w:sz w:val="20"/>
              </w:rPr>
            </w:pPr>
            <w:r>
              <w:rPr>
                <w:rFonts w:ascii="Times New Roman" w:hAnsi="Times New Roman"/>
                <w:sz w:val="20"/>
              </w:rPr>
              <w:t>Robert (Bo) Stanley (5)</w:t>
            </w:r>
          </w:p>
        </w:tc>
        <w:tc>
          <w:tcPr>
            <w:tcW w:w="34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14,907</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4283" w:type="dxa"/>
            <w:tcBorders/>
            <w:shd w:fill="auto" w:val="clear"/>
          </w:tcPr>
          <w:p>
            <w:pPr>
              <w:pStyle w:val="TableContents"/>
              <w:spacing w:before="0" w:after="0"/>
              <w:rPr>
                <w:rFonts w:ascii="Times New Roman" w:hAnsi="Times New Roman"/>
                <w:sz w:val="20"/>
              </w:rPr>
            </w:pPr>
            <w:r>
              <w:rPr>
                <w:rFonts w:ascii="Times New Roman" w:hAnsi="Times New Roman"/>
                <w:sz w:val="20"/>
              </w:rPr>
              <w:t>All Directors and Executive Officers as a Group (17 persons) (6)(7)</w:t>
            </w:r>
          </w:p>
        </w:tc>
        <w:tc>
          <w:tcPr>
            <w:tcW w:w="34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2,997,671</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3.7</w:t>
            </w:r>
          </w:p>
        </w:tc>
        <w:tc>
          <w:tcPr>
            <w:tcW w:w="278"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less than 0.1%.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18,792 shares of common stock beneficially owned by Mr. Easterly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36,366 shares of common stock beneficially owned by Mr. Fishman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5,544 shares of common stock beneficially owned by Mr. Stiepleman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3,907 shares of common stock beneficially owned by Mr. Stanley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Sixth Street Specialty Lending Advisers, LLC holds 2,714,226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393322_3"/>
      <w:bookmarkEnd w:id="5"/>
      <w:r>
        <w:rPr>
          <w:rFonts w:ascii="Times New Roman" w:hAnsi="Times New Roman"/>
          <w:b/>
          <w:sz w:val="20"/>
        </w:rPr>
        <w:t xml:space="preserve">PROPOSAL NO. 1 </w:t>
      </w:r>
    </w:p>
    <w:p>
      <w:pPr>
        <w:pStyle w:val="TextBody"/>
        <w:spacing w:before="0" w:after="0"/>
        <w:jc w:val="center"/>
        <w:rPr>
          <w:rFonts w:ascii="Times New Roman" w:hAnsi="Times New Roman"/>
          <w:b/>
          <w:sz w:val="20"/>
        </w:rPr>
      </w:pPr>
      <w:r>
        <w:rPr>
          <w:rFonts w:ascii="Times New Roman" w:hAnsi="Times New Roman"/>
          <w:b/>
          <w:sz w:val="20"/>
        </w:rPr>
        <w:t xml:space="preserve">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 </w:t>
      </w:r>
    </w:p>
    <w:p>
      <w:pPr>
        <w:pStyle w:val="TextBody"/>
        <w:spacing w:before="240" w:after="0"/>
        <w:jc w:val="left"/>
        <w:rPr>
          <w:rFonts w:ascii="Times New Roman" w:hAnsi="Times New Roman"/>
          <w:sz w:val="20"/>
        </w:rPr>
      </w:pPr>
      <w:r>
        <w:rPr>
          <w:rFonts w:ascii="Times New Roman" w:hAnsi="Times New Roman"/>
          <w:sz w:val="20"/>
        </w:rPr>
        <w:t xml:space="preserve">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 </w:t>
      </w:r>
    </w:p>
    <w:p>
      <w:pPr>
        <w:pStyle w:val="TextBody"/>
        <w:spacing w:before="240" w:after="0"/>
        <w:jc w:val="left"/>
        <w:rPr>
          <w:rFonts w:ascii="Times New Roman" w:hAnsi="Times New Roman"/>
          <w:sz w:val="20"/>
        </w:rPr>
      </w:pPr>
      <w:r>
        <w:rPr>
          <w:rFonts w:ascii="Times New Roman" w:hAnsi="Times New Roman"/>
          <w:sz w:val="20"/>
        </w:rPr>
        <w:t xml:space="preserve">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 </w:t>
      </w:r>
    </w:p>
    <w:p>
      <w:pPr>
        <w:pStyle w:val="TextBody"/>
        <w:spacing w:before="240" w:after="0"/>
        <w:jc w:val="left"/>
        <w:rPr>
          <w:rFonts w:ascii="Times New Roman" w:hAnsi="Times New Roman"/>
          <w:sz w:val="20"/>
        </w:rPr>
      </w:pPr>
      <w:r>
        <w:rPr>
          <w:rFonts w:ascii="Times New Roman" w:hAnsi="Times New Roman"/>
          <w:sz w:val="20"/>
        </w:rPr>
        <w:t xml:space="preserve">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 </w:t>
      </w:r>
    </w:p>
    <w:p>
      <w:pPr>
        <w:pStyle w:val="TextBody"/>
        <w:spacing w:before="240" w:after="0"/>
        <w:jc w:val="left"/>
        <w:rPr>
          <w:rFonts w:ascii="Times New Roman" w:hAnsi="Times New Roman"/>
          <w:sz w:val="20"/>
        </w:rPr>
      </w:pPr>
      <w:r>
        <w:rPr>
          <w:rFonts w:ascii="Times New Roman" w:hAnsi="Times New Roman"/>
          <w:sz w:val="20"/>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hAnsi="Times New Roman"/>
          <w:b/>
          <w:sz w:val="20"/>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Times New Roman" w:hAnsi="Times New Roman"/>
          <w:sz w:val="20"/>
        </w:rPr>
        <w:t xml:space="preserve"> Except for such authorizations as otherwise may be required with respect to a particular issuance under applicable law, New York Stock 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 </w:t>
      </w:r>
    </w:p>
    <w:p>
      <w:pPr>
        <w:pStyle w:val="TextBody"/>
        <w:spacing w:before="240" w:after="0"/>
        <w:jc w:val="left"/>
        <w:rPr>
          <w:rFonts w:ascii="Times New Roman" w:hAnsi="Times New Roman"/>
          <w:sz w:val="20"/>
        </w:rPr>
      </w:pPr>
      <w:r>
        <w:rPr>
          <w:rFonts w:ascii="Times New Roman" w:hAnsi="Times New Roman"/>
          <w:sz w:val="20"/>
        </w:rPr>
        <w:t xml:space="preserve">To date, the Company has not issued shares below NAV under prior authorization granted from stockholders, but it may do so in the future pursuant to the authority granted in this proxy.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Conditions to Sales Below NAV </w:t>
      </w:r>
    </w:p>
    <w:p>
      <w:pPr>
        <w:pStyle w:val="TextBody"/>
        <w:spacing w:before="120" w:after="0"/>
        <w:jc w:val="left"/>
        <w:rPr>
          <w:rFonts w:ascii="Times New Roman" w:hAnsi="Times New Roman"/>
          <w:sz w:val="20"/>
        </w:rPr>
      </w:pPr>
      <w:r>
        <w:rPr>
          <w:rFonts w:ascii="Times New Roman" w:hAnsi="Times New Roman"/>
          <w:sz w:val="20"/>
        </w:rPr>
        <w:t xml:space="preserve">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required majority of the Companys directors have determined that any such sale would be in the best interests of the Company and its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to be issued does not exceed 25% of the Companys then-outstanding common stock immediately prior to each such offering. </w:t>
            </w:r>
          </w:p>
        </w:tc>
      </w:tr>
    </w:tbl>
    <w:p>
      <w:pPr>
        <w:pStyle w:val="TextBody"/>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 </w:t>
      </w:r>
    </w:p>
    <w:p>
      <w:pPr>
        <w:pStyle w:val="TextBody"/>
        <w:spacing w:before="360" w:after="0"/>
        <w:jc w:val="left"/>
        <w:rPr>
          <w:rFonts w:ascii="Times New Roman" w:hAnsi="Times New Roman"/>
          <w:b/>
          <w:sz w:val="20"/>
        </w:rPr>
      </w:pPr>
      <w:r>
        <w:rPr>
          <w:rFonts w:ascii="Times New Roman" w:hAnsi="Times New Roman"/>
          <w:b/>
          <w:sz w:val="20"/>
        </w:rPr>
        <w:t xml:space="preserve">Board Approval </w:t>
      </w:r>
    </w:p>
    <w:p>
      <w:pPr>
        <w:pStyle w:val="TextBody"/>
        <w:spacing w:before="120" w:after="0"/>
        <w:jc w:val="left"/>
        <w:rPr>
          <w:rFonts w:ascii="Times New Roman" w:hAnsi="Times New Roman"/>
          <w:sz w:val="20"/>
        </w:rPr>
      </w:pPr>
      <w:r>
        <w:rPr>
          <w:rFonts w:ascii="Times New Roman" w:hAnsi="Times New Roman"/>
          <w:sz w:val="20"/>
        </w:rPr>
        <w:t xml:space="preserve">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 </w:t>
      </w:r>
    </w:p>
    <w:p>
      <w:pPr>
        <w:pStyle w:val="TextBody"/>
        <w:spacing w:before="240" w:after="0"/>
        <w:jc w:val="left"/>
        <w:rPr>
          <w:rFonts w:ascii="Times New Roman" w:hAnsi="Times New Roman"/>
          <w:sz w:val="20"/>
        </w:rPr>
      </w:pPr>
      <w:r>
        <w:rPr>
          <w:rFonts w:ascii="Times New Roman" w:hAnsi="Times New Roman"/>
          <w:sz w:val="20"/>
        </w:rPr>
        <w:t xml:space="preserve">Upon obtaining the requisite stockholder approval, the Company will comply with the conditions described above in connection with any offering undertaken pursuant to this proposal. See below for a discussion of the risks of dilution. </w:t>
      </w:r>
    </w:p>
    <w:p>
      <w:pPr>
        <w:pStyle w:val="TextBody"/>
        <w:spacing w:before="360" w:after="0"/>
        <w:jc w:val="left"/>
        <w:rPr>
          <w:rFonts w:ascii="Times New Roman" w:hAnsi="Times New Roman"/>
          <w:b/>
          <w:sz w:val="20"/>
        </w:rPr>
      </w:pPr>
      <w:r>
        <w:rPr>
          <w:rFonts w:ascii="Times New Roman" w:hAnsi="Times New Roman"/>
          <w:b/>
          <w:sz w:val="20"/>
        </w:rPr>
        <w:t xml:space="preserve">Background and Reasons to Offer Common Stock Below NAV </w:t>
      </w:r>
    </w:p>
    <w:p>
      <w:pPr>
        <w:pStyle w:val="TextBody"/>
        <w:spacing w:before="120" w:after="0"/>
        <w:jc w:val="left"/>
        <w:rPr>
          <w:rFonts w:ascii="Times New Roman" w:hAnsi="Times New Roman"/>
          <w:sz w:val="20"/>
        </w:rPr>
      </w:pPr>
      <w:r>
        <w:rPr>
          <w:rFonts w:ascii="Times New Roman" w:hAnsi="Times New Roman"/>
          <w:sz w:val="20"/>
        </w:rPr>
        <w:t xml:space="preserve">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 </w:t>
      </w:r>
    </w:p>
    <w:p>
      <w:pPr>
        <w:pStyle w:val="TextBody"/>
        <w:spacing w:before="360" w:after="0"/>
        <w:jc w:val="left"/>
        <w:rPr>
          <w:rFonts w:ascii="Times New Roman" w:hAnsi="Times New Roman"/>
          <w:b/>
          <w:i/>
          <w:sz w:val="20"/>
        </w:rPr>
      </w:pPr>
      <w:r>
        <w:rPr>
          <w:rFonts w:ascii="Times New Roman" w:hAnsi="Times New Roman"/>
          <w:b/>
          <w:i/>
          <w:sz w:val="20"/>
        </w:rPr>
        <w:t xml:space="preserve">Market Conditions Have Created, and May in the Future Create, Attractive Investment and Acquisition Opportunities </w:t>
      </w:r>
    </w:p>
    <w:p>
      <w:pPr>
        <w:pStyle w:val="TextBody"/>
        <w:spacing w:before="120" w:after="0"/>
        <w:jc w:val="left"/>
        <w:rPr>
          <w:rFonts w:ascii="Times New Roman" w:hAnsi="Times New Roman"/>
          <w:sz w:val="20"/>
        </w:rPr>
      </w:pPr>
      <w:r>
        <w:rPr>
          <w:rFonts w:ascii="Times New Roman" w:hAnsi="Times New Roman"/>
          <w:sz w:val="20"/>
        </w:rPr>
        <w:t xml:space="preserve">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 </w:t>
      </w:r>
    </w:p>
    <w:p>
      <w:pPr>
        <w:pStyle w:val="TextBody"/>
        <w:spacing w:before="240" w:after="0"/>
        <w:jc w:val="left"/>
        <w:rPr>
          <w:rFonts w:ascii="Times New Roman" w:hAnsi="Times New Roman"/>
          <w:sz w:val="20"/>
        </w:rPr>
      </w:pPr>
      <w:r>
        <w:rPr>
          <w:rFonts w:ascii="Times New Roman" w:hAnsi="Times New Roman"/>
          <w:sz w:val="20"/>
        </w:rPr>
        <w:t xml:space="preserve">Since the events of 2008 and 2009, there have been continuing periods of volatility, some lasting longer and with a greater degree of magnitude than others, including recent market conditions, including those driven by the impact of COVID-19, and the widespread interruption to the functioning of the U.S. and global economies and recent market volatility driven by instability in the banking sector. In addition to the recent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 </w:t>
      </w:r>
    </w:p>
    <w:p>
      <w:pPr>
        <w:pStyle w:val="TextBody"/>
        <w:spacing w:before="360" w:after="0"/>
        <w:jc w:val="left"/>
        <w:rPr>
          <w:rFonts w:ascii="Times New Roman" w:hAnsi="Times New Roman"/>
          <w:b/>
          <w:i/>
          <w:sz w:val="20"/>
        </w:rPr>
      </w:pPr>
      <w:r>
        <w:rPr>
          <w:rFonts w:ascii="Times New Roman" w:hAnsi="Times New Roman"/>
          <w:b/>
          <w:i/>
          <w:sz w:val="20"/>
        </w:rPr>
        <w:t xml:space="preserve">Greater Investment Opportunities Due to Larger Capital Resources </w:t>
      </w:r>
    </w:p>
    <w:p>
      <w:pPr>
        <w:pStyle w:val="TextBody"/>
        <w:spacing w:before="120" w:after="0"/>
        <w:jc w:val="left"/>
        <w:rPr>
          <w:rFonts w:ascii="Times New Roman" w:hAnsi="Times New Roman"/>
          <w:sz w:val="20"/>
        </w:rPr>
      </w:pPr>
      <w:r>
        <w:rPr>
          <w:rFonts w:ascii="Times New Roman" w:hAnsi="Times New Roman"/>
          <w:sz w:val="20"/>
        </w:rPr>
        <w:t xml:space="preserve">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 </w:t>
      </w:r>
    </w:p>
    <w:p>
      <w:pPr>
        <w:pStyle w:val="TextBody"/>
        <w:spacing w:before="360" w:after="0"/>
        <w:jc w:val="left"/>
        <w:rPr>
          <w:rFonts w:ascii="Times New Roman" w:hAnsi="Times New Roman"/>
          <w:b/>
          <w:i/>
          <w:sz w:val="20"/>
        </w:rPr>
      </w:pPr>
      <w:r>
        <w:rPr>
          <w:rFonts w:ascii="Times New Roman" w:hAnsi="Times New Roman"/>
          <w:b/>
          <w:i/>
          <w:sz w:val="20"/>
        </w:rPr>
        <w:t xml:space="preserve">Higher Market Capitalization and Liquidity May Make the Companys Common Stock More Attractive to Investors </w:t>
      </w:r>
    </w:p>
    <w:p>
      <w:pPr>
        <w:pStyle w:val="TextBody"/>
        <w:spacing w:before="120" w:after="0"/>
        <w:jc w:val="left"/>
        <w:rPr>
          <w:rFonts w:ascii="Times New Roman" w:hAnsi="Times New Roman"/>
          <w:sz w:val="20"/>
        </w:rPr>
      </w:pPr>
      <w:r>
        <w:rPr>
          <w:rFonts w:ascii="Times New Roman" w:hAnsi="Times New Roman"/>
          <w:sz w:val="20"/>
        </w:rPr>
        <w:t xml:space="preserve">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 </w:t>
      </w:r>
    </w:p>
    <w:p>
      <w:pPr>
        <w:pStyle w:val="TextBody"/>
        <w:spacing w:before="360" w:after="0"/>
        <w:jc w:val="left"/>
        <w:rPr>
          <w:rFonts w:ascii="Times New Roman" w:hAnsi="Times New Roman"/>
          <w:b/>
          <w:i/>
          <w:sz w:val="20"/>
        </w:rPr>
      </w:pPr>
      <w:r>
        <w:rPr>
          <w:rFonts w:ascii="Times New Roman" w:hAnsi="Times New Roman"/>
          <w:b/>
          <w:i/>
          <w:sz w:val="20"/>
        </w:rPr>
        <w:t xml:space="preserve">Maintenance or Possible Increase of Dividends </w:t>
      </w:r>
    </w:p>
    <w:p>
      <w:pPr>
        <w:pStyle w:val="TextBody"/>
        <w:spacing w:before="120" w:after="0"/>
        <w:jc w:val="left"/>
        <w:rPr>
          <w:rFonts w:ascii="Times New Roman" w:hAnsi="Times New Roman"/>
          <w:sz w:val="20"/>
        </w:rPr>
      </w:pPr>
      <w:r>
        <w:rPr>
          <w:rFonts w:ascii="Times New Roman" w:hAnsi="Times New Roman"/>
          <w:sz w:val="20"/>
        </w:rPr>
        <w:t xml:space="preserve">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2022, the Company declared total dividends of $1.82 per share of its common stock (including a fourth quarter supplemental dividend of $0.09 declared in the first quarter of 2023). Although the Company will continue to seek to generate income sufficient to pay dividends in the future, the proceeds of future offerings, and the investments thereof, could enable the Company to maintain and possibly grow its dividends, which may include a return of capital. </w:t>
      </w:r>
    </w:p>
    <w:p>
      <w:pPr>
        <w:pStyle w:val="TextBody"/>
        <w:spacing w:before="360" w:after="0"/>
        <w:jc w:val="left"/>
        <w:rPr>
          <w:rFonts w:ascii="Times New Roman" w:hAnsi="Times New Roman"/>
          <w:b/>
          <w:i/>
          <w:sz w:val="20"/>
        </w:rPr>
      </w:pPr>
      <w:r>
        <w:rPr>
          <w:rFonts w:ascii="Times New Roman" w:hAnsi="Times New Roman"/>
          <w:b/>
          <w:i/>
          <w:sz w:val="20"/>
        </w:rPr>
        <w:t xml:space="preserve">Reduced Expenses Per Share </w:t>
      </w:r>
    </w:p>
    <w:p>
      <w:pPr>
        <w:pStyle w:val="TextBody"/>
        <w:spacing w:before="120" w:after="0"/>
        <w:jc w:val="left"/>
        <w:rPr>
          <w:rFonts w:ascii="Times New Roman" w:hAnsi="Times New Roman"/>
          <w:sz w:val="20"/>
        </w:rPr>
      </w:pPr>
      <w:r>
        <w:rPr>
          <w:rFonts w:ascii="Times New Roman" w:hAnsi="Times New Roman"/>
          <w:sz w:val="20"/>
        </w:rPr>
        <w:t xml:space="preserve">An offering that increases the Companys total assets may reduce its overall expenses per share due to the spreading of fixed expenses over a larger asset base. The Company must bear certain fixed expenses, such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certain administrative, governance and compliance costs that do not generally vary based on its size. On a per share basis, these fixed expenses will be reduced when supported by a larger asset base. </w:t>
      </w:r>
    </w:p>
    <w:p>
      <w:pPr>
        <w:pStyle w:val="TextBody"/>
        <w:spacing w:before="360" w:after="0"/>
        <w:jc w:val="left"/>
        <w:rPr>
          <w:rFonts w:ascii="Times New Roman" w:hAnsi="Times New Roman"/>
          <w:b/>
          <w:i/>
          <w:sz w:val="20"/>
        </w:rPr>
      </w:pPr>
      <w:r>
        <w:rPr>
          <w:rFonts w:ascii="Times New Roman" w:hAnsi="Times New Roman"/>
          <w:b/>
          <w:i/>
          <w:sz w:val="20"/>
        </w:rPr>
        <w:t xml:space="preserve">Status as a BDC and RIC and Maintaining a Favorable Debt-to-Equity Ratio </w:t>
      </w:r>
    </w:p>
    <w:p>
      <w:pPr>
        <w:pStyle w:val="TextBody"/>
        <w:spacing w:before="120" w:after="0"/>
        <w:jc w:val="left"/>
        <w:rPr>
          <w:rFonts w:ascii="Times New Roman" w:hAnsi="Times New Roman"/>
          <w:sz w:val="20"/>
        </w:rPr>
      </w:pPr>
      <w:r>
        <w:rPr>
          <w:rFonts w:ascii="Times New Roman" w:hAnsi="Times New Roman"/>
          <w:sz w:val="20"/>
        </w:rPr>
        <w:t xml:space="preserve">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 </w:t>
      </w:r>
    </w:p>
    <w:p>
      <w:pPr>
        <w:pStyle w:val="TextBody"/>
        <w:spacing w:before="240" w:after="0"/>
        <w:jc w:val="left"/>
        <w:rPr>
          <w:rFonts w:ascii="Times New Roman" w:hAnsi="Times New Roman"/>
          <w:sz w:val="20"/>
        </w:rPr>
      </w:pPr>
      <w:r>
        <w:rPr>
          <w:rFonts w:ascii="Times New Roman" w:hAnsi="Times New Roman"/>
          <w:sz w:val="20"/>
        </w:rPr>
        <w:t xml:space="preserve">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 </w:t>
      </w:r>
    </w:p>
    <w:p>
      <w:pPr>
        <w:pStyle w:val="TextBody"/>
        <w:spacing w:before="360" w:after="0"/>
        <w:jc w:val="left"/>
        <w:rPr>
          <w:rFonts w:ascii="Times New Roman" w:hAnsi="Times New Roman"/>
          <w:b/>
          <w:i/>
          <w:sz w:val="20"/>
        </w:rPr>
      </w:pPr>
      <w:r>
        <w:rPr>
          <w:rFonts w:ascii="Times New Roman" w:hAnsi="Times New Roman"/>
          <w:b/>
          <w:i/>
          <w:sz w:val="20"/>
        </w:rPr>
        <w:t xml:space="preserve">Trading History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March 31, 2023, the last reported closing sales price of the Companys common stock on the NYSE was $18.30 per share, which represented a premium of approximately 11.0% to the NAV reported by the Company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57"/>
        <w:gridCol w:w="175"/>
        <w:gridCol w:w="140"/>
        <w:gridCol w:w="607"/>
        <w:gridCol w:w="60"/>
        <w:gridCol w:w="175"/>
        <w:gridCol w:w="140"/>
        <w:gridCol w:w="574"/>
        <w:gridCol w:w="60"/>
        <w:gridCol w:w="175"/>
        <w:gridCol w:w="140"/>
        <w:gridCol w:w="574"/>
        <w:gridCol w:w="60"/>
        <w:gridCol w:w="175"/>
        <w:gridCol w:w="129"/>
        <w:gridCol w:w="1031"/>
        <w:gridCol w:w="282"/>
        <w:gridCol w:w="120"/>
        <w:gridCol w:w="110"/>
        <w:gridCol w:w="989"/>
        <w:gridCol w:w="350"/>
        <w:gridCol w:w="120"/>
        <w:gridCol w:w="240"/>
        <w:gridCol w:w="753"/>
        <w:gridCol w:w="69"/>
      </w:tblGrid>
      <w:tr>
        <w:trPr/>
        <w:tc>
          <w:tcPr>
            <w:tcW w:w="295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957" w:type="dxa"/>
            <w:vMerge w:val="restart"/>
            <w:tcBorders/>
            <w:shd w:fill="auto" w:val="clear"/>
            <w:vAlign w:val="bottom"/>
          </w:tcPr>
          <w:p>
            <w:pPr>
              <w:pStyle w:val="TableContents"/>
              <w:spacing w:before="0" w:after="283"/>
              <w:rPr/>
            </w:pPr>
            <w:r>
              <w:rPr/>
              <w:t> </w:t>
            </w:r>
          </w:p>
        </w:tc>
        <w:tc>
          <w:tcPr>
            <w:tcW w:w="175" w:type="dxa"/>
            <w:vMerge w:val="restart"/>
            <w:tcBorders/>
            <w:shd w:fill="auto" w:val="clear"/>
            <w:vAlign w:val="bottom"/>
          </w:tcPr>
          <w:p>
            <w:pPr>
              <w:pStyle w:val="TableContents"/>
              <w:spacing w:before="0" w:after="283"/>
              <w:rPr/>
            </w:pPr>
            <w:r>
              <w:rPr/>
              <w:t>  </w:t>
            </w:r>
          </w:p>
        </w:tc>
        <w:tc>
          <w:tcPr>
            <w:tcW w:w="747"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NAV(1)</w:t>
            </w:r>
          </w:p>
        </w:tc>
        <w:tc>
          <w:tcPr>
            <w:tcW w:w="60" w:type="dxa"/>
            <w:vMerge w:val="restart"/>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6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Price Range</w:t>
            </w:r>
          </w:p>
        </w:tc>
        <w:tc>
          <w:tcPr>
            <w:tcW w:w="60" w:type="dxa"/>
            <w:tcBorders/>
            <w:shd w:fill="auto" w:val="clear"/>
            <w:vAlign w:val="bottom"/>
          </w:tcPr>
          <w:p>
            <w:pPr>
              <w:pStyle w:val="TableContents"/>
              <w:spacing w:before="0" w:after="283"/>
              <w:rPr/>
            </w:pPr>
            <w:r>
              <w:rPr/>
              <w:t> </w:t>
            </w:r>
          </w:p>
        </w:tc>
        <w:tc>
          <w:tcPr>
            <w:tcW w:w="175" w:type="dxa"/>
            <w:vMerge w:val="restart"/>
            <w:tcBorders/>
            <w:shd w:fill="auto" w:val="clear"/>
            <w:vAlign w:val="bottom"/>
          </w:tcPr>
          <w:p>
            <w:pPr>
              <w:pStyle w:val="TableContents"/>
              <w:spacing w:before="0" w:after="283"/>
              <w:rPr/>
            </w:pPr>
            <w:r>
              <w:rPr/>
              <w:t>  </w:t>
            </w:r>
          </w:p>
        </w:tc>
        <w:tc>
          <w:tcPr>
            <w:tcW w:w="116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High Sales</w:t>
            </w:r>
            <w:r>
              <w:rPr/>
              <w:br/>
            </w:r>
            <w:r>
              <w:rPr>
                <w:b/>
              </w:rPr>
              <w:t>Price to  Net</w:t>
            </w:r>
            <w:r>
              <w:rPr/>
              <w:br/>
            </w:r>
            <w:r>
              <w:rPr>
                <w:b/>
              </w:rPr>
              <w:t>Asset</w:t>
            </w:r>
            <w:r>
              <w:rPr/>
              <w:br/>
            </w:r>
            <w:r>
              <w:rPr>
                <w:b/>
              </w:rPr>
              <w:t>Value(2)</w:t>
            </w:r>
          </w:p>
        </w:tc>
        <w:tc>
          <w:tcPr>
            <w:tcW w:w="282"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099"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Low Sales</w:t>
            </w:r>
            <w:r>
              <w:rPr/>
              <w:br/>
            </w:r>
            <w:r>
              <w:rPr>
                <w:b/>
              </w:rPr>
              <w:t>Price to</w:t>
            </w:r>
            <w:r>
              <w:rPr/>
              <w:br/>
            </w:r>
            <w:r>
              <w:rPr>
                <w:b/>
              </w:rPr>
              <w:t>Net Asset</w:t>
            </w:r>
            <w:r>
              <w:rPr/>
              <w:br/>
            </w:r>
            <w:r>
              <w:rPr>
                <w:b/>
              </w:rPr>
              <w:t>Value(2)</w:t>
            </w:r>
          </w:p>
        </w:tc>
        <w:tc>
          <w:tcPr>
            <w:tcW w:w="35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993"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Cash</w:t>
            </w:r>
            <w:r>
              <w:rPr/>
              <w:br/>
            </w:r>
            <w:r>
              <w:rPr>
                <w:b/>
              </w:rPr>
              <w:t>Dividend</w:t>
            </w:r>
            <w:r>
              <w:rPr/>
              <w:br/>
            </w:r>
            <w:r>
              <w:rPr>
                <w:b/>
              </w:rPr>
              <w:t>Per</w:t>
            </w:r>
            <w:r>
              <w:rPr/>
              <w:br/>
            </w:r>
            <w:r>
              <w:rPr>
                <w:b/>
              </w:rPr>
              <w:t>Share(3)</w:t>
            </w:r>
          </w:p>
        </w:tc>
        <w:tc>
          <w:tcPr>
            <w:tcW w:w="69" w:type="dxa"/>
            <w:vMerge w:val="restart"/>
            <w:tcBorders/>
            <w:shd w:fill="auto" w:val="clear"/>
            <w:vAlign w:val="bottom"/>
          </w:tcPr>
          <w:p>
            <w:pPr>
              <w:pStyle w:val="TableContents"/>
              <w:spacing w:before="0" w:after="283"/>
              <w:rPr/>
            </w:pPr>
            <w:r>
              <w:rPr/>
              <w:t> </w:t>
            </w:r>
          </w:p>
        </w:tc>
      </w:tr>
      <w:tr>
        <w:trPr/>
        <w:tc>
          <w:tcPr>
            <w:tcW w:w="2957" w:type="dxa"/>
            <w:vMerge w:val="continue"/>
            <w:tcBorders/>
            <w:shd w:fill="auto" w:val="clear"/>
            <w:vAlign w:val="bottom"/>
          </w:tcPr>
          <w:p>
            <w:pPr>
              <w:pStyle w:val="Normal"/>
              <w:rPr/>
            </w:pPr>
            <w:r>
              <w:rPr/>
            </w:r>
          </w:p>
        </w:tc>
        <w:tc>
          <w:tcPr>
            <w:tcW w:w="175" w:type="dxa"/>
            <w:vMerge w:val="continue"/>
            <w:tcBorders/>
            <w:shd w:fill="auto" w:val="clear"/>
            <w:vAlign w:val="bottom"/>
          </w:tcPr>
          <w:p>
            <w:pPr>
              <w:pStyle w:val="Normal"/>
              <w:rPr/>
            </w:pPr>
            <w:r>
              <w:rPr/>
            </w:r>
          </w:p>
        </w:tc>
        <w:tc>
          <w:tcPr>
            <w:tcW w:w="747"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75" w:type="dxa"/>
            <w:tcBorders/>
            <w:shd w:fill="auto" w:val="clear"/>
            <w:vAlign w:val="bottom"/>
          </w:tcPr>
          <w:p>
            <w:pPr>
              <w:pStyle w:val="TableContents"/>
              <w:spacing w:before="0" w:after="283"/>
              <w:rPr/>
            </w:pPr>
            <w:r>
              <w:rPr/>
              <w:t>  </w:t>
            </w:r>
          </w:p>
        </w:tc>
        <w:tc>
          <w:tcPr>
            <w:tcW w:w="7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0" w:type="dxa"/>
            <w:tcBorders/>
            <w:shd w:fill="auto" w:val="clear"/>
            <w:vAlign w:val="bottom"/>
          </w:tcPr>
          <w:p>
            <w:pPr>
              <w:pStyle w:val="TableContents"/>
              <w:spacing w:before="0" w:after="283"/>
              <w:rPr/>
            </w:pPr>
            <w:r>
              <w:rPr/>
              <w:t> </w:t>
            </w:r>
          </w:p>
        </w:tc>
        <w:tc>
          <w:tcPr>
            <w:tcW w:w="175" w:type="dxa"/>
            <w:vMerge w:val="continue"/>
            <w:tcBorders/>
            <w:shd w:fill="auto" w:val="clear"/>
            <w:vAlign w:val="bottom"/>
          </w:tcPr>
          <w:p>
            <w:pPr>
              <w:pStyle w:val="Normal"/>
              <w:rPr/>
            </w:pPr>
            <w:r>
              <w:rPr/>
            </w:r>
          </w:p>
        </w:tc>
        <w:tc>
          <w:tcPr>
            <w:tcW w:w="1160" w:type="dxa"/>
            <w:gridSpan w:val="2"/>
            <w:vMerge w:val="continue"/>
            <w:tcBorders>
              <w:bottom w:val="single" w:sz="8" w:space="0" w:color="000000"/>
            </w:tcBorders>
            <w:shd w:fill="auto" w:val="clear"/>
            <w:tcMar>
              <w:bottom w:w="28" w:type="dxa"/>
            </w:tcMar>
            <w:vAlign w:val="bottom"/>
          </w:tcPr>
          <w:p>
            <w:pPr>
              <w:pStyle w:val="Normal"/>
              <w:rPr/>
            </w:pPr>
            <w:r>
              <w:rPr/>
            </w:r>
          </w:p>
        </w:tc>
        <w:tc>
          <w:tcPr>
            <w:tcW w:w="282"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099" w:type="dxa"/>
            <w:gridSpan w:val="2"/>
            <w:vMerge w:val="continue"/>
            <w:tcBorders>
              <w:bottom w:val="single" w:sz="8" w:space="0" w:color="000000"/>
            </w:tcBorders>
            <w:shd w:fill="auto" w:val="clear"/>
            <w:tcMar>
              <w:bottom w:w="28" w:type="dxa"/>
            </w:tcMar>
            <w:vAlign w:val="bottom"/>
          </w:tcPr>
          <w:p>
            <w:pPr>
              <w:pStyle w:val="Normal"/>
              <w:rPr/>
            </w:pPr>
            <w:r>
              <w:rPr/>
            </w:r>
          </w:p>
        </w:tc>
        <w:tc>
          <w:tcPr>
            <w:tcW w:w="35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993" w:type="dxa"/>
            <w:gridSpan w:val="2"/>
            <w:vMerge w:val="continue"/>
            <w:tcBorders>
              <w:bottom w:val="single" w:sz="8" w:space="0" w:color="000000"/>
            </w:tcBorders>
            <w:shd w:fill="auto" w:val="clear"/>
            <w:tcMar>
              <w:bottom w:w="28" w:type="dxa"/>
            </w:tcMar>
            <w:vAlign w:val="bottom"/>
          </w:tcPr>
          <w:p>
            <w:pPr>
              <w:pStyle w:val="Normal"/>
              <w:rPr/>
            </w:pPr>
            <w:r>
              <w:rPr/>
            </w:r>
          </w:p>
        </w:tc>
        <w:tc>
          <w:tcPr>
            <w:tcW w:w="69" w:type="dxa"/>
            <w:vMerge w:val="continue"/>
            <w:tcBorders/>
            <w:shd w:fill="auto" w:val="clear"/>
            <w:vAlign w:val="bottom"/>
          </w:tcPr>
          <w:p>
            <w:pPr>
              <w:pStyle w:val="Normal"/>
              <w:rPr/>
            </w:pPr>
            <w:r>
              <w:rPr/>
            </w:r>
          </w:p>
        </w:tc>
      </w:tr>
      <w:tr>
        <w:trPr/>
        <w:tc>
          <w:tcPr>
            <w:tcW w:w="2957"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ended December 31, 2020</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1031"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sz w:val="4"/>
                <w:szCs w:val="4"/>
              </w:rPr>
            </w:pPr>
            <w:r>
              <w:rPr>
                <w:sz w:val="4"/>
                <w:szCs w:val="4"/>
              </w:rPr>
            </w:r>
          </w:p>
        </w:tc>
        <w:tc>
          <w:tcPr>
            <w:tcW w:w="989"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753"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7" w:type="dxa"/>
            <w:tcBorders/>
            <w:shd w:fill="auto" w:val="clear"/>
            <w:vAlign w:val="bottom"/>
          </w:tcPr>
          <w:p>
            <w:pPr>
              <w:pStyle w:val="TableContents"/>
              <w:spacing w:before="0" w:after="283"/>
              <w:jc w:val="right"/>
              <w:rPr/>
            </w:pPr>
            <w:r>
              <w:rPr/>
              <w:t>15.57</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23.28</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11.30</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49.5</w:t>
            </w:r>
          </w:p>
        </w:tc>
        <w:tc>
          <w:tcPr>
            <w:tcW w:w="28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(27.4</w:t>
            </w:r>
          </w:p>
        </w:tc>
        <w:tc>
          <w:tcPr>
            <w:tcW w:w="3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3" w:type="dxa"/>
            <w:tcBorders/>
            <w:shd w:fill="auto" w:val="clear"/>
            <w:vAlign w:val="bottom"/>
          </w:tcPr>
          <w:p>
            <w:pPr>
              <w:pStyle w:val="TableContents"/>
              <w:spacing w:before="0" w:after="283"/>
              <w:jc w:val="right"/>
              <w:rPr/>
            </w:pPr>
            <w:r>
              <w:rPr/>
              <w:t>0.97</w:t>
            </w:r>
          </w:p>
        </w:tc>
        <w:tc>
          <w:tcPr>
            <w:tcW w:w="69" w:type="dxa"/>
            <w:tcBorders/>
            <w:shd w:fill="auto" w:val="clear"/>
            <w:vAlign w:val="bottom"/>
          </w:tcPr>
          <w:p>
            <w:pPr>
              <w:pStyle w:val="TableContents"/>
              <w:spacing w:before="0" w:after="283"/>
              <w:rPr/>
            </w:pPr>
            <w:r>
              <w:rPr/>
              <w:t> </w:t>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Second Quarter</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7" w:type="dxa"/>
            <w:tcBorders/>
            <w:shd w:fill="CCEEFF" w:val="clear"/>
            <w:vAlign w:val="bottom"/>
          </w:tcPr>
          <w:p>
            <w:pPr>
              <w:pStyle w:val="TableContents"/>
              <w:spacing w:before="0" w:after="283"/>
              <w:jc w:val="right"/>
              <w:rPr/>
            </w:pPr>
            <w:r>
              <w:rPr/>
              <w:t>16.08</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19.51</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12.57</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21.3</w:t>
            </w:r>
          </w:p>
        </w:tc>
        <w:tc>
          <w:tcPr>
            <w:tcW w:w="28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(21.8</w:t>
            </w:r>
          </w:p>
        </w:tc>
        <w:tc>
          <w:tcPr>
            <w:tcW w:w="35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3" w:type="dxa"/>
            <w:tcBorders/>
            <w:shd w:fill="CCEEFF" w:val="clear"/>
            <w:vAlign w:val="bottom"/>
          </w:tcPr>
          <w:p>
            <w:pPr>
              <w:pStyle w:val="TableContents"/>
              <w:spacing w:before="0" w:after="283"/>
              <w:jc w:val="right"/>
              <w:rPr/>
            </w:pPr>
            <w:r>
              <w:rPr/>
              <w:t>0.41</w:t>
            </w:r>
          </w:p>
        </w:tc>
        <w:tc>
          <w:tcPr>
            <w:tcW w:w="69" w:type="dxa"/>
            <w:tcBorders/>
            <w:shd w:fill="CCEEFF" w:val="clear"/>
            <w:vAlign w:val="bottom"/>
          </w:tcPr>
          <w:p>
            <w:pPr>
              <w:pStyle w:val="TableContents"/>
              <w:spacing w:before="0" w:after="283"/>
              <w:rPr/>
            </w:pPr>
            <w:r>
              <w:rPr/>
              <w:t> </w:t>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Third Quarter</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7" w:type="dxa"/>
            <w:tcBorders/>
            <w:shd w:fill="auto" w:val="clear"/>
            <w:vAlign w:val="bottom"/>
          </w:tcPr>
          <w:p>
            <w:pPr>
              <w:pStyle w:val="TableContents"/>
              <w:spacing w:before="0" w:after="283"/>
              <w:jc w:val="right"/>
              <w:rPr/>
            </w:pPr>
            <w:r>
              <w:rPr/>
              <w:t>16.87</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18.48</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15.68</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9.5</w:t>
            </w:r>
          </w:p>
        </w:tc>
        <w:tc>
          <w:tcPr>
            <w:tcW w:w="28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(7.1</w:t>
            </w:r>
          </w:p>
        </w:tc>
        <w:tc>
          <w:tcPr>
            <w:tcW w:w="3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3" w:type="dxa"/>
            <w:tcBorders/>
            <w:shd w:fill="auto" w:val="clear"/>
            <w:vAlign w:val="bottom"/>
          </w:tcPr>
          <w:p>
            <w:pPr>
              <w:pStyle w:val="TableContents"/>
              <w:spacing w:before="0" w:after="283"/>
              <w:jc w:val="right"/>
              <w:rPr/>
            </w:pPr>
            <w:r>
              <w:rPr/>
              <w:t>0.41</w:t>
            </w:r>
          </w:p>
        </w:tc>
        <w:tc>
          <w:tcPr>
            <w:tcW w:w="69" w:type="dxa"/>
            <w:tcBorders/>
            <w:shd w:fill="auto" w:val="clear"/>
            <w:vAlign w:val="bottom"/>
          </w:tcPr>
          <w:p>
            <w:pPr>
              <w:pStyle w:val="TableContents"/>
              <w:spacing w:before="0" w:after="283"/>
              <w:rPr/>
            </w:pPr>
            <w:r>
              <w:rPr/>
              <w:t> </w:t>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Fourth Quarter</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7" w:type="dxa"/>
            <w:tcBorders/>
            <w:shd w:fill="CCEEFF" w:val="clear"/>
            <w:vAlign w:val="bottom"/>
          </w:tcPr>
          <w:p>
            <w:pPr>
              <w:pStyle w:val="TableContents"/>
              <w:spacing w:before="0" w:after="283"/>
              <w:jc w:val="right"/>
              <w:rPr/>
            </w:pPr>
            <w:r>
              <w:rPr/>
              <w:t>17.16</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21.24</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16.31</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23.8</w:t>
            </w:r>
          </w:p>
        </w:tc>
        <w:tc>
          <w:tcPr>
            <w:tcW w:w="28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(5.0</w:t>
            </w:r>
          </w:p>
        </w:tc>
        <w:tc>
          <w:tcPr>
            <w:tcW w:w="35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3" w:type="dxa"/>
            <w:tcBorders/>
            <w:shd w:fill="CCEEFF" w:val="clear"/>
            <w:vAlign w:val="bottom"/>
          </w:tcPr>
          <w:p>
            <w:pPr>
              <w:pStyle w:val="TableContents"/>
              <w:spacing w:before="0" w:after="283"/>
              <w:jc w:val="right"/>
              <w:rPr/>
            </w:pPr>
            <w:r>
              <w:rPr/>
              <w:t>0.51</w:t>
            </w:r>
          </w:p>
        </w:tc>
        <w:tc>
          <w:tcPr>
            <w:tcW w:w="69" w:type="dxa"/>
            <w:tcBorders/>
            <w:shd w:fill="CCEEFF" w:val="clear"/>
            <w:vAlign w:val="bottom"/>
          </w:tcPr>
          <w:p>
            <w:pPr>
              <w:pStyle w:val="TableContents"/>
              <w:spacing w:before="0" w:after="283"/>
              <w:rPr/>
            </w:pPr>
            <w:r>
              <w:rPr/>
              <w:t> </w:t>
            </w:r>
          </w:p>
        </w:tc>
      </w:tr>
      <w:tr>
        <w:trPr/>
        <w:tc>
          <w:tcPr>
            <w:tcW w:w="2957" w:type="dxa"/>
            <w:tcBorders/>
            <w:shd w:fill="auto" w:val="clear"/>
          </w:tcPr>
          <w:p>
            <w:pPr>
              <w:pStyle w:val="TableContents"/>
              <w:spacing w:before="0" w:after="0"/>
              <w:rPr>
                <w:rFonts w:ascii="Times New Roman" w:hAnsi="Times New Roman"/>
                <w:b/>
                <w:sz w:val="20"/>
              </w:rPr>
            </w:pPr>
            <w:r>
              <w:rPr>
                <w:rFonts w:ascii="Times New Roman" w:hAnsi="Times New Roman"/>
                <w:b/>
                <w:sz w:val="20"/>
              </w:rPr>
              <w:t>Year ended December 31, 2021</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1031"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989"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7" w:type="dxa"/>
            <w:tcBorders/>
            <w:shd w:fill="CCEEFF" w:val="clear"/>
            <w:vAlign w:val="bottom"/>
          </w:tcPr>
          <w:p>
            <w:pPr>
              <w:pStyle w:val="TableContents"/>
              <w:spacing w:before="0" w:after="283"/>
              <w:jc w:val="right"/>
              <w:rPr/>
            </w:pPr>
            <w:r>
              <w:rPr/>
              <w:t>16.47</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22.90</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20.16</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39.0</w:t>
            </w:r>
          </w:p>
        </w:tc>
        <w:tc>
          <w:tcPr>
            <w:tcW w:w="28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22.4</w:t>
            </w:r>
          </w:p>
        </w:tc>
        <w:tc>
          <w:tcPr>
            <w:tcW w:w="35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3" w:type="dxa"/>
            <w:tcBorders/>
            <w:shd w:fill="CCEEFF" w:val="clear"/>
            <w:vAlign w:val="bottom"/>
          </w:tcPr>
          <w:p>
            <w:pPr>
              <w:pStyle w:val="TableContents"/>
              <w:spacing w:before="0" w:after="283"/>
              <w:jc w:val="right"/>
              <w:rPr/>
            </w:pPr>
            <w:r>
              <w:rPr/>
              <w:t>1.71</w:t>
            </w:r>
          </w:p>
        </w:tc>
        <w:tc>
          <w:tcPr>
            <w:tcW w:w="69" w:type="dxa"/>
            <w:tcBorders/>
            <w:shd w:fill="CCEEFF" w:val="clear"/>
            <w:vAlign w:val="bottom"/>
          </w:tcPr>
          <w:p>
            <w:pPr>
              <w:pStyle w:val="TableContents"/>
              <w:spacing w:before="0" w:after="283"/>
              <w:rPr/>
            </w:pPr>
            <w:r>
              <w:rPr/>
              <w:t> </w:t>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Second Quarter</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7" w:type="dxa"/>
            <w:tcBorders/>
            <w:shd w:fill="auto" w:val="clear"/>
            <w:vAlign w:val="bottom"/>
          </w:tcPr>
          <w:p>
            <w:pPr>
              <w:pStyle w:val="TableContents"/>
              <w:spacing w:before="0" w:after="283"/>
              <w:jc w:val="right"/>
              <w:rPr/>
            </w:pPr>
            <w:r>
              <w:rPr/>
              <w:t>16.85</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22.78</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20.80</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35.2</w:t>
            </w:r>
          </w:p>
        </w:tc>
        <w:tc>
          <w:tcPr>
            <w:tcW w:w="28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23.4</w:t>
            </w:r>
          </w:p>
        </w:tc>
        <w:tc>
          <w:tcPr>
            <w:tcW w:w="3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3" w:type="dxa"/>
            <w:tcBorders/>
            <w:shd w:fill="auto" w:val="clear"/>
            <w:vAlign w:val="bottom"/>
          </w:tcPr>
          <w:p>
            <w:pPr>
              <w:pStyle w:val="TableContents"/>
              <w:spacing w:before="0" w:after="283"/>
              <w:jc w:val="right"/>
              <w:rPr/>
            </w:pPr>
            <w:r>
              <w:rPr/>
              <w:t>0.47</w:t>
            </w:r>
          </w:p>
        </w:tc>
        <w:tc>
          <w:tcPr>
            <w:tcW w:w="69" w:type="dxa"/>
            <w:tcBorders/>
            <w:shd w:fill="auto" w:val="clear"/>
            <w:vAlign w:val="bottom"/>
          </w:tcPr>
          <w:p>
            <w:pPr>
              <w:pStyle w:val="TableContents"/>
              <w:spacing w:before="0" w:after="283"/>
              <w:rPr/>
            </w:pPr>
            <w:r>
              <w:rPr/>
              <w:t> </w:t>
            </w:r>
          </w:p>
        </w:tc>
      </w:tr>
      <w:tr>
        <w:trPr/>
        <w:tc>
          <w:tcPr>
            <w:tcW w:w="2957" w:type="dxa"/>
            <w:tcBorders/>
            <w:shd w:fill="CCEEFF" w:val="clear"/>
          </w:tcPr>
          <w:p>
            <w:pPr>
              <w:pStyle w:val="TableContents"/>
              <w:spacing w:before="0" w:after="0"/>
              <w:rPr>
                <w:rFonts w:ascii="Times New Roman" w:hAnsi="Times New Roman"/>
                <w:sz w:val="20"/>
              </w:rPr>
            </w:pPr>
            <w:r>
              <w:rPr>
                <w:rFonts w:ascii="Times New Roman" w:hAnsi="Times New Roman"/>
                <w:sz w:val="20"/>
              </w:rPr>
              <w:t>Third Quarter</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7" w:type="dxa"/>
            <w:tcBorders/>
            <w:shd w:fill="CCEEFF" w:val="clear"/>
            <w:vAlign w:val="bottom"/>
          </w:tcPr>
          <w:p>
            <w:pPr>
              <w:pStyle w:val="TableContents"/>
              <w:spacing w:before="0" w:after="283"/>
              <w:jc w:val="right"/>
              <w:rPr/>
            </w:pPr>
            <w:r>
              <w:rPr/>
              <w:t>17.18</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23.97</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21.13</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39.5</w:t>
            </w:r>
          </w:p>
        </w:tc>
        <w:tc>
          <w:tcPr>
            <w:tcW w:w="282"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23.0</w:t>
            </w:r>
          </w:p>
        </w:tc>
        <w:tc>
          <w:tcPr>
            <w:tcW w:w="35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3" w:type="dxa"/>
            <w:tcBorders/>
            <w:shd w:fill="CCEEFF" w:val="clear"/>
            <w:vAlign w:val="bottom"/>
          </w:tcPr>
          <w:p>
            <w:pPr>
              <w:pStyle w:val="TableContents"/>
              <w:spacing w:before="0" w:after="283"/>
              <w:jc w:val="right"/>
              <w:rPr/>
            </w:pPr>
            <w:r>
              <w:rPr/>
              <w:t>0.43</w:t>
            </w:r>
          </w:p>
        </w:tc>
        <w:tc>
          <w:tcPr>
            <w:tcW w:w="69" w:type="dxa"/>
            <w:tcBorders/>
            <w:shd w:fill="CCEEFF" w:val="clear"/>
            <w:vAlign w:val="bottom"/>
          </w:tcPr>
          <w:p>
            <w:pPr>
              <w:pStyle w:val="TableContents"/>
              <w:spacing w:before="0" w:after="283"/>
              <w:rPr/>
            </w:pPr>
            <w:r>
              <w:rPr/>
              <w:t> </w:t>
            </w:r>
          </w:p>
        </w:tc>
      </w:tr>
      <w:tr>
        <w:trPr/>
        <w:tc>
          <w:tcPr>
            <w:tcW w:w="2957" w:type="dxa"/>
            <w:tcBorders/>
            <w:shd w:fill="auto" w:val="clear"/>
          </w:tcPr>
          <w:p>
            <w:pPr>
              <w:pStyle w:val="TableContents"/>
              <w:spacing w:before="0" w:after="0"/>
              <w:rPr>
                <w:rFonts w:ascii="Times New Roman" w:hAnsi="Times New Roman"/>
                <w:sz w:val="20"/>
              </w:rPr>
            </w:pPr>
            <w:r>
              <w:rPr>
                <w:rFonts w:ascii="Times New Roman" w:hAnsi="Times New Roman"/>
                <w:sz w:val="20"/>
              </w:rPr>
              <w:t>Fourth Quarter</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7" w:type="dxa"/>
            <w:tcBorders/>
            <w:shd w:fill="auto" w:val="clear"/>
            <w:vAlign w:val="bottom"/>
          </w:tcPr>
          <w:p>
            <w:pPr>
              <w:pStyle w:val="TableContents"/>
              <w:spacing w:before="0" w:after="283"/>
              <w:jc w:val="right"/>
              <w:rPr/>
            </w:pPr>
            <w:r>
              <w:rPr/>
              <w:t>16.84</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24.74</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21.97</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46.9</w:t>
            </w:r>
          </w:p>
        </w:tc>
        <w:tc>
          <w:tcPr>
            <w:tcW w:w="282"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30.5</w:t>
            </w:r>
          </w:p>
        </w:tc>
        <w:tc>
          <w:tcPr>
            <w:tcW w:w="3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3" w:type="dxa"/>
            <w:tcBorders/>
            <w:shd w:fill="auto" w:val="clear"/>
            <w:vAlign w:val="bottom"/>
          </w:tcPr>
          <w:p>
            <w:pPr>
              <w:pStyle w:val="TableContents"/>
              <w:spacing w:before="0" w:after="283"/>
              <w:jc w:val="right"/>
              <w:rPr/>
            </w:pPr>
            <w:r>
              <w:rPr/>
              <w:t>0.98</w:t>
            </w:r>
          </w:p>
        </w:tc>
        <w:tc>
          <w:tcPr>
            <w:tcW w:w="69"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768"/>
        <w:gridCol w:w="207"/>
        <w:gridCol w:w="140"/>
        <w:gridCol w:w="606"/>
        <w:gridCol w:w="60"/>
        <w:gridCol w:w="207"/>
        <w:gridCol w:w="140"/>
        <w:gridCol w:w="573"/>
        <w:gridCol w:w="60"/>
        <w:gridCol w:w="207"/>
        <w:gridCol w:w="140"/>
        <w:gridCol w:w="573"/>
        <w:gridCol w:w="60"/>
        <w:gridCol w:w="207"/>
        <w:gridCol w:w="130"/>
        <w:gridCol w:w="1030"/>
        <w:gridCol w:w="281"/>
        <w:gridCol w:w="152"/>
        <w:gridCol w:w="126"/>
        <w:gridCol w:w="974"/>
        <w:gridCol w:w="350"/>
        <w:gridCol w:w="152"/>
        <w:gridCol w:w="240"/>
        <w:gridCol w:w="752"/>
        <w:gridCol w:w="70"/>
      </w:tblGrid>
      <w:tr>
        <w:trPr/>
        <w:tc>
          <w:tcPr>
            <w:tcW w:w="276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2768" w:type="dxa"/>
            <w:vMerge w:val="restart"/>
            <w:tcBorders/>
            <w:shd w:fill="auto" w:val="clear"/>
            <w:vAlign w:val="bottom"/>
          </w:tcPr>
          <w:p>
            <w:pPr>
              <w:pStyle w:val="TableContents"/>
              <w:spacing w:before="0" w:after="283"/>
              <w:rPr/>
            </w:pPr>
            <w:r>
              <w:rPr/>
              <w:t> </w:t>
            </w:r>
          </w:p>
        </w:tc>
        <w:tc>
          <w:tcPr>
            <w:tcW w:w="207" w:type="dxa"/>
            <w:vMerge w:val="restart"/>
            <w:tcBorders/>
            <w:shd w:fill="auto" w:val="clear"/>
            <w:vAlign w:val="bottom"/>
          </w:tcPr>
          <w:p>
            <w:pPr>
              <w:pStyle w:val="TableContents"/>
              <w:spacing w:before="0" w:after="283"/>
              <w:rPr/>
            </w:pPr>
            <w:r>
              <w:rPr/>
              <w:t>  </w:t>
            </w:r>
          </w:p>
        </w:tc>
        <w:tc>
          <w:tcPr>
            <w:tcW w:w="74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NAV(1)</w:t>
            </w:r>
          </w:p>
        </w:tc>
        <w:tc>
          <w:tcPr>
            <w:tcW w:w="60" w:type="dxa"/>
            <w:vMerge w:val="restart"/>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69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Price Range</w:t>
            </w:r>
          </w:p>
        </w:tc>
        <w:tc>
          <w:tcPr>
            <w:tcW w:w="60" w:type="dxa"/>
            <w:tcBorders/>
            <w:shd w:fill="auto" w:val="clear"/>
            <w:vAlign w:val="bottom"/>
          </w:tcPr>
          <w:p>
            <w:pPr>
              <w:pStyle w:val="TableContents"/>
              <w:spacing w:before="0" w:after="283"/>
              <w:rPr/>
            </w:pPr>
            <w:r>
              <w:rPr/>
              <w:t> </w:t>
            </w:r>
          </w:p>
        </w:tc>
        <w:tc>
          <w:tcPr>
            <w:tcW w:w="207" w:type="dxa"/>
            <w:vMerge w:val="restart"/>
            <w:tcBorders/>
            <w:shd w:fill="auto" w:val="clear"/>
            <w:vAlign w:val="bottom"/>
          </w:tcPr>
          <w:p>
            <w:pPr>
              <w:pStyle w:val="TableContents"/>
              <w:spacing w:before="0" w:after="283"/>
              <w:rPr/>
            </w:pPr>
            <w:r>
              <w:rPr/>
              <w:t>  </w:t>
            </w:r>
          </w:p>
        </w:tc>
        <w:tc>
          <w:tcPr>
            <w:tcW w:w="116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High Sales</w:t>
            </w:r>
            <w:r>
              <w:rPr/>
              <w:br/>
            </w:r>
            <w:r>
              <w:rPr>
                <w:b/>
              </w:rPr>
              <w:t>Price to  Net</w:t>
            </w:r>
            <w:r>
              <w:rPr/>
              <w:br/>
            </w:r>
            <w:r>
              <w:rPr>
                <w:b/>
              </w:rPr>
              <w:t>Asset</w:t>
            </w:r>
            <w:r>
              <w:rPr/>
              <w:br/>
            </w:r>
            <w:r>
              <w:rPr>
                <w:b/>
              </w:rPr>
              <w:t>Value(2)</w:t>
            </w:r>
          </w:p>
        </w:tc>
        <w:tc>
          <w:tcPr>
            <w:tcW w:w="281" w:type="dxa"/>
            <w:vMerge w:val="restart"/>
            <w:tcBorders/>
            <w:shd w:fill="auto" w:val="clear"/>
            <w:vAlign w:val="bottom"/>
          </w:tcPr>
          <w:p>
            <w:pPr>
              <w:pStyle w:val="TableContents"/>
              <w:spacing w:before="0" w:after="283"/>
              <w:rPr/>
            </w:pPr>
            <w:r>
              <w:rPr/>
              <w:t> </w:t>
            </w:r>
          </w:p>
        </w:tc>
        <w:tc>
          <w:tcPr>
            <w:tcW w:w="152" w:type="dxa"/>
            <w:vMerge w:val="restart"/>
            <w:tcBorders/>
            <w:shd w:fill="auto" w:val="clear"/>
            <w:vAlign w:val="bottom"/>
          </w:tcPr>
          <w:p>
            <w:pPr>
              <w:pStyle w:val="TableContents"/>
              <w:spacing w:before="0" w:after="283"/>
              <w:rPr/>
            </w:pPr>
            <w:r>
              <w:rPr/>
              <w:t> </w:t>
            </w:r>
          </w:p>
        </w:tc>
        <w:tc>
          <w:tcPr>
            <w:tcW w:w="110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Low Sales</w:t>
            </w:r>
            <w:r>
              <w:rPr/>
              <w:br/>
            </w:r>
            <w:r>
              <w:rPr>
                <w:b/>
              </w:rPr>
              <w:t>Price to</w:t>
            </w:r>
            <w:r>
              <w:rPr/>
              <w:br/>
            </w:r>
            <w:r>
              <w:rPr>
                <w:b/>
              </w:rPr>
              <w:t>Net Asset</w:t>
            </w:r>
            <w:r>
              <w:rPr/>
              <w:br/>
            </w:r>
            <w:r>
              <w:rPr>
                <w:b/>
              </w:rPr>
              <w:t>Value(2)</w:t>
            </w:r>
          </w:p>
        </w:tc>
        <w:tc>
          <w:tcPr>
            <w:tcW w:w="350" w:type="dxa"/>
            <w:vMerge w:val="restart"/>
            <w:tcBorders/>
            <w:shd w:fill="auto" w:val="clear"/>
            <w:vAlign w:val="bottom"/>
          </w:tcPr>
          <w:p>
            <w:pPr>
              <w:pStyle w:val="TableContents"/>
              <w:spacing w:before="0" w:after="283"/>
              <w:rPr/>
            </w:pPr>
            <w:r>
              <w:rPr/>
              <w:t> </w:t>
            </w:r>
          </w:p>
        </w:tc>
        <w:tc>
          <w:tcPr>
            <w:tcW w:w="152" w:type="dxa"/>
            <w:vMerge w:val="restart"/>
            <w:tcBorders/>
            <w:shd w:fill="auto" w:val="clear"/>
            <w:vAlign w:val="bottom"/>
          </w:tcPr>
          <w:p>
            <w:pPr>
              <w:pStyle w:val="TableContents"/>
              <w:spacing w:before="0" w:after="283"/>
              <w:rPr/>
            </w:pPr>
            <w:r>
              <w:rPr/>
              <w:t> </w:t>
            </w:r>
          </w:p>
        </w:tc>
        <w:tc>
          <w:tcPr>
            <w:tcW w:w="992"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Cash</w:t>
            </w:r>
            <w:r>
              <w:rPr/>
              <w:br/>
            </w:r>
            <w:r>
              <w:rPr>
                <w:b/>
              </w:rPr>
              <w:t>Dividend</w:t>
            </w:r>
            <w:r>
              <w:rPr/>
              <w:br/>
            </w:r>
            <w:r>
              <w:rPr>
                <w:b/>
              </w:rPr>
              <w:t>Per</w:t>
            </w:r>
            <w:r>
              <w:rPr/>
              <w:br/>
            </w:r>
            <w:r>
              <w:rPr>
                <w:b/>
              </w:rPr>
              <w:t>Share(3)</w:t>
            </w:r>
          </w:p>
        </w:tc>
        <w:tc>
          <w:tcPr>
            <w:tcW w:w="70" w:type="dxa"/>
            <w:vMerge w:val="restart"/>
            <w:tcBorders/>
            <w:shd w:fill="auto" w:val="clear"/>
            <w:vAlign w:val="bottom"/>
          </w:tcPr>
          <w:p>
            <w:pPr>
              <w:pStyle w:val="TableContents"/>
              <w:spacing w:before="0" w:after="283"/>
              <w:rPr/>
            </w:pPr>
            <w:r>
              <w:rPr/>
              <w:t> </w:t>
            </w:r>
          </w:p>
        </w:tc>
      </w:tr>
      <w:tr>
        <w:trPr/>
        <w:tc>
          <w:tcPr>
            <w:tcW w:w="2768" w:type="dxa"/>
            <w:vMerge w:val="continue"/>
            <w:tcBorders/>
            <w:shd w:fill="auto" w:val="clear"/>
            <w:vAlign w:val="bottom"/>
          </w:tcPr>
          <w:p>
            <w:pPr>
              <w:pStyle w:val="Normal"/>
              <w:rPr/>
            </w:pPr>
            <w:r>
              <w:rPr/>
            </w:r>
          </w:p>
        </w:tc>
        <w:tc>
          <w:tcPr>
            <w:tcW w:w="207" w:type="dxa"/>
            <w:vMerge w:val="continue"/>
            <w:tcBorders/>
            <w:shd w:fill="auto" w:val="clear"/>
            <w:vAlign w:val="bottom"/>
          </w:tcPr>
          <w:p>
            <w:pPr>
              <w:pStyle w:val="Normal"/>
              <w:rPr/>
            </w:pPr>
            <w:r>
              <w:rPr/>
            </w:r>
          </w:p>
        </w:tc>
        <w:tc>
          <w:tcPr>
            <w:tcW w:w="746"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207"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0" w:type="dxa"/>
            <w:tcBorders/>
            <w:shd w:fill="auto" w:val="clear"/>
            <w:vAlign w:val="bottom"/>
          </w:tcPr>
          <w:p>
            <w:pPr>
              <w:pStyle w:val="TableContents"/>
              <w:spacing w:before="0" w:after="283"/>
              <w:rPr/>
            </w:pPr>
            <w:r>
              <w:rPr/>
              <w:t> </w:t>
            </w:r>
          </w:p>
        </w:tc>
        <w:tc>
          <w:tcPr>
            <w:tcW w:w="207" w:type="dxa"/>
            <w:vMerge w:val="continue"/>
            <w:tcBorders/>
            <w:shd w:fill="auto" w:val="clear"/>
            <w:vAlign w:val="bottom"/>
          </w:tcPr>
          <w:p>
            <w:pPr>
              <w:pStyle w:val="Normal"/>
              <w:rPr/>
            </w:pPr>
            <w:r>
              <w:rPr/>
            </w:r>
          </w:p>
        </w:tc>
        <w:tc>
          <w:tcPr>
            <w:tcW w:w="1160" w:type="dxa"/>
            <w:gridSpan w:val="2"/>
            <w:vMerge w:val="continue"/>
            <w:tcBorders>
              <w:bottom w:val="single" w:sz="8" w:space="0" w:color="000000"/>
            </w:tcBorders>
            <w:shd w:fill="auto" w:val="clear"/>
            <w:tcMar>
              <w:bottom w:w="28" w:type="dxa"/>
            </w:tcMar>
            <w:vAlign w:val="bottom"/>
          </w:tcPr>
          <w:p>
            <w:pPr>
              <w:pStyle w:val="Normal"/>
              <w:rPr/>
            </w:pPr>
            <w:r>
              <w:rPr/>
            </w:r>
          </w:p>
        </w:tc>
        <w:tc>
          <w:tcPr>
            <w:tcW w:w="281" w:type="dxa"/>
            <w:vMerge w:val="continue"/>
            <w:tcBorders/>
            <w:shd w:fill="auto" w:val="clear"/>
            <w:vAlign w:val="bottom"/>
          </w:tcPr>
          <w:p>
            <w:pPr>
              <w:pStyle w:val="Normal"/>
              <w:rPr/>
            </w:pPr>
            <w:r>
              <w:rPr/>
            </w:r>
          </w:p>
        </w:tc>
        <w:tc>
          <w:tcPr>
            <w:tcW w:w="152" w:type="dxa"/>
            <w:vMerge w:val="continue"/>
            <w:tcBorders/>
            <w:shd w:fill="auto" w:val="clear"/>
            <w:vAlign w:val="bottom"/>
          </w:tcPr>
          <w:p>
            <w:pPr>
              <w:pStyle w:val="Normal"/>
              <w:rPr/>
            </w:pPr>
            <w:r>
              <w:rPr/>
            </w:r>
          </w:p>
        </w:tc>
        <w:tc>
          <w:tcPr>
            <w:tcW w:w="1100" w:type="dxa"/>
            <w:gridSpan w:val="2"/>
            <w:vMerge w:val="continue"/>
            <w:tcBorders>
              <w:bottom w:val="single" w:sz="8" w:space="0" w:color="000000"/>
            </w:tcBorders>
            <w:shd w:fill="auto" w:val="clear"/>
            <w:tcMar>
              <w:bottom w:w="28" w:type="dxa"/>
            </w:tcMar>
            <w:vAlign w:val="bottom"/>
          </w:tcPr>
          <w:p>
            <w:pPr>
              <w:pStyle w:val="Normal"/>
              <w:rPr/>
            </w:pPr>
            <w:r>
              <w:rPr/>
            </w:r>
          </w:p>
        </w:tc>
        <w:tc>
          <w:tcPr>
            <w:tcW w:w="350" w:type="dxa"/>
            <w:vMerge w:val="continue"/>
            <w:tcBorders/>
            <w:shd w:fill="auto" w:val="clear"/>
            <w:vAlign w:val="bottom"/>
          </w:tcPr>
          <w:p>
            <w:pPr>
              <w:pStyle w:val="Normal"/>
              <w:rPr/>
            </w:pPr>
            <w:r>
              <w:rPr/>
            </w:r>
          </w:p>
        </w:tc>
        <w:tc>
          <w:tcPr>
            <w:tcW w:w="152" w:type="dxa"/>
            <w:vMerge w:val="continue"/>
            <w:tcBorders/>
            <w:shd w:fill="auto" w:val="clear"/>
            <w:vAlign w:val="bottom"/>
          </w:tcPr>
          <w:p>
            <w:pPr>
              <w:pStyle w:val="Normal"/>
              <w:rPr/>
            </w:pPr>
            <w:r>
              <w:rPr/>
            </w:r>
          </w:p>
        </w:tc>
        <w:tc>
          <w:tcPr>
            <w:tcW w:w="992" w:type="dxa"/>
            <w:gridSpan w:val="2"/>
            <w:vMerge w:val="continue"/>
            <w:tcBorders>
              <w:bottom w:val="single" w:sz="8" w:space="0" w:color="000000"/>
            </w:tcBorders>
            <w:shd w:fill="auto" w:val="clear"/>
            <w:tcMar>
              <w:bottom w:w="28" w:type="dxa"/>
            </w:tcMar>
            <w:vAlign w:val="bottom"/>
          </w:tcPr>
          <w:p>
            <w:pPr>
              <w:pStyle w:val="Normal"/>
              <w:rPr/>
            </w:pPr>
            <w:r>
              <w:rPr/>
            </w:r>
          </w:p>
        </w:tc>
        <w:tc>
          <w:tcPr>
            <w:tcW w:w="70" w:type="dxa"/>
            <w:vMerge w:val="continue"/>
            <w:tcBorders/>
            <w:shd w:fill="auto" w:val="clear"/>
            <w:vAlign w:val="bottom"/>
          </w:tcPr>
          <w:p>
            <w:pPr>
              <w:pStyle w:val="Normal"/>
              <w:rPr/>
            </w:pPr>
            <w:r>
              <w:rPr/>
            </w:r>
          </w:p>
        </w:tc>
      </w:tr>
      <w:tr>
        <w:trPr/>
        <w:tc>
          <w:tcPr>
            <w:tcW w:w="2768"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ended December 31, 2022</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03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974"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152"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768"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6" w:type="dxa"/>
            <w:tcBorders/>
            <w:shd w:fill="auto" w:val="clear"/>
            <w:vAlign w:val="bottom"/>
          </w:tcPr>
          <w:p>
            <w:pPr>
              <w:pStyle w:val="TableContents"/>
              <w:spacing w:before="0" w:after="283"/>
              <w:jc w:val="right"/>
              <w:rPr/>
            </w:pPr>
            <w:r>
              <w:rPr/>
              <w:t>16.88</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24.27</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22.40</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43.8</w:t>
            </w:r>
          </w:p>
        </w:tc>
        <w:tc>
          <w:tcPr>
            <w:tcW w:w="28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32.7</w:t>
            </w:r>
          </w:p>
        </w:tc>
        <w:tc>
          <w:tcPr>
            <w:tcW w:w="35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0.52</w:t>
            </w:r>
          </w:p>
        </w:tc>
        <w:tc>
          <w:tcPr>
            <w:tcW w:w="70" w:type="dxa"/>
            <w:tcBorders/>
            <w:shd w:fill="auto" w:val="clear"/>
            <w:vAlign w:val="bottom"/>
          </w:tcPr>
          <w:p>
            <w:pPr>
              <w:pStyle w:val="TableContents"/>
              <w:spacing w:before="0" w:after="283"/>
              <w:rPr/>
            </w:pPr>
            <w:r>
              <w:rPr/>
              <w:t> </w:t>
            </w:r>
          </w:p>
        </w:tc>
      </w:tr>
      <w:tr>
        <w:trPr/>
        <w:tc>
          <w:tcPr>
            <w:tcW w:w="2768" w:type="dxa"/>
            <w:tcBorders/>
            <w:shd w:fill="CCEEFF" w:val="clear"/>
          </w:tcPr>
          <w:p>
            <w:pPr>
              <w:pStyle w:val="TableContents"/>
              <w:spacing w:before="0" w:after="0"/>
              <w:rPr>
                <w:rFonts w:ascii="Times New Roman" w:hAnsi="Times New Roman"/>
                <w:sz w:val="20"/>
              </w:rPr>
            </w:pPr>
            <w:r>
              <w:rPr>
                <w:rFonts w:ascii="Times New Roman" w:hAnsi="Times New Roman"/>
                <w:sz w:val="20"/>
              </w:rPr>
              <w:t>Second Quarter</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6" w:type="dxa"/>
            <w:tcBorders/>
            <w:shd w:fill="CCEEFF" w:val="clear"/>
            <w:vAlign w:val="bottom"/>
          </w:tcPr>
          <w:p>
            <w:pPr>
              <w:pStyle w:val="TableContents"/>
              <w:spacing w:before="0" w:after="283"/>
              <w:jc w:val="right"/>
              <w:rPr/>
            </w:pPr>
            <w:r>
              <w:rPr/>
              <w:t>16.27</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23.64</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18.09</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45.3</w:t>
            </w:r>
          </w:p>
        </w:tc>
        <w:tc>
          <w:tcPr>
            <w:tcW w:w="28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11.2</w:t>
            </w:r>
          </w:p>
        </w:tc>
        <w:tc>
          <w:tcPr>
            <w:tcW w:w="35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0.45</w:t>
            </w:r>
          </w:p>
        </w:tc>
        <w:tc>
          <w:tcPr>
            <w:tcW w:w="70" w:type="dxa"/>
            <w:tcBorders/>
            <w:shd w:fill="CCEEFF" w:val="clear"/>
            <w:vAlign w:val="bottom"/>
          </w:tcPr>
          <w:p>
            <w:pPr>
              <w:pStyle w:val="TableContents"/>
              <w:spacing w:before="0" w:after="283"/>
              <w:rPr/>
            </w:pPr>
            <w:r>
              <w:rPr/>
              <w:t> </w:t>
            </w:r>
          </w:p>
        </w:tc>
      </w:tr>
      <w:tr>
        <w:trPr/>
        <w:tc>
          <w:tcPr>
            <w:tcW w:w="2768" w:type="dxa"/>
            <w:tcBorders/>
            <w:shd w:fill="auto" w:val="clear"/>
          </w:tcPr>
          <w:p>
            <w:pPr>
              <w:pStyle w:val="TableContents"/>
              <w:spacing w:before="0" w:after="0"/>
              <w:rPr>
                <w:rFonts w:ascii="Times New Roman" w:hAnsi="Times New Roman"/>
                <w:sz w:val="20"/>
              </w:rPr>
            </w:pPr>
            <w:r>
              <w:rPr>
                <w:rFonts w:ascii="Times New Roman" w:hAnsi="Times New Roman"/>
                <w:sz w:val="20"/>
              </w:rPr>
              <w:t>Third Quarter</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6" w:type="dxa"/>
            <w:tcBorders/>
            <w:shd w:fill="auto" w:val="clear"/>
            <w:vAlign w:val="bottom"/>
          </w:tcPr>
          <w:p>
            <w:pPr>
              <w:pStyle w:val="TableContents"/>
              <w:spacing w:before="0" w:after="283"/>
              <w:jc w:val="right"/>
              <w:rPr/>
            </w:pPr>
            <w:r>
              <w:rPr/>
              <w:t>16.36</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19.62</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16.13</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19.9</w:t>
            </w:r>
          </w:p>
        </w:tc>
        <w:tc>
          <w:tcPr>
            <w:tcW w:w="28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(1.4</w:t>
            </w:r>
          </w:p>
        </w:tc>
        <w:tc>
          <w:tcPr>
            <w:tcW w:w="35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0.42</w:t>
            </w:r>
          </w:p>
        </w:tc>
        <w:tc>
          <w:tcPr>
            <w:tcW w:w="70" w:type="dxa"/>
            <w:tcBorders/>
            <w:shd w:fill="auto" w:val="clear"/>
            <w:vAlign w:val="bottom"/>
          </w:tcPr>
          <w:p>
            <w:pPr>
              <w:pStyle w:val="TableContents"/>
              <w:spacing w:before="0" w:after="283"/>
              <w:rPr/>
            </w:pPr>
            <w:r>
              <w:rPr/>
              <w:t> </w:t>
            </w:r>
          </w:p>
        </w:tc>
      </w:tr>
      <w:tr>
        <w:trPr/>
        <w:tc>
          <w:tcPr>
            <w:tcW w:w="2768" w:type="dxa"/>
            <w:tcBorders/>
            <w:shd w:fill="CCEEFF" w:val="clear"/>
          </w:tcPr>
          <w:p>
            <w:pPr>
              <w:pStyle w:val="TableContents"/>
              <w:spacing w:before="0" w:after="0"/>
              <w:rPr>
                <w:rFonts w:ascii="Times New Roman" w:hAnsi="Times New Roman"/>
                <w:sz w:val="20"/>
              </w:rPr>
            </w:pPr>
            <w:r>
              <w:rPr>
                <w:rFonts w:ascii="Times New Roman" w:hAnsi="Times New Roman"/>
                <w:sz w:val="20"/>
              </w:rPr>
              <w:t>Fourth Quarter</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6" w:type="dxa"/>
            <w:tcBorders/>
            <w:shd w:fill="CCEEFF" w:val="clear"/>
            <w:vAlign w:val="bottom"/>
          </w:tcPr>
          <w:p>
            <w:pPr>
              <w:pStyle w:val="TableContents"/>
              <w:spacing w:before="0" w:after="283"/>
              <w:jc w:val="right"/>
              <w:rPr/>
            </w:pPr>
            <w:r>
              <w:rPr/>
              <w:t>16.48</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19.14</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16.56</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16.1</w:t>
            </w:r>
          </w:p>
        </w:tc>
        <w:tc>
          <w:tcPr>
            <w:tcW w:w="28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0.5</w:t>
            </w:r>
          </w:p>
        </w:tc>
        <w:tc>
          <w:tcPr>
            <w:tcW w:w="35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0.45</w:t>
            </w:r>
          </w:p>
        </w:tc>
        <w:tc>
          <w:tcPr>
            <w:tcW w:w="70" w:type="dxa"/>
            <w:tcBorders/>
            <w:shd w:fill="CCEEFF" w:val="clear"/>
            <w:vAlign w:val="bottom"/>
          </w:tcPr>
          <w:p>
            <w:pPr>
              <w:pStyle w:val="TableContents"/>
              <w:spacing w:before="0" w:after="283"/>
              <w:rPr/>
            </w:pPr>
            <w:r>
              <w:rPr/>
              <w:t> </w:t>
            </w:r>
          </w:p>
        </w:tc>
      </w:tr>
      <w:tr>
        <w:trPr/>
        <w:tc>
          <w:tcPr>
            <w:tcW w:w="2768" w:type="dxa"/>
            <w:tcBorders/>
            <w:shd w:fill="auto" w:val="clear"/>
          </w:tcPr>
          <w:p>
            <w:pPr>
              <w:pStyle w:val="TableContents"/>
              <w:spacing w:before="0" w:after="0"/>
              <w:rPr>
                <w:rFonts w:ascii="Times New Roman" w:hAnsi="Times New Roman"/>
                <w:b/>
                <w:sz w:val="20"/>
              </w:rPr>
            </w:pPr>
            <w:r>
              <w:rPr>
                <w:rFonts w:ascii="Times New Roman" w:hAnsi="Times New Roman"/>
                <w:b/>
                <w:sz w:val="20"/>
              </w:rPr>
              <w:t>Year ending December 31, 2023</w:t>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03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c>
          <w:tcPr>
            <w:tcW w:w="2768"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19.54</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17.10</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28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0.55</w:t>
            </w:r>
          </w:p>
        </w:tc>
        <w:tc>
          <w:tcPr>
            <w:tcW w:w="70"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NAV is determined as of the last day in the relevant quarter and therefore may not reflect NAV on the date of the high and low closing sales prices. The NAVs shown are based on outstanding shares at the end of the relevant quarter.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NAV, divided by NAV (in each case, as of the applicable quarter). Does not reflect intraday trading prices.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dividend or distribution declared in the relevant quarter.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NAV has not yet been calculated for this period. NAV for the first quarter of 2023 will be available with the filing of the Companys Quarterly Report on Form 10-Q for such quarter, which the Company estimates will be filed on or about May 8, 2023. </w:t>
            </w:r>
          </w:p>
        </w:tc>
      </w:tr>
    </w:tbl>
    <w:p>
      <w:pPr>
        <w:pStyle w:val="TextBody"/>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 </w:t>
      </w:r>
    </w:p>
    <w:p>
      <w:pPr>
        <w:pStyle w:val="TextBody"/>
        <w:spacing w:before="360" w:after="0"/>
        <w:jc w:val="left"/>
        <w:rPr>
          <w:rFonts w:ascii="Times New Roman" w:hAnsi="Times New Roman"/>
          <w:b/>
          <w:sz w:val="20"/>
        </w:rPr>
      </w:pPr>
      <w:r>
        <w:rPr>
          <w:rFonts w:ascii="Times New Roman" w:hAnsi="Times New Roman"/>
          <w:b/>
          <w:sz w:val="20"/>
        </w:rPr>
        <w:t xml:space="preserve">Key Stockholder Considerations </w:t>
      </w:r>
    </w:p>
    <w:p>
      <w:pPr>
        <w:pStyle w:val="TextBody"/>
        <w:spacing w:before="120" w:after="0"/>
        <w:jc w:val="left"/>
        <w:rPr>
          <w:rFonts w:ascii="Times New Roman" w:hAnsi="Times New Roman"/>
          <w:b/>
          <w:i/>
          <w:sz w:val="20"/>
        </w:rPr>
      </w:pPr>
      <w:r>
        <w:rPr>
          <w:rFonts w:ascii="Times New Roman" w:hAnsi="Times New Roman"/>
          <w:b/>
          <w:i/>
          <w:sz w:val="20"/>
        </w:rPr>
        <w:t xml:space="preserve">Dilution </w:t>
      </w:r>
    </w:p>
    <w:p>
      <w:pPr>
        <w:pStyle w:val="TextBody"/>
        <w:spacing w:before="120" w:after="0"/>
        <w:jc w:val="left"/>
        <w:rPr>
          <w:rFonts w:ascii="Times New Roman" w:hAnsi="Times New Roman"/>
          <w:sz w:val="20"/>
        </w:rPr>
      </w:pPr>
      <w:r>
        <w:rPr>
          <w:rFonts w:ascii="Times New Roman" w:hAnsi="Times New Roman"/>
          <w:sz w:val="20"/>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hAnsi="Times New Roman"/>
          <w:b/>
          <w:sz w:val="20"/>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 </w:t>
      </w:r>
    </w:p>
    <w:p>
      <w:pPr>
        <w:pStyle w:val="TextBody"/>
        <w:spacing w:before="240" w:after="0"/>
        <w:jc w:val="left"/>
        <w:rPr>
          <w:rFonts w:ascii="Times New Roman" w:hAnsi="Times New Roman"/>
          <w:sz w:val="20"/>
        </w:rPr>
      </w:pPr>
      <w:r>
        <w:rPr>
          <w:rFonts w:ascii="Times New Roman" w:hAnsi="Times New Roman"/>
          <w:sz w:val="20"/>
        </w:rPr>
        <w:t xml:space="preserve">While the Board will consider anti-dilutive measures, stockholders should also consider that they currently have no subscription, preferential or preemptive rights to additional shares of the common stock proposed to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 </w:t>
      </w:r>
    </w:p>
    <w:p>
      <w:pPr>
        <w:pStyle w:val="TextBody"/>
        <w:spacing w:before="240" w:after="0"/>
        <w:jc w:val="left"/>
        <w:rPr>
          <w:rFonts w:ascii="Times New Roman" w:hAnsi="Times New Roman"/>
          <w:sz w:val="20"/>
        </w:rPr>
      </w:pPr>
      <w:r>
        <w:rPr>
          <w:rFonts w:ascii="Times New Roman" w:hAnsi="Times New Roman"/>
          <w:sz w:val="20"/>
        </w:rPr>
        <w:t xml:space="preserve">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 </w:t>
      </w:r>
    </w:p>
    <w:p>
      <w:pPr>
        <w:pStyle w:val="TextBody"/>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NAV </w:t>
      </w:r>
    </w:p>
    <w:p>
      <w:pPr>
        <w:pStyle w:val="TextBody"/>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NAV on two different types of investors: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spacing w:before="240" w:after="0"/>
        <w:jc w:val="left"/>
        <w:rPr>
          <w:rFonts w:ascii="Times New Roman" w:hAnsi="Times New Roman"/>
          <w:sz w:val="20"/>
        </w:rPr>
      </w:pPr>
      <w:r>
        <w:rPr>
          <w:rFonts w:ascii="Times New Roman" w:hAnsi="Times New Roman"/>
          <w:sz w:val="20"/>
        </w:rPr>
        <w:t xml:space="preserve">A placement of common stock at a price less than NAV to a third party in a private placement would have an impact substantially similar to the impact on existing stockholders who do not purchase any shares in the public offering described below. </w:t>
      </w:r>
    </w:p>
    <w:p>
      <w:pPr>
        <w:pStyle w:val="TextBody"/>
        <w:spacing w:before="360" w:after="0"/>
        <w:jc w:val="left"/>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spacing w:before="120" w:after="0"/>
        <w:jc w:val="left"/>
        <w:rPr>
          <w:rFonts w:ascii="Times New Roman" w:hAnsi="Times New Roman"/>
          <w:sz w:val="20"/>
        </w:rPr>
      </w:pPr>
      <w:r>
        <w:rPr>
          <w:rFonts w:ascii="Times New Roman" w:hAnsi="Times New Roman"/>
          <w:sz w:val="20"/>
        </w:rPr>
        <w:t xml:space="preserve">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 </w:t>
      </w:r>
    </w:p>
    <w:p>
      <w:pPr>
        <w:pStyle w:val="TextBody"/>
        <w:spacing w:before="240" w:after="0"/>
        <w:jc w:val="left"/>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spacing w:before="240" w:after="0"/>
        <w:jc w:val="left"/>
        <w:rPr>
          <w:rFonts w:ascii="Times New Roman" w:hAnsi="Times New Roman"/>
          <w:sz w:val="20"/>
        </w:rPr>
      </w:pPr>
      <w:r>
        <w:rPr>
          <w:rFonts w:ascii="Times New Roman" w:hAnsi="Times New Roman"/>
          <w:sz w:val="20"/>
        </w:rPr>
        <w:t xml:space="preserve">The example assumes that the issuer has 81.4 million shares outstanding, $2.8 billion in total assets and $1.5 billion in total liabilities. The current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pStyle w:val="TextBody"/>
        <w:spacing w:before="0" w:after="0"/>
        <w:jc w:val="left"/>
        <w:rPr/>
      </w:pPr>
      <w:r>
        <w:rPr/>
        <w:t> </w:t>
      </w:r>
    </w:p>
    <w:tbl>
      <w:tblPr>
        <w:tblW w:w="14160" w:type="dxa"/>
        <w:jc w:val="center"/>
        <w:tblInd w:w="0" w:type="dxa"/>
        <w:tblCellMar>
          <w:top w:w="0" w:type="dxa"/>
          <w:left w:w="0" w:type="dxa"/>
          <w:bottom w:w="0" w:type="dxa"/>
          <w:right w:w="0" w:type="dxa"/>
        </w:tblCellMar>
      </w:tblPr>
      <w:tblGrid>
        <w:gridCol w:w="1265"/>
        <w:gridCol w:w="60"/>
        <w:gridCol w:w="140"/>
        <w:gridCol w:w="1100"/>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100"/>
        <w:gridCol w:w="275"/>
        <w:gridCol w:w="60"/>
        <w:gridCol w:w="70"/>
        <w:gridCol w:w="745"/>
        <w:gridCol w:w="350"/>
        <w:gridCol w:w="60"/>
        <w:gridCol w:w="140"/>
        <w:gridCol w:w="1220"/>
        <w:gridCol w:w="275"/>
        <w:gridCol w:w="60"/>
        <w:gridCol w:w="70"/>
        <w:gridCol w:w="745"/>
        <w:gridCol w:w="350"/>
      </w:tblGrid>
      <w:tr>
        <w:trPr/>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2</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3</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4</w:t>
            </w:r>
          </w:p>
        </w:tc>
        <w:tc>
          <w:tcPr>
            <w:tcW w:w="350" w:type="dxa"/>
            <w:tcBorders/>
            <w:shd w:fill="auto" w:val="clear"/>
            <w:vAlign w:val="bottom"/>
          </w:tcPr>
          <w:p>
            <w:pPr>
              <w:pStyle w:val="TableContents"/>
              <w:spacing w:before="0" w:after="283"/>
              <w:rPr/>
            </w:pPr>
            <w:r>
              <w:rPr/>
              <w:t> </w:t>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5% Offering at</w:t>
            </w:r>
            <w:r>
              <w:rPr/>
              <w:br/>
            </w:r>
            <w:r>
              <w:rPr>
                <w:b/>
              </w:rPr>
              <w:t>5%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10% Offering at</w:t>
            </w:r>
            <w:r>
              <w:rPr/>
              <w:br/>
            </w:r>
            <w:r>
              <w:rPr>
                <w:b/>
              </w:rPr>
              <w:t>10%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20% Offering at</w:t>
            </w:r>
            <w:r>
              <w:rPr/>
              <w:br/>
            </w:r>
            <w:r>
              <w:rPr>
                <w:b/>
              </w:rPr>
              <w:t>20%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25% Offering at</w:t>
            </w:r>
            <w:r>
              <w:rPr/>
              <w:br/>
            </w:r>
            <w:r>
              <w:rPr>
                <w:b/>
              </w:rPr>
              <w:t>25% Discount</w:t>
            </w:r>
          </w:p>
        </w:tc>
        <w:tc>
          <w:tcPr>
            <w:tcW w:w="350" w:type="dxa"/>
            <w:tcBorders/>
            <w:shd w:fill="auto" w:val="clear"/>
            <w:vAlign w:val="bottom"/>
          </w:tcPr>
          <w:p>
            <w:pPr>
              <w:pStyle w:val="TableContents"/>
              <w:spacing w:before="0" w:after="283"/>
              <w:rPr/>
            </w:pPr>
            <w:r>
              <w:rPr/>
              <w:t> </w:t>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Prior to</w:t>
            </w:r>
            <w:r>
              <w:rPr/>
              <w:br/>
            </w:r>
            <w:r>
              <w:rPr>
                <w:b/>
              </w:rPr>
              <w:t>Sale Below</w:t>
            </w:r>
            <w:r>
              <w:rPr/>
              <w:br/>
            </w:r>
            <w:r>
              <w:rPr>
                <w:b/>
              </w:rPr>
              <w:t>NAV</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350" w:type="dxa"/>
            <w:tcBorders/>
            <w:shd w:fill="auto" w:val="clear"/>
            <w:vAlign w:val="bottom"/>
          </w:tcPr>
          <w:p>
            <w:pPr>
              <w:pStyle w:val="TableContents"/>
              <w:spacing w:before="0" w:after="283"/>
              <w:rPr/>
            </w:pPr>
            <w:r>
              <w:rPr/>
              <w:t> </w:t>
            </w:r>
          </w:p>
        </w:tc>
      </w:tr>
      <w:tr>
        <w:trPr/>
        <w:tc>
          <w:tcPr>
            <w:tcW w:w="1265" w:type="dxa"/>
            <w:tcBorders/>
            <w:shd w:fill="CCEEFF" w:val="clear"/>
          </w:tcPr>
          <w:p>
            <w:pPr>
              <w:pStyle w:val="TableContents"/>
              <w:spacing w:before="0" w:after="0"/>
              <w:rPr>
                <w:rFonts w:ascii="Times New Roman" w:hAnsi="Times New Roman"/>
                <w:b/>
                <w:sz w:val="16"/>
              </w:rPr>
            </w:pPr>
            <w:r>
              <w:rPr>
                <w:rFonts w:ascii="Times New Roman" w:hAnsi="Times New Roman"/>
                <w:b/>
                <w:sz w:val="16"/>
              </w:rPr>
              <w:t>Offering Price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Price per Share to Public</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15.61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13.88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13.01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Net Proceeds per Share to Issuer</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15.66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14.83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13.18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12.36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b/>
                <w:sz w:val="16"/>
              </w:rPr>
            </w:pPr>
            <w:r>
              <w:rPr>
                <w:rFonts w:ascii="Times New Roman" w:hAnsi="Times New Roman"/>
                <w:b/>
                <w:sz w:val="16"/>
              </w:rPr>
              <w:t>Decrease/Increase to Net Asset Value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Shares Offered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4,069,464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8,138,929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16,277,857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20,347,322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Total Shares Outstanding</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81,389,287</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85,458,751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89,528,216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97,667,144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101,736,609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Net Asset Value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16.48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16.44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16.33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(0.89</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15.93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15.66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(4.98</w:t>
            </w:r>
          </w:p>
        </w:tc>
        <w:tc>
          <w:tcPr>
            <w:tcW w:w="350" w:type="dxa"/>
            <w:tcBorders/>
            <w:shd w:fill="CCEEFF" w:val="clear"/>
            <w:vAlign w:val="bottom"/>
          </w:tcPr>
          <w:p>
            <w:pPr>
              <w:pStyle w:val="TableContents"/>
              <w:spacing w:before="0" w:after="283"/>
              <w:rPr/>
            </w:pPr>
            <w:r>
              <w:rPr/>
              <w:t>%) </w:t>
            </w:r>
          </w:p>
        </w:tc>
      </w:tr>
      <w:tr>
        <w:trPr/>
        <w:tc>
          <w:tcPr>
            <w:tcW w:w="1265" w:type="dxa"/>
            <w:tcBorders/>
            <w:shd w:fill="auto" w:val="clear"/>
          </w:tcPr>
          <w:p>
            <w:pPr>
              <w:pStyle w:val="TableContents"/>
              <w:spacing w:before="0" w:after="0"/>
              <w:rPr>
                <w:rFonts w:ascii="Times New Roman" w:hAnsi="Times New Roman"/>
                <w:b/>
                <w:sz w:val="16"/>
              </w:rPr>
            </w:pPr>
            <w:r>
              <w:rPr>
                <w:rFonts w:ascii="Times New Roman" w:hAnsi="Times New Roman"/>
                <w:b/>
                <w:sz w:val="16"/>
              </w:rPr>
              <w:t>Dilution to Nonparticipating Stockholder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Shares Held by Stockholder 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81,389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81,389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81,389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81,389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81,389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Percentage Held by Stockholder A</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(4.76</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(9.09</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(16.67</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0.08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(20.00</w:t>
            </w:r>
          </w:p>
        </w:tc>
        <w:tc>
          <w:tcPr>
            <w:tcW w:w="350" w:type="dxa"/>
            <w:tcBorders/>
            <w:shd w:fill="auto" w:val="clear"/>
            <w:vAlign w:val="bottom"/>
          </w:tcPr>
          <w:p>
            <w:pPr>
              <w:pStyle w:val="TableContents"/>
              <w:spacing w:before="0" w:after="283"/>
              <w:rPr/>
            </w:pPr>
            <w:r>
              <w:rPr/>
              <w:t>%) </w:t>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Total Net Asset Value Held by Stockholder 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1,341,570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1,338,359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1,329,347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(0.91</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1,296,810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1,274,446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(5.00</w:t>
            </w:r>
          </w:p>
        </w:tc>
        <w:tc>
          <w:tcPr>
            <w:tcW w:w="350" w:type="dxa"/>
            <w:tcBorders/>
            <w:shd w:fill="CCEEFF" w:val="clear"/>
            <w:vAlign w:val="bottom"/>
          </w:tcPr>
          <w:p>
            <w:pPr>
              <w:pStyle w:val="TableContents"/>
              <w:spacing w:before="0" w:after="283"/>
              <w:rPr/>
            </w:pPr>
            <w:r>
              <w:rPr/>
              <w:t>%) </w:t>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Total Investment by Stockholder A (Assumed to be $16.48 per Share)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1,341,570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1,341,570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1,341,570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1,341,570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1,341,570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Total Dilution to Stockholder A (Total Net Asset Value Less Total Investment)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(3,211</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(12,223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(44,760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(67,124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Investment per Share Held by Stockholder A (Assumed to be $16.48 per Share on Shares Held Prior to Sale)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16.48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Net Asset Value per Share Held by Stockholder 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16.44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16.33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15.93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15.66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Dilution per Share Held by Stockholder A (Net Asset Value per Share Less Investment per Share)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(0.04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(0.55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(0.82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Percentage Dilution to Stockholder A (Dilution per Share Divided by Investment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(0.89</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(4.98</w:t>
            </w:r>
          </w:p>
        </w:tc>
        <w:tc>
          <w:tcPr>
            <w:tcW w:w="35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spacing w:before="120" w:after="0"/>
        <w:jc w:val="left"/>
        <w:rPr>
          <w:rFonts w:ascii="Times New Roman" w:hAnsi="Times New Roman"/>
          <w:sz w:val="20"/>
        </w:rPr>
      </w:pPr>
      <w:r>
        <w:rPr>
          <w:rFonts w:ascii="Times New Roman" w:hAnsi="Times New Roman"/>
          <w:sz w:val="20"/>
        </w:rPr>
        <w:t xml:space="preserve">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 </w:t>
      </w:r>
    </w:p>
    <w:p>
      <w:pPr>
        <w:pStyle w:val="TextBody"/>
        <w:spacing w:before="24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61"/>
        <w:gridCol w:w="180"/>
        <w:gridCol w:w="146"/>
        <w:gridCol w:w="1158"/>
        <w:gridCol w:w="296"/>
        <w:gridCol w:w="126"/>
        <w:gridCol w:w="169"/>
        <w:gridCol w:w="1351"/>
        <w:gridCol w:w="296"/>
        <w:gridCol w:w="126"/>
        <w:gridCol w:w="78"/>
        <w:gridCol w:w="737"/>
        <w:gridCol w:w="364"/>
        <w:gridCol w:w="126"/>
        <w:gridCol w:w="140"/>
        <w:gridCol w:w="1138"/>
        <w:gridCol w:w="296"/>
        <w:gridCol w:w="126"/>
        <w:gridCol w:w="78"/>
        <w:gridCol w:w="738"/>
        <w:gridCol w:w="375"/>
      </w:tblGrid>
      <w:tr>
        <w:trPr/>
        <w:tc>
          <w:tcPr>
            <w:tcW w:w="21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r>
      <w:tr>
        <w:trPr/>
        <w:tc>
          <w:tcPr>
            <w:tcW w:w="216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75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50% Participation</w:t>
            </w:r>
          </w:p>
        </w:tc>
        <w:tc>
          <w:tcPr>
            <w:tcW w:w="36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51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150% Participation</w:t>
            </w:r>
          </w:p>
        </w:tc>
        <w:tc>
          <w:tcPr>
            <w:tcW w:w="375" w:type="dxa"/>
            <w:tcBorders/>
            <w:shd w:fill="auto" w:val="clear"/>
            <w:vAlign w:val="bottom"/>
          </w:tcPr>
          <w:p>
            <w:pPr>
              <w:pStyle w:val="TableContents"/>
              <w:spacing w:before="0" w:after="283"/>
              <w:rPr/>
            </w:pPr>
            <w:r>
              <w:rPr/>
              <w:t> </w:t>
            </w:r>
          </w:p>
        </w:tc>
      </w:tr>
      <w:tr>
        <w:trPr/>
        <w:tc>
          <w:tcPr>
            <w:tcW w:w="216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Prior to Sale</w:t>
            </w:r>
            <w:r>
              <w:rPr/>
              <w:br/>
            </w:r>
            <w:r>
              <w:rPr>
                <w:b/>
              </w:rPr>
              <w:t>Below NAV</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 Sale</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36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 Sale</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375" w:type="dxa"/>
            <w:tcBorders/>
            <w:shd w:fill="auto" w:val="clear"/>
            <w:vAlign w:val="bottom"/>
          </w:tcPr>
          <w:p>
            <w:pPr>
              <w:pStyle w:val="TableContents"/>
              <w:spacing w:before="0" w:after="283"/>
              <w:rPr/>
            </w:pPr>
            <w:r>
              <w:rPr/>
              <w:t> </w:t>
            </w:r>
          </w:p>
        </w:tc>
      </w:tr>
      <w:tr>
        <w:trPr/>
        <w:tc>
          <w:tcPr>
            <w:tcW w:w="2161" w:type="dxa"/>
            <w:tcBorders/>
            <w:shd w:fill="CCEEFF" w:val="clear"/>
          </w:tcPr>
          <w:p>
            <w:pPr>
              <w:pStyle w:val="TableContents"/>
              <w:spacing w:before="0" w:after="0"/>
              <w:rPr>
                <w:rFonts w:ascii="Times New Roman" w:hAnsi="Times New Roman"/>
                <w:b/>
                <w:sz w:val="20"/>
              </w:rPr>
            </w:pPr>
            <w:r>
              <w:rPr>
                <w:rFonts w:ascii="Times New Roman" w:hAnsi="Times New Roman"/>
                <w:b/>
                <w:sz w:val="20"/>
              </w:rPr>
              <w:t>Offering Price</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58"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351"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64"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sz w:val="4"/>
                <w:szCs w:val="4"/>
              </w:rPr>
            </w:pPr>
            <w:r>
              <w:rPr>
                <w:sz w:val="4"/>
                <w:szCs w:val="4"/>
              </w:rPr>
            </w:r>
          </w:p>
        </w:tc>
      </w:tr>
      <w:tr>
        <w:trPr/>
        <w:tc>
          <w:tcPr>
            <w:tcW w:w="2161" w:type="dxa"/>
            <w:tcBorders/>
            <w:shd w:fill="auto" w:val="clear"/>
          </w:tcPr>
          <w:p>
            <w:pPr>
              <w:pStyle w:val="TableContents"/>
              <w:spacing w:before="0" w:after="0"/>
              <w:rPr>
                <w:rFonts w:ascii="Times New Roman" w:hAnsi="Times New Roman"/>
                <w:sz w:val="20"/>
              </w:rPr>
            </w:pPr>
            <w:r>
              <w:rPr>
                <w:rFonts w:ascii="Times New Roman" w:hAnsi="Times New Roman"/>
                <w:sz w:val="20"/>
              </w:rPr>
              <w:t>Price per Share to Public</w:t>
            </w:r>
          </w:p>
        </w:tc>
        <w:tc>
          <w:tcPr>
            <w:tcW w:w="18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158"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w:t>
            </w:r>
          </w:p>
        </w:tc>
        <w:tc>
          <w:tcPr>
            <w:tcW w:w="1351" w:type="dxa"/>
            <w:tcBorders/>
            <w:shd w:fill="auto" w:val="clear"/>
            <w:vAlign w:val="bottom"/>
          </w:tcPr>
          <w:p>
            <w:pPr>
              <w:pStyle w:val="TableContents"/>
              <w:spacing w:before="0" w:after="283"/>
              <w:jc w:val="right"/>
              <w:rPr/>
            </w:pPr>
            <w:r>
              <w:rPr/>
              <w:t>13.88</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38" w:type="dxa"/>
            <w:tcBorders/>
            <w:shd w:fill="auto" w:val="clear"/>
            <w:vAlign w:val="bottom"/>
          </w:tcPr>
          <w:p>
            <w:pPr>
              <w:pStyle w:val="TableContents"/>
              <w:spacing w:before="0" w:after="283"/>
              <w:jc w:val="right"/>
              <w:rPr/>
            </w:pPr>
            <w:r>
              <w:rPr/>
              <w:t>13.88</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r>
      <w:tr>
        <w:trPr/>
        <w:tc>
          <w:tcPr>
            <w:tcW w:w="2161" w:type="dxa"/>
            <w:tcBorders/>
            <w:shd w:fill="CCEEFF" w:val="clear"/>
          </w:tcPr>
          <w:p>
            <w:pPr>
              <w:pStyle w:val="TableContents"/>
              <w:spacing w:before="0" w:after="0"/>
              <w:rPr>
                <w:rFonts w:ascii="Times New Roman" w:hAnsi="Times New Roman"/>
                <w:sz w:val="20"/>
              </w:rPr>
            </w:pPr>
            <w:r>
              <w:rPr>
                <w:rFonts w:ascii="Times New Roman" w:hAnsi="Times New Roman"/>
                <w:sz w:val="20"/>
              </w:rPr>
              <w:t>Net Proceeds per Share to Issuer</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58"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1351" w:type="dxa"/>
            <w:tcBorders/>
            <w:shd w:fill="CCEEFF" w:val="clear"/>
            <w:vAlign w:val="bottom"/>
          </w:tcPr>
          <w:p>
            <w:pPr>
              <w:pStyle w:val="TableContents"/>
              <w:spacing w:before="0" w:after="283"/>
              <w:jc w:val="right"/>
              <w:rPr/>
            </w:pPr>
            <w:r>
              <w:rPr/>
              <w:t>13.18</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64"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8" w:type="dxa"/>
            <w:tcBorders/>
            <w:shd w:fill="CCEEFF" w:val="clear"/>
            <w:vAlign w:val="bottom"/>
          </w:tcPr>
          <w:p>
            <w:pPr>
              <w:pStyle w:val="TableContents"/>
              <w:spacing w:before="0" w:after="283"/>
              <w:jc w:val="right"/>
              <w:rPr/>
            </w:pPr>
            <w:r>
              <w:rPr/>
              <w:t>13.18</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sz w:val="4"/>
                <w:szCs w:val="4"/>
              </w:rPr>
            </w:pPr>
            <w:r>
              <w:rPr>
                <w:sz w:val="4"/>
                <w:szCs w:val="4"/>
              </w:rPr>
            </w:r>
          </w:p>
        </w:tc>
      </w:tr>
      <w:tr>
        <w:trPr/>
        <w:tc>
          <w:tcPr>
            <w:tcW w:w="2161" w:type="dxa"/>
            <w:tcBorders/>
            <w:shd w:fill="auto" w:val="clear"/>
          </w:tcPr>
          <w:p>
            <w:pPr>
              <w:pStyle w:val="TableContents"/>
              <w:spacing w:before="0" w:after="0"/>
              <w:rPr>
                <w:rFonts w:ascii="Times New Roman" w:hAnsi="Times New Roman"/>
                <w:b/>
                <w:sz w:val="20"/>
              </w:rPr>
            </w:pPr>
            <w:r>
              <w:rPr>
                <w:rFonts w:ascii="Times New Roman" w:hAnsi="Times New Roman"/>
                <w:b/>
                <w:sz w:val="20"/>
              </w:rPr>
              <w:t>Decrease/Increase to Net Asset Value</w:t>
            </w:r>
          </w:p>
        </w:tc>
        <w:tc>
          <w:tcPr>
            <w:tcW w:w="18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158"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1351"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r>
      <w:tr>
        <w:trPr/>
        <w:tc>
          <w:tcPr>
            <w:tcW w:w="2161" w:type="dxa"/>
            <w:tcBorders/>
            <w:shd w:fill="CCEEFF" w:val="clear"/>
          </w:tcPr>
          <w:p>
            <w:pPr>
              <w:pStyle w:val="TableContents"/>
              <w:spacing w:before="0" w:after="0"/>
              <w:rPr>
                <w:rFonts w:ascii="Times New Roman" w:hAnsi="Times New Roman"/>
                <w:sz w:val="20"/>
              </w:rPr>
            </w:pPr>
            <w:r>
              <w:rPr>
                <w:rFonts w:ascii="Times New Roman" w:hAnsi="Times New Roman"/>
                <w:sz w:val="20"/>
              </w:rPr>
              <w:t>Shares Offered</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58"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16,277,857</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64"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16,277,857</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sz w:val="4"/>
                <w:szCs w:val="4"/>
              </w:rPr>
            </w:pPr>
            <w:r>
              <w:rPr>
                <w:sz w:val="4"/>
                <w:szCs w:val="4"/>
              </w:rPr>
            </w:r>
          </w:p>
        </w:tc>
      </w:tr>
      <w:tr>
        <w:trPr/>
        <w:tc>
          <w:tcPr>
            <w:tcW w:w="2161" w:type="dxa"/>
            <w:tcBorders/>
            <w:shd w:fill="auto" w:val="clear"/>
          </w:tcPr>
          <w:p>
            <w:pPr>
              <w:pStyle w:val="TableContents"/>
              <w:spacing w:before="0" w:after="0"/>
              <w:rPr>
                <w:rFonts w:ascii="Times New Roman" w:hAnsi="Times New Roman"/>
                <w:sz w:val="20"/>
              </w:rPr>
            </w:pPr>
            <w:r>
              <w:rPr>
                <w:rFonts w:ascii="Times New Roman" w:hAnsi="Times New Roman"/>
                <w:sz w:val="20"/>
              </w:rPr>
              <w:t>Total Shares Outstanding</w:t>
            </w:r>
          </w:p>
        </w:tc>
        <w:tc>
          <w:tcPr>
            <w:tcW w:w="18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81,389,287</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97,667,144</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20.00</w:t>
            </w:r>
          </w:p>
        </w:tc>
        <w:tc>
          <w:tcPr>
            <w:tcW w:w="36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97,667,144</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20.00</w:t>
            </w:r>
          </w:p>
        </w:tc>
        <w:tc>
          <w:tcPr>
            <w:tcW w:w="375" w:type="dxa"/>
            <w:tcBorders/>
            <w:shd w:fill="auto" w:val="clear"/>
            <w:vAlign w:val="bottom"/>
          </w:tcPr>
          <w:p>
            <w:pPr>
              <w:pStyle w:val="TableContents"/>
              <w:spacing w:before="0" w:after="283"/>
              <w:rPr/>
            </w:pPr>
            <w:r>
              <w:rPr/>
              <w:t>% </w:t>
            </w:r>
          </w:p>
        </w:tc>
      </w:tr>
      <w:tr>
        <w:trPr/>
        <w:tc>
          <w:tcPr>
            <w:tcW w:w="2161" w:type="dxa"/>
            <w:tcBorders/>
            <w:shd w:fill="CCEEFF" w:val="clear"/>
          </w:tcPr>
          <w:p>
            <w:pPr>
              <w:pStyle w:val="TableContents"/>
              <w:spacing w:before="0" w:after="0"/>
              <w:rPr>
                <w:rFonts w:ascii="Times New Roman" w:hAnsi="Times New Roman"/>
                <w:sz w:val="20"/>
              </w:rPr>
            </w:pPr>
            <w:r>
              <w:rPr>
                <w:rFonts w:ascii="Times New Roman" w:hAnsi="Times New Roman"/>
                <w:sz w:val="20"/>
              </w:rPr>
              <w:t>Net Asset Value per Share</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158" w:type="dxa"/>
            <w:tcBorders/>
            <w:shd w:fill="CCEEFF" w:val="clear"/>
            <w:vAlign w:val="bottom"/>
          </w:tcPr>
          <w:p>
            <w:pPr>
              <w:pStyle w:val="TableContents"/>
              <w:spacing w:before="0" w:after="283"/>
              <w:jc w:val="right"/>
              <w:rPr/>
            </w:pPr>
            <w:r>
              <w:rPr/>
              <w:t>16.48</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1351" w:type="dxa"/>
            <w:tcBorders/>
            <w:shd w:fill="CCEEFF" w:val="clear"/>
            <w:vAlign w:val="bottom"/>
          </w:tcPr>
          <w:p>
            <w:pPr>
              <w:pStyle w:val="TableContents"/>
              <w:spacing w:before="0" w:after="283"/>
              <w:jc w:val="right"/>
              <w:rPr/>
            </w:pPr>
            <w:r>
              <w:rPr/>
              <w:t>15.93</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(3.32</w:t>
            </w:r>
          </w:p>
        </w:tc>
        <w:tc>
          <w:tcPr>
            <w:tcW w:w="36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8" w:type="dxa"/>
            <w:tcBorders/>
            <w:shd w:fill="CCEEFF" w:val="clear"/>
            <w:vAlign w:val="bottom"/>
          </w:tcPr>
          <w:p>
            <w:pPr>
              <w:pStyle w:val="TableContents"/>
              <w:spacing w:before="0" w:after="283"/>
              <w:jc w:val="right"/>
              <w:rPr/>
            </w:pPr>
            <w:r>
              <w:rPr/>
              <w:t>15.93</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(3.32</w:t>
            </w:r>
          </w:p>
        </w:tc>
        <w:tc>
          <w:tcPr>
            <w:tcW w:w="375" w:type="dxa"/>
            <w:tcBorders/>
            <w:shd w:fill="CCEEFF" w:val="clear"/>
            <w:vAlign w:val="bottom"/>
          </w:tcPr>
          <w:p>
            <w:pPr>
              <w:pStyle w:val="TableContents"/>
              <w:spacing w:before="0" w:after="283"/>
              <w:rPr/>
            </w:pPr>
            <w:r>
              <w:rPr/>
              <w:t>)% </w:t>
            </w:r>
          </w:p>
        </w:tc>
      </w:tr>
      <w:tr>
        <w:trPr/>
        <w:tc>
          <w:tcPr>
            <w:tcW w:w="2161" w:type="dxa"/>
            <w:tcBorders/>
            <w:shd w:fill="auto" w:val="clear"/>
          </w:tcPr>
          <w:p>
            <w:pPr>
              <w:pStyle w:val="TableContents"/>
              <w:spacing w:before="0" w:after="0"/>
              <w:rPr>
                <w:rFonts w:ascii="Times New Roman" w:hAnsi="Times New Roman"/>
                <w:b/>
                <w:sz w:val="20"/>
              </w:rPr>
            </w:pPr>
            <w:r>
              <w:rPr>
                <w:rFonts w:ascii="Times New Roman" w:hAnsi="Times New Roman"/>
                <w:b/>
                <w:sz w:val="20"/>
              </w:rPr>
              <w:t>Dilution/Accretion to Participating Stockholder Shares Held by Stockholder A</w:t>
            </w:r>
          </w:p>
        </w:tc>
        <w:tc>
          <w:tcPr>
            <w:tcW w:w="18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158"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1351"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r>
      <w:tr>
        <w:trPr/>
        <w:tc>
          <w:tcPr>
            <w:tcW w:w="2161" w:type="dxa"/>
            <w:tcBorders/>
            <w:shd w:fill="CCEEFF" w:val="clear"/>
          </w:tcPr>
          <w:p>
            <w:pPr>
              <w:pStyle w:val="TableContents"/>
              <w:spacing w:before="0" w:after="0"/>
              <w:rPr>
                <w:rFonts w:ascii="Times New Roman" w:hAnsi="Times New Roman"/>
                <w:sz w:val="20"/>
              </w:rPr>
            </w:pPr>
            <w:r>
              <w:rPr>
                <w:rFonts w:ascii="Times New Roman" w:hAnsi="Times New Roman"/>
                <w:sz w:val="20"/>
              </w:rPr>
              <w:t>Shares Held by Stockholder A</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81,389</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89,528</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10.00</w:t>
            </w:r>
          </w:p>
        </w:tc>
        <w:tc>
          <w:tcPr>
            <w:tcW w:w="36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105,806</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30.00</w:t>
            </w:r>
          </w:p>
        </w:tc>
        <w:tc>
          <w:tcPr>
            <w:tcW w:w="375" w:type="dxa"/>
            <w:tcBorders/>
            <w:shd w:fill="CCEEFF" w:val="clear"/>
            <w:vAlign w:val="bottom"/>
          </w:tcPr>
          <w:p>
            <w:pPr>
              <w:pStyle w:val="TableContents"/>
              <w:spacing w:before="0" w:after="283"/>
              <w:rPr/>
            </w:pPr>
            <w:r>
              <w:rPr/>
              <w:t>% </w:t>
            </w:r>
          </w:p>
        </w:tc>
      </w:tr>
      <w:tr>
        <w:trPr/>
        <w:tc>
          <w:tcPr>
            <w:tcW w:w="2161" w:type="dxa"/>
            <w:tcBorders/>
            <w:shd w:fill="auto" w:val="clear"/>
          </w:tcPr>
          <w:p>
            <w:pPr>
              <w:pStyle w:val="TableContents"/>
              <w:spacing w:before="0" w:after="0"/>
              <w:rPr>
                <w:rFonts w:ascii="Times New Roman" w:hAnsi="Times New Roman"/>
                <w:sz w:val="20"/>
              </w:rPr>
            </w:pPr>
            <w:r>
              <w:rPr>
                <w:rFonts w:ascii="Times New Roman" w:hAnsi="Times New Roman"/>
                <w:sz w:val="20"/>
              </w:rPr>
              <w:t>Percentage Held by Stockholder A</w:t>
            </w:r>
          </w:p>
        </w:tc>
        <w:tc>
          <w:tcPr>
            <w:tcW w:w="18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0.10</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0.09</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(8.33</w:t>
            </w:r>
          </w:p>
        </w:tc>
        <w:tc>
          <w:tcPr>
            <w:tcW w:w="36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0.11</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8.33</w:t>
            </w:r>
          </w:p>
        </w:tc>
        <w:tc>
          <w:tcPr>
            <w:tcW w:w="375" w:type="dxa"/>
            <w:tcBorders/>
            <w:shd w:fill="auto" w:val="clear"/>
            <w:vAlign w:val="bottom"/>
          </w:tcPr>
          <w:p>
            <w:pPr>
              <w:pStyle w:val="TableContents"/>
              <w:spacing w:before="0" w:after="283"/>
              <w:rPr/>
            </w:pPr>
            <w:r>
              <w:rPr/>
              <w:t>% </w:t>
            </w:r>
          </w:p>
        </w:tc>
      </w:tr>
      <w:tr>
        <w:trPr/>
        <w:tc>
          <w:tcPr>
            <w:tcW w:w="2161" w:type="dxa"/>
            <w:tcBorders/>
            <w:shd w:fill="CCEEFF" w:val="clear"/>
          </w:tcPr>
          <w:p>
            <w:pPr>
              <w:pStyle w:val="TableContents"/>
              <w:spacing w:before="0" w:after="0"/>
              <w:rPr>
                <w:rFonts w:ascii="Times New Roman" w:hAnsi="Times New Roman"/>
                <w:sz w:val="20"/>
              </w:rPr>
            </w:pPr>
            <w:r>
              <w:rPr>
                <w:rFonts w:ascii="Times New Roman" w:hAnsi="Times New Roman"/>
                <w:sz w:val="20"/>
              </w:rPr>
              <w:t>Total Net Asset Value Held by Stockholder A</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158" w:type="dxa"/>
            <w:tcBorders/>
            <w:shd w:fill="CCEEFF" w:val="clear"/>
            <w:vAlign w:val="bottom"/>
          </w:tcPr>
          <w:p>
            <w:pPr>
              <w:pStyle w:val="TableContents"/>
              <w:spacing w:before="0" w:after="283"/>
              <w:jc w:val="right"/>
              <w:rPr/>
            </w:pPr>
            <w:r>
              <w:rPr/>
              <w:t>1,341,570</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1351" w:type="dxa"/>
            <w:tcBorders/>
            <w:shd w:fill="CCEEFF" w:val="clear"/>
            <w:vAlign w:val="bottom"/>
          </w:tcPr>
          <w:p>
            <w:pPr>
              <w:pStyle w:val="TableContents"/>
              <w:spacing w:before="0" w:after="283"/>
              <w:jc w:val="right"/>
              <w:rPr/>
            </w:pPr>
            <w:r>
              <w:rPr/>
              <w:t>1,426,491</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6.33</w:t>
            </w:r>
          </w:p>
        </w:tc>
        <w:tc>
          <w:tcPr>
            <w:tcW w:w="36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8" w:type="dxa"/>
            <w:tcBorders/>
            <w:shd w:fill="CCEEFF" w:val="clear"/>
            <w:vAlign w:val="bottom"/>
          </w:tcPr>
          <w:p>
            <w:pPr>
              <w:pStyle w:val="TableContents"/>
              <w:spacing w:before="0" w:after="283"/>
              <w:jc w:val="right"/>
              <w:rPr/>
            </w:pPr>
            <w:r>
              <w:rPr/>
              <w:t>1,685,854</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25.66</w:t>
            </w:r>
          </w:p>
        </w:tc>
        <w:tc>
          <w:tcPr>
            <w:tcW w:w="375" w:type="dxa"/>
            <w:tcBorders/>
            <w:shd w:fill="CCEEFF" w:val="clear"/>
            <w:vAlign w:val="bottom"/>
          </w:tcPr>
          <w:p>
            <w:pPr>
              <w:pStyle w:val="TableContents"/>
              <w:spacing w:before="0" w:after="283"/>
              <w:rPr/>
            </w:pPr>
            <w:r>
              <w:rPr/>
              <w:t>% </w:t>
            </w:r>
          </w:p>
        </w:tc>
      </w:tr>
      <w:tr>
        <w:trPr/>
        <w:tc>
          <w:tcPr>
            <w:tcW w:w="2161" w:type="dxa"/>
            <w:tcBorders/>
            <w:shd w:fill="auto" w:val="clear"/>
          </w:tcPr>
          <w:p>
            <w:pPr>
              <w:pStyle w:val="TableContents"/>
              <w:spacing w:before="0" w:after="0"/>
              <w:rPr>
                <w:rFonts w:ascii="Times New Roman" w:hAnsi="Times New Roman"/>
                <w:sz w:val="20"/>
              </w:rPr>
            </w:pPr>
            <w:r>
              <w:rPr>
                <w:rFonts w:ascii="Times New Roman" w:hAnsi="Times New Roman"/>
                <w:sz w:val="20"/>
              </w:rPr>
              <w:t>Total Investment by Stockholder A (Assumed to be $16.48 per Share on Shares Held Prior to Sale)</w:t>
            </w:r>
          </w:p>
        </w:tc>
        <w:tc>
          <w:tcPr>
            <w:tcW w:w="18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158" w:type="dxa"/>
            <w:tcBorders/>
            <w:shd w:fill="auto" w:val="clear"/>
            <w:vAlign w:val="bottom"/>
          </w:tcPr>
          <w:p>
            <w:pPr>
              <w:pStyle w:val="TableContents"/>
              <w:spacing w:before="0" w:after="283"/>
              <w:jc w:val="right"/>
              <w:rPr/>
            </w:pPr>
            <w:r>
              <w:rPr/>
              <w:t>1,341,570</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w:t>
            </w:r>
          </w:p>
        </w:tc>
        <w:tc>
          <w:tcPr>
            <w:tcW w:w="1351" w:type="dxa"/>
            <w:tcBorders/>
            <w:shd w:fill="auto" w:val="clear"/>
            <w:vAlign w:val="bottom"/>
          </w:tcPr>
          <w:p>
            <w:pPr>
              <w:pStyle w:val="TableContents"/>
              <w:spacing w:before="0" w:after="283"/>
              <w:jc w:val="right"/>
              <w:rPr/>
            </w:pPr>
            <w:r>
              <w:rPr/>
              <w:t>1,454,521</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38" w:type="dxa"/>
            <w:tcBorders/>
            <w:shd w:fill="auto" w:val="clear"/>
            <w:vAlign w:val="bottom"/>
          </w:tcPr>
          <w:p>
            <w:pPr>
              <w:pStyle w:val="TableContents"/>
              <w:spacing w:before="0" w:after="283"/>
              <w:jc w:val="right"/>
              <w:rPr/>
            </w:pPr>
            <w:r>
              <w:rPr/>
              <w:t>1,680,423</w:t>
            </w:r>
          </w:p>
        </w:tc>
        <w:tc>
          <w:tcPr>
            <w:tcW w:w="29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r>
      <w:tr>
        <w:trPr/>
        <w:tc>
          <w:tcPr>
            <w:tcW w:w="2161" w:type="dxa"/>
            <w:tcBorders/>
            <w:shd w:fill="CCEEFF" w:val="clear"/>
          </w:tcPr>
          <w:p>
            <w:pPr>
              <w:pStyle w:val="TableContents"/>
              <w:spacing w:before="0" w:after="0"/>
              <w:rPr>
                <w:rFonts w:ascii="Times New Roman" w:hAnsi="Times New Roman"/>
                <w:sz w:val="20"/>
              </w:rPr>
            </w:pPr>
            <w:r>
              <w:rPr>
                <w:rFonts w:ascii="Times New Roman" w:hAnsi="Times New Roman"/>
                <w:sz w:val="20"/>
              </w:rPr>
              <w:t>Total Dilution/Accretion to Stockholder A (Total Net Asset Value Less Total Investment)</w:t>
            </w:r>
          </w:p>
        </w:tc>
        <w:tc>
          <w:tcPr>
            <w:tcW w:w="18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58"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1351" w:type="dxa"/>
            <w:tcBorders/>
            <w:shd w:fill="CCEEFF" w:val="clear"/>
            <w:vAlign w:val="bottom"/>
          </w:tcPr>
          <w:p>
            <w:pPr>
              <w:pStyle w:val="TableContents"/>
              <w:spacing w:before="0" w:after="283"/>
              <w:jc w:val="right"/>
              <w:rPr/>
            </w:pPr>
            <w:r>
              <w:rPr/>
              <w:t>(28,030</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64"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8" w:type="dxa"/>
            <w:tcBorders/>
            <w:shd w:fill="CCEEFF" w:val="clear"/>
            <w:vAlign w:val="bottom"/>
          </w:tcPr>
          <w:p>
            <w:pPr>
              <w:pStyle w:val="TableContents"/>
              <w:spacing w:before="0" w:after="283"/>
              <w:jc w:val="right"/>
              <w:rPr/>
            </w:pPr>
            <w:r>
              <w:rPr/>
              <w:t>5,431</w:t>
            </w:r>
          </w:p>
        </w:tc>
        <w:tc>
          <w:tcPr>
            <w:tcW w:w="29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353"/>
        <w:gridCol w:w="192"/>
        <w:gridCol w:w="259"/>
        <w:gridCol w:w="1041"/>
        <w:gridCol w:w="137"/>
        <w:gridCol w:w="220"/>
        <w:gridCol w:w="306"/>
        <w:gridCol w:w="1224"/>
        <w:gridCol w:w="225"/>
        <w:gridCol w:w="220"/>
        <w:gridCol w:w="85"/>
        <w:gridCol w:w="729"/>
        <w:gridCol w:w="405"/>
        <w:gridCol w:w="137"/>
        <w:gridCol w:w="217"/>
        <w:gridCol w:w="868"/>
        <w:gridCol w:w="137"/>
        <w:gridCol w:w="220"/>
        <w:gridCol w:w="85"/>
        <w:gridCol w:w="730"/>
        <w:gridCol w:w="415"/>
      </w:tblGrid>
      <w:tr>
        <w:trPr/>
        <w:tc>
          <w:tcPr>
            <w:tcW w:w="235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r>
      <w:tr>
        <w:trPr/>
        <w:tc>
          <w:tcPr>
            <w:tcW w:w="2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00" w:type="dxa"/>
            <w:gridSpan w:val="2"/>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8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50% Participation</w:t>
            </w:r>
          </w:p>
        </w:tc>
        <w:tc>
          <w:tcPr>
            <w:tcW w:w="4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25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150% Participation</w:t>
            </w:r>
          </w:p>
        </w:tc>
        <w:tc>
          <w:tcPr>
            <w:tcW w:w="415" w:type="dxa"/>
            <w:tcBorders/>
            <w:shd w:fill="auto" w:val="clear"/>
            <w:vAlign w:val="bottom"/>
          </w:tcPr>
          <w:p>
            <w:pPr>
              <w:pStyle w:val="TableContents"/>
              <w:spacing w:before="0" w:after="283"/>
              <w:rPr/>
            </w:pPr>
            <w:r>
              <w:rPr/>
              <w:t> </w:t>
            </w:r>
          </w:p>
        </w:tc>
      </w:tr>
      <w:tr>
        <w:trPr/>
        <w:tc>
          <w:tcPr>
            <w:tcW w:w="235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Prior to Sale</w:t>
            </w:r>
            <w:r>
              <w:rPr/>
              <w:br/>
            </w:r>
            <w:r>
              <w:rPr>
                <w:b/>
              </w:rPr>
              <w:t>Below NAV</w:t>
            </w:r>
          </w:p>
        </w:tc>
        <w:tc>
          <w:tcPr>
            <w:tcW w:w="1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 Sale</w:t>
            </w:r>
          </w:p>
        </w:tc>
        <w:tc>
          <w:tcPr>
            <w:tcW w:w="2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1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4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 Sale</w:t>
            </w:r>
          </w:p>
        </w:tc>
        <w:tc>
          <w:tcPr>
            <w:tcW w:w="1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Change</w:t>
            </w:r>
          </w:p>
        </w:tc>
        <w:tc>
          <w:tcPr>
            <w:tcW w:w="415" w:type="dxa"/>
            <w:tcBorders/>
            <w:shd w:fill="auto" w:val="clear"/>
            <w:vAlign w:val="bottom"/>
          </w:tcPr>
          <w:p>
            <w:pPr>
              <w:pStyle w:val="TableContents"/>
              <w:spacing w:before="0" w:after="283"/>
              <w:rPr/>
            </w:pPr>
            <w:r>
              <w:rPr/>
              <w:t> </w:t>
            </w:r>
          </w:p>
        </w:tc>
      </w:tr>
      <w:tr>
        <w:trPr/>
        <w:tc>
          <w:tcPr>
            <w:tcW w:w="2353" w:type="dxa"/>
            <w:tcBorders/>
            <w:shd w:fill="CCEEFF" w:val="clear"/>
          </w:tcPr>
          <w:p>
            <w:pPr>
              <w:pStyle w:val="TableContents"/>
              <w:spacing w:before="0" w:after="0"/>
              <w:rPr>
                <w:rFonts w:ascii="Times New Roman" w:hAnsi="Times New Roman"/>
                <w:sz w:val="20"/>
              </w:rPr>
            </w:pPr>
            <w:r>
              <w:rPr>
                <w:rFonts w:ascii="Times New Roman" w:hAnsi="Times New Roman"/>
                <w:sz w:val="20"/>
              </w:rPr>
              <w:t>Investment per Share Held by Stockholder A (Assumed to be $16.48 per Share on Shares Held Prior to Sale)</w:t>
            </w:r>
          </w:p>
        </w:tc>
        <w:tc>
          <w:tcPr>
            <w:tcW w:w="19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w:t>
            </w:r>
          </w:p>
        </w:tc>
        <w:tc>
          <w:tcPr>
            <w:tcW w:w="1041" w:type="dxa"/>
            <w:tcBorders/>
            <w:shd w:fill="CCEEFF" w:val="clear"/>
            <w:vAlign w:val="bottom"/>
          </w:tcPr>
          <w:p>
            <w:pPr>
              <w:pStyle w:val="TableContents"/>
              <w:spacing w:before="0" w:after="283"/>
              <w:jc w:val="right"/>
              <w:rPr/>
            </w:pPr>
            <w:r>
              <w:rPr/>
              <w:t>16.48</w:t>
            </w:r>
          </w:p>
        </w:tc>
        <w:tc>
          <w:tcPr>
            <w:tcW w:w="1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w:t>
            </w:r>
          </w:p>
        </w:tc>
        <w:tc>
          <w:tcPr>
            <w:tcW w:w="1224" w:type="dxa"/>
            <w:tcBorders/>
            <w:shd w:fill="CCEEFF" w:val="clear"/>
            <w:vAlign w:val="bottom"/>
          </w:tcPr>
          <w:p>
            <w:pPr>
              <w:pStyle w:val="TableContents"/>
              <w:spacing w:before="0" w:after="283"/>
              <w:jc w:val="right"/>
              <w:rPr/>
            </w:pPr>
            <w:r>
              <w:rPr/>
              <w:t>16.25</w:t>
            </w:r>
          </w:p>
        </w:tc>
        <w:tc>
          <w:tcPr>
            <w:tcW w:w="22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pPr>
            <w:r>
              <w:rPr/>
              <w:t>(1.42</w:t>
            </w:r>
          </w:p>
        </w:tc>
        <w:tc>
          <w:tcPr>
            <w:tcW w:w="4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15.88</w:t>
            </w:r>
          </w:p>
        </w:tc>
        <w:tc>
          <w:tcPr>
            <w:tcW w:w="1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(3.63</w:t>
            </w:r>
          </w:p>
        </w:tc>
        <w:tc>
          <w:tcPr>
            <w:tcW w:w="415" w:type="dxa"/>
            <w:tcBorders/>
            <w:shd w:fill="CCEEFF" w:val="clear"/>
            <w:vAlign w:val="bottom"/>
          </w:tcPr>
          <w:p>
            <w:pPr>
              <w:pStyle w:val="TableContents"/>
              <w:spacing w:before="0" w:after="283"/>
              <w:rPr/>
            </w:pPr>
            <w:r>
              <w:rPr/>
              <w:t>)% </w:t>
            </w:r>
          </w:p>
        </w:tc>
      </w:tr>
      <w:tr>
        <w:trPr/>
        <w:tc>
          <w:tcPr>
            <w:tcW w:w="2353" w:type="dxa"/>
            <w:tcBorders/>
            <w:shd w:fill="auto" w:val="clear"/>
          </w:tcPr>
          <w:p>
            <w:pPr>
              <w:pStyle w:val="TableContents"/>
              <w:spacing w:before="0" w:after="0"/>
              <w:rPr>
                <w:rFonts w:ascii="Times New Roman" w:hAnsi="Times New Roman"/>
                <w:sz w:val="20"/>
              </w:rPr>
            </w:pPr>
            <w:r>
              <w:rPr>
                <w:rFonts w:ascii="Times New Roman" w:hAnsi="Times New Roman"/>
                <w:sz w:val="20"/>
              </w:rPr>
              <w:t>Net Asset Value per Share Held by Stockholder A</w:t>
            </w:r>
          </w:p>
        </w:tc>
        <w:tc>
          <w:tcPr>
            <w:tcW w:w="19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sz w:val="4"/>
                <w:szCs w:val="4"/>
              </w:rPr>
            </w:pPr>
            <w:r>
              <w:rPr>
                <w:sz w:val="4"/>
                <w:szCs w:val="4"/>
              </w:rPr>
            </w:r>
          </w:p>
        </w:tc>
        <w:tc>
          <w:tcPr>
            <w:tcW w:w="104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15.93</w:t>
            </w:r>
          </w:p>
        </w:tc>
        <w:tc>
          <w:tcPr>
            <w:tcW w:w="2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w:t>
            </w:r>
          </w:p>
        </w:tc>
        <w:tc>
          <w:tcPr>
            <w:tcW w:w="868" w:type="dxa"/>
            <w:tcBorders/>
            <w:shd w:fill="auto" w:val="clear"/>
            <w:vAlign w:val="bottom"/>
          </w:tcPr>
          <w:p>
            <w:pPr>
              <w:pStyle w:val="TableContents"/>
              <w:spacing w:before="0" w:after="283"/>
              <w:jc w:val="right"/>
              <w:rPr/>
            </w:pPr>
            <w:r>
              <w:rPr/>
              <w:t>15.93</w:t>
            </w:r>
          </w:p>
        </w:tc>
        <w:tc>
          <w:tcPr>
            <w:tcW w:w="1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r>
      <w:tr>
        <w:trPr/>
        <w:tc>
          <w:tcPr>
            <w:tcW w:w="2353" w:type="dxa"/>
            <w:tcBorders/>
            <w:shd w:fill="CCEEFF" w:val="clear"/>
          </w:tcPr>
          <w:p>
            <w:pPr>
              <w:pStyle w:val="TableContents"/>
              <w:spacing w:before="0" w:after="0"/>
              <w:rPr>
                <w:rFonts w:ascii="Times New Roman" w:hAnsi="Times New Roman"/>
                <w:sz w:val="20"/>
              </w:rPr>
            </w:pPr>
            <w:r>
              <w:rPr>
                <w:rFonts w:ascii="Times New Roman" w:hAnsi="Times New Roman"/>
                <w:sz w:val="20"/>
              </w:rPr>
              <w:t>Dilution/Accretion per Share Held by Stockholder A (Net Asset Value per Share Less Investment</w:t>
              <w:br/>
              <w:t>per Share)</w:t>
            </w:r>
          </w:p>
        </w:tc>
        <w:tc>
          <w:tcPr>
            <w:tcW w:w="19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sz w:val="4"/>
                <w:szCs w:val="4"/>
              </w:rPr>
            </w:pPr>
            <w:r>
              <w:rPr>
                <w:sz w:val="4"/>
                <w:szCs w:val="4"/>
              </w:rPr>
            </w:r>
          </w:p>
        </w:tc>
        <w:tc>
          <w:tcPr>
            <w:tcW w:w="1041"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sz w:val="4"/>
                <w:szCs w:val="4"/>
              </w:rPr>
            </w:pPr>
            <w:r>
              <w:rPr>
                <w:sz w:val="4"/>
                <w:szCs w:val="4"/>
              </w:rPr>
            </w:r>
          </w:p>
        </w:tc>
        <w:tc>
          <w:tcPr>
            <w:tcW w:w="220"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w:t>
            </w:r>
          </w:p>
        </w:tc>
        <w:tc>
          <w:tcPr>
            <w:tcW w:w="1224" w:type="dxa"/>
            <w:tcBorders/>
            <w:shd w:fill="CCEEFF" w:val="clear"/>
            <w:vAlign w:val="bottom"/>
          </w:tcPr>
          <w:p>
            <w:pPr>
              <w:pStyle w:val="TableContents"/>
              <w:spacing w:before="0" w:after="283"/>
              <w:jc w:val="right"/>
              <w:rPr/>
            </w:pPr>
            <w:r>
              <w:rPr/>
              <w:t>(0.31</w:t>
            </w:r>
          </w:p>
        </w:tc>
        <w:tc>
          <w:tcPr>
            <w:tcW w:w="22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0.05</w:t>
            </w:r>
          </w:p>
        </w:tc>
        <w:tc>
          <w:tcPr>
            <w:tcW w:w="1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r>
      <w:tr>
        <w:trPr/>
        <w:tc>
          <w:tcPr>
            <w:tcW w:w="2353" w:type="dxa"/>
            <w:tcBorders/>
            <w:shd w:fill="auto" w:val="clear"/>
          </w:tcPr>
          <w:p>
            <w:pPr>
              <w:pStyle w:val="TableContents"/>
              <w:spacing w:before="0" w:after="0"/>
              <w:rPr>
                <w:rFonts w:ascii="Times New Roman" w:hAnsi="Times New Roman"/>
                <w:sz w:val="20"/>
              </w:rPr>
            </w:pPr>
            <w:r>
              <w:rPr>
                <w:rFonts w:ascii="Times New Roman" w:hAnsi="Times New Roman"/>
                <w:sz w:val="20"/>
              </w:rPr>
              <w:t>Percentage Dilution/Accretion to Stockholder A (Dilution per Share Divided by Investment</w:t>
              <w:br/>
              <w:t>per Share)</w:t>
            </w:r>
          </w:p>
        </w:tc>
        <w:tc>
          <w:tcPr>
            <w:tcW w:w="19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sz w:val="4"/>
                <w:szCs w:val="4"/>
              </w:rPr>
            </w:pPr>
            <w:r>
              <w:rPr>
                <w:sz w:val="4"/>
                <w:szCs w:val="4"/>
              </w:rPr>
            </w:r>
          </w:p>
        </w:tc>
        <w:tc>
          <w:tcPr>
            <w:tcW w:w="104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pPr>
            <w:r>
              <w:rPr/>
              <w:t>(1.93</w:t>
            </w:r>
          </w:p>
        </w:tc>
        <w:tc>
          <w:tcPr>
            <w:tcW w:w="4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sz w:val="4"/>
                <w:szCs w:val="4"/>
              </w:rPr>
            </w:pPr>
            <w:r>
              <w:rPr>
                <w:sz w:val="4"/>
                <w:szCs w:val="4"/>
              </w:rPr>
            </w:r>
          </w:p>
        </w:tc>
        <w:tc>
          <w:tcPr>
            <w:tcW w:w="868"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0.32</w:t>
            </w:r>
          </w:p>
        </w:tc>
        <w:tc>
          <w:tcPr>
            <w:tcW w:w="415"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Other Considerations </w:t>
      </w:r>
    </w:p>
    <w:p>
      <w:pPr>
        <w:pStyle w:val="TextBody"/>
        <w:spacing w:before="120" w:after="0"/>
        <w:jc w:val="left"/>
        <w:rPr>
          <w:rFonts w:ascii="Times New Roman" w:hAnsi="Times New Roman"/>
          <w:i/>
          <w:sz w:val="20"/>
        </w:rPr>
      </w:pPr>
      <w:r>
        <w:rPr>
          <w:rFonts w:ascii="Times New Roman" w:hAnsi="Times New Roman"/>
          <w:i/>
          <w:sz w:val="20"/>
        </w:rPr>
        <w:t xml:space="preserve">Underwritten Offerings </w:t>
      </w:r>
    </w:p>
    <w:p>
      <w:pPr>
        <w:pStyle w:val="TextBody"/>
        <w:spacing w:before="120" w:after="0"/>
        <w:jc w:val="left"/>
        <w:rPr>
          <w:rFonts w:ascii="Times New Roman" w:hAnsi="Times New Roman"/>
          <w:sz w:val="20"/>
        </w:rPr>
      </w:pPr>
      <w:r>
        <w:rPr>
          <w:rFonts w:ascii="Times New Roman" w:hAnsi="Times New Roman"/>
          <w:sz w:val="20"/>
        </w:rPr>
        <w:t xml:space="preserve">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 </w:t>
      </w:r>
    </w:p>
    <w:p>
      <w:pPr>
        <w:pStyle w:val="TextBody"/>
        <w:spacing w:before="360" w:after="0"/>
        <w:jc w:val="left"/>
        <w:rPr>
          <w:rFonts w:ascii="Times New Roman" w:hAnsi="Times New Roman"/>
          <w:i/>
          <w:sz w:val="20"/>
        </w:rPr>
      </w:pPr>
      <w:r>
        <w:rPr>
          <w:rFonts w:ascii="Times New Roman" w:hAnsi="Times New Roman"/>
          <w:i/>
          <w:sz w:val="20"/>
        </w:rPr>
        <w:t xml:space="preserve">Consideration of Potential Conflicts of Interest </w:t>
      </w:r>
    </w:p>
    <w:p>
      <w:pPr>
        <w:pStyle w:val="TextBody"/>
        <w:spacing w:before="120" w:after="0"/>
        <w:jc w:val="left"/>
        <w:rPr>
          <w:rFonts w:ascii="Times New Roman" w:hAnsi="Times New Roman"/>
          <w:sz w:val="20"/>
        </w:rPr>
      </w:pPr>
      <w:r>
        <w:rPr>
          <w:rFonts w:ascii="Times New Roman" w:hAnsi="Times New Roman"/>
          <w:sz w:val="20"/>
        </w:rPr>
        <w:t xml:space="preserve">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costs and benefits of a common stock offering below NAV compared to other possible means for raising capital or concluding not to raise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size of a common stock offering in relation to the number of shares outstanding;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general condition of the securities markets;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impact on operating expenses associated with an increase in capital. </w:t>
            </w:r>
          </w:p>
        </w:tc>
      </w:tr>
    </w:tbl>
    <w:p>
      <w:pPr>
        <w:pStyle w:val="TextBody"/>
        <w:spacing w:before="240" w:after="0"/>
        <w:jc w:val="left"/>
        <w:rPr>
          <w:rFonts w:ascii="Times New Roman" w:hAnsi="Times New Roman"/>
          <w:sz w:val="20"/>
        </w:rPr>
      </w:pPr>
      <w:r>
        <w:rPr>
          <w:rFonts w:ascii="Times New Roman" w:hAnsi="Times New Roman"/>
          <w:sz w:val="20"/>
        </w:rPr>
        <w:t xml:space="preserve">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 </w:t>
      </w:r>
    </w:p>
    <w:p>
      <w:pPr>
        <w:pStyle w:val="TextBody"/>
        <w:spacing w:before="240" w:after="0"/>
        <w:jc w:val="left"/>
        <w:rPr>
          <w:rFonts w:ascii="Times New Roman" w:hAnsi="Times New Roman"/>
          <w:b/>
          <w:sz w:val="20"/>
        </w:rPr>
      </w:pPr>
      <w:r>
        <w:rPr>
          <w:rFonts w:ascii="Times New Roman" w:hAnsi="Times New Roman"/>
          <w:b/>
          <w:sz w:val="20"/>
        </w:rPr>
        <w:t xml:space="preserve">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393322_4"/>
      <w:bookmarkEnd w:id="6"/>
      <w:r>
        <w:rPr>
          <w:rFonts w:ascii="Times New Roman" w:hAnsi="Times New Roman"/>
          <w:b/>
          <w:sz w:val="20"/>
        </w:rPr>
        <w:t xml:space="preserve">OTHER BUSINESS </w:t>
      </w:r>
    </w:p>
    <w:p>
      <w:pPr>
        <w:pStyle w:val="TextBody"/>
        <w:spacing w:before="240" w:after="0"/>
        <w:jc w:val="left"/>
        <w:rPr>
          <w:rFonts w:ascii="Times New Roman" w:hAnsi="Times New Roman"/>
          <w:sz w:val="20"/>
        </w:rPr>
      </w:pPr>
      <w:r>
        <w:rPr>
          <w:rFonts w:ascii="Times New Roman" w:hAnsi="Times New Roman"/>
          <w:sz w:val="20"/>
        </w:rPr>
        <w:t xml:space="preserve">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 </w:t>
      </w:r>
    </w:p>
    <w:p>
      <w:pPr>
        <w:pStyle w:val="TextBody"/>
        <w:spacing w:before="480" w:after="0"/>
        <w:jc w:val="center"/>
        <w:rPr>
          <w:rFonts w:ascii="Times New Roman" w:hAnsi="Times New Roman"/>
          <w:b/>
          <w:sz w:val="20"/>
        </w:rPr>
      </w:pPr>
      <w:bookmarkStart w:id="7" w:name="toc393322_5"/>
      <w:bookmarkEnd w:id="7"/>
      <w:r>
        <w:rPr>
          <w:rFonts w:ascii="Times New Roman" w:hAnsi="Times New Roman"/>
          <w:b/>
          <w:sz w:val="20"/>
        </w:rPr>
        <w:t xml:space="preserve">STOCKHOLDER PROPOSALS AND NOMINATIONS FOR THE 2024 ANNUAL MEETING OF STOCKHOLDERS </w:t>
      </w:r>
    </w:p>
    <w:p>
      <w:pPr>
        <w:pStyle w:val="TextBody"/>
        <w:spacing w:before="120" w:after="0"/>
        <w:jc w:val="left"/>
        <w:rPr>
          <w:rFonts w:ascii="Times New Roman" w:hAnsi="Times New Roman"/>
          <w:b/>
          <w:sz w:val="20"/>
        </w:rPr>
      </w:pPr>
      <w:r>
        <w:rPr>
          <w:rFonts w:ascii="Times New Roman" w:hAnsi="Times New Roman"/>
          <w:b/>
          <w:sz w:val="20"/>
        </w:rPr>
        <w:t xml:space="preserve">Inclusion of Proposals in Our Proxy Statement and Proxy Card Under the SECs Rules </w:t>
      </w:r>
    </w:p>
    <w:p>
      <w:pPr>
        <w:pStyle w:val="TextBody"/>
        <w:spacing w:before="120" w:after="0"/>
        <w:jc w:val="left"/>
        <w:rPr>
          <w:rFonts w:ascii="Times New Roman" w:hAnsi="Times New Roman"/>
          <w:sz w:val="20"/>
        </w:rPr>
      </w:pPr>
      <w:r>
        <w:rPr>
          <w:rFonts w:ascii="Times New Roman" w:hAnsi="Times New Roman"/>
          <w:sz w:val="20"/>
        </w:rPr>
        <w:t xml:space="preserve">Any proposal of a stockholder intended to be included in our proxy statement and form of proxy/voting instruction card for the 2024 annual meeting of stockholders pursuant to Rule 14a-8 of the SECs rules must be received by us at our principal executive offices no later than December 15, 2023.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 </w:t>
      </w:r>
    </w:p>
    <w:p>
      <w:pPr>
        <w:pStyle w:val="TextBody"/>
        <w:spacing w:before="360" w:after="0"/>
        <w:jc w:val="left"/>
        <w:rPr>
          <w:rFonts w:ascii="Times New Roman" w:hAnsi="Times New Roman"/>
          <w:b/>
          <w:sz w:val="20"/>
        </w:rPr>
      </w:pPr>
      <w:r>
        <w:rPr>
          <w:rFonts w:ascii="Times New Roman" w:hAnsi="Times New Roman"/>
          <w:b/>
          <w:sz w:val="20"/>
        </w:rPr>
        <w:t xml:space="preserve">Bylaw Requirements for Stockholder Submission of Nominations and Proposals </w:t>
      </w:r>
    </w:p>
    <w:p>
      <w:pPr>
        <w:pStyle w:val="TextBody"/>
        <w:spacing w:before="120" w:after="0"/>
        <w:jc w:val="left"/>
        <w:rPr>
          <w:rFonts w:ascii="Times New Roman" w:hAnsi="Times New Roman"/>
          <w:sz w:val="20"/>
        </w:rPr>
      </w:pPr>
      <w:r>
        <w:rPr>
          <w:rFonts w:ascii="Times New Roman" w:hAnsi="Times New Roman"/>
          <w:sz w:val="20"/>
        </w:rPr>
        <w:t xml:space="preserve">A stockholder recommendation for nomination of a person for election to our Board or a proposal for consideration at our 2024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w:t>
      </w:r>
    </w:p>
    <w:p>
      <w:pPr>
        <w:pStyle w:val="TextBody"/>
        <w:spacing w:before="240" w:after="0"/>
        <w:jc w:val="left"/>
        <w:rPr>
          <w:rFonts w:ascii="Times New Roman" w:hAnsi="Times New Roman"/>
          <w:sz w:val="20"/>
        </w:rPr>
      </w:pPr>
      <w:r>
        <w:rPr>
          <w:rFonts w:ascii="Times New Roman" w:hAnsi="Times New Roman"/>
          <w:sz w:val="20"/>
        </w:rPr>
        <w:t xml:space="preserve">Our Bylaws require that the proposal or recommendation for nomination must be received by our Secretary at our principal executive offices at the above address no later than February 25, 2024, unless the date of our 2024 annual meeting is more than 30 days before or more than 60 days after May 25, 2024, the anniversary of our 2023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spacing w:before="480" w:after="0"/>
        <w:jc w:val="center"/>
        <w:rPr>
          <w:rFonts w:ascii="Times New Roman" w:hAnsi="Times New Roman"/>
          <w:b/>
          <w:sz w:val="20"/>
        </w:rPr>
      </w:pPr>
      <w:bookmarkStart w:id="8" w:name="toc393322_6"/>
      <w:bookmarkEnd w:id="8"/>
      <w:r>
        <w:rPr>
          <w:rFonts w:ascii="Times New Roman" w:hAnsi="Times New Roman"/>
          <w:b/>
          <w:sz w:val="20"/>
        </w:rPr>
        <w:t xml:space="preserve">ANNUAL REPORT </w:t>
      </w:r>
    </w:p>
    <w:p>
      <w:pPr>
        <w:pStyle w:val="TextBody"/>
        <w:spacing w:before="240" w:after="0"/>
        <w:jc w:val="left"/>
        <w:rPr>
          <w:rFonts w:ascii="Times New Roman" w:hAnsi="Times New Roman"/>
          <w:sz w:val="20"/>
        </w:rPr>
      </w:pPr>
      <w:r>
        <w:rPr>
          <w:rFonts w:ascii="Times New Roman" w:hAnsi="Times New Roman"/>
          <w:sz w:val="20"/>
        </w:rPr>
        <w:t xml:space="preserve">We will furnish, without charge, a copy of our Annual Report on Form 10-K for the fiscal year ended December 31, 2022 to any stockholder upon request. Requests should be directed to the Secretary of the Company, Anton Brett, Sixth Street Specialty Lending, Inc., 888 7th Avenue, 41st Floor, New York, NY 10106, Attention: TSLX Investor Relations, or by emailing us at IRTSLX@sixthstreet.com.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393322_7"/>
      <w:bookmarkEnd w:id="9"/>
      <w:r>
        <w:rPr>
          <w:rFonts w:ascii="Times New Roman" w:hAnsi="Times New Roman"/>
          <w:b/>
          <w:sz w:val="20"/>
        </w:rPr>
        <w:t xml:space="preserve">HOUSEHOLDING OF PROXY MATERIALS </w:t>
      </w:r>
    </w:p>
    <w:p>
      <w:pPr>
        <w:pStyle w:val="TextBody"/>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 </w:t>
      </w:r>
    </w:p>
    <w:p>
      <w:pPr>
        <w:pStyle w:val="TextBody"/>
        <w:spacing w:before="240" w:after="0"/>
        <w:jc w:val="left"/>
        <w:rPr>
          <w:rFonts w:ascii="Times New Roman" w:hAnsi="Times New Roman"/>
          <w:sz w:val="20"/>
        </w:rPr>
      </w:pPr>
      <w:r>
        <w:rPr>
          <w:rFonts w:ascii="Times New Roman" w:hAnsi="Times New Roman"/>
          <w:sz w:val="20"/>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41st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 </w:t>
      </w:r>
    </w:p>
    <w:p>
      <w:pPr>
        <w:pStyle w:val="TextBody"/>
        <w:spacing w:before="240" w:after="0"/>
        <w:jc w:val="left"/>
        <w:rPr>
          <w:rFonts w:ascii="Times New Roman" w:hAnsi="Times New Roman"/>
          <w:b/>
          <w:sz w:val="20"/>
        </w:rPr>
      </w:pPr>
      <w:r>
        <w:rPr>
          <w:rFonts w:ascii="Times New Roman" w:hAnsi="Times New Roman"/>
          <w:b/>
          <w:sz w:val="20"/>
        </w:rPr>
        <w:t xml:space="preserve">WHETHER OR NOT YOU PLAN TO ATTEND THE MEETING, WE URGE YOU TO VOTE OVER THE INTERNET, BY PHONE, OR BY MARKING, SIGNING AND RETURNING YOUR PROXY OR VOTING INSTRUCTION CARD AS SOON AS POSSIBLE. NO POSTAGE IS NECESSARY IF MAILED IN THE UNITED STATES.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Anton Brett</w:t>
            </w:r>
          </w:p>
        </w:tc>
      </w:tr>
      <w:tr>
        <w:trPr/>
        <w:tc>
          <w:tcPr>
            <w:tcW w:w="4082" w:type="dxa"/>
            <w:tcBorders/>
            <w:shd w:fill="auto" w:val="clear"/>
          </w:tcPr>
          <w:p>
            <w:pPr>
              <w:pStyle w:val="TableContents"/>
              <w:spacing w:before="0" w:after="283"/>
              <w:rPr/>
            </w:pPr>
            <w:r>
              <w:rPr/>
              <w:t>Anton Brett</w:t>
            </w:r>
          </w:p>
        </w:tc>
      </w:tr>
      <w:tr>
        <w:trPr/>
        <w:tc>
          <w:tcPr>
            <w:tcW w:w="4082" w:type="dxa"/>
            <w:tcBorders/>
            <w:shd w:fill="auto" w:val="clear"/>
          </w:tcPr>
          <w:p>
            <w:pPr>
              <w:pStyle w:val="TableContents"/>
              <w:spacing w:before="0" w:after="283"/>
              <w:rPr>
                <w:i/>
              </w:rPr>
            </w:pPr>
            <w:r>
              <w:rPr>
                <w:i/>
              </w:rPr>
              <w:t>Chief Compliance Officer and Secretary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393322_8"/>
      <w:bookmarkEnd w:id="10"/>
      <w:r>
        <w:rPr>
          <w:rFonts w:ascii="Times New Roman" w:hAnsi="Times New Roman"/>
          <w:b/>
          <w:sz w:val="20"/>
        </w:rPr>
        <w:t xml:space="preserve">PRIVACY PRINCIPLES </w:t>
      </w:r>
    </w:p>
    <w:p>
      <w:pPr>
        <w:pStyle w:val="TextBody"/>
        <w:spacing w:before="240" w:after="0"/>
        <w:jc w:val="left"/>
        <w:rPr>
          <w:rFonts w:ascii="Times New Roman" w:hAnsi="Times New Roman"/>
          <w:sz w:val="20"/>
        </w:rPr>
      </w:pPr>
      <w:r>
        <w:rPr>
          <w:rFonts w:ascii="Times New Roman" w:hAnsi="Times New Roman"/>
          <w:sz w:val="20"/>
        </w:rPr>
        <w:t xml:space="preserve">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 </w:t>
      </w:r>
    </w:p>
    <w:p>
      <w:pPr>
        <w:pStyle w:val="TextBody"/>
        <w:spacing w:before="240" w:after="0"/>
        <w:jc w:val="left"/>
        <w:rPr>
          <w:rFonts w:ascii="Times New Roman" w:hAnsi="Times New Roman"/>
          <w:sz w:val="20"/>
        </w:rPr>
      </w:pPr>
      <w:r>
        <w:rPr>
          <w:rFonts w:ascii="Times New Roman" w:hAnsi="Times New Roman"/>
          <w:sz w:val="20"/>
        </w:rPr>
        <w:t xml:space="preserve">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 </w:t>
      </w:r>
    </w:p>
    <w:p>
      <w:pPr>
        <w:pStyle w:val="TextBody"/>
        <w:spacing w:before="240" w:after="0"/>
        <w:jc w:val="left"/>
        <w:rPr>
          <w:rFonts w:ascii="Times New Roman" w:hAnsi="Times New Roman"/>
          <w:sz w:val="20"/>
        </w:rPr>
      </w:pPr>
      <w:r>
        <w:rPr>
          <w:rFonts w:ascii="Times New Roman" w:hAnsi="Times New Roman"/>
          <w:sz w:val="20"/>
        </w:rPr>
        <w:t xml:space="preserve">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589"/>
        <w:gridCol w:w="120"/>
        <w:gridCol w:w="5107"/>
        <w:gridCol w:w="95"/>
        <w:gridCol w:w="294"/>
      </w:tblGrid>
      <w:tr>
        <w:trPr/>
        <w:tc>
          <w:tcPr>
            <w:tcW w:w="4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10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0"/>
              <w:rPr/>
            </w:pPr>
            <w:r>
              <w:rPr/>
              <w:t xml:space="preserve">     </w:t>
            </w:r>
            <w:r>
              <w:rPr/>
              <w:drawing>
                <wp:inline distT="0" distB="0" distL="0" distR="0">
                  <wp:extent cx="2276475" cy="723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76475" cy="72390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pPr>
            <w:r>
              <w:rPr/>
              <w:t>  </w:t>
            </w:r>
            <w:r>
              <w:rPr>
                <w:rFonts w:ascii="ARIAL" w:hAnsi="ARIAL"/>
                <w:i/>
                <w:sz w:val="12"/>
              </w:rPr>
              <w:t>SIXTH STREET SPECIALTY LENDING, INC.</w:t>
            </w:r>
          </w:p>
          <w:p>
            <w:pPr>
              <w:pStyle w:val="TableContents"/>
              <w:spacing w:before="0" w:after="0"/>
              <w:rPr/>
            </w:pPr>
            <w:r>
              <w:rPr/>
              <w:t>  </w:t>
            </w:r>
            <w:r>
              <w:rPr>
                <w:rFonts w:ascii="ARIAL" w:hAnsi="ARIAL"/>
                <w:i/>
                <w:sz w:val="12"/>
              </w:rPr>
              <w:t>2100 MCKINNEY AVENUE, SUITE 1500</w:t>
            </w:r>
          </w:p>
          <w:p>
            <w:pPr>
              <w:pStyle w:val="TableContents"/>
              <w:spacing w:before="0" w:after="20"/>
              <w:rPr/>
            </w:pPr>
            <w:r>
              <w:rPr/>
              <w:t>  </w:t>
            </w:r>
            <w:r>
              <w:rPr>
                <w:rFonts w:ascii="ARIAL" w:hAnsi="ARIAL"/>
                <w:i/>
                <w:sz w:val="12"/>
              </w:rPr>
              <w:t>DALLAS, TX 75201</w:t>
            </w:r>
          </w:p>
        </w:tc>
        <w:tc>
          <w:tcPr>
            <w:tcW w:w="120" w:type="dxa"/>
            <w:tcBorders/>
            <w:shd w:fill="auto" w:val="clear"/>
            <w:vAlign w:val="bottom"/>
          </w:tcPr>
          <w:p>
            <w:pPr>
              <w:pStyle w:val="TableContents"/>
              <w:spacing w:before="0" w:after="283"/>
              <w:rPr/>
            </w:pPr>
            <w:r>
              <w:rPr/>
              <w:t>  </w:t>
            </w:r>
          </w:p>
        </w:tc>
        <w:tc>
          <w:tcPr>
            <w:tcW w:w="5107" w:type="dxa"/>
            <w:tcBorders/>
            <w:shd w:fill="auto" w:val="clear"/>
            <w:vAlign w:val="bottom"/>
          </w:tcPr>
          <w:p>
            <w:pPr>
              <w:pStyle w:val="TableContents"/>
              <w:spacing w:before="0" w:after="0"/>
              <w:rPr/>
            </w:pPr>
            <w:r>
              <w:rPr/>
              <w:t xml:space="preserve">    </w:t>
            </w:r>
            <w:r>
              <w:rPr/>
              <w:drawing>
                <wp:inline distT="0" distB="0" distL="0" distR="0">
                  <wp:extent cx="241935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19350" cy="60960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sz w:val="12"/>
              </w:rPr>
            </w:pPr>
            <w:r>
              <w:rPr>
                <w:rFonts w:ascii="ARIAL" w:hAnsi="ARIAL"/>
                <w:b/>
                <w:sz w:val="12"/>
              </w:rPr>
              <w:t>VOTE BY INTERNET - www.proxyvote.com or scan the QR Barcode above</w:t>
            </w:r>
          </w:p>
          <w:p>
            <w:pPr>
              <w:pStyle w:val="TableContents"/>
              <w:spacing w:before="0" w:after="0"/>
              <w:jc w:val="both"/>
              <w:rPr>
                <w:rFonts w:ascii="ARIAL" w:hAnsi="ARIAL"/>
                <w:sz w:val="12"/>
              </w:rPr>
            </w:pPr>
            <w:r>
              <w:rPr>
                <w:rFonts w:ascii="ARIAL" w:hAnsi="ARIAL"/>
                <w:sz w:val="12"/>
              </w:rPr>
              <w:t>Use the Internet to transmit your voting instructions and for electronic delivery of information up until 11:59 p.m. Eastern Time on May 24, 2023. Have your proxy card in hand when you access the web site and follow the instructions to obtain your records and to create an electronic voting instruction form.</w:t>
            </w:r>
          </w:p>
          <w:p>
            <w:pPr>
              <w:pStyle w:val="TableContents"/>
              <w:spacing w:before="0" w:after="0"/>
              <w:jc w:val="both"/>
              <w:rPr>
                <w:rFonts w:ascii="ARIAL" w:hAnsi="ARIAL"/>
                <w:b/>
                <w:sz w:val="12"/>
              </w:rPr>
            </w:pPr>
            <w:r>
              <w:rPr>
                <w:rFonts w:ascii="ARIAL" w:hAnsi="ARIAL"/>
                <w:b/>
                <w:sz w:val="12"/>
              </w:rPr>
              <w:t>ELECTRONIC DELIVERY OF FUTURE PROXY MATERIALS</w:t>
            </w:r>
          </w:p>
          <w:p>
            <w:pPr>
              <w:pStyle w:val="TableContents"/>
              <w:spacing w:before="0" w:after="0"/>
              <w:jc w:val="both"/>
              <w:rPr>
                <w:rFonts w:ascii="ARIAL" w:hAnsi="ARIAL"/>
                <w:sz w:val="12"/>
              </w:rPr>
            </w:pPr>
            <w:r>
              <w:rPr>
                <w:rFonts w:ascii="ARIAL" w:hAnsi="ARIAL"/>
                <w:sz w:val="12"/>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ableContents"/>
              <w:spacing w:before="0" w:after="0"/>
              <w:jc w:val="both"/>
              <w:rPr>
                <w:rFonts w:ascii="ARIAL" w:hAnsi="ARIAL"/>
                <w:b/>
                <w:sz w:val="12"/>
              </w:rPr>
            </w:pPr>
            <w:r>
              <w:rPr>
                <w:rFonts w:ascii="ARIAL" w:hAnsi="ARIAL"/>
                <w:b/>
                <w:sz w:val="12"/>
              </w:rPr>
              <w:t>VOTE BY PHONE - 1-800-690-6903</w:t>
            </w:r>
          </w:p>
          <w:p>
            <w:pPr>
              <w:pStyle w:val="TableContents"/>
              <w:spacing w:before="0" w:after="0"/>
              <w:jc w:val="both"/>
              <w:rPr>
                <w:rFonts w:ascii="ARIAL" w:hAnsi="ARIAL"/>
                <w:sz w:val="12"/>
              </w:rPr>
            </w:pPr>
            <w:r>
              <w:rPr>
                <w:rFonts w:ascii="ARIAL" w:hAnsi="ARIAL"/>
                <w:sz w:val="12"/>
              </w:rPr>
              <w:t>Use any touch-tone telephone to transmit your voting instructions up until 11:59 p.m. Eastern Time on May 24, 2023. Have your proxy card in hand when you call and then follow the instructions.</w:t>
            </w:r>
          </w:p>
          <w:p>
            <w:pPr>
              <w:pStyle w:val="TableContents"/>
              <w:spacing w:before="0" w:after="0"/>
              <w:jc w:val="both"/>
              <w:rPr>
                <w:rFonts w:ascii="ARIAL" w:hAnsi="ARIAL"/>
                <w:b/>
                <w:sz w:val="12"/>
              </w:rPr>
            </w:pPr>
            <w:r>
              <w:rPr>
                <w:rFonts w:ascii="ARIAL" w:hAnsi="ARIAL"/>
                <w:b/>
                <w:sz w:val="12"/>
              </w:rPr>
              <w:t>VOTE BY MAIL</w:t>
            </w:r>
          </w:p>
          <w:p>
            <w:pPr>
              <w:pStyle w:val="TableContents"/>
              <w:spacing w:before="0" w:after="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p>
            <w:pPr>
              <w:pStyle w:val="TableContents"/>
              <w:spacing w:before="0" w:after="20"/>
              <w:jc w:val="left"/>
              <w:rPr/>
            </w:pPr>
            <w:r>
              <w:rPr/>
              <w:t> </w:t>
            </w:r>
          </w:p>
        </w:tc>
        <w:tc>
          <w:tcPr>
            <w:tcW w:w="9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sz w:val="4"/>
                <w:szCs w:val="4"/>
              </w:rPr>
            </w:pPr>
            <w:r>
              <w:rPr>
                <w:sz w:val="4"/>
                <w:szCs w:val="4"/>
              </w:rPr>
            </w:r>
          </w:p>
        </w:tc>
      </w:tr>
    </w:tbl>
    <w:p>
      <w:pPr>
        <w:pStyle w:val="TextBody"/>
        <w:spacing w:before="2800" w:after="0"/>
        <w:jc w:val="both"/>
        <w:rPr>
          <w:rFonts w:ascii="ARIAL" w:hAnsi="ARIAL"/>
          <w:sz w:val="14"/>
        </w:rPr>
      </w:pPr>
      <w:r>
        <w:rPr>
          <w:rFonts w:ascii="ARIAL" w:hAnsi="ARIAL"/>
          <w:sz w:val="14"/>
        </w:rPr>
        <w:t xml:space="preserve">TO VOTE, MARK BLOCKS BELOW IN BLUE OR BLACK INK AS FOLLOWS: </w:t>
      </w:r>
    </w:p>
    <w:tbl>
      <w:tblPr>
        <w:tblW w:w="5000" w:type="pct"/>
        <w:jc w:val="center"/>
        <w:tblInd w:w="0" w:type="dxa"/>
        <w:tblCellMar>
          <w:top w:w="0" w:type="dxa"/>
          <w:left w:w="0" w:type="dxa"/>
          <w:bottom w:w="0" w:type="dxa"/>
          <w:right w:w="0" w:type="dxa"/>
        </w:tblCellMar>
      </w:tblPr>
      <w:tblGrid>
        <w:gridCol w:w="4876"/>
        <w:gridCol w:w="851"/>
        <w:gridCol w:w="4478"/>
      </w:tblGrid>
      <w:tr>
        <w:trPr/>
        <w:tc>
          <w:tcPr>
            <w:tcW w:w="4876"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bottom"/>
          </w:tcPr>
          <w:p>
            <w:pPr>
              <w:pStyle w:val="TableContents"/>
              <w:spacing w:before="0" w:after="283"/>
              <w:rPr>
                <w:sz w:val="4"/>
                <w:szCs w:val="4"/>
              </w:rPr>
            </w:pPr>
            <w:r>
              <w:rPr>
                <w:sz w:val="4"/>
                <w:szCs w:val="4"/>
              </w:rPr>
            </w:r>
          </w:p>
        </w:tc>
        <w:tc>
          <w:tcPr>
            <w:tcW w:w="4478"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jc w:val="right"/>
              <w:rPr/>
            </w:pPr>
            <w:r>
              <w:rPr/>
              <w:t>                                </w:t>
            </w:r>
            <w:r>
              <w:rPr/>
              <w:t>KEEP THIS PORTION FOR YOUR RECORDS</w:t>
            </w:r>
          </w:p>
        </w:tc>
      </w:tr>
    </w:tbl>
    <w:p>
      <w:pPr>
        <w:pStyle w:val="TextBody"/>
        <w:spacing w:before="0" w:after="0"/>
        <w:jc w:val="left"/>
        <w:rPr/>
      </w:pPr>
      <w:r>
        <w:rPr/>
        <w:t> </w:t>
      </w:r>
      <w:r>
        <w:rPr>
          <w:rFonts w:ascii="ARIAL" w:hAnsi="ARIAL"/>
          <w:b/>
          <w:sz w:val="16"/>
        </w:rPr>
        <w:t>                                                              </w:t>
      </w:r>
      <w:r>
        <w:rPr>
          <w:rFonts w:ascii="ARIAL" w:hAnsi="ARIAL"/>
          <w:sz w:val="16"/>
        </w:rPr>
        <w:t xml:space="preserve"> </w:t>
      </w:r>
    </w:p>
    <w:tbl>
      <w:tblPr>
        <w:tblW w:w="5000" w:type="pct"/>
        <w:jc w:val="center"/>
        <w:tblInd w:w="0" w:type="dxa"/>
        <w:tblCellMar>
          <w:top w:w="0" w:type="dxa"/>
          <w:left w:w="0" w:type="dxa"/>
          <w:bottom w:w="0" w:type="dxa"/>
          <w:right w:w="0" w:type="dxa"/>
        </w:tblCellMar>
      </w:tblPr>
      <w:tblGrid>
        <w:gridCol w:w="5160"/>
        <w:gridCol w:w="361"/>
        <w:gridCol w:w="4684"/>
      </w:tblGrid>
      <w:tr>
        <w:trPr/>
        <w:tc>
          <w:tcPr>
            <w:tcW w:w="51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468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vAlign w:val="bottom"/>
          </w:tcPr>
          <w:p>
            <w:pPr>
              <w:pStyle w:val="TableContents"/>
              <w:spacing w:before="0" w:after="283"/>
              <w:jc w:val="right"/>
              <w:rPr/>
            </w:pPr>
            <w:r>
              <w:rPr/>
              <w:t>DETACH AND RETURN THIS PORTION ONLY</w:t>
            </w:r>
          </w:p>
        </w:tc>
      </w:tr>
    </w:tbl>
    <w:p>
      <w:pPr>
        <w:pStyle w:val="TextBody"/>
        <w:spacing w:before="0" w:after="0"/>
        <w:jc w:val="center"/>
        <w:rPr>
          <w:rFonts w:ascii="ARIAL" w:hAnsi="ARIAL"/>
          <w:b/>
          <w:sz w:val="16"/>
        </w:rPr>
      </w:pPr>
      <w:r>
        <w:rPr>
          <w:rFonts w:ascii="ARIAL" w:hAnsi="ARIAL"/>
          <w:b/>
          <w:sz w:val="16"/>
        </w:rPr>
        <w:t xml:space="preserve">THIS    PROXY    CARD    IS    VALID    ONLY     WHEN    SIGNED    AND    DATED.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4"/>
        <w:gridCol w:w="63"/>
        <w:gridCol w:w="66"/>
        <w:gridCol w:w="63"/>
        <w:gridCol w:w="3779"/>
        <w:gridCol w:w="63"/>
        <w:gridCol w:w="95"/>
        <w:gridCol w:w="63"/>
        <w:gridCol w:w="305"/>
        <w:gridCol w:w="63"/>
        <w:gridCol w:w="60"/>
        <w:gridCol w:w="122"/>
        <w:gridCol w:w="498"/>
        <w:gridCol w:w="62"/>
        <w:gridCol w:w="66"/>
        <w:gridCol w:w="63"/>
        <w:gridCol w:w="2189"/>
        <w:gridCol w:w="63"/>
        <w:gridCol w:w="78"/>
        <w:gridCol w:w="63"/>
        <w:gridCol w:w="245"/>
        <w:gridCol w:w="63"/>
        <w:gridCol w:w="245"/>
        <w:gridCol w:w="63"/>
        <w:gridCol w:w="624"/>
        <w:gridCol w:w="63"/>
        <w:gridCol w:w="518"/>
        <w:gridCol w:w="63"/>
        <w:gridCol w:w="253"/>
      </w:tblGrid>
      <w:tr>
        <w:trPr/>
        <w:tc>
          <w:tcPr>
            <w:tcW w:w="24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top w:val="single" w:sz="16" w:space="0" w:color="CCCCCC"/>
              <w:left w:val="single" w:sz="16" w:space="0" w:color="CCCCCC"/>
            </w:tcBorders>
            <w:shd w:fill="auto" w:val="clear"/>
            <w:tcMar>
              <w:top w:w="28" w:type="dxa"/>
              <w:left w:w="28" w:type="dxa"/>
            </w:tcMar>
            <w:vAlign w:val="bottom"/>
          </w:tcPr>
          <w:p>
            <w:pPr>
              <w:pStyle w:val="TableContents"/>
              <w:spacing w:before="0" w:after="283"/>
              <w:rPr/>
            </w:pPr>
            <w:r>
              <w:rPr/>
              <w:t> </w:t>
            </w:r>
          </w:p>
        </w:tc>
        <w:tc>
          <w:tcPr>
            <w:tcW w:w="4434" w:type="dxa"/>
            <w:gridSpan w:val="7"/>
            <w:tcBorders>
              <w:top w:val="single" w:sz="16" w:space="0" w:color="CCCCCC"/>
            </w:tcBorders>
            <w:shd w:fill="auto" w:val="clear"/>
            <w:tcMar>
              <w:top w:w="28" w:type="dxa"/>
            </w:tcMar>
          </w:tcPr>
          <w:p>
            <w:pPr>
              <w:pStyle w:val="TableContents"/>
              <w:spacing w:before="0" w:after="0"/>
              <w:rPr/>
            </w:pPr>
            <w:r>
              <w:rPr/>
              <w:t> </w:t>
            </w:r>
          </w:p>
          <w:p>
            <w:pPr>
              <w:pStyle w:val="TableContents"/>
              <w:spacing w:before="0" w:after="20"/>
              <w:rPr/>
            </w:pPr>
            <w:r>
              <w:rPr/>
              <w:t>        </w:t>
            </w:r>
          </w:p>
        </w:tc>
        <w:tc>
          <w:tcPr>
            <w:tcW w:w="63" w:type="dxa"/>
            <w:tcBorders>
              <w:top w:val="single" w:sz="16" w:space="0" w:color="CCCCCC"/>
            </w:tcBorders>
            <w:shd w:fill="auto" w:val="clear"/>
            <w:tcMar>
              <w:top w:w="28" w:type="dxa"/>
            </w:tcMar>
            <w:vAlign w:val="bottom"/>
          </w:tcPr>
          <w:p>
            <w:pPr>
              <w:pStyle w:val="TableContents"/>
              <w:spacing w:before="0" w:after="283"/>
              <w:rPr/>
            </w:pPr>
            <w:r>
              <w:rPr/>
              <w:t> </w:t>
            </w:r>
          </w:p>
        </w:tc>
        <w:tc>
          <w:tcPr>
            <w:tcW w:w="60" w:type="dxa"/>
            <w:tcBorders>
              <w:top w:val="single" w:sz="16" w:space="0" w:color="CCCCCC"/>
            </w:tcBorders>
            <w:shd w:fill="auto" w:val="clear"/>
            <w:tcMar>
              <w:top w:w="28" w:type="dxa"/>
            </w:tcMar>
          </w:tcPr>
          <w:p>
            <w:pPr>
              <w:pStyle w:val="TableContents"/>
              <w:spacing w:before="0" w:after="283"/>
              <w:rPr/>
            </w:pPr>
            <w:r>
              <w:rPr/>
              <w:t> </w:t>
            </w:r>
          </w:p>
        </w:tc>
        <w:tc>
          <w:tcPr>
            <w:tcW w:w="122" w:type="dxa"/>
            <w:tcBorders>
              <w:top w:val="single" w:sz="16" w:space="0" w:color="CCCCCC"/>
            </w:tcBorders>
            <w:shd w:fill="auto" w:val="clear"/>
            <w:tcMar>
              <w:top w:w="28" w:type="dxa"/>
            </w:tcMar>
            <w:vAlign w:val="bottom"/>
          </w:tcPr>
          <w:p>
            <w:pPr>
              <w:pStyle w:val="TableContents"/>
              <w:spacing w:before="0" w:after="283"/>
              <w:rPr/>
            </w:pPr>
            <w:r>
              <w:rPr/>
              <w:t>  </w:t>
            </w:r>
          </w:p>
        </w:tc>
        <w:tc>
          <w:tcPr>
            <w:tcW w:w="498" w:type="dxa"/>
            <w:tcBorders>
              <w:top w:val="single" w:sz="16" w:space="0" w:color="CCCCCC"/>
            </w:tcBorders>
            <w:shd w:fill="auto" w:val="clear"/>
            <w:tcMar>
              <w:top w:w="28" w:type="dxa"/>
            </w:tcMar>
          </w:tcPr>
          <w:p>
            <w:pPr>
              <w:pStyle w:val="TableContents"/>
              <w:spacing w:before="0" w:after="283"/>
              <w:rPr/>
            </w:pPr>
            <w:r>
              <w:rPr/>
              <w:t> </w:t>
            </w:r>
          </w:p>
        </w:tc>
        <w:tc>
          <w:tcPr>
            <w:tcW w:w="62" w:type="dxa"/>
            <w:tcBorders>
              <w:top w:val="single" w:sz="16" w:space="0" w:color="CCCCCC"/>
            </w:tcBorders>
            <w:shd w:fill="auto" w:val="clear"/>
            <w:tcMar>
              <w:top w:w="28" w:type="dxa"/>
            </w:tcMar>
            <w:vAlign w:val="bottom"/>
          </w:tcPr>
          <w:p>
            <w:pPr>
              <w:pStyle w:val="TableContents"/>
              <w:spacing w:before="0" w:after="283"/>
              <w:rPr/>
            </w:pPr>
            <w:r>
              <w:rPr/>
              <w:t> </w:t>
            </w:r>
          </w:p>
        </w:tc>
        <w:tc>
          <w:tcPr>
            <w:tcW w:w="66" w:type="dxa"/>
            <w:tcBorders>
              <w:top w:val="single" w:sz="16" w:space="0" w:color="CCCCCC"/>
            </w:tcBorders>
            <w:shd w:fill="auto" w:val="clear"/>
            <w:tcMar>
              <w:top w:w="28" w:type="dxa"/>
            </w:tcMar>
          </w:tcPr>
          <w:p>
            <w:pPr>
              <w:pStyle w:val="TableContents"/>
              <w:spacing w:before="0" w:after="283"/>
              <w:rPr/>
            </w:pPr>
            <w:r>
              <w:rPr/>
              <w:t> </w:t>
            </w:r>
          </w:p>
        </w:tc>
        <w:tc>
          <w:tcPr>
            <w:tcW w:w="63" w:type="dxa"/>
            <w:vMerge w:val="restart"/>
            <w:tcBorders>
              <w:top w:val="single" w:sz="16" w:space="0" w:color="CCCCCC"/>
            </w:tcBorders>
            <w:shd w:fill="auto" w:val="clear"/>
            <w:tcMar>
              <w:top w:w="28" w:type="dxa"/>
            </w:tcMar>
            <w:vAlign w:val="bottom"/>
          </w:tcPr>
          <w:p>
            <w:pPr>
              <w:pStyle w:val="TableContents"/>
              <w:spacing w:before="0" w:after="283"/>
              <w:rPr/>
            </w:pPr>
            <w:r>
              <w:rPr/>
              <w:t> </w:t>
            </w:r>
          </w:p>
        </w:tc>
        <w:tc>
          <w:tcPr>
            <w:tcW w:w="2189" w:type="dxa"/>
            <w:vMerge w:val="restart"/>
            <w:tcBorders>
              <w:top w:val="single" w:sz="16" w:space="0" w:color="CCCCCC"/>
            </w:tcBorders>
            <w:shd w:fill="auto" w:val="clear"/>
            <w:tcMar>
              <w:top w:w="28" w:type="dxa"/>
            </w:tcMar>
          </w:tcPr>
          <w:p>
            <w:pPr>
              <w:pStyle w:val="TableContents"/>
              <w:spacing w:before="0" w:after="0"/>
              <w:rPr/>
            </w:pPr>
            <w:r>
              <w:rPr/>
              <w:t> </w:t>
            </w:r>
          </w:p>
          <w:p>
            <w:pPr>
              <w:pStyle w:val="TableContents"/>
              <w:spacing w:before="0" w:after="20"/>
              <w:rPr/>
            </w:pPr>
            <w:r>
              <w:rPr/>
              <w:t>    </w:t>
            </w:r>
          </w:p>
        </w:tc>
        <w:tc>
          <w:tcPr>
            <w:tcW w:w="63" w:type="dxa"/>
            <w:vMerge w:val="restart"/>
            <w:tcBorders>
              <w:top w:val="single" w:sz="16" w:space="0" w:color="CCCCCC"/>
            </w:tcBorders>
            <w:shd w:fill="auto" w:val="clear"/>
            <w:tcMar>
              <w:top w:w="28" w:type="dxa"/>
            </w:tcMar>
            <w:vAlign w:val="bottom"/>
          </w:tcPr>
          <w:p>
            <w:pPr>
              <w:pStyle w:val="TableContents"/>
              <w:spacing w:before="0" w:after="283"/>
              <w:rPr/>
            </w:pPr>
            <w:r>
              <w:rPr/>
              <w:t> </w:t>
            </w:r>
          </w:p>
        </w:tc>
        <w:tc>
          <w:tcPr>
            <w:tcW w:w="78" w:type="dxa"/>
            <w:vMerge w:val="restart"/>
            <w:tcBorders>
              <w:top w:val="single" w:sz="16" w:space="0" w:color="CCCCCC"/>
            </w:tcBorders>
            <w:shd w:fill="auto" w:val="clear"/>
            <w:tcMar>
              <w:top w:w="28" w:type="dxa"/>
            </w:tcMar>
          </w:tcPr>
          <w:p>
            <w:pPr>
              <w:pStyle w:val="TableContents"/>
              <w:spacing w:before="0" w:after="283"/>
              <w:rPr/>
            </w:pPr>
            <w:r>
              <w:rPr/>
              <w:t> </w:t>
            </w:r>
          </w:p>
        </w:tc>
        <w:tc>
          <w:tcPr>
            <w:tcW w:w="63" w:type="dxa"/>
            <w:tcBorders>
              <w:top w:val="single" w:sz="16" w:space="0" w:color="CCCCCC"/>
            </w:tcBorders>
            <w:shd w:fill="auto" w:val="clear"/>
            <w:tcMar>
              <w:top w:w="28" w:type="dxa"/>
            </w:tcMar>
            <w:vAlign w:val="bottom"/>
          </w:tcPr>
          <w:p>
            <w:pPr>
              <w:pStyle w:val="TableContents"/>
              <w:spacing w:before="0" w:after="283"/>
              <w:rPr/>
            </w:pPr>
            <w:r>
              <w:rPr/>
              <w:t> </w:t>
            </w:r>
          </w:p>
        </w:tc>
        <w:tc>
          <w:tcPr>
            <w:tcW w:w="245" w:type="dxa"/>
            <w:tcBorders>
              <w:top w:val="single" w:sz="16" w:space="0" w:color="CCCCCC"/>
            </w:tcBorders>
            <w:shd w:fill="auto" w:val="clear"/>
            <w:tcMar>
              <w:top w:w="28" w:type="dxa"/>
            </w:tcMar>
            <w:vAlign w:val="bottom"/>
          </w:tcPr>
          <w:p>
            <w:pPr>
              <w:pStyle w:val="TableContents"/>
              <w:spacing w:before="0" w:after="283"/>
              <w:rPr/>
            </w:pPr>
            <w:r>
              <w:rPr/>
              <w:t> </w:t>
            </w:r>
          </w:p>
        </w:tc>
        <w:tc>
          <w:tcPr>
            <w:tcW w:w="63" w:type="dxa"/>
            <w:tcBorders>
              <w:top w:val="single" w:sz="16" w:space="0" w:color="CCCCCC"/>
            </w:tcBorders>
            <w:shd w:fill="auto" w:val="clear"/>
            <w:tcMar>
              <w:top w:w="28" w:type="dxa"/>
            </w:tcMar>
            <w:vAlign w:val="bottom"/>
          </w:tcPr>
          <w:p>
            <w:pPr>
              <w:pStyle w:val="TableContents"/>
              <w:spacing w:before="0" w:after="283"/>
              <w:rPr/>
            </w:pPr>
            <w:r>
              <w:rPr/>
              <w:t> </w:t>
            </w:r>
          </w:p>
        </w:tc>
        <w:tc>
          <w:tcPr>
            <w:tcW w:w="245" w:type="dxa"/>
            <w:tcBorders>
              <w:top w:val="single" w:sz="16" w:space="0" w:color="CCCCCC"/>
            </w:tcBorders>
            <w:shd w:fill="auto" w:val="clear"/>
            <w:tcMar>
              <w:top w:w="28" w:type="dxa"/>
            </w:tcMar>
            <w:vAlign w:val="bottom"/>
          </w:tcPr>
          <w:p>
            <w:pPr>
              <w:pStyle w:val="TableContents"/>
              <w:spacing w:before="0" w:after="283"/>
              <w:rPr/>
            </w:pPr>
            <w:r>
              <w:rPr/>
              <w:t> </w:t>
            </w:r>
          </w:p>
        </w:tc>
        <w:tc>
          <w:tcPr>
            <w:tcW w:w="63" w:type="dxa"/>
            <w:tcBorders>
              <w:top w:val="single" w:sz="16" w:space="0" w:color="CCCCCC"/>
            </w:tcBorders>
            <w:shd w:fill="auto" w:val="clear"/>
            <w:tcMar>
              <w:top w:w="28" w:type="dxa"/>
            </w:tcMar>
            <w:vAlign w:val="bottom"/>
          </w:tcPr>
          <w:p>
            <w:pPr>
              <w:pStyle w:val="TableContents"/>
              <w:spacing w:before="0" w:after="283"/>
              <w:rPr/>
            </w:pPr>
            <w:r>
              <w:rPr/>
              <w:t> </w:t>
            </w:r>
          </w:p>
        </w:tc>
        <w:tc>
          <w:tcPr>
            <w:tcW w:w="624" w:type="dxa"/>
            <w:tcBorders>
              <w:top w:val="single" w:sz="16" w:space="0" w:color="CCCCCC"/>
            </w:tcBorders>
            <w:shd w:fill="auto" w:val="clear"/>
            <w:tcMar>
              <w:top w:w="28" w:type="dxa"/>
            </w:tcMar>
            <w:vAlign w:val="bottom"/>
          </w:tcPr>
          <w:p>
            <w:pPr>
              <w:pStyle w:val="TableContents"/>
              <w:spacing w:before="0" w:after="283"/>
              <w:rPr/>
            </w:pPr>
            <w:r>
              <w:rPr/>
              <w:t> </w:t>
            </w:r>
          </w:p>
        </w:tc>
        <w:tc>
          <w:tcPr>
            <w:tcW w:w="63" w:type="dxa"/>
            <w:tcBorders>
              <w:top w:val="single" w:sz="16" w:space="0" w:color="CCCCCC"/>
            </w:tcBorders>
            <w:shd w:fill="auto" w:val="clear"/>
            <w:tcMar>
              <w:top w:w="28" w:type="dxa"/>
            </w:tcMar>
            <w:vAlign w:val="bottom"/>
          </w:tcPr>
          <w:p>
            <w:pPr>
              <w:pStyle w:val="TableContents"/>
              <w:spacing w:before="0" w:after="283"/>
              <w:rPr/>
            </w:pPr>
            <w:r>
              <w:rPr/>
              <w:t> </w:t>
            </w:r>
          </w:p>
        </w:tc>
        <w:tc>
          <w:tcPr>
            <w:tcW w:w="518" w:type="dxa"/>
            <w:tcBorders>
              <w:top w:val="single" w:sz="16" w:space="0" w:color="CCCCCC"/>
            </w:tcBorders>
            <w:shd w:fill="auto" w:val="clear"/>
            <w:tcMar>
              <w:top w:w="28" w:type="dxa"/>
            </w:tcMar>
            <w:vAlign w:val="bottom"/>
          </w:tcPr>
          <w:p>
            <w:pPr>
              <w:pStyle w:val="TableContents"/>
              <w:spacing w:before="0" w:after="283"/>
              <w:rPr/>
            </w:pPr>
            <w:r>
              <w:rPr/>
              <w:t> </w:t>
            </w:r>
          </w:p>
        </w:tc>
        <w:tc>
          <w:tcPr>
            <w:tcW w:w="63" w:type="dxa"/>
            <w:tcBorders>
              <w:top w:val="single" w:sz="16" w:space="0" w:color="CCCCCC"/>
            </w:tcBorders>
            <w:shd w:fill="auto" w:val="clear"/>
            <w:tcMar>
              <w:top w:w="28" w:type="dxa"/>
            </w:tcMar>
            <w:vAlign w:val="bottom"/>
          </w:tcPr>
          <w:p>
            <w:pPr>
              <w:pStyle w:val="TableContents"/>
              <w:spacing w:before="0" w:after="283"/>
              <w:rPr/>
            </w:pPr>
            <w:r>
              <w:rPr/>
              <w:t> </w:t>
            </w:r>
          </w:p>
        </w:tc>
        <w:tc>
          <w:tcPr>
            <w:tcW w:w="253" w:type="dxa"/>
            <w:tcBorders>
              <w:top w:val="single" w:sz="16" w:space="0" w:color="CCCCCC"/>
              <w:right w:val="single" w:sz="16" w:space="0" w:color="CCCCCC"/>
            </w:tcBorders>
            <w:shd w:fill="auto" w:val="clear"/>
            <w:tcMar>
              <w:top w:w="28" w:type="dxa"/>
              <w:right w:w="40" w:type="dxa"/>
            </w:tcMar>
            <w:vAlign w:val="bottom"/>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937" w:type="dxa"/>
            <w:gridSpan w:val="3"/>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vMerge w:val="continue"/>
            <w:tcBorders>
              <w:top w:val="single" w:sz="16" w:space="0" w:color="CCCCCC"/>
            </w:tcBorders>
            <w:shd w:fill="auto" w:val="clear"/>
            <w:tcMar>
              <w:top w:w="28" w:type="dxa"/>
            </w:tcMar>
            <w:vAlign w:val="bottom"/>
          </w:tcPr>
          <w:p>
            <w:pPr>
              <w:pStyle w:val="Normal"/>
              <w:rPr/>
            </w:pPr>
            <w:r>
              <w:rPr/>
            </w:r>
          </w:p>
        </w:tc>
        <w:tc>
          <w:tcPr>
            <w:tcW w:w="2189" w:type="dxa"/>
            <w:vMerge w:val="continue"/>
            <w:tcBorders>
              <w:top w:val="single" w:sz="16" w:space="0" w:color="CCCCCC"/>
            </w:tcBorders>
            <w:shd w:fill="auto" w:val="clear"/>
            <w:tcMar>
              <w:top w:w="28" w:type="dxa"/>
            </w:tcMar>
          </w:tcPr>
          <w:p>
            <w:pPr>
              <w:pStyle w:val="Normal"/>
              <w:rPr/>
            </w:pPr>
            <w:r>
              <w:rPr/>
            </w:r>
          </w:p>
        </w:tc>
        <w:tc>
          <w:tcPr>
            <w:tcW w:w="63" w:type="dxa"/>
            <w:vMerge w:val="continue"/>
            <w:tcBorders>
              <w:top w:val="single" w:sz="16" w:space="0" w:color="CCCCCC"/>
            </w:tcBorders>
            <w:shd w:fill="auto" w:val="clear"/>
            <w:tcMar>
              <w:top w:w="28" w:type="dxa"/>
            </w:tcMar>
            <w:vAlign w:val="bottom"/>
          </w:tcPr>
          <w:p>
            <w:pPr>
              <w:pStyle w:val="Normal"/>
              <w:rPr/>
            </w:pPr>
            <w:r>
              <w:rPr/>
            </w:r>
          </w:p>
        </w:tc>
        <w:tc>
          <w:tcPr>
            <w:tcW w:w="78" w:type="dxa"/>
            <w:vMerge w:val="continue"/>
            <w:tcBorders>
              <w:top w:val="single" w:sz="16" w:space="0" w:color="CCCCCC"/>
            </w:tcBorders>
            <w:shd w:fill="auto" w:val="clear"/>
            <w:tcMar>
              <w:top w:w="28" w:type="dxa"/>
            </w:tcMar>
          </w:tcPr>
          <w:p>
            <w:pPr>
              <w:pStyle w:val="Normal"/>
              <w:rPr/>
            </w:pPr>
            <w:r>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top w:val="single" w:sz="20" w:space="0" w:color="000000"/>
            </w:tcBorders>
            <w:shd w:fill="auto" w:val="clear"/>
            <w:tcMar>
              <w:top w:w="28" w:type="dxa"/>
            </w:tcMar>
            <w:vAlign w:val="bottom"/>
          </w:tcPr>
          <w:p>
            <w:pPr>
              <w:pStyle w:val="TableContents"/>
              <w:spacing w:before="0" w:after="283"/>
              <w:rPr/>
            </w:pPr>
            <w:r>
              <w:rPr/>
              <w:t> </w:t>
            </w:r>
          </w:p>
        </w:tc>
        <w:tc>
          <w:tcPr>
            <w:tcW w:w="518" w:type="dxa"/>
            <w:tcBorders>
              <w:top w:val="single" w:sz="20" w:space="0" w:color="000000"/>
              <w:right w:val="single" w:sz="20" w:space="0" w:color="000000"/>
            </w:tcBorders>
            <w:shd w:fill="auto" w:val="clear"/>
            <w:tcMar>
              <w:top w:w="28" w:type="dxa"/>
              <w:right w:w="28" w:type="dxa"/>
            </w:tcMar>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right w:val="single" w:sz="20" w:space="0" w:color="000000"/>
            </w:tcBorders>
            <w:shd w:fill="auto" w:val="clear"/>
            <w:tcMar>
              <w:right w:w="28" w:type="dxa"/>
            </w:tcMar>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right w:val="single" w:sz="20" w:space="0" w:color="000000"/>
            </w:tcBorders>
            <w:shd w:fill="auto" w:val="clear"/>
            <w:tcMar>
              <w:right w:w="28" w:type="dxa"/>
            </w:tcMar>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0"/>
              <w:jc w:val="both"/>
              <w:rPr/>
            </w:pPr>
            <w:r>
              <w:rPr/>
              <w:t>    </w:t>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428" w:type="dxa"/>
            <w:gridSpan w:val="13"/>
            <w:tcBorders/>
            <w:shd w:fill="auto" w:val="clear"/>
          </w:tcPr>
          <w:p>
            <w:pPr>
              <w:pStyle w:val="TableContents"/>
              <w:spacing w:before="0" w:after="0"/>
              <w:rPr>
                <w:rFonts w:ascii="ARIAL" w:hAnsi="ARIAL"/>
                <w:b/>
                <w:sz w:val="14"/>
              </w:rPr>
            </w:pPr>
            <w:r>
              <w:rPr>
                <w:rFonts w:ascii="ARIAL" w:hAnsi="ARIAL"/>
                <w:b/>
                <w:sz w:val="14"/>
              </w:rPr>
              <w:t>The Board of Directors recommends you vote FOR</w:t>
            </w:r>
          </w:p>
          <w:p>
            <w:pPr>
              <w:pStyle w:val="TableContents"/>
              <w:spacing w:before="0" w:after="20"/>
              <w:rPr>
                <w:rFonts w:ascii="ARIAL" w:hAnsi="ARIAL"/>
                <w:b/>
                <w:sz w:val="14"/>
              </w:rPr>
            </w:pPr>
            <w:r>
              <w:rPr>
                <w:rFonts w:ascii="ARIAL" w:hAnsi="ARIAL"/>
                <w:b/>
                <w:sz w:val="14"/>
              </w:rPr>
              <w:t>the following proposal:</w:t>
            </w:r>
          </w:p>
        </w:tc>
        <w:tc>
          <w:tcPr>
            <w:tcW w:w="6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0"/>
              <w:jc w:val="center"/>
              <w:rPr>
                <w:rFonts w:ascii="ARIAL" w:hAnsi="ARIAL"/>
                <w:b/>
                <w:sz w:val="14"/>
              </w:rPr>
            </w:pPr>
            <w:r>
              <w:rPr>
                <w:rFonts w:ascii="ARIAL" w:hAnsi="ARIAL"/>
                <w:b/>
                <w:sz w:val="14"/>
              </w:rPr>
              <w:t>For</w:t>
            </w:r>
          </w:p>
          <w:p>
            <w:pPr>
              <w:pStyle w:val="TableContents"/>
              <w:spacing w:before="0" w:after="20"/>
              <w:jc w:val="left"/>
              <w:rPr/>
            </w:pPr>
            <w:r>
              <w:rPr/>
              <w:t> </w:t>
            </w:r>
          </w:p>
        </w:tc>
        <w:tc>
          <w:tcPr>
            <w:tcW w:w="63"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0"/>
              <w:jc w:val="center"/>
              <w:rPr/>
            </w:pPr>
            <w:r>
              <w:rPr/>
              <w:t>  </w:t>
            </w:r>
            <w:r>
              <w:rPr>
                <w:rFonts w:ascii="ARIAL" w:hAnsi="ARIAL"/>
                <w:b/>
                <w:sz w:val="14"/>
              </w:rPr>
              <w:t>Against</w:t>
            </w:r>
          </w:p>
          <w:p>
            <w:pPr>
              <w:pStyle w:val="TableContents"/>
              <w:spacing w:before="0" w:after="20"/>
              <w:jc w:val="left"/>
              <w:rPr/>
            </w:pPr>
            <w:r>
              <w:rPr/>
              <w:t> </w:t>
            </w:r>
          </w:p>
        </w:tc>
        <w:tc>
          <w:tcPr>
            <w:tcW w:w="63"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0"/>
              <w:jc w:val="center"/>
              <w:rPr>
                <w:rFonts w:ascii="ARIAL" w:hAnsi="ARIAL"/>
                <w:b/>
                <w:sz w:val="14"/>
              </w:rPr>
            </w:pPr>
            <w:r>
              <w:rPr>
                <w:rFonts w:ascii="ARIAL" w:hAnsi="ARIAL"/>
                <w:b/>
                <w:sz w:val="14"/>
              </w:rPr>
              <w:t>Abstain</w:t>
            </w:r>
          </w:p>
          <w:p>
            <w:pPr>
              <w:pStyle w:val="TableContents"/>
              <w:spacing w:before="0" w:after="20"/>
              <w:jc w:val="left"/>
              <w:rPr/>
            </w:pPr>
            <w:r>
              <w:rPr/>
              <w:t> </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vAlign w:val="bottom"/>
          </w:tcPr>
          <w:p>
            <w:pPr>
              <w:pStyle w:val="TableContents"/>
              <w:spacing w:before="0" w:after="283"/>
              <w:rPr/>
            </w:pPr>
            <w:r>
              <w:rPr/>
              <w:t> </w:t>
            </w:r>
          </w:p>
        </w:tc>
      </w:tr>
      <w:tr>
        <w:trPr>
          <w:trHeight w:val="120" w:hRule="atLeast"/>
        </w:trPr>
        <w:tc>
          <w:tcPr>
            <w:tcW w:w="244" w:type="dxa"/>
            <w:tcBorders/>
            <w:shd w:fill="auto" w:val="clear"/>
            <w:vAlign w:val="center"/>
          </w:tcPr>
          <w:p>
            <w:pPr>
              <w:pStyle w:val="TableContents"/>
              <w:spacing w:before="0" w:after="283"/>
              <w:rPr>
                <w:sz w:val="4"/>
                <w:szCs w:val="4"/>
              </w:rPr>
            </w:pPr>
            <w:r>
              <w:rPr>
                <w:sz w:val="4"/>
                <w:szCs w:val="4"/>
              </w:rPr>
            </w:r>
          </w:p>
        </w:tc>
        <w:tc>
          <w:tcPr>
            <w:tcW w:w="129" w:type="dxa"/>
            <w:gridSpan w:val="2"/>
            <w:tcBorders>
              <w:left w:val="single" w:sz="16" w:space="0" w:color="CCCCCC"/>
            </w:tcBorders>
            <w:shd w:fill="auto" w:val="clear"/>
            <w:tcMar>
              <w:left w:w="28" w:type="dxa"/>
            </w:tcMar>
            <w:vAlign w:val="center"/>
          </w:tcPr>
          <w:p>
            <w:pPr>
              <w:pStyle w:val="TableContents"/>
              <w:spacing w:before="0" w:after="283"/>
              <w:rPr/>
            </w:pPr>
            <w:r>
              <w:rPr/>
              <w:t> </w:t>
            </w:r>
          </w:p>
        </w:tc>
        <w:tc>
          <w:tcPr>
            <w:tcW w:w="7632" w:type="dxa"/>
            <w:gridSpan w:val="16"/>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316" w:type="dxa"/>
            <w:gridSpan w:val="2"/>
            <w:tcBorders>
              <w:right w:val="single" w:sz="16" w:space="0" w:color="CCCCCC"/>
            </w:tcBorders>
            <w:shd w:fill="auto" w:val="clear"/>
            <w:tcMar>
              <w:right w:w="28" w:type="dxa"/>
            </w:tcMar>
            <w:vAlign w:val="center"/>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569" w:type="dxa"/>
            <w:gridSpan w:val="15"/>
            <w:tcBorders/>
            <w:shd w:fill="auto" w:val="clear"/>
          </w:tcPr>
          <w:p>
            <w:pPr>
              <w:pStyle w:val="TableContents"/>
              <w:spacing w:before="0" w:after="0"/>
              <w:rPr>
                <w:rFonts w:ascii="ARIAL" w:hAnsi="ARIAL"/>
                <w:sz w:val="14"/>
              </w:rPr>
            </w:pPr>
            <w:r>
              <w:rPr>
                <w:rFonts w:ascii="ARIAL" w:hAnsi="ARIAL"/>
                <w:b/>
                <w:sz w:val="14"/>
              </w:rPr>
              <w:t>1.</w:t>
            </w:r>
            <w:r>
              <w:rPr>
                <w:rFonts w:ascii="ARIAL" w:hAnsi="ARIAL"/>
                <w:sz w:val="14"/>
              </w:rPr>
              <w:t>  To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pStyle w:val="TableContents"/>
              <w:spacing w:before="0" w:after="20"/>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center"/>
              <w:rPr/>
            </w:pPr>
            <w:r>
              <w:rPr/>
              <w:t>☐</w:t>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jc w:val="center"/>
              <w:rPr/>
            </w:pPr>
            <w:r>
              <w:rPr/>
              <w:t>☐</w:t>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283"/>
              <w:jc w:val="center"/>
              <w:rPr/>
            </w:pPr>
            <w:r>
              <w:rPr/>
              <w:t>☐</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vAlign w:val="bottom"/>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428" w:type="dxa"/>
            <w:gridSpan w:val="13"/>
            <w:tcBorders/>
            <w:shd w:fill="auto" w:val="clear"/>
          </w:tcPr>
          <w:p>
            <w:pPr>
              <w:pStyle w:val="TableContents"/>
              <w:spacing w:before="0" w:after="0"/>
              <w:jc w:val="both"/>
              <w:rPr>
                <w:rFonts w:ascii="ARIAL" w:hAnsi="ARIAL"/>
                <w:sz w:val="14"/>
              </w:rPr>
            </w:pPr>
            <w:r>
              <w:rPr>
                <w:rFonts w:ascii="ARIAL" w:hAnsi="ARIAL"/>
                <w:b/>
                <w:sz w:val="14"/>
              </w:rPr>
              <w:t xml:space="preserve">NOTE: </w:t>
            </w:r>
            <w:r>
              <w:rPr>
                <w:rFonts w:ascii="ARIAL" w:hAnsi="ARIAL"/>
                <w:sz w:val="14"/>
              </w:rPr>
              <w:t>The named proxies are also authorized to transact such other business as may properly come before the Special Meeting of Stockholders or any postponement or adjournment thereof.</w:t>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0"/>
              <w:jc w:val="both"/>
              <w:rPr/>
            </w:pPr>
            <w:r>
              <w:rPr/>
              <w:t>    </w:t>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0"/>
              <w:jc w:val="both"/>
              <w:rPr/>
            </w:pPr>
            <w:r>
              <w:rPr/>
              <w:t>    </w:t>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0"/>
              <w:jc w:val="both"/>
              <w:rPr/>
            </w:pPr>
            <w:r>
              <w:rPr/>
              <w:t>    </w:t>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0"/>
              <w:jc w:val="both"/>
              <w:rPr/>
            </w:pPr>
            <w:r>
              <w:rPr/>
              <w:t>    </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vMerge w:val="restart"/>
            <w:tcBorders/>
            <w:shd w:fill="auto" w:val="clear"/>
            <w:vAlign w:val="bottom"/>
          </w:tcPr>
          <w:p>
            <w:pPr>
              <w:pStyle w:val="TableContents"/>
              <w:spacing w:before="0" w:after="0"/>
              <w:jc w:val="both"/>
              <w:rPr/>
            </w:pPr>
            <w:r>
              <w:rPr/>
              <w:drawing>
                <wp:inline distT="0" distB="0" distL="0" distR="0">
                  <wp:extent cx="152400" cy="127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 cy="1276350"/>
                          </a:xfrm>
                          <a:prstGeom prst="rect">
                            <a:avLst/>
                          </a:prstGeom>
                        </pic:spPr>
                      </pic:pic>
                    </a:graphicData>
                  </a:graphic>
                </wp:inline>
              </w:drawing>
            </w:r>
            <w:r>
              <w:rPr/>
              <w:t xml:space="preserve"> </w:t>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vMerge w:val="continue"/>
            <w:tcBorders/>
            <w:shd w:fill="auto" w:val="clear"/>
            <w:vAlign w:val="bottom"/>
          </w:tcPr>
          <w:p>
            <w:pPr>
              <w:pStyle w:val="Normal"/>
              <w:rPr/>
            </w:pPr>
            <w:r>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vMerge w:val="continue"/>
            <w:tcBorders/>
            <w:shd w:fill="auto" w:val="clear"/>
            <w:vAlign w:val="bottom"/>
          </w:tcPr>
          <w:p>
            <w:pPr>
              <w:pStyle w:val="Normal"/>
              <w:rPr/>
            </w:pPr>
            <w:r>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vMerge w:val="continue"/>
            <w:tcBorders/>
            <w:shd w:fill="auto" w:val="clear"/>
            <w:vAlign w:val="bottom"/>
          </w:tcPr>
          <w:p>
            <w:pPr>
              <w:pStyle w:val="Normal"/>
              <w:rPr/>
            </w:pPr>
            <w:r>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77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9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tcPr>
          <w:p>
            <w:pPr>
              <w:pStyle w:val="TableContents"/>
              <w:spacing w:before="0" w:after="283"/>
              <w:rPr/>
            </w:pPr>
            <w:r>
              <w:rPr/>
              <w:t> </w:t>
            </w:r>
          </w:p>
        </w:tc>
      </w:tr>
      <w:tr>
        <w:trPr/>
        <w:tc>
          <w:tcPr>
            <w:tcW w:w="244" w:type="dxa"/>
            <w:vMerge w:val="continue"/>
            <w:tcBorders/>
            <w:shd w:fill="auto" w:val="clear"/>
            <w:vAlign w:val="bottom"/>
          </w:tcPr>
          <w:p>
            <w:pPr>
              <w:pStyle w:val="Normal"/>
              <w:rPr/>
            </w:pPr>
            <w:r>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4428" w:type="dxa"/>
            <w:gridSpan w:val="7"/>
            <w:tcBorders/>
            <w:shd w:fill="auto" w:val="clear"/>
          </w:tcPr>
          <w:p>
            <w:pPr>
              <w:pStyle w:val="TableContents"/>
              <w:spacing w:before="0" w:after="0"/>
              <w:jc w:val="both"/>
              <w:rPr/>
            </w:pPr>
            <w:r>
              <w:rPr/>
              <w:t>    </w:t>
            </w:r>
          </w:p>
        </w:tc>
        <w:tc>
          <w:tcPr>
            <w:tcW w:w="122" w:type="dxa"/>
            <w:tcBorders/>
            <w:shd w:fill="auto" w:val="clear"/>
            <w:vAlign w:val="bottom"/>
          </w:tcPr>
          <w:p>
            <w:pPr>
              <w:pStyle w:val="TableContents"/>
              <w:spacing w:before="0" w:after="283"/>
              <w:rPr/>
            </w:pPr>
            <w:r>
              <w:rPr/>
              <w:t>  </w:t>
            </w:r>
          </w:p>
        </w:tc>
        <w:tc>
          <w:tcPr>
            <w:tcW w:w="498" w:type="dxa"/>
            <w:tcBorders/>
            <w:shd w:fill="auto" w:val="clear"/>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vAlign w:val="bottom"/>
          </w:tcPr>
          <w:p>
            <w:pPr>
              <w:pStyle w:val="TableContents"/>
              <w:spacing w:before="0" w:after="283"/>
              <w:rPr/>
            </w:pPr>
            <w:r>
              <w:rPr/>
              <w:t> </w:t>
            </w:r>
          </w:p>
        </w:tc>
      </w:tr>
      <w:tr>
        <w:trPr/>
        <w:tc>
          <w:tcPr>
            <w:tcW w:w="244" w:type="dxa"/>
            <w:vMerge w:val="continue"/>
            <w:tcBorders/>
            <w:shd w:fill="auto" w:val="clear"/>
            <w:vAlign w:val="bottom"/>
          </w:tcPr>
          <w:p>
            <w:pPr>
              <w:pStyle w:val="Normal"/>
              <w:rPr/>
            </w:pPr>
            <w:r>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048" w:type="dxa"/>
            <w:gridSpan w:val="9"/>
            <w:tcBorders/>
            <w:shd w:fill="auto" w:val="clear"/>
          </w:tcPr>
          <w:p>
            <w:pPr>
              <w:pStyle w:val="TableContents"/>
              <w:spacing w:before="0" w:after="0"/>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spacing w:before="0" w:after="20"/>
              <w:rPr/>
            </w:pPr>
            <w:r>
              <w:rPr/>
              <w:t> </w:t>
            </w:r>
          </w:p>
        </w:tc>
        <w:tc>
          <w:tcPr>
            <w:tcW w:w="6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189"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vAlign w:val="bottom"/>
          </w:tcPr>
          <w:p>
            <w:pPr>
              <w:pStyle w:val="TableContents"/>
              <w:spacing w:before="0" w:after="283"/>
              <w:rPr/>
            </w:pPr>
            <w:r>
              <w:rPr/>
              <w:t> </w:t>
            </w:r>
          </w:p>
        </w:tc>
      </w:tr>
      <w:tr>
        <w:trPr>
          <w:trHeight w:val="240" w:hRule="atLeast"/>
        </w:trPr>
        <w:tc>
          <w:tcPr>
            <w:tcW w:w="244" w:type="dxa"/>
            <w:tcBorders/>
            <w:shd w:fill="auto" w:val="clear"/>
            <w:vAlign w:val="center"/>
          </w:tcPr>
          <w:p>
            <w:pPr>
              <w:pStyle w:val="TableContents"/>
              <w:spacing w:before="0" w:after="283"/>
              <w:rPr>
                <w:sz w:val="4"/>
                <w:szCs w:val="4"/>
              </w:rPr>
            </w:pPr>
            <w:r>
              <w:rPr>
                <w:sz w:val="4"/>
                <w:szCs w:val="4"/>
              </w:rPr>
            </w:r>
          </w:p>
        </w:tc>
        <w:tc>
          <w:tcPr>
            <w:tcW w:w="129" w:type="dxa"/>
            <w:gridSpan w:val="2"/>
            <w:tcBorders>
              <w:left w:val="single" w:sz="16" w:space="0" w:color="CCCCCC"/>
            </w:tcBorders>
            <w:shd w:fill="auto" w:val="clear"/>
            <w:tcMar>
              <w:left w:w="28" w:type="dxa"/>
            </w:tcMar>
            <w:vAlign w:val="center"/>
          </w:tcPr>
          <w:p>
            <w:pPr>
              <w:pStyle w:val="TableContents"/>
              <w:spacing w:before="0" w:after="283"/>
              <w:rPr/>
            </w:pPr>
            <w:r>
              <w:rPr/>
              <w:t> </w:t>
            </w:r>
          </w:p>
        </w:tc>
        <w:tc>
          <w:tcPr>
            <w:tcW w:w="4491" w:type="dxa"/>
            <w:gridSpan w:val="8"/>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128" w:type="dxa"/>
            <w:gridSpan w:val="2"/>
            <w:tcBorders/>
            <w:shd w:fill="auto" w:val="clear"/>
            <w:vAlign w:val="center"/>
          </w:tcPr>
          <w:p>
            <w:pPr>
              <w:pStyle w:val="TableContents"/>
              <w:spacing w:before="0" w:after="283"/>
              <w:rPr>
                <w:sz w:val="4"/>
                <w:szCs w:val="4"/>
              </w:rPr>
            </w:pPr>
            <w:r>
              <w:rPr>
                <w:sz w:val="4"/>
                <w:szCs w:val="4"/>
              </w:rPr>
            </w:r>
          </w:p>
        </w:tc>
        <w:tc>
          <w:tcPr>
            <w:tcW w:w="4277" w:type="dxa"/>
            <w:gridSpan w:val="12"/>
            <w:tcBorders/>
            <w:shd w:fill="auto" w:val="clear"/>
            <w:vAlign w:val="center"/>
          </w:tcPr>
          <w:p>
            <w:pPr>
              <w:pStyle w:val="TableContents"/>
              <w:spacing w:before="0" w:after="283"/>
              <w:rPr>
                <w:sz w:val="4"/>
                <w:szCs w:val="4"/>
              </w:rPr>
            </w:pPr>
            <w:r>
              <w:rPr>
                <w:sz w:val="4"/>
                <w:szCs w:val="4"/>
              </w:rPr>
            </w:r>
          </w:p>
        </w:tc>
        <w:tc>
          <w:tcPr>
            <w:tcW w:w="316" w:type="dxa"/>
            <w:gridSpan w:val="2"/>
            <w:tcBorders>
              <w:right w:val="single" w:sz="16" w:space="0" w:color="CCCCCC"/>
            </w:tcBorders>
            <w:shd w:fill="auto" w:val="clear"/>
            <w:tcMar>
              <w:right w:w="28" w:type="dxa"/>
            </w:tcMar>
            <w:vAlign w:val="center"/>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tcBorders>
            <w:shd w:fill="auto" w:val="clear"/>
            <w:tcMar>
              <w:left w:w="28" w:type="dxa"/>
            </w:tcMar>
            <w:vAlign w:val="bottom"/>
          </w:tcPr>
          <w:p>
            <w:pPr>
              <w:pStyle w:val="TableContents"/>
              <w:spacing w:before="0" w:after="283"/>
              <w:rPr/>
            </w:pPr>
            <w:r>
              <w:rPr/>
              <w:t> </w:t>
            </w:r>
          </w:p>
        </w:tc>
        <w:tc>
          <w:tcPr>
            <w:tcW w:w="66" w:type="dxa"/>
            <w:tcBorders/>
            <w:shd w:fill="auto" w:val="clea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4428" w:type="dxa"/>
            <w:gridSpan w:val="7"/>
            <w:tcBorders/>
            <w:shd w:fill="auto" w:val="clear"/>
          </w:tcPr>
          <w:p>
            <w:pPr>
              <w:pStyle w:val="TableContents"/>
              <w:spacing w:before="0" w:after="283"/>
              <w:rPr/>
            </w:pPr>
            <w:r>
              <w:rPr/>
              <w:drawing>
                <wp:inline distT="0" distB="0" distL="0" distR="0">
                  <wp:extent cx="258127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81275" cy="447675"/>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4214" w:type="dxa"/>
            <w:gridSpan w:val="11"/>
            <w:tcBorders/>
            <w:shd w:fill="auto" w:val="clear"/>
            <w:vAlign w:val="bottom"/>
          </w:tcPr>
          <w:p>
            <w:pPr>
              <w:pStyle w:val="TableContents"/>
              <w:spacing w:before="0" w:after="283"/>
              <w:rPr/>
            </w:pPr>
            <w:r>
              <w:rPr/>
              <w:drawing>
                <wp:inline distT="0" distB="0" distL="0" distR="0">
                  <wp:extent cx="2581275"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81275" cy="457200"/>
                          </a:xfrm>
                          <a:prstGeom prst="rect">
                            <a:avLst/>
                          </a:prstGeom>
                        </pic:spPr>
                      </pic:pic>
                    </a:graphicData>
                  </a:graphic>
                </wp:inline>
              </w:drawing>
            </w:r>
            <w:r>
              <w:rPr/>
              <w:t xml:space="preserve"> </w:t>
            </w:r>
          </w:p>
        </w:tc>
        <w:tc>
          <w:tcPr>
            <w:tcW w:w="63" w:type="dxa"/>
            <w:tcBorders/>
            <w:shd w:fill="auto" w:val="clear"/>
            <w:vAlign w:val="bottom"/>
          </w:tcPr>
          <w:p>
            <w:pPr>
              <w:pStyle w:val="TableContents"/>
              <w:spacing w:before="0" w:after="283"/>
              <w:rPr/>
            </w:pPr>
            <w:r>
              <w:rPr/>
              <w:t> </w:t>
            </w:r>
          </w:p>
        </w:tc>
        <w:tc>
          <w:tcPr>
            <w:tcW w:w="253" w:type="dxa"/>
            <w:tcBorders>
              <w:right w:val="single" w:sz="16" w:space="0" w:color="CCCCCC"/>
            </w:tcBorders>
            <w:shd w:fill="auto" w:val="clear"/>
            <w:tcMar>
              <w:right w:w="40" w:type="dxa"/>
            </w:tcMar>
            <w:vAlign w:val="bottom"/>
          </w:tcPr>
          <w:p>
            <w:pPr>
              <w:pStyle w:val="TableContents"/>
              <w:spacing w:before="0" w:after="283"/>
              <w:rPr/>
            </w:pPr>
            <w:r>
              <w:rPr/>
              <w:t> </w:t>
            </w:r>
          </w:p>
        </w:tc>
      </w:tr>
      <w:tr>
        <w:trPr/>
        <w:tc>
          <w:tcPr>
            <w:tcW w:w="244" w:type="dxa"/>
            <w:tcBorders/>
            <w:shd w:fill="auto" w:val="clear"/>
          </w:tcPr>
          <w:p>
            <w:pPr>
              <w:pStyle w:val="TableContents"/>
              <w:spacing w:before="0" w:after="283"/>
              <w:rPr>
                <w:sz w:val="4"/>
                <w:szCs w:val="4"/>
              </w:rPr>
            </w:pPr>
            <w:r>
              <w:rPr>
                <w:sz w:val="4"/>
                <w:szCs w:val="4"/>
              </w:rPr>
            </w:r>
          </w:p>
        </w:tc>
        <w:tc>
          <w:tcPr>
            <w:tcW w:w="63" w:type="dxa"/>
            <w:tcBorders>
              <w:left w:val="single" w:sz="16" w:space="0" w:color="CCCCCC"/>
              <w:bottom w:val="single" w:sz="16" w:space="0" w:color="CCCCCC"/>
            </w:tcBorders>
            <w:shd w:fill="auto" w:val="clear"/>
            <w:tcMar>
              <w:left w:w="28" w:type="dxa"/>
              <w:bottom w:w="28" w:type="dxa"/>
            </w:tcMar>
            <w:vAlign w:val="bottom"/>
          </w:tcPr>
          <w:p>
            <w:pPr>
              <w:pStyle w:val="TableContents"/>
              <w:spacing w:before="0" w:after="283"/>
              <w:rPr/>
            </w:pPr>
            <w:r>
              <w:rPr/>
              <w:t> </w:t>
            </w:r>
          </w:p>
        </w:tc>
        <w:tc>
          <w:tcPr>
            <w:tcW w:w="66" w:type="dxa"/>
            <w:tcBorders>
              <w:bottom w:val="single" w:sz="16" w:space="0" w:color="CCCCCC"/>
            </w:tcBorders>
            <w:shd w:fill="auto" w:val="clear"/>
            <w:tcMar>
              <w:bottom w:w="28" w:type="dxa"/>
            </w:tcMar>
          </w:tcPr>
          <w:p>
            <w:pPr>
              <w:pStyle w:val="TableContents"/>
              <w:spacing w:before="0" w:after="283"/>
              <w:rPr/>
            </w:pPr>
            <w:r>
              <w:rPr/>
              <w:t> </w:t>
            </w:r>
          </w:p>
        </w:tc>
        <w:tc>
          <w:tcPr>
            <w:tcW w:w="63" w:type="dxa"/>
            <w:tcBorders>
              <w:bottom w:val="single" w:sz="16" w:space="0" w:color="CCCCCC"/>
            </w:tcBorders>
            <w:shd w:fill="auto" w:val="clear"/>
            <w:tcMar>
              <w:bottom w:w="28" w:type="dxa"/>
            </w:tcMar>
            <w:vAlign w:val="bottom"/>
          </w:tcPr>
          <w:p>
            <w:pPr>
              <w:pStyle w:val="TableContents"/>
              <w:spacing w:before="0" w:after="283"/>
              <w:rPr/>
            </w:pPr>
            <w:r>
              <w:rPr/>
              <w:t> </w:t>
            </w:r>
          </w:p>
        </w:tc>
        <w:tc>
          <w:tcPr>
            <w:tcW w:w="3937" w:type="dxa"/>
            <w:gridSpan w:val="3"/>
            <w:tcBorders>
              <w:bottom w:val="single" w:sz="16" w:space="0" w:color="CCCCCC"/>
            </w:tcBorders>
            <w:shd w:fill="auto" w:val="clear"/>
            <w:tcMar>
              <w:bottom w:w="28" w:type="dxa"/>
            </w:tcMar>
          </w:tcPr>
          <w:p>
            <w:pPr>
              <w:pStyle w:val="TableContents"/>
              <w:spacing w:before="0" w:after="283"/>
              <w:rPr/>
            </w:pPr>
            <w:r>
              <w:rPr/>
              <w:t> </w:t>
            </w:r>
          </w:p>
        </w:tc>
        <w:tc>
          <w:tcPr>
            <w:tcW w:w="63" w:type="dxa"/>
            <w:tcBorders>
              <w:bottom w:val="single" w:sz="16" w:space="0" w:color="CCCCCC"/>
            </w:tcBorders>
            <w:shd w:fill="auto" w:val="clear"/>
            <w:tcMar>
              <w:bottom w:w="28" w:type="dxa"/>
            </w:tcMar>
            <w:vAlign w:val="bottom"/>
          </w:tcPr>
          <w:p>
            <w:pPr>
              <w:pStyle w:val="TableContents"/>
              <w:spacing w:before="0" w:after="283"/>
              <w:rPr/>
            </w:pPr>
            <w:r>
              <w:rPr/>
              <w:t> </w:t>
            </w:r>
          </w:p>
        </w:tc>
        <w:tc>
          <w:tcPr>
            <w:tcW w:w="428" w:type="dxa"/>
            <w:gridSpan w:val="3"/>
            <w:tcBorders>
              <w:bottom w:val="single" w:sz="16" w:space="0" w:color="CCCCCC"/>
            </w:tcBorders>
            <w:shd w:fill="auto" w:val="clear"/>
            <w:tcMar>
              <w:bottom w:w="28" w:type="dxa"/>
            </w:tcMar>
          </w:tcPr>
          <w:p>
            <w:pPr>
              <w:pStyle w:val="TableContents"/>
              <w:spacing w:before="0" w:after="283"/>
              <w:rPr/>
            </w:pPr>
            <w:r>
              <w:rPr/>
              <w:t>       </w:t>
            </w:r>
          </w:p>
        </w:tc>
        <w:tc>
          <w:tcPr>
            <w:tcW w:w="122" w:type="dxa"/>
            <w:tcBorders>
              <w:bottom w:val="single" w:sz="16" w:space="0" w:color="CCCCCC"/>
            </w:tcBorders>
            <w:shd w:fill="auto" w:val="clear"/>
            <w:tcMar>
              <w:bottom w:w="28" w:type="dxa"/>
            </w:tcMar>
            <w:vAlign w:val="bottom"/>
          </w:tcPr>
          <w:p>
            <w:pPr>
              <w:pStyle w:val="TableContents"/>
              <w:spacing w:before="0" w:after="283"/>
              <w:rPr/>
            </w:pPr>
            <w:r>
              <w:rPr/>
              <w:t>  </w:t>
            </w:r>
          </w:p>
        </w:tc>
        <w:tc>
          <w:tcPr>
            <w:tcW w:w="498" w:type="dxa"/>
            <w:tcBorders>
              <w:bottom w:val="single" w:sz="16" w:space="0" w:color="CCCCCC"/>
            </w:tcBorders>
            <w:shd w:fill="auto" w:val="clear"/>
            <w:tcMar>
              <w:bottom w:w="28" w:type="dxa"/>
            </w:tcMar>
            <w:vAlign w:val="bottom"/>
          </w:tcPr>
          <w:p>
            <w:pPr>
              <w:pStyle w:val="TableContents"/>
              <w:spacing w:before="0" w:after="283"/>
              <w:rPr/>
            </w:pPr>
            <w:r>
              <w:rPr/>
              <w:t> </w:t>
            </w:r>
          </w:p>
        </w:tc>
        <w:tc>
          <w:tcPr>
            <w:tcW w:w="62" w:type="dxa"/>
            <w:tcBorders>
              <w:bottom w:val="single" w:sz="16" w:space="0" w:color="CCCCCC"/>
            </w:tcBorders>
            <w:shd w:fill="auto" w:val="clear"/>
            <w:tcMar>
              <w:bottom w:w="28" w:type="dxa"/>
            </w:tcMar>
            <w:vAlign w:val="bottom"/>
          </w:tcPr>
          <w:p>
            <w:pPr>
              <w:pStyle w:val="TableContents"/>
              <w:spacing w:before="0" w:after="283"/>
              <w:rPr/>
            </w:pPr>
            <w:r>
              <w:rPr/>
              <w:t> </w:t>
            </w:r>
          </w:p>
        </w:tc>
        <w:tc>
          <w:tcPr>
            <w:tcW w:w="2318" w:type="dxa"/>
            <w:gridSpan w:val="3"/>
            <w:tcBorders>
              <w:bottom w:val="single" w:sz="16" w:space="0" w:color="CCCCCC"/>
            </w:tcBorders>
            <w:shd w:fill="auto" w:val="clear"/>
            <w:tcMar>
              <w:bottom w:w="28" w:type="dxa"/>
            </w:tcMar>
          </w:tcPr>
          <w:p>
            <w:pPr>
              <w:pStyle w:val="TableContents"/>
              <w:spacing w:before="0" w:after="0"/>
              <w:rPr/>
            </w:pPr>
            <w:r>
              <w:rPr/>
              <w:t>      </w:t>
            </w:r>
          </w:p>
          <w:p>
            <w:pPr>
              <w:pStyle w:val="TableContents"/>
              <w:spacing w:before="0" w:after="20"/>
              <w:rPr/>
            </w:pPr>
            <w:r>
              <w:rPr/>
              <w:t> </w:t>
            </w:r>
          </w:p>
        </w:tc>
        <w:tc>
          <w:tcPr>
            <w:tcW w:w="63" w:type="dxa"/>
            <w:tcBorders>
              <w:bottom w:val="single" w:sz="16" w:space="0" w:color="CCCCCC"/>
            </w:tcBorders>
            <w:shd w:fill="auto" w:val="clear"/>
            <w:tcMar>
              <w:bottom w:w="28" w:type="dxa"/>
            </w:tcMar>
            <w:vAlign w:val="bottom"/>
          </w:tcPr>
          <w:p>
            <w:pPr>
              <w:pStyle w:val="TableContents"/>
              <w:spacing w:before="0" w:after="283"/>
              <w:rPr/>
            </w:pPr>
            <w:r>
              <w:rPr/>
              <w:t> </w:t>
            </w:r>
          </w:p>
        </w:tc>
        <w:tc>
          <w:tcPr>
            <w:tcW w:w="78" w:type="dxa"/>
            <w:tcBorders>
              <w:bottom w:val="single" w:sz="16" w:space="0" w:color="CCCCCC"/>
            </w:tcBorders>
            <w:shd w:fill="auto" w:val="clear"/>
            <w:tcMar>
              <w:bottom w:w="28" w:type="dxa"/>
            </w:tcMar>
          </w:tcPr>
          <w:p>
            <w:pPr>
              <w:pStyle w:val="TableContents"/>
              <w:spacing w:before="0" w:after="283"/>
              <w:rPr/>
            </w:pPr>
            <w:r>
              <w:rPr/>
              <w:t> </w:t>
            </w:r>
          </w:p>
        </w:tc>
        <w:tc>
          <w:tcPr>
            <w:tcW w:w="63" w:type="dxa"/>
            <w:tcBorders>
              <w:bottom w:val="single" w:sz="16" w:space="0" w:color="CCCCCC"/>
            </w:tcBorders>
            <w:shd w:fill="auto" w:val="clear"/>
            <w:tcMar>
              <w:bottom w:w="28" w:type="dxa"/>
            </w:tcMar>
            <w:vAlign w:val="bottom"/>
          </w:tcPr>
          <w:p>
            <w:pPr>
              <w:pStyle w:val="TableContents"/>
              <w:spacing w:before="0" w:after="283"/>
              <w:rPr/>
            </w:pPr>
            <w:r>
              <w:rPr/>
              <w:t> </w:t>
            </w:r>
          </w:p>
        </w:tc>
        <w:tc>
          <w:tcPr>
            <w:tcW w:w="1821" w:type="dxa"/>
            <w:gridSpan w:val="7"/>
            <w:tcBorders>
              <w:bottom w:val="single" w:sz="16" w:space="0" w:color="CCCCCC"/>
            </w:tcBorders>
            <w:shd w:fill="auto" w:val="clear"/>
            <w:tcMar>
              <w:bottom w:w="28" w:type="dxa"/>
            </w:tcMar>
            <w:vAlign w:val="bottom"/>
          </w:tcPr>
          <w:p>
            <w:pPr>
              <w:pStyle w:val="TableContents"/>
              <w:spacing w:before="0" w:after="283"/>
              <w:rPr/>
            </w:pPr>
            <w:r>
              <w:rPr/>
              <w:t> </w:t>
            </w:r>
          </w:p>
        </w:tc>
        <w:tc>
          <w:tcPr>
            <w:tcW w:w="63" w:type="dxa"/>
            <w:tcBorders>
              <w:bottom w:val="single" w:sz="16" w:space="0" w:color="CCCCCC"/>
            </w:tcBorders>
            <w:shd w:fill="auto" w:val="clear"/>
            <w:tcMar>
              <w:bottom w:w="28" w:type="dxa"/>
            </w:tcMar>
            <w:vAlign w:val="bottom"/>
          </w:tcPr>
          <w:p>
            <w:pPr>
              <w:pStyle w:val="TableContents"/>
              <w:spacing w:before="0" w:after="283"/>
              <w:rPr/>
            </w:pPr>
            <w:r>
              <w:rPr/>
              <w:t> </w:t>
            </w:r>
          </w:p>
        </w:tc>
        <w:tc>
          <w:tcPr>
            <w:tcW w:w="253" w:type="dxa"/>
            <w:tcBorders>
              <w:bottom w:val="single" w:sz="16" w:space="0" w:color="CCCCCC"/>
              <w:right w:val="single" w:sz="16" w:space="0" w:color="CCCCCC"/>
            </w:tcBorders>
            <w:shd w:fill="auto" w:val="clear"/>
            <w:tcMar>
              <w:bottom w:w="28" w:type="dxa"/>
              <w:right w:w="40" w:type="dxa"/>
            </w:tcM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pPr>
      <w:r>
        <w:rPr/>
        <w:drawing>
          <wp:inline distT="0" distB="0" distL="0" distR="0">
            <wp:extent cx="6810375" cy="3076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10375" cy="30765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800" w:after="0"/>
        <w:jc w:val="center"/>
        <w:rPr>
          <w:rFonts w:ascii="ARIAL" w:hAnsi="ARIAL"/>
          <w:b/>
          <w:sz w:val="18"/>
        </w:rPr>
      </w:pPr>
      <w:r>
        <w:rPr>
          <w:rFonts w:ascii="ARIAL" w:hAnsi="ARIAL"/>
          <w:b/>
          <w:sz w:val="18"/>
        </w:rPr>
        <w:t xml:space="preserve">Important Notice Regarding the Availability of Proxy Materials for the Special Meeting: </w:t>
      </w:r>
    </w:p>
    <w:p>
      <w:pPr>
        <w:pStyle w:val="TextBody"/>
        <w:spacing w:before="0" w:after="0"/>
        <w:jc w:val="center"/>
        <w:rPr>
          <w:rFonts w:ascii="ARIAL" w:hAnsi="ARIAL"/>
          <w:sz w:val="18"/>
        </w:rPr>
      </w:pPr>
      <w:r>
        <w:rPr>
          <w:rFonts w:ascii="ARIAL" w:hAnsi="ARIAL"/>
          <w:sz w:val="18"/>
        </w:rPr>
        <w:t xml:space="preserve">The Notice and Proxy Statement is available at </w:t>
      </w:r>
      <w:r>
        <w:rPr>
          <w:rFonts w:ascii="ARIAL" w:hAnsi="ARIAL"/>
          <w:sz w:val="18"/>
          <w:u w:val="single"/>
        </w:rPr>
        <w:t>www.proxyvote.com</w:t>
      </w:r>
      <w:r>
        <w:rPr>
          <w:rFonts w:ascii="ARIAL" w:hAnsi="ARIAL"/>
          <w:sz w:val="18"/>
        </w:rPr>
        <w:t xml:space="preserve"> </w:t>
      </w:r>
    </w:p>
    <w:p>
      <w:pPr>
        <w:pStyle w:val="TextBody"/>
        <w:spacing w:before="100" w:after="0"/>
        <w:jc w:val="both"/>
        <w:rPr>
          <w:rFonts w:ascii="ARIAL" w:hAnsi="ARIAL"/>
          <w:sz w:val="20"/>
        </w:rPr>
      </w:pPr>
      <w:r>
        <w:rPr>
          <w:rFonts w:ascii="ARIAL" w:hAnsi="ARIAL"/>
          <w:sz w:val="20"/>
        </w:rPr>
        <w:t xml:space="preserve">                                                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9"/>
        <w:gridCol w:w="121"/>
        <w:gridCol w:w="109"/>
        <w:gridCol w:w="121"/>
        <w:gridCol w:w="9380"/>
        <w:gridCol w:w="121"/>
        <w:gridCol w:w="114"/>
      </w:tblGrid>
      <w:tr>
        <w:trPr/>
        <w:tc>
          <w:tcPr>
            <w:tcW w:w="239" w:type="dxa"/>
            <w:tcBorders/>
            <w:shd w:fill="auto" w:val="clear"/>
            <w:vAlign w:val="center"/>
          </w:tcPr>
          <w:p>
            <w:pPr>
              <w:pStyle w:val="TableContents"/>
              <w:spacing w:before="0" w:after="283"/>
              <w:rPr>
                <w:sz w:val="4"/>
                <w:szCs w:val="4"/>
              </w:rPr>
            </w:pPr>
            <w:r>
              <w:rPr>
                <w:sz w:val="4"/>
                <w:szCs w:val="4"/>
              </w:rPr>
            </w:r>
          </w:p>
        </w:tc>
        <w:tc>
          <w:tcPr>
            <w:tcW w:w="121"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938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r>
      <w:tr>
        <w:trPr/>
        <w:tc>
          <w:tcPr>
            <w:tcW w:w="239" w:type="dxa"/>
            <w:tcBorders/>
            <w:shd w:fill="auto" w:val="clear"/>
            <w:vAlign w:val="bottom"/>
          </w:tcPr>
          <w:p>
            <w:pPr>
              <w:pStyle w:val="TableContents"/>
              <w:spacing w:before="0" w:after="0"/>
              <w:jc w:val="both"/>
              <w:rPr/>
            </w:pPr>
            <w:r>
              <w:rPr/>
              <w:drawing>
                <wp:inline distT="0" distB="0" distL="0" distR="0">
                  <wp:extent cx="142875" cy="1295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 cy="1295400"/>
                          </a:xfrm>
                          <a:prstGeom prst="rect">
                            <a:avLst/>
                          </a:prstGeom>
                        </pic:spPr>
                      </pic:pic>
                    </a:graphicData>
                  </a:graphic>
                </wp:inline>
              </w:drawing>
            </w:r>
            <w:r>
              <w:rPr/>
              <w:t xml:space="preserve"> </w:t>
            </w:r>
          </w:p>
        </w:tc>
        <w:tc>
          <w:tcPr>
            <w:tcW w:w="121" w:type="dxa"/>
            <w:tcBorders>
              <w:top w:val="single" w:sz="20" w:space="0" w:color="000000"/>
              <w:left w:val="single" w:sz="20" w:space="0" w:color="000000"/>
              <w:bottom w:val="single" w:sz="20" w:space="0" w:color="000000"/>
            </w:tcBorders>
            <w:shd w:fill="auto" w:val="clear"/>
            <w:tcMar>
              <w:top w:w="28" w:type="dxa"/>
              <w:left w:w="28" w:type="dxa"/>
              <w:bottom w:w="28" w:type="dxa"/>
            </w:tcMar>
            <w:vAlign w:val="bottom"/>
          </w:tcPr>
          <w:p>
            <w:pPr>
              <w:pStyle w:val="TableContents"/>
              <w:spacing w:before="0" w:after="283"/>
              <w:rPr/>
            </w:pPr>
            <w:r>
              <w:rPr/>
              <w:t>  </w:t>
            </w:r>
          </w:p>
        </w:tc>
        <w:tc>
          <w:tcPr>
            <w:tcW w:w="109" w:type="dxa"/>
            <w:tcBorders>
              <w:top w:val="single" w:sz="20" w:space="0" w:color="000000"/>
              <w:bottom w:val="single" w:sz="20" w:space="0" w:color="000000"/>
            </w:tcBorders>
            <w:shd w:fill="auto" w:val="clear"/>
            <w:tcMar>
              <w:top w:w="28" w:type="dxa"/>
              <w:bottom w:w="28" w:type="dxa"/>
            </w:tcMar>
          </w:tcPr>
          <w:p>
            <w:pPr>
              <w:pStyle w:val="TableContents"/>
              <w:spacing w:before="0" w:after="283"/>
              <w:rPr/>
            </w:pPr>
            <w:r>
              <w:rPr/>
              <w:t> </w:t>
            </w:r>
          </w:p>
        </w:tc>
        <w:tc>
          <w:tcPr>
            <w:tcW w:w="121" w:type="dxa"/>
            <w:tcBorders>
              <w:top w:val="single" w:sz="20" w:space="0" w:color="000000"/>
              <w:bottom w:val="single" w:sz="20" w:space="0" w:color="000000"/>
            </w:tcBorders>
            <w:shd w:fill="auto" w:val="clear"/>
            <w:tcMar>
              <w:top w:w="28" w:type="dxa"/>
              <w:bottom w:w="28" w:type="dxa"/>
            </w:tcMar>
            <w:vAlign w:val="bottom"/>
          </w:tcPr>
          <w:p>
            <w:pPr>
              <w:pStyle w:val="TableContents"/>
              <w:spacing w:before="0" w:after="283"/>
              <w:rPr/>
            </w:pPr>
            <w:r>
              <w:rPr/>
              <w:t>  </w:t>
            </w:r>
          </w:p>
        </w:tc>
        <w:tc>
          <w:tcPr>
            <w:tcW w:w="9380" w:type="dxa"/>
            <w:tcBorders>
              <w:top w:val="single" w:sz="20" w:space="0" w:color="000000"/>
              <w:bottom w:val="single" w:sz="20" w:space="0" w:color="000000"/>
            </w:tcBorders>
            <w:shd w:fill="auto" w:val="clear"/>
            <w:tcMar>
              <w:top w:w="28" w:type="dxa"/>
              <w:bottom w:w="28" w:type="dxa"/>
            </w:tcMar>
          </w:tcPr>
          <w:p>
            <w:pPr>
              <w:pStyle w:val="TableContents"/>
              <w:spacing w:before="0" w:after="0"/>
              <w:rPr/>
            </w:pPr>
            <w:r>
              <w:rPr/>
              <w:t> </w:t>
            </w:r>
          </w:p>
          <w:p>
            <w:pPr>
              <w:pStyle w:val="TableContents"/>
              <w:spacing w:before="0" w:after="0"/>
              <w:jc w:val="center"/>
              <w:rPr>
                <w:rFonts w:ascii="ARIAL" w:hAnsi="ARIAL"/>
                <w:b/>
                <w:sz w:val="20"/>
              </w:rPr>
            </w:pPr>
            <w:r>
              <w:rPr>
                <w:rFonts w:ascii="ARIAL" w:hAnsi="ARIAL"/>
                <w:b/>
                <w:sz w:val="20"/>
              </w:rPr>
              <w:t>SIXTH STREET SPECIALTY LENDING, INC.</w:t>
            </w:r>
          </w:p>
          <w:p>
            <w:pPr>
              <w:pStyle w:val="TableContents"/>
              <w:spacing w:before="0" w:after="0"/>
              <w:jc w:val="center"/>
              <w:rPr>
                <w:rFonts w:ascii="ARIAL" w:hAnsi="ARIAL"/>
                <w:b/>
                <w:sz w:val="20"/>
              </w:rPr>
            </w:pPr>
            <w:r>
              <w:rPr>
                <w:rFonts w:ascii="ARIAL" w:hAnsi="ARIAL"/>
                <w:b/>
                <w:sz w:val="20"/>
              </w:rPr>
              <w:t>Special Meeting of Stockholders</w:t>
            </w:r>
          </w:p>
          <w:p>
            <w:pPr>
              <w:pStyle w:val="TableContents"/>
              <w:spacing w:before="0" w:after="0"/>
              <w:jc w:val="center"/>
              <w:rPr>
                <w:rFonts w:ascii="ARIAL" w:hAnsi="ARIAL"/>
                <w:b/>
                <w:sz w:val="20"/>
              </w:rPr>
            </w:pPr>
            <w:r>
              <w:rPr>
                <w:rFonts w:ascii="ARIAL" w:hAnsi="ARIAL"/>
                <w:b/>
                <w:sz w:val="20"/>
              </w:rPr>
              <w:t>May 25, 2023 10:00 AM EDT</w:t>
            </w:r>
          </w:p>
          <w:p>
            <w:pPr>
              <w:pStyle w:val="TableContents"/>
              <w:spacing w:before="0" w:after="0"/>
              <w:jc w:val="center"/>
              <w:rPr>
                <w:rFonts w:ascii="ARIAL" w:hAnsi="ARIAL"/>
                <w:b/>
                <w:sz w:val="20"/>
              </w:rPr>
            </w:pPr>
            <w:r>
              <w:rPr>
                <w:rFonts w:ascii="ARIAL" w:hAnsi="ARIAL"/>
                <w:b/>
                <w:sz w:val="20"/>
              </w:rPr>
              <w:t>This proxy is solicited by the Board of Directors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stockholders hereby appoints Ian Simmonds and Anton Brett,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at the offices of Cleary Gottlieb Steen &amp; Hamilton LLP, located at One Liberty Plaza, New York, NY 10006, at 10:00 AM EDT on May 25, 2023 and any adjournment or postponement thereof.</w:t>
            </w:r>
          </w:p>
          <w:p>
            <w:pPr>
              <w:pStyle w:val="TableContents"/>
              <w:spacing w:before="0" w:after="0"/>
              <w:jc w:val="left"/>
              <w:rPr/>
            </w:pPr>
            <w:r>
              <w:rPr/>
              <w:t> </w:t>
            </w:r>
          </w:p>
          <w:p>
            <w:pPr>
              <w:pStyle w:val="TableContents"/>
              <w:spacing w:before="0" w:after="0"/>
              <w:jc w:val="both"/>
              <w:rPr>
                <w:rFonts w:ascii="ARIAL" w:hAnsi="ARIAL"/>
                <w:b/>
                <w:sz w:val="18"/>
              </w:rPr>
            </w:pPr>
            <w:r>
              <w:rPr>
                <w:rFonts w:ascii="ARIAL" w:hAnsi="ARIAL"/>
                <w:b/>
                <w:sz w:val="18"/>
              </w:rPr>
              <w:t>This proxy, when properly executed, will be voted in the manner directed herein. If no such direction is made, this proxy will be voted in accordance with the Board of Directors recommendations.</w:t>
            </w:r>
          </w:p>
          <w:p>
            <w:pPr>
              <w:pStyle w:val="TableContents"/>
              <w:spacing w:before="0" w:after="0"/>
              <w:jc w:val="left"/>
              <w:rPr/>
            </w:pPr>
            <w:r>
              <w:rPr/>
              <w:t> </w:t>
            </w:r>
          </w:p>
          <w:p>
            <w:pPr>
              <w:pStyle w:val="TableContents"/>
              <w:spacing w:before="0" w:after="0"/>
              <w:jc w:val="center"/>
              <w:rPr>
                <w:rFonts w:ascii="ARIAL" w:hAnsi="ARIAL"/>
                <w:b/>
                <w:sz w:val="20"/>
              </w:rPr>
            </w:pPr>
            <w:r>
              <w:rPr>
                <w:rFonts w:ascii="ARIAL" w:hAnsi="ARIAL"/>
                <w:b/>
                <w:sz w:val="20"/>
              </w:rPr>
              <w:t>Continued and to be signed on reverse side</w:t>
            </w:r>
          </w:p>
          <w:p>
            <w:pPr>
              <w:pStyle w:val="TableContents"/>
              <w:spacing w:before="0" w:after="0"/>
              <w:jc w:val="left"/>
              <w:rPr/>
            </w:pPr>
            <w:r>
              <w:rPr/>
              <w:t> </w:t>
            </w:r>
          </w:p>
          <w:p>
            <w:pPr>
              <w:pStyle w:val="TableContents"/>
              <w:spacing w:before="0" w:after="20"/>
              <w:jc w:val="both"/>
              <w:rPr/>
            </w:pPr>
            <w:r>
              <w:rPr/>
              <w:t>    </w:t>
            </w:r>
          </w:p>
        </w:tc>
        <w:tc>
          <w:tcPr>
            <w:tcW w:w="121" w:type="dxa"/>
            <w:tcBorders>
              <w:top w:val="single" w:sz="20" w:space="0" w:color="000000"/>
              <w:bottom w:val="single" w:sz="20" w:space="0" w:color="000000"/>
            </w:tcBorders>
            <w:shd w:fill="auto" w:val="clear"/>
            <w:tcMar>
              <w:top w:w="28" w:type="dxa"/>
              <w:bottom w:w="28" w:type="dxa"/>
            </w:tcMar>
            <w:vAlign w:val="bottom"/>
          </w:tcPr>
          <w:p>
            <w:pPr>
              <w:pStyle w:val="TableContents"/>
              <w:spacing w:before="0" w:after="283"/>
              <w:rPr/>
            </w:pPr>
            <w:r>
              <w:rPr/>
              <w:t>  </w:t>
            </w:r>
          </w:p>
        </w:tc>
        <w:tc>
          <w:tcPr>
            <w:tcW w:w="114" w:type="dxa"/>
            <w:tcBorders>
              <w:top w:val="single" w:sz="20" w:space="0" w:color="000000"/>
              <w:bottom w:val="single" w:sz="20" w:space="0" w:color="000000"/>
              <w:right w:val="single" w:sz="20" w:space="0" w:color="000000"/>
            </w:tcBorders>
            <w:shd w:fill="auto" w:val="clear"/>
            <w:tcMar>
              <w:top w:w="28" w:type="dxa"/>
              <w:bottom w:w="28" w:type="dxa"/>
              <w:right w:w="40" w:type="dxa"/>
            </w:tcMa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12226</Words>
  <CharactersWithSpaces>73308</CharactersWithSpaces>
  <Paragraphs>2037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