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Co-Chief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11/12/2014</w:t>
            </w: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4,500</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17.5167</w:t>
            </w:r>
            <w:r>
              <w:rPr>
                <w:rFonts w:ascii="Arial" w:cs="Arial" w:eastAsia="Arial" w:hAnsi="Arial"/>
                <w:sz w:val="22"/>
                <w:szCs w:val="22"/>
                <w:color w:val="008000"/>
                <w:w w:val="92"/>
                <w:vertAlign w:val="superscript"/>
              </w:rPr>
              <w:t>(1)</w:t>
            </w: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8"/>
                <w:szCs w:val="18"/>
                <w:color w:val="0000FF"/>
              </w:rPr>
              <w:t>10,930</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restart"/>
          </w:tcPr>
          <w:p>
            <w:pPr>
              <w:jc w:val="right"/>
              <w:ind w:right="279"/>
              <w:spacing w:after="0"/>
              <w:rPr>
                <w:sz w:val="20"/>
                <w:szCs w:val="20"/>
                <w:color w:val="auto"/>
              </w:rPr>
            </w:pPr>
            <w:r>
              <w:rPr>
                <w:rFonts w:ascii="Arial" w:cs="Arial" w:eastAsia="Arial" w:hAnsi="Arial"/>
                <w:sz w:val="18"/>
                <w:szCs w:val="18"/>
                <w:color w:val="0000FF"/>
              </w:rPr>
              <w:t>6,996.09</w:t>
            </w:r>
          </w:p>
        </w:tc>
        <w:tc>
          <w:tcPr>
            <w:tcW w:w="300" w:type="dxa"/>
            <w:vAlign w:val="bottom"/>
          </w:tcPr>
          <w:p>
            <w:pPr>
              <w:spacing w:after="0"/>
              <w:rPr>
                <w:sz w:val="18"/>
                <w:szCs w:val="18"/>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020" w:type="dxa"/>
            <w:vAlign w:val="bottom"/>
            <w:gridSpan w:val="3"/>
          </w:tcPr>
          <w:p>
            <w:pPr>
              <w:ind w:left="6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ind w:left="1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6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$17.50 to $17.65, inclusive. The reporting person undertakes to provide to TPG Specialty Lending, Inc. (the "Issuer"), any security holder of the Issuer, or the staff of the Securities and Exchange Commission (the "Commission"),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2,799,817 shares of Common Stock of the Issuer, including 6,996.09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Easterly pursuant to the authorization and designation letter dated March 10, 2014, which was previously filed with the Commission as an exhibit to a Form 4 filed by Mr. Easterly on March 27, 2014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11/14/2014</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6"/>
              </w:rPr>
              <w:t>Joshua Easterly (3)</w:t>
            </w:r>
          </w:p>
        </w:tc>
        <w:tc>
          <w:tcPr>
            <w:tcW w:w="7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2019-12-16T08:43:51Z</dcterms:created>
  <dcterms:modified xsi:type="dcterms:W3CDTF">2019-12-16T08:43:51Z</dcterms:modified>
</cp:coreProperties>
</file>