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4"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0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-4290060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-3857625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-3291840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-2859405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-2426970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504" w:right="37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737235</wp:posOffset>
            </wp:positionH>
            <wp:positionV relativeFrom="page">
              <wp:posOffset>371475</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t>On September 16, 2015, TPG Specialty Lending, Inc. (“TSLX”) issued a press release. A copy of the press release is attached as Exhibit 1.</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Also on September 16, 2015, TSLX delivered a presentation at the Global Financial Services Conference hosted by Barclays. This presentation outlined TSLX’s proposal to acquire 100% of the stock of TICC Capital Corp. (“TICC”). Under the proposal, TICC stockholders would receive a number of shares of TSLX common stock that would result in TICC stockholders receiving $7.50 in value per share as of the signing date of a definitive agreement. A copy of this presentation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40"/>
          </w:cols>
          <w:pgMar w:left="240" w:top="821" w:right="419" w:bottom="1440" w:gutter="0" w:footer="0" w:header="0"/>
        </w:sectPr>
      </w:pPr>
    </w:p>
    <w:bookmarkStart w:id="2" w:name="page3"/>
    <w:bookmarkEnd w:id="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1912620" cy="914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2620" cy="91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News Release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TPG SPECIALTY LENDING PROPOSES TO ACQUIRE TICC CAPITAL CORP. FOR $7.50 PER SHARE</w:t>
      </w:r>
    </w:p>
    <w:p>
      <w:pPr>
        <w:spacing w:after="0" w:line="125"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i w:val="1"/>
          <w:iCs w:val="1"/>
          <w:color w:val="auto"/>
        </w:rPr>
        <w:t>Proposal Would Deliver Immediate 20% Premium to TICC Capital Stockholders while Providing the Opportunity to Benefit from Long-Term Value Creation Within the Industry’s Leading Platform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Combination Would Be Immediately Accretive to Net Asset Value per Share</w:t>
      </w:r>
    </w:p>
    <w:p>
      <w:pPr>
        <w:spacing w:after="0" w:line="224"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i w:val="1"/>
          <w:iCs w:val="1"/>
          <w:color w:val="auto"/>
        </w:rPr>
        <w:t>Opportunity to Drive Higher Return on Equity and Corresponding Dividends Through Rotation into Assets With More Attractive Risk-Adjusted Returns or Return Capital to Stockholders and Protect Accretion Created in the Transaction</w:t>
      </w:r>
    </w:p>
    <w:p>
      <w:pPr>
        <w:spacing w:after="0" w:line="158" w:lineRule="exact"/>
        <w:rPr>
          <w:sz w:val="20"/>
          <w:szCs w:val="20"/>
          <w:color w:val="auto"/>
        </w:rPr>
      </w:pPr>
    </w:p>
    <w:p>
      <w:pPr>
        <w:ind w:right="720"/>
        <w:spacing w:after="0" w:line="289" w:lineRule="auto"/>
        <w:rPr>
          <w:sz w:val="20"/>
          <w:szCs w:val="20"/>
          <w:color w:val="auto"/>
        </w:rPr>
      </w:pPr>
      <w:r>
        <w:rPr>
          <w:rFonts w:ascii="Arial" w:cs="Arial" w:eastAsia="Arial" w:hAnsi="Arial"/>
          <w:sz w:val="17"/>
          <w:szCs w:val="17"/>
          <w:i w:val="1"/>
          <w:iCs w:val="1"/>
          <w:color w:val="auto"/>
        </w:rPr>
        <w:t>TSLX is Fully Committed to Realizing the Value of This Transaction for All Stockholders and Urges TICC’s Special Committee to Enter into Constructive Discussions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TSLX Intends to Solicit Stockholder Proxies Against Proposed Advisory Agreement</w:t>
      </w:r>
    </w:p>
    <w:p>
      <w:pPr>
        <w:spacing w:after="0" w:line="22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NEW YORK—(BUSINESS WIRE)—Sep. 16, 2015 – TPG Specialty Lending, Inc. (“TSLX”; NYSE: TSLX), a specialty finance company focused on lending to middle-market companies, today announced that it has made a proposal to acquire TICC Capital Corp. (“TICC”; Nasdaq: TICC) in a stock-for-stock transaction. TSLX believes that the proposed transaction would deliver an immediate and substantial premium to TICC stockholders and significant long-term value to stockholders of both companies.</w:t>
      </w:r>
    </w:p>
    <w:p>
      <w:pPr>
        <w:spacing w:after="0" w:line="17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Under the terms of the non-binding proposal delivered to the Special Committee of TICC’s Board of Directors on September 10, 2015, TICC stockholders would receive a number of shares of TSLX common stock that results in TICC stockholders receiving $7.50 in value per share as of the signing date of a definitive agreement, representing approximately a 20% premium to TICC’s closing stock price on September 15, 2015. After giving effect to the proposed transaction, TICC stockholders would have the opportunity to participate in the future value creation of an industry-leading platform.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substantial up-front premium to TICC stockholders, key aspects of the proposal include:</w:t>
      </w:r>
    </w:p>
    <w:p>
      <w:pPr>
        <w:spacing w:after="0" w:line="132" w:lineRule="exact"/>
        <w:rPr>
          <w:sz w:val="20"/>
          <w:szCs w:val="20"/>
          <w:color w:val="auto"/>
        </w:rPr>
      </w:pPr>
    </w:p>
    <w:p>
      <w:pPr>
        <w:ind w:left="900" w:right="460" w:hanging="332"/>
        <w:spacing w:after="0" w:line="28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ACCRETIVE TO NET ASSET VALUE - The combination would be immediately accretive to net asset value per share and is expected to drive higher return on equity over time.</w:t>
      </w:r>
    </w:p>
    <w:p>
      <w:pPr>
        <w:spacing w:after="0" w:line="66" w:lineRule="exact"/>
        <w:rPr>
          <w:rFonts w:ascii="Arial" w:cs="Arial" w:eastAsia="Arial" w:hAnsi="Arial"/>
          <w:sz w:val="17"/>
          <w:szCs w:val="17"/>
          <w:color w:val="auto"/>
        </w:rPr>
      </w:pPr>
    </w:p>
    <w:p>
      <w:pPr>
        <w:ind w:left="900" w:right="80" w:hanging="332"/>
        <w:spacing w:after="0" w:line="27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PROVEN TRACK RECORD - TSLX has a proven track record of delivering superior returns and stable dividends to stockholders. In 2014, TSLX generated total returns of 14.7% compared to the sector average of -7.5%. TSLX has grown net asset value per share from $14.06 after organizational costs to $15.84 as of June 30, 2015.</w:t>
      </w:r>
    </w:p>
    <w:p>
      <w:pPr>
        <w:spacing w:after="0" w:line="79" w:lineRule="exact"/>
        <w:rPr>
          <w:rFonts w:ascii="Arial" w:cs="Arial" w:eastAsia="Arial" w:hAnsi="Arial"/>
          <w:sz w:val="17"/>
          <w:szCs w:val="17"/>
          <w:color w:val="auto"/>
        </w:rPr>
      </w:pPr>
    </w:p>
    <w:p>
      <w:pPr>
        <w:ind w:left="900" w:right="20" w:hanging="332"/>
        <w:spacing w:after="0" w:line="32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LIQUIDITY - TICC stockholders would benefit from increased liquidity, by owning shares in a combined company having a pro forma market capitalization potentially in excess of $1.3 billion, as compared to TICC’s current market capitalization of approximately $380 million.</w:t>
      </w:r>
    </w:p>
    <w:p>
      <w:pPr>
        <w:spacing w:after="0" w:line="43" w:lineRule="exact"/>
        <w:rPr>
          <w:rFonts w:ascii="Arial" w:cs="Arial" w:eastAsia="Arial" w:hAnsi="Arial"/>
          <w:sz w:val="16"/>
          <w:szCs w:val="16"/>
          <w:color w:val="auto"/>
        </w:rPr>
      </w:pPr>
    </w:p>
    <w:p>
      <w:pPr>
        <w:ind w:left="900" w:right="340" w:hanging="332"/>
        <w:spacing w:after="0" w:line="28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CONSISTENT AND STABLE DIVIDEND - TSLX believes business development companies should maintain consistent dividends that are well covered by net investment income. TSLX has earned per share</w:t>
      </w:r>
    </w:p>
    <w:p>
      <w:pPr>
        <w:sectPr>
          <w:pgSz w:w="11900" w:h="16838" w:orient="portrait"/>
          <w:cols w:equalWidth="0" w:num="1">
            <w:col w:w="11420"/>
          </w:cols>
          <w:pgMar w:left="240" w:top="265" w:right="239" w:bottom="1440" w:gutter="0" w:footer="0" w:header="0"/>
        </w:sectPr>
      </w:pPr>
    </w:p>
    <w:bookmarkStart w:id="3" w:name="page4"/>
    <w:bookmarkEnd w:id="3"/>
    <w:p>
      <w:pPr>
        <w:ind w:left="900"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net investment income</w:t>
      </w:r>
      <w:r>
        <w:rPr>
          <w:rFonts w:ascii="Arial" w:cs="Arial" w:eastAsia="Arial" w:hAnsi="Arial"/>
          <w:sz w:val="14"/>
          <w:szCs w:val="14"/>
          <w:color w:val="auto"/>
        </w:rPr>
        <w:t>1</w:t>
      </w:r>
      <w:r>
        <w:rPr>
          <w:rFonts w:ascii="Arial" w:cs="Arial" w:eastAsia="Arial" w:hAnsi="Arial"/>
          <w:sz w:val="17"/>
          <w:szCs w:val="17"/>
          <w:color w:val="auto"/>
        </w:rPr>
        <w:t xml:space="preserve"> in excess of its dividend every year since its inception. It is expected that TSLX will continue its current dividend policy and, to the extent it is successful in rotating the TICC portfolio into higher yielding investments as described below, this policy would result in stockholders enjoying increased dividends.</w:t>
      </w:r>
    </w:p>
    <w:p>
      <w:pPr>
        <w:spacing w:after="0" w:line="80" w:lineRule="exact"/>
        <w:rPr>
          <w:sz w:val="20"/>
          <w:szCs w:val="20"/>
          <w:color w:val="auto"/>
        </w:rPr>
      </w:pPr>
    </w:p>
    <w:p>
      <w:pPr>
        <w:ind w:left="900" w:right="120" w:hanging="332"/>
        <w:spacing w:after="0" w:line="267"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PROVEN ABILITY TO GENERATE RETURN ON EQUITY FOR STOCKHOLDERS - TICC stockholders would benefit from TSLX’s ability to generate industry leading return on equity for stockholders. In 2014, TSLX generated approximately a 13% return on equity based on net investment income compared to an industry return of approximately 9% given its ability to originate high risk adjusted return credit opportunities and its competitive cost structure.</w:t>
      </w:r>
    </w:p>
    <w:p>
      <w:pPr>
        <w:spacing w:after="0" w:line="178" w:lineRule="exact"/>
        <w:rPr>
          <w:sz w:val="20"/>
          <w:szCs w:val="20"/>
          <w:color w:val="auto"/>
        </w:rPr>
      </w:pPr>
    </w:p>
    <w:p>
      <w:pPr>
        <w:jc w:val="both"/>
        <w:ind w:right="220"/>
        <w:spacing w:after="0" w:line="325" w:lineRule="auto"/>
        <w:rPr>
          <w:sz w:val="20"/>
          <w:szCs w:val="20"/>
          <w:color w:val="auto"/>
        </w:rPr>
      </w:pPr>
      <w:r>
        <w:rPr>
          <w:rFonts w:ascii="Arial" w:cs="Arial" w:eastAsia="Arial" w:hAnsi="Arial"/>
          <w:sz w:val="15"/>
          <w:szCs w:val="15"/>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37"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TSLX expects to leverage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stockholders to protect net asset value per share accretion that was created in the transaction.</w:t>
      </w:r>
    </w:p>
    <w:p>
      <w:pPr>
        <w:spacing w:after="0" w:line="17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TSLX made its proposal privately to the Special Committee of TICC’s Board of Directors on September 10, 2015 with the intention of entering into constructive discussions. On September 15, 2015 TSLX was advised that TICC’s Special Committee had rejected the offer without engaging TSLX or its advisors in substantive dialogue regarding the proposal. TSLX remains fully committed to pursuing this transaction for the benefit of all stockholders and urges the Special Committee to enter into constructive discussions with TSLX pursuant to its fiduciary duties.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TSLX also intends to solicit proxies of TICC stockholders against the proposals to be considered by TICC stockholders at its special meeting on October 27, 2015. TSLX expects to file with the Securities and Exchange Commission (“SEC”) a proxy statement with respect to such solicitation in the near future. TSLX owns approximately 3% of the outstanding shares of TICC and plans to vote its shares against the proposals recommended by the TICC board.</w:t>
      </w:r>
    </w:p>
    <w:p>
      <w:pPr>
        <w:spacing w:after="0" w:line="15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Joshua Easterly, Chairman of the Board of Directors and Co-Chief Executive Officer of TSLX commented: “As TICC considers its future, we felt the timing was right to present our own proposal for a mutually beneficial transaction that would generate significant returns for stockholders of both organizations, as opposed to rewarding external managers. We believe that a core component of the value embedded in our offer is our industry-leading governance philosophy. We are among a select group of participants in the BDC sector that puts stockholders first and, as a result, we deliver best-in-class returns. In fact, TSLX delivered total returns of 14.7% while the sector average was -7.5% in 2014.</w:t>
      </w:r>
    </w:p>
    <w:p>
      <w:pPr>
        <w:spacing w:after="0" w:line="178" w:lineRule="exact"/>
        <w:rPr>
          <w:sz w:val="20"/>
          <w:szCs w:val="20"/>
          <w:color w:val="auto"/>
        </w:rPr>
      </w:pPr>
    </w:p>
    <w:p>
      <w:pPr>
        <w:ind w:right="100"/>
        <w:spacing w:after="0" w:line="322" w:lineRule="auto"/>
        <w:rPr>
          <w:sz w:val="20"/>
          <w:szCs w:val="20"/>
          <w:color w:val="auto"/>
        </w:rPr>
      </w:pPr>
      <w:r>
        <w:rPr>
          <w:rFonts w:ascii="Arial" w:cs="Arial" w:eastAsia="Arial" w:hAnsi="Arial"/>
          <w:sz w:val="16"/>
          <w:szCs w:val="16"/>
          <w:color w:val="auto"/>
        </w:rPr>
        <w:t>“We are disappointed that TICC’s Special Committee rejected our proposal so quickly and has refused to engage substantively with us. However, we remain fully committed to making this combination a reality and will continue to pursue unlocking the value inherent in the proposal for both companies’ stockholders.</w:t>
      </w:r>
    </w:p>
    <w:p>
      <w:pPr>
        <w:spacing w:after="0" w:line="135"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“We agree with NexPoint that stockholders should reject the Benefit Street Partners proposal. However, the NexPoint proposal is equally flawed as both transactions provide returns only for external managers and offer no immediate value to stockholders. This focus on fees for an external manager is in sharp contrast to the upfront 20% premium and long-term value creation potential that our proposal delivers to the long-suffering TICC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is acting as financial advisor and Cleary Gottlieb Steen &amp; Hamilton LLP is acting as legal advisor to TSLX.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3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95" w:lineRule="exact"/>
        <w:rPr>
          <w:sz w:val="20"/>
          <w:szCs w:val="20"/>
          <w:color w:val="auto"/>
        </w:rPr>
      </w:pPr>
    </w:p>
    <w:p>
      <w:pPr>
        <w:ind w:left="460" w:hanging="455"/>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7"/>
          <w:szCs w:val="17"/>
          <w:color w:val="auto"/>
        </w:rPr>
        <w:t>Includes realized gains in 2012.</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full text of the letter delivered to the Special Committee of TICC’s Board of Directors by TSLX on September 10, 2015 is included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Special Committee of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TICC Capital Corp.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8 Sound Shore Drive, Suite 255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Greenwich, CT 06830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Attention: Mr. Steven P. Novak, Chairman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Steve:</w:t>
      </w:r>
    </w:p>
    <w:p>
      <w:pPr>
        <w:spacing w:after="0" w:line="22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Thank you for the opportunity to speak with you earlier today. As we discussed, we at TPG Specialty Lending, Inc. (“TSLX”) have watched the recent events regarding the future of TICC Capital Corp. (“TICC”) with significant interest. After a great deal of consideration and analysis, we feel strongly that a combination of our two businesses would be in our mutual interests as it will deliver an immediate and substantial premium to your stockholders while offering a clear path to long-term value creation for stockholders of both organizations.</w:t>
      </w:r>
    </w:p>
    <w:p>
      <w:pPr>
        <w:spacing w:after="0" w:line="17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are therefore pleased to propose a transaction in which TICC would merge with a wholly owned subsidiary of TSLX, and each outstanding share of TICC common stock would be converted into the right to receive a number of shares of TSLX common stock that results in TICC stockholders receiving $7.50 in value per share as of the signing date of a definitive agreement, representing a 20% premium to the undisturbed trading price of TICC’s common stock as of August 3, 2015. Alternatively, we would also be open to discussing with you a transaction in which TICC stockholders receive a combination of cash and shares of TSLX common stock for their TICC stock.</w:t>
      </w:r>
    </w:p>
    <w:p>
      <w:pPr>
        <w:spacing w:after="0" w:line="17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aware of TICC’s recent decision to enter into a new investment advisory agreement with TICC Management, LLC in connection with the acquisition of TICC Management, LLC by an affiliate of Benefit Street Partners L.L.C. (“Benefit Street Partners”). We feel strongly, and believe your stockholders will as well, that our alternative offer is far superior to a proposal to replace the existing investment advisory agreement given the immediate and highly compelling value it provides to TICC stockholders.</w:t>
      </w:r>
    </w:p>
    <w:p>
      <w:pPr>
        <w:spacing w:after="0" w:line="17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detailed in the attached appendix, our business is strongly differentiated by our ability to leverage the deep investment, sector, and operating resources of TPG Special Situations Partners (“TSSP”), the dedicated special situations and credit platform of TPG, with over $12 billion of assets under management, and the broader TPG platform, a global private investment firm with over $74 billion of assets under management.</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the expertise and experience to be an excellent steward of TICC’s portfolio. Though we intend to rotate TICC’s assets into higher value added investments focused on illiquid private credit, we have a deep understanding of liquid credit investments and CLO equity investments. TSSP manages investment vehicles that hold over $2.0 billion of similar assets and manages four active CLOs.</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Further, among business development companies, TSLX has one of the largest proportions of institutional stockholders. We strive for transparency with investors and have a proven track record of returns to our stockholders. Last year, we generated total returns of 14.7% compared to the sector average of -7.5%.</w:t>
      </w:r>
      <w:r>
        <w:rPr>
          <w:rFonts w:ascii="Arial" w:cs="Arial" w:eastAsia="Arial" w:hAnsi="Arial"/>
          <w:sz w:val="14"/>
          <w:szCs w:val="14"/>
          <w:color w:val="auto"/>
        </w:rPr>
        <w:t>2</w:t>
      </w:r>
      <w:r>
        <w:rPr>
          <w:rFonts w:ascii="Arial" w:cs="Arial" w:eastAsia="Arial" w:hAnsi="Arial"/>
          <w:sz w:val="17"/>
          <w:szCs w:val="17"/>
          <w:color w:val="auto"/>
        </w:rPr>
        <w:t xml:space="preserve"> We have over-earned our dividend on a net investment income per share basis every year since our inception, while growing net asset value per share from $14.06 after organizational costs to $15.84 as of June 30, 2015. As of June 30, 2015, our portfolio had a fair value of approximately $1,398 million invested across 40 portfolio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3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367" w:lineRule="exact"/>
        <w:rPr>
          <w:sz w:val="20"/>
          <w:szCs w:val="20"/>
          <w:color w:val="auto"/>
        </w:rPr>
      </w:pPr>
    </w:p>
    <w:p>
      <w:pPr>
        <w:ind w:left="460" w:right="160" w:hanging="455"/>
        <w:spacing w:after="0" w:line="289"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7"/>
          <w:szCs w:val="17"/>
          <w:color w:val="auto"/>
        </w:rPr>
        <w:t>Sector average calculated as the average 2014 total share price return of ARCC, ACAS, PSEC, AINV, MAIN, FSC, SLRC, GBDC, HTGC, PNNT, MCC, TCAP, NMFC, BKCC, and TCRD.</w:t>
      </w:r>
    </w:p>
    <w:p>
      <w:pPr>
        <w:sectPr>
          <w:pgSz w:w="11900" w:h="16838" w:orient="portrait"/>
          <w:cols w:equalWidth="0" w:num="1">
            <w:col w:w="11360"/>
          </w:cols>
          <w:pgMar w:left="240" w:top="271" w:right="29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 combination with TSLX offers clear advantages to the existing proposals to replace TICC’s current investment advisory agreement:</w:t>
      </w:r>
    </w:p>
    <w:p>
      <w:pPr>
        <w:spacing w:after="0" w:line="132" w:lineRule="exact"/>
        <w:rPr>
          <w:sz w:val="20"/>
          <w:szCs w:val="20"/>
          <w:color w:val="auto"/>
        </w:rPr>
      </w:pPr>
    </w:p>
    <w:p>
      <w:pPr>
        <w:ind w:left="900" w:right="300" w:hanging="332"/>
        <w:spacing w:after="0" w:line="28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First, TICC stockholders would be able to exchange their shares at a 20% premium to the undisturbed trading price of TICC’s common stock as of August 3, 2015.</w:t>
      </w:r>
    </w:p>
    <w:p>
      <w:pPr>
        <w:spacing w:after="0" w:line="66"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Second, after giving effect to our proposed transaction, TICC stockholders would enjoy the benefits under TSLX’s investment advisory agreement of a highly competitive management fee of 1.5% and an adviser incentive fee of 17.5% over a 6% hurdle rate.</w:t>
      </w:r>
    </w:p>
    <w:p>
      <w:pPr>
        <w:spacing w:after="0" w:line="66" w:lineRule="exact"/>
        <w:rPr>
          <w:rFonts w:ascii="Arial" w:cs="Arial" w:eastAsia="Arial" w:hAnsi="Arial"/>
          <w:sz w:val="17"/>
          <w:szCs w:val="17"/>
          <w:color w:val="auto"/>
        </w:rPr>
      </w:pPr>
    </w:p>
    <w:p>
      <w:pPr>
        <w:ind w:left="900" w:right="20" w:hanging="332"/>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Third, TSLX has a proven track record of delivering superior returns to stockholders and of stable dividends. Not only has TSLX over-earned its dividend on net investment income every year since inception, but its dividend has been stable since TSLX went public in March 2014. Our stock-for-stock proposal provides TICC stockholders with the option to participate in this demonstrated long-term growth and to invest in less accessible illiquid assets that have superior risk return, while benefiting from a market-leading cost structure that drives return on equity for stockholders.</w:t>
      </w:r>
    </w:p>
    <w:p>
      <w:pPr>
        <w:spacing w:after="0" w:line="69" w:lineRule="exact"/>
        <w:rPr>
          <w:rFonts w:ascii="Arial" w:cs="Arial" w:eastAsia="Arial" w:hAnsi="Arial"/>
          <w:sz w:val="16"/>
          <w:szCs w:val="16"/>
          <w:color w:val="auto"/>
        </w:rPr>
      </w:pPr>
    </w:p>
    <w:p>
      <w:pPr>
        <w:jc w:val="both"/>
        <w:ind w:left="900" w:right="160" w:hanging="332"/>
        <w:spacing w:after="0" w:line="27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Fourth, as a result of our proposed transaction, TICC stockholders would benefit from increased liquidity, by owning shares in a combined company having a pro forma market capitalization potentially in excess of $1.3 billion, as compared to TICC’s current market capitalization of approximately $415 million.</w:t>
      </w:r>
    </w:p>
    <w:p>
      <w:pPr>
        <w:spacing w:after="0" w:line="171" w:lineRule="exact"/>
        <w:rPr>
          <w:sz w:val="20"/>
          <w:szCs w:val="20"/>
          <w:color w:val="auto"/>
        </w:rPr>
      </w:pPr>
    </w:p>
    <w:p>
      <w:pPr>
        <w:ind w:right="660"/>
        <w:spacing w:after="0" w:line="359" w:lineRule="auto"/>
        <w:rPr>
          <w:sz w:val="20"/>
          <w:szCs w:val="20"/>
          <w:color w:val="auto"/>
        </w:rPr>
      </w:pPr>
      <w:r>
        <w:rPr>
          <w:rFonts w:ascii="Arial" w:cs="Arial" w:eastAsia="Arial" w:hAnsi="Arial"/>
          <w:sz w:val="15"/>
          <w:szCs w:val="15"/>
          <w:color w:val="auto"/>
        </w:rPr>
        <w:t>In sum, any proposal focused solely on replacing TICC’s current investment advisory agreement cannot deliver the significant and tangible benefits of the substantial and immediate up-front premium we are offering, nor the increased liquidity and opportunity for long-term growth provided by our proposal.</w:t>
      </w:r>
    </w:p>
    <w:p>
      <w:pPr>
        <w:spacing w:after="0" w:line="113"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TSLX has a keen interest in value being delivered to TICC stockholders, as we currently own approximately 3% of TICC’s outstanding common stock. These shares are eligible to vote at the special meeting of stockholders to be held on October 27, 2015 to approve the new investment advisory agreement. More generally, we are committed to fostering a culture of robust corporate governance. We seek transparency and to put stockholders first, as evidenced by, among other things, our selective capital raising efforts and continuous stock repurchase programs.</w:t>
      </w:r>
    </w:p>
    <w:p>
      <w:pPr>
        <w:spacing w:after="0" w:line="178"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While we believe that our proposal is a full and fair one, we note that it is based solely on publicly available information and our knowledge of the industry. We would welcome the opportunity to gain a deeper understanding of TICC and the resulting benefits of a combination with TSLX by conducting confirmatory due diligence of a customary nature. In connection with our proposal, we have retained Goldman, Sachs &amp; Co. as our financial advisor and Cleary Gottlieb Steen &amp; Hamilton LLP as our legal advisor. We and our advisors are prepared to get started immediately on confirmatory due diligence and the negotiation of appropriate definitive agreements, and believe that, with your cooperation and assistance, we can complete the process very promptly.</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Given the premium our proposal offers for TICC’s shares, we trust that the Special Committee will give it careful consideration. We look forward to hearing from you promptly, and stand ready and willing to promptly engage in discussions and address any questions or concerns you may have. We also reserve the right to publicly disclose this letter and to take other steps in furtherance of our proposal.</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As we are sure you can appreciate, our proposal is also subject, among other things, to the negotiation and execution of mutually acceptable definitive agreements.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Accordingly, this letter does not constitute or create any commitment, undertaking or other binding obligation or limitation on the part of any person in any respect.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Only those obligations set forth in definitive agreements will be binding upon the parties.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hope you will be as excited as we are about this transaction, and we look forward to discussing it with you.</w:t>
      </w:r>
    </w:p>
    <w:p>
      <w:pPr>
        <w:sectPr>
          <w:pgSz w:w="11900" w:h="16838" w:orient="portrait"/>
          <w:cols w:equalWidth="0" w:num="1">
            <w:col w:w="11420"/>
          </w:cols>
          <w:pgMar w:left="240" w:top="27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Very truly yours,</w:t>
      </w:r>
    </w:p>
    <w:p>
      <w:pPr>
        <w:sectPr>
          <w:pgSz w:w="11900" w:h="16838" w:orient="portrait"/>
          <w:cols w:equalWidth="0" w:num="1">
            <w:col w:w="11420"/>
          </w:cols>
          <w:pgMar w:left="240" w:top="271"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Joshua Easterly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Chairman,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Co-Chief Executive Officer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Michael Fishman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Co-Chief Executive Officer</w:t>
      </w:r>
    </w:p>
    <w:p>
      <w:pPr>
        <w:spacing w:after="0" w:line="421" w:lineRule="exact"/>
        <w:rPr>
          <w:sz w:val="20"/>
          <w:szCs w:val="20"/>
          <w:color w:val="auto"/>
        </w:rPr>
      </w:pPr>
    </w:p>
    <w:p>
      <w:pPr>
        <w:sectPr>
          <w:pgSz w:w="11900" w:h="16838" w:orient="portrait"/>
          <w:cols w:equalWidth="0" w:num="2">
            <w:col w:w="3300" w:space="720"/>
            <w:col w:w="7400"/>
          </w:cols>
          <w:pgMar w:left="240" w:top="271" w:right="239" w:bottom="1440" w:gutter="0" w:footer="0" w:header="0"/>
          <w:type w:val="continuous"/>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Appendix A</w:t>
      </w:r>
    </w:p>
    <w:p>
      <w:pPr>
        <w:spacing w:after="0" w:line="224" w:lineRule="exact"/>
        <w:rPr>
          <w:sz w:val="20"/>
          <w:szCs w:val="20"/>
          <w:color w:val="auto"/>
        </w:rPr>
      </w:pPr>
    </w:p>
    <w:p>
      <w:pPr>
        <w:jc w:val="both"/>
        <w:ind w:right="20" w:firstLine="457"/>
        <w:spacing w:after="0" w:line="267" w:lineRule="auto"/>
        <w:rPr>
          <w:sz w:val="20"/>
          <w:szCs w:val="20"/>
          <w:color w:val="auto"/>
        </w:rPr>
      </w:pPr>
      <w:r>
        <w:rPr>
          <w:rFonts w:ascii="Arial" w:cs="Arial" w:eastAsia="Arial" w:hAnsi="Arial"/>
          <w:sz w:val="17"/>
          <w:szCs w:val="17"/>
          <w:color w:val="auto"/>
        </w:rPr>
        <w:t>TPG Special Situations Partners (“TSSP”) is a multi-asset class credit and special situations investment platform, managing over $12 billion in assets as of June 30, 2015 across middle market direct loan origination, syndicated leveraged loan, special situations and distressed investment strategies. As of July 31, 2015, TSSP had 133 professionals operating from offices in San Francisco, New York, London, Dallas, and Fort Worth. TSSP was formed in 2009 as the dedicated credit and special situations platform of TPG Capital (“TPG”) and currently encompasses:</w:t>
      </w:r>
    </w:p>
    <w:p>
      <w:pPr>
        <w:spacing w:after="0" w:line="86" w:lineRule="exact"/>
        <w:rPr>
          <w:sz w:val="20"/>
          <w:szCs w:val="20"/>
          <w:color w:val="auto"/>
        </w:rPr>
      </w:pPr>
    </w:p>
    <w:p>
      <w:pPr>
        <w:ind w:left="1480" w:right="300" w:hanging="454"/>
        <w:spacing w:after="0" w:line="289"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TPG Specialty Lending (“TSLX”), a NYSE-listed business development company focused primarily on directly originating loans to U.S.-domiciled middle market companies;</w:t>
      </w:r>
    </w:p>
    <w:p>
      <w:pPr>
        <w:spacing w:after="0" w:line="66" w:lineRule="exact"/>
        <w:rPr>
          <w:rFonts w:ascii="Arial" w:cs="Arial" w:eastAsia="Arial" w:hAnsi="Arial"/>
          <w:sz w:val="17"/>
          <w:szCs w:val="17"/>
          <w:color w:val="auto"/>
        </w:rPr>
      </w:pPr>
    </w:p>
    <w:p>
      <w:pPr>
        <w:ind w:left="1480" w:right="100" w:hanging="454"/>
        <w:spacing w:after="0" w:line="289"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TPG Institutional Credit Partners (“TICP”), which is a public-side credit investment platform focused on investment opportunities in broadly syndicated leveraged loan markets;</w:t>
      </w:r>
    </w:p>
    <w:p>
      <w:pPr>
        <w:spacing w:after="0" w:line="66" w:lineRule="exact"/>
        <w:rPr>
          <w:rFonts w:ascii="Arial" w:cs="Arial" w:eastAsia="Arial" w:hAnsi="Arial"/>
          <w:sz w:val="17"/>
          <w:szCs w:val="17"/>
          <w:color w:val="auto"/>
        </w:rPr>
      </w:pPr>
    </w:p>
    <w:p>
      <w:pPr>
        <w:ind w:left="1480" w:hanging="454"/>
        <w:spacing w:after="0"/>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TPG Specialty Lending Europe, which is aimed at European middle-market loan originations;</w:t>
      </w:r>
    </w:p>
    <w:p>
      <w:pPr>
        <w:spacing w:after="0" w:line="131" w:lineRule="exact"/>
        <w:rPr>
          <w:rFonts w:ascii="Arial" w:cs="Arial" w:eastAsia="Arial" w:hAnsi="Arial"/>
          <w:sz w:val="17"/>
          <w:szCs w:val="17"/>
          <w:color w:val="auto"/>
        </w:rPr>
      </w:pPr>
    </w:p>
    <w:p>
      <w:pPr>
        <w:ind w:left="1480" w:hanging="454"/>
        <w:spacing w:after="0" w:line="289"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TPG Opportunities Partners and TPG Adjacent Opportunities Partners, which invest in special situations and distressed investments across the credit cycle; and</w:t>
      </w:r>
    </w:p>
    <w:p>
      <w:pPr>
        <w:spacing w:after="0" w:line="66" w:lineRule="exact"/>
        <w:rPr>
          <w:rFonts w:ascii="Arial" w:cs="Arial" w:eastAsia="Arial" w:hAnsi="Arial"/>
          <w:sz w:val="17"/>
          <w:szCs w:val="17"/>
          <w:color w:val="auto"/>
        </w:rPr>
      </w:pPr>
    </w:p>
    <w:p>
      <w:pPr>
        <w:ind w:left="1480" w:hanging="454"/>
        <w:spacing w:after="0"/>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Austin Credit Macro, which is focused on macro credit opportunities.</w:t>
      </w:r>
    </w:p>
    <w:p>
      <w:pPr>
        <w:spacing w:after="0" w:line="224"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From inception in July 2011 through June 30, 2015, TSLX has originated more than $3.7 billion aggregate principal amounts of investments and currently manages a portfolio of approximately $1.4 billion at fair value as of June 30, 2015. From inception through June 30, 2015, TSLX has generated 16.4% gross unlevered returns on more than $900 million of realized investments. TICP, which began operations in October 2013, currently manages four CLOs with total CLO assets under management of over $2.0 billion as of June 30, 2015.</w:t>
      </w:r>
    </w:p>
    <w:p>
      <w:pPr>
        <w:spacing w:after="0" w:line="178"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TPG is one of the largest alternative asset investment firms globally. Since its founding in 1992, TPG has focused on investing in alternative assets, including private equity, growth equity, venture capital, public equity and real estate and currently manages over $74 billion in assets. Collectively, TSSP and TPG have more than 814 employees operating from 17 offices across North America, South America, Europe, and Asia.</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TPG Specialty Lending</w:t>
      </w:r>
    </w:p>
    <w:p>
      <w:pPr>
        <w:spacing w:after="0" w:line="12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www.tpgspecialtylending.com.</w:t>
      </w:r>
    </w:p>
    <w:p>
      <w:pPr>
        <w:sectPr>
          <w:pgSz w:w="11900" w:h="16838" w:orient="portrait"/>
          <w:cols w:equalWidth="0" w:num="1">
            <w:col w:w="11420"/>
          </w:cols>
          <w:pgMar w:left="240" w:top="27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Contacts: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Investors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Robert Ollwerther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212-430-4119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bollwerther@tpg.com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Lucy Lu</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212-601-4753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llu@tpg.com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Media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Luke Barrett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212-601-4752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lbarrett@tpg.com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Tom Johnson or Pat Tucker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Abernathy MacGregor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212-371-5999</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tbj@abmac.com / pct@abmac.com</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Information set forth herein includes forward-looking statements within the meaning of Section 27A of the Securities Act of 1933, as amended, and Section 21E of the Securities Exchange Act of 1934, as amended (the “Exchange Act”). These forward-looking statements include, but are not limited to, statements regarding TSLX’s proposed business combination transaction with TICC Capital Corp. (“TICC”) (including financing of the proposed transaction and the benefits, results, effects and timing of a transaction), all statements regarding TSLX’s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financing required for the consummation of the transaction are not obtained or are obtained</w:t>
      </w:r>
    </w:p>
    <w:p>
      <w:pPr>
        <w:sectPr>
          <w:pgSz w:w="11900" w:h="16838" w:orient="portrait"/>
          <w:cols w:equalWidth="0" w:num="1">
            <w:col w:w="11400"/>
          </w:cols>
          <w:pgMar w:left="240" w:top="265" w:right="259" w:bottom="1440" w:gutter="0" w:footer="0" w:header="0"/>
        </w:sectPr>
      </w:pPr>
    </w:p>
    <w:bookmarkStart w:id="8" w:name="page9"/>
    <w:bookmarkEnd w:id="8"/>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78"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In addition to these factors, other factors that may affect TSLX’s plans, results or stock price are set forth in TSLX’s Annual Report on Form 10-K and in its reports on Forms 10-Q and 8-K.</w:t>
      </w:r>
    </w:p>
    <w:p>
      <w:pPr>
        <w:spacing w:after="0" w:line="158"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125"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information set forth herein is provided for informational purposes only and does not constitute an offer to purchase or the solicitation of an offer to sell any securities. TSLX intends to make a preliminary filing with the SEC of a preliminary proxy statement and accompanying proxy card to be used to solicit votes against (a) approval of the new advisory agreement between TICC and TICC Management, LLC (the “Adviser”), to take effect upon a change of control of the Adviser in connection with the entrance of the Adviser into a purchase agreement with an affiliate of Benefit Street Partners L.L.C. (“Benefit Street Partners”), pursuant to which BSP will acquire control of the Adviser, and (b) the election of six directors nominated by TICC’s board of directors at a special meeting of stockholders of TICC scheduled to be held on October 27, 2015 (the “Special Meeting”).</w:t>
      </w:r>
    </w:p>
    <w:p>
      <w:pPr>
        <w:spacing w:after="0" w:line="18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TSLX STRONGLY ADVISES ALL STOCKHOLDERS OF THE COMPANY TO READ THE TSLX PROXY STATEMENT AND ITS OTHER PROXY MATERIALS AS THEY BECOME AVAILABLE BECAUSE THEY WILL CONTAIN IMPORTANT INFORMATION. SUCH TSLX PROXY MATERIALS WILL BE AVAILABLE AT NO CHARGE ON THE SEC’S WEB SITE AT HTTP://WWW.SEC.GOV AND AT TSLX’S WEBSITE AT HTTP://WWW.TPGSPECIALTYLENDING.COM. IN ADDITION, TSLX WILL PROVIDE COPIES OF THE PROXY STATEMENT WITHOUT CHARGE, WHEN AVAILABLE, UPON REQUEST. REQUESTS FOR COPIES SHOULD BE DIRECTED TO TSLX’S PROXY SOLICITOR AT PROXY@MACKENZIEPARTNERS.COM.</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Participants in a Solicitation</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TSLX and certain of its respective directors and executive officers may be deemed to be participants in any solicitation with respect to the proposed transaction under the rules of the SEC. 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hereof, TSLX directly beneficially owned 1,633,660 shares of Common Stock of TICC.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Source: TPG Specialty Lending, Inc.</w:t>
      </w:r>
    </w:p>
    <w:p>
      <w:pPr>
        <w:sectPr>
          <w:pgSz w:w="11900" w:h="16838" w:orient="portrait"/>
          <w:cols w:equalWidth="0" w:num="1">
            <w:col w:w="11420"/>
          </w:cols>
          <w:pgMar w:left="240" w:top="27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312025" cy="5487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025" cy="548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Transaction </w:t>
      </w:r>
      <w:r>
        <w:rPr>
          <w:rFonts w:ascii="Arial" w:cs="Arial" w:eastAsia="Arial" w:hAnsi="Arial"/>
          <w:sz w:val="26"/>
          <w:szCs w:val="26"/>
          <w:color w:val="FFFFFF"/>
          <w:vertAlign w:val="superscript"/>
        </w:rPr>
        <w:t>Summary</w:t>
      </w:r>
    </w:p>
    <w:p>
      <w:pPr>
        <w:ind w:left="660"/>
        <w:spacing w:after="0" w:line="204" w:lineRule="auto"/>
        <w:rPr>
          <w:sz w:val="20"/>
          <w:szCs w:val="20"/>
          <w:color w:val="auto"/>
        </w:rPr>
      </w:pPr>
      <w:r>
        <w:rPr>
          <w:rFonts w:ascii="Arial" w:cs="Arial" w:eastAsia="Arial" w:hAnsi="Arial"/>
          <w:sz w:val="4"/>
          <w:szCs w:val="4"/>
          <w:color w:val="FFFFFF"/>
        </w:rPr>
        <w:t>TSLX to acquire 100% of the stock of TICC Capital Corp.</w:t>
      </w:r>
    </w:p>
    <w:p>
      <w:pPr>
        <w:ind w:left="700" w:right="5580" w:hanging="694"/>
        <w:spacing w:after="0" w:line="234" w:lineRule="auto"/>
        <w:rPr>
          <w:sz w:val="20"/>
          <w:szCs w:val="20"/>
          <w:color w:val="auto"/>
        </w:rPr>
      </w:pPr>
      <w:r>
        <w:rPr>
          <w:rFonts w:ascii="Arial" w:cs="Arial" w:eastAsia="Arial" w:hAnsi="Arial"/>
          <w:sz w:val="7"/>
          <w:szCs w:val="7"/>
          <w:color w:val="FFFFFF"/>
          <w:vertAlign w:val="subscript"/>
        </w:rPr>
        <w:t>stockholders</w:t>
      </w:r>
      <w:r>
        <w:rPr>
          <w:rFonts w:ascii="Arial" w:cs="Arial" w:eastAsia="Arial" w:hAnsi="Arial"/>
          <w:sz w:val="6"/>
          <w:szCs w:val="6"/>
          <w:color w:val="FFFFFF"/>
        </w:rPr>
        <w:t>Cnsideration TICC stockholders would receive a number of shares of TSLX common stock that results in TICC receiving $7.50 in value per share as of the signing date of a definitive agreement</w:t>
      </w:r>
    </w:p>
    <w:p>
      <w:pPr>
        <w:spacing w:after="0" w:line="205" w:lineRule="auto"/>
        <w:rPr>
          <w:sz w:val="20"/>
          <w:szCs w:val="20"/>
          <w:color w:val="auto"/>
        </w:rPr>
      </w:pPr>
      <w:r>
        <w:rPr>
          <w:rFonts w:ascii="Arial" w:cs="Arial" w:eastAsia="Arial" w:hAnsi="Arial"/>
          <w:sz w:val="4"/>
          <w:szCs w:val="4"/>
          <w:color w:val="FFFFFF"/>
        </w:rPr>
        <w:t>Premium Approximately 20% premium to the trading price as of September 15, 2015</w:t>
      </w:r>
    </w:p>
    <w:p>
      <w:pPr>
        <w:spacing w:after="0" w:line="205" w:lineRule="auto"/>
        <w:rPr>
          <w:sz w:val="20"/>
          <w:szCs w:val="20"/>
          <w:color w:val="auto"/>
        </w:rPr>
      </w:pPr>
      <w:r>
        <w:rPr>
          <w:rFonts w:ascii="Arial" w:cs="Arial" w:eastAsia="Arial" w:hAnsi="Arial"/>
          <w:sz w:val="4"/>
          <w:szCs w:val="4"/>
          <w:color w:val="FFFFFF"/>
        </w:rPr>
        <w:t>TSLX urges the TICC Special Committee to begin constructive discussions with TSLX</w:t>
      </w:r>
    </w:p>
    <w:p>
      <w:pPr>
        <w:spacing w:after="0" w:line="182" w:lineRule="auto"/>
        <w:rPr>
          <w:sz w:val="20"/>
          <w:szCs w:val="20"/>
          <w:color w:val="auto"/>
        </w:rPr>
      </w:pPr>
      <w:r>
        <w:rPr>
          <w:rFonts w:ascii="Arial" w:cs="Arial" w:eastAsia="Arial" w:hAnsi="Arial"/>
          <w:sz w:val="9"/>
          <w:szCs w:val="9"/>
          <w:color w:val="FFFFFF"/>
        </w:rPr>
        <w:t>Next Steps immediately pursuant to its fiduciary duties</w:t>
      </w:r>
    </w:p>
    <w:p>
      <w:pPr>
        <w:spacing w:after="0" w:line="182" w:lineRule="auto"/>
        <w:rPr>
          <w:sz w:val="20"/>
          <w:szCs w:val="20"/>
          <w:color w:val="auto"/>
        </w:rPr>
      </w:pPr>
      <w:r>
        <w:rPr>
          <w:rFonts w:ascii="Arial" w:cs="Arial" w:eastAsia="Arial" w:hAnsi="Arial"/>
          <w:sz w:val="9"/>
          <w:szCs w:val="9"/>
          <w:color w:val="FFFFFF"/>
        </w:rPr>
        <w:t>consideredTSLXintendsattheto voteOctoberits3%27,holding2015specialinTICCmeetingagainst the management proposals to be</w:t>
      </w:r>
    </w:p>
    <w:p>
      <w:pPr>
        <w:spacing w:after="0" w:line="182" w:lineRule="auto"/>
        <w:rPr>
          <w:sz w:val="20"/>
          <w:szCs w:val="20"/>
          <w:color w:val="auto"/>
        </w:rPr>
      </w:pPr>
      <w:r>
        <w:rPr>
          <w:rFonts w:ascii="Arial" w:cs="Arial" w:eastAsia="Arial" w:hAnsi="Arial"/>
          <w:sz w:val="9"/>
          <w:szCs w:val="9"/>
          <w:color w:val="FFFFFF"/>
        </w:rPr>
        <w:t>consideredTSLXintendsby TICCtosolicitstockholdersproxiesof atTICCtheOctoberstockholders27,2015againstspecialthe managementmeeting proposals to be</w:t>
      </w:r>
    </w:p>
    <w:p>
      <w:pPr>
        <w:spacing w:after="0"/>
        <w:rPr>
          <w:sz w:val="20"/>
          <w:szCs w:val="20"/>
          <w:color w:val="auto"/>
        </w:rPr>
      </w:pPr>
      <w:r>
        <w:rPr>
          <w:rFonts w:ascii="Arial" w:cs="Arial" w:eastAsia="Arial" w:hAnsi="Arial"/>
          <w:sz w:val="13"/>
          <w:szCs w:val="13"/>
          <w:color w:val="FFFFFF"/>
        </w:rPr>
        <w:t>1TSLX remains fully committed to realizing the value of this transaction for all stockholders</w:t>
      </w:r>
    </w:p>
    <w:p>
      <w:pPr>
        <w:sectPr>
          <w:pgSz w:w="11900" w:h="16838" w:orient="portrait"/>
          <w:cols w:equalWidth="0" w:num="1">
            <w:col w:w="11520"/>
          </w:cols>
          <w:pgMar w:left="240" w:top="271" w:right="1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Creating Substantial Value for Stockholders</w:t>
      </w:r>
    </w:p>
    <w:p>
      <w:pPr>
        <w:ind w:left="1200"/>
        <w:spacing w:after="0" w:line="204" w:lineRule="auto"/>
        <w:rPr>
          <w:sz w:val="20"/>
          <w:szCs w:val="20"/>
          <w:color w:val="auto"/>
        </w:rPr>
      </w:pPr>
      <w:r>
        <w:rPr>
          <w:rFonts w:ascii="Arial" w:cs="Arial" w:eastAsia="Arial" w:hAnsi="Arial"/>
          <w:sz w:val="4"/>
          <w:szCs w:val="4"/>
          <w:color w:val="FFFFFF"/>
        </w:rPr>
        <w:t>ICC Stockholders</w:t>
      </w:r>
    </w:p>
    <w:p>
      <w:pPr>
        <w:spacing w:after="0" w:line="182" w:lineRule="auto"/>
        <w:rPr>
          <w:sz w:val="20"/>
          <w:szCs w:val="20"/>
          <w:color w:val="auto"/>
        </w:rPr>
      </w:pPr>
      <w:r>
        <w:rPr>
          <w:rFonts w:ascii="Arial" w:cs="Arial" w:eastAsia="Arial" w:hAnsi="Arial"/>
          <w:sz w:val="9"/>
          <w:szCs w:val="9"/>
          <w:color w:val="FFFFFF"/>
        </w:rPr>
        <w:t>LongImmediate-TermValueValue forPotentialTSLX forStockholdersStockholders of Both Companies</w:t>
      </w:r>
    </w:p>
    <w:p>
      <w:pPr>
        <w:ind w:left="420" w:right="5000" w:hanging="417"/>
        <w:spacing w:after="0" w:line="245" w:lineRule="auto"/>
        <w:rPr>
          <w:sz w:val="20"/>
          <w:szCs w:val="20"/>
          <w:color w:val="auto"/>
        </w:rPr>
      </w:pPr>
      <w:r>
        <w:rPr>
          <w:rFonts w:ascii="Arial" w:cs="Arial" w:eastAsia="Arial" w:hAnsi="Arial"/>
          <w:sz w:val="5"/>
          <w:szCs w:val="5"/>
          <w:color w:val="FFFFFF"/>
        </w:rPr>
        <w:t>BenefitApproximatelyfromTSLX’s20%premiummanagementtotradingfee price as of September 15, 2015 Immediately accretive to net asset value per share of increased liquidity with combined company having a market cap in excess of $1.3 billion</w:t>
      </w:r>
    </w:p>
    <w:p>
      <w:pPr>
        <w:spacing w:after="0" w:line="2" w:lineRule="exact"/>
        <w:rPr>
          <w:sz w:val="20"/>
          <w:szCs w:val="20"/>
          <w:color w:val="auto"/>
        </w:rPr>
      </w:pPr>
    </w:p>
    <w:p>
      <w:pPr>
        <w:ind w:left="6680"/>
        <w:spacing w:after="0"/>
        <w:rPr>
          <w:sz w:val="20"/>
          <w:szCs w:val="20"/>
          <w:color w:val="auto"/>
        </w:rPr>
      </w:pPr>
      <w:r>
        <w:rPr>
          <w:rFonts w:ascii="Arial" w:cs="Arial" w:eastAsia="Arial" w:hAnsi="Arial"/>
          <w:sz w:val="5"/>
          <w:szCs w:val="5"/>
          <w:color w:val="FFFFFF"/>
        </w:rPr>
        <w:t>ImmedMaitainsatelystrategyaccretivefocusedtonetonassethighervalue peraddedshare investmentsNochangeinfocusedexistingondividendilliquid policyprivate credit that have a superior risk-return profile</w:t>
      </w:r>
    </w:p>
    <w:p>
      <w:pPr>
        <w:spacing w:after="0"/>
        <w:rPr>
          <w:sz w:val="20"/>
          <w:szCs w:val="20"/>
          <w:color w:val="auto"/>
        </w:rPr>
      </w:pPr>
      <w:r>
        <w:rPr>
          <w:rFonts w:ascii="Arial" w:cs="Arial" w:eastAsia="Arial" w:hAnsi="Arial"/>
          <w:sz w:val="6"/>
          <w:szCs w:val="6"/>
          <w:color w:val="FFFFFF"/>
        </w:rPr>
        <w:t>Strengthened market position as part ofvaluelarger group with additional capital Opportunities to drive higher ROE by leveraging cost structure and rotating the TICC portfolio into assets with more attractive risk-adjusted returns Non-rotated assets to drive cash returns</w:t>
      </w:r>
      <w:r>
        <w:rPr>
          <w:rFonts w:ascii="Arial" w:cs="Arial" w:eastAsia="Arial" w:hAnsi="Arial"/>
          <w:sz w:val="7"/>
          <w:szCs w:val="7"/>
          <w:color w:val="FFFFFF"/>
          <w:vertAlign w:val="subscript"/>
        </w:rPr>
        <w:t>stockholders</w:t>
      </w:r>
      <w:r>
        <w:rPr>
          <w:rFonts w:ascii="Arial" w:cs="Arial" w:eastAsia="Arial" w:hAnsi="Arial"/>
          <w:sz w:val="6"/>
          <w:szCs w:val="6"/>
          <w:color w:val="FFFFFF"/>
        </w:rPr>
        <w:t>stockholders Commitment to protecting NAV per share Consistent and stable dividend with potential for growth</w:t>
      </w:r>
    </w:p>
    <w:p>
      <w:pPr>
        <w:spacing w:after="0" w:line="37" w:lineRule="exact"/>
        <w:rPr>
          <w:sz w:val="20"/>
          <w:szCs w:val="20"/>
          <w:color w:val="auto"/>
        </w:rPr>
      </w:pPr>
    </w:p>
    <w:p>
      <w:pPr>
        <w:ind w:right="2600"/>
        <w:spacing w:after="0"/>
        <w:rPr>
          <w:sz w:val="20"/>
          <w:szCs w:val="20"/>
          <w:color w:val="auto"/>
        </w:rPr>
      </w:pPr>
      <w:r>
        <w:rPr>
          <w:rFonts w:ascii="Arial" w:cs="Arial" w:eastAsia="Arial" w:hAnsi="Arial"/>
          <w:sz w:val="12"/>
          <w:szCs w:val="12"/>
          <w:color w:val="FFFFFF"/>
        </w:rPr>
        <w:t>The merger of TICC with TSLX will offer of both companies clear long-term value-creation opportunities led by our standout focus on stockholder returns 2</w:t>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560" w:type="dxa"/>
            <w:vAlign w:val="bottom"/>
            <w:gridSpan w:val="2"/>
          </w:tcPr>
          <w:p>
            <w:pPr>
              <w:spacing w:after="0"/>
              <w:rPr>
                <w:sz w:val="20"/>
                <w:szCs w:val="20"/>
                <w:color w:val="auto"/>
              </w:rPr>
            </w:pPr>
            <w:r>
              <w:rPr>
                <w:rFonts w:ascii="Arial" w:cs="Arial" w:eastAsia="Arial" w:hAnsi="Arial"/>
                <w:sz w:val="13"/>
                <w:szCs w:val="13"/>
                <w:color w:val="FFFFFF"/>
                <w:w w:val="87"/>
              </w:rPr>
              <w:t xml:space="preserve">Forward-Looking Stateme ts </w:t>
            </w:r>
            <w:r>
              <w:rPr>
                <w:rFonts w:ascii="Arial" w:cs="Arial" w:eastAsia="Arial" w:hAnsi="Arial"/>
                <w:sz w:val="26"/>
                <w:szCs w:val="26"/>
                <w:color w:val="FFFFFF"/>
                <w:w w:val="87"/>
                <w:vertAlign w:val="superscript"/>
              </w:rPr>
              <w:t>and Disclaimers</w:t>
            </w:r>
          </w:p>
        </w:tc>
        <w:tc>
          <w:tcPr>
            <w:tcW w:w="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8320" w:type="dxa"/>
            <w:vAlign w:val="bottom"/>
            <w:gridSpan w:val="6"/>
          </w:tcPr>
          <w:p>
            <w:pPr>
              <w:spacing w:after="0" w:line="40" w:lineRule="exact"/>
              <w:rPr>
                <w:sz w:val="20"/>
                <w:szCs w:val="20"/>
                <w:color w:val="auto"/>
              </w:rPr>
            </w:pPr>
            <w:r>
              <w:rPr>
                <w:rFonts w:ascii="Arial" w:cs="Arial" w:eastAsia="Arial" w:hAnsi="Arial"/>
                <w:sz w:val="4"/>
                <w:szCs w:val="4"/>
                <w:color w:val="FFFFFF"/>
              </w:rPr>
              <w:t>Information set forth herein includes forward-looking statements within the meaning of Section 27A of the Securities Act of 1933, as amended, and Section</w:t>
            </w: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60" w:type="dxa"/>
            <w:vAlign w:val="bottom"/>
            <w:vMerge w:val="restart"/>
          </w:tcPr>
          <w:p>
            <w:pPr>
              <w:jc w:val="right"/>
              <w:ind w:right="527"/>
              <w:spacing w:after="0" w:line="79" w:lineRule="exact"/>
              <w:rPr>
                <w:sz w:val="20"/>
                <w:szCs w:val="20"/>
                <w:color w:val="auto"/>
              </w:rPr>
            </w:pPr>
            <w:r>
              <w:rPr>
                <w:rFonts w:ascii="Arial" w:cs="Arial" w:eastAsia="Arial" w:hAnsi="Arial"/>
                <w:sz w:val="9"/>
                <w:szCs w:val="9"/>
                <w:color w:val="FFFFFF"/>
              </w:rPr>
              <w:t>combination</w:t>
            </w:r>
          </w:p>
        </w:tc>
        <w:tc>
          <w:tcPr>
            <w:tcW w:w="0" w:type="dxa"/>
            <w:vAlign w:val="bottom"/>
          </w:tcPr>
          <w:p>
            <w:pPr>
              <w:spacing w:after="0" w:line="20" w:lineRule="exact"/>
              <w:rPr>
                <w:sz w:val="1"/>
                <w:szCs w:val="1"/>
                <w:color w:val="auto"/>
              </w:rPr>
            </w:pPr>
          </w:p>
        </w:tc>
      </w:tr>
      <w:tr>
        <w:trPr>
          <w:trHeight w:val="39"/>
        </w:trPr>
        <w:tc>
          <w:tcPr>
            <w:tcW w:w="10160" w:type="dxa"/>
            <w:vAlign w:val="bottom"/>
            <w:gridSpan w:val="8"/>
          </w:tcPr>
          <w:p>
            <w:pPr>
              <w:spacing w:after="0" w:line="40" w:lineRule="exact"/>
              <w:rPr>
                <w:sz w:val="20"/>
                <w:szCs w:val="20"/>
                <w:color w:val="auto"/>
              </w:rPr>
            </w:pPr>
            <w:r>
              <w:rPr>
                <w:rFonts w:ascii="Arial" w:cs="Arial" w:eastAsia="Arial" w:hAnsi="Arial"/>
                <w:sz w:val="4"/>
                <w:szCs w:val="4"/>
                <w:color w:val="FFFFFF"/>
              </w:rPr>
              <w:t>21E of the Securities Exchange Act of 1934, as amended (the “Exchange Act”). These forward-looking statements include, but are not limited to, statements regarding TSLX’s proposed</w:t>
            </w:r>
          </w:p>
        </w:tc>
        <w:tc>
          <w:tcPr>
            <w:tcW w:w="1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transaction with TICC Capital Corp. (“TICC”) (including financing of the proposed transaction and the benefits, results, effects and timing of a transaction), all statements regarding TSLX’business(and TSLX and TICC’s</w:t>
            </w:r>
          </w:p>
        </w:tc>
        <w:tc>
          <w:tcPr>
            <w:tcW w:w="0" w:type="dxa"/>
            <w:vAlign w:val="bottom"/>
          </w:tcPr>
          <w:p>
            <w:pPr>
              <w:spacing w:after="0" w:line="20" w:lineRule="exact"/>
              <w:rPr>
                <w:sz w:val="1"/>
                <w:szCs w:val="1"/>
                <w:color w:val="auto"/>
              </w:rPr>
            </w:pPr>
          </w:p>
        </w:tc>
      </w:tr>
      <w:tr>
        <w:trPr>
          <w:trHeight w:val="39"/>
        </w:trPr>
        <w:tc>
          <w:tcPr>
            <w:tcW w:w="3520" w:type="dxa"/>
            <w:vAlign w:val="bottom"/>
            <w:gridSpan w:val="3"/>
          </w:tcPr>
          <w:p>
            <w:pPr>
              <w:spacing w:after="0" w:line="40" w:lineRule="exact"/>
              <w:rPr>
                <w:sz w:val="20"/>
                <w:szCs w:val="20"/>
                <w:color w:val="auto"/>
              </w:rPr>
            </w:pPr>
            <w:r>
              <w:rPr>
                <w:rFonts w:ascii="Arial" w:cs="Arial" w:eastAsia="Arial" w:hAnsi="Arial"/>
                <w:sz w:val="4"/>
                <w:szCs w:val="4"/>
                <w:color w:val="FFFFFF"/>
              </w:rPr>
              <w:t>combined) expected future financial position, results of operations,</w:t>
            </w:r>
          </w:p>
        </w:tc>
        <w:tc>
          <w:tcPr>
            <w:tcW w:w="7900" w:type="dxa"/>
            <w:vAlign w:val="bottom"/>
            <w:gridSpan w:val="6"/>
          </w:tcPr>
          <w:p>
            <w:pPr>
              <w:jc w:val="right"/>
              <w:ind w:right="387"/>
              <w:spacing w:after="0" w:line="40" w:lineRule="exact"/>
              <w:rPr>
                <w:sz w:val="20"/>
                <w:szCs w:val="20"/>
                <w:color w:val="auto"/>
              </w:rPr>
            </w:pPr>
            <w:r>
              <w:rPr>
                <w:rFonts w:ascii="Arial" w:cs="Arial" w:eastAsia="Arial" w:hAnsi="Arial"/>
                <w:sz w:val="4"/>
                <w:szCs w:val="4"/>
                <w:color w:val="FFFFFF"/>
              </w:rPr>
              <w:t>flows, dividends, financing plans, business strategy budgets, capital expenditures, competitive positions, growth opportunities, plans and</w:t>
            </w:r>
          </w:p>
        </w:tc>
        <w:tc>
          <w:tcPr>
            <w:tcW w:w="0" w:type="dxa"/>
            <w:vAlign w:val="bottom"/>
          </w:tcPr>
          <w:p>
            <w:pPr>
              <w:spacing w:after="0" w:line="20" w:lineRule="exact"/>
              <w:rPr>
                <w:sz w:val="1"/>
                <w:szCs w:val="1"/>
                <w:color w:val="auto"/>
              </w:rPr>
            </w:pPr>
          </w:p>
        </w:tc>
      </w:tr>
      <w:tr>
        <w:trPr>
          <w:trHeight w:val="39"/>
        </w:trPr>
        <w:tc>
          <w:tcPr>
            <w:tcW w:w="6900" w:type="dxa"/>
            <w:vAlign w:val="bottom"/>
            <w:gridSpan w:val="5"/>
          </w:tcPr>
          <w:p>
            <w:pPr>
              <w:spacing w:after="0" w:line="40" w:lineRule="exact"/>
              <w:rPr>
                <w:sz w:val="20"/>
                <w:szCs w:val="20"/>
                <w:color w:val="auto"/>
              </w:rPr>
            </w:pPr>
            <w:r>
              <w:rPr>
                <w:rFonts w:ascii="Arial" w:cs="Arial" w:eastAsia="Arial" w:hAnsi="Arial"/>
                <w:sz w:val="4"/>
                <w:szCs w:val="4"/>
                <w:color w:val="FFFFFF"/>
              </w:rPr>
              <w:t>objectives of management, and statements containing the words suchcash “anticipate,” “approximate,” “believe,” “plan,” “estimate,”</w:t>
            </w: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“expect,” “project,”</w:t>
            </w:r>
          </w:p>
        </w:tc>
        <w:tc>
          <w:tcPr>
            <w:tcW w:w="3100" w:type="dxa"/>
            <w:vAlign w:val="bottom"/>
            <w:gridSpan w:val="3"/>
          </w:tcPr>
          <w:p>
            <w:pPr>
              <w:jc w:val="right"/>
              <w:spacing w:after="0" w:line="40" w:lineRule="exact"/>
              <w:rPr>
                <w:sz w:val="20"/>
                <w:szCs w:val="20"/>
                <w:color w:val="auto"/>
              </w:rPr>
            </w:pPr>
            <w:r>
              <w:rPr>
                <w:rFonts w:ascii="Arial" w:cs="Arial" w:eastAsia="Arial" w:hAnsi="Arial"/>
                <w:sz w:val="4"/>
                <w:szCs w:val="4"/>
                <w:color w:val="FFFFFF"/>
              </w:rPr>
              <w:t>“would,” “should,” “will,” “intend,” “may,” “potential,”</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“upside,” and other similar expressions. Statements set forth herein concerning the business outlook or future economic performance, anticipated profitability“could,”revenues, expenses, dividends or other financial items, and</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product or services line growth of TSLX (and the combined businesses of TSLX and TICC), together with other statements that are not historical facts, are forward-looking statements that are estimates reflecting the</w:t>
            </w:r>
          </w:p>
        </w:tc>
        <w:tc>
          <w:tcPr>
            <w:tcW w:w="0" w:type="dxa"/>
            <w:vAlign w:val="bottom"/>
          </w:tcPr>
          <w:p>
            <w:pPr>
              <w:spacing w:after="0" w:line="20" w:lineRule="exact"/>
              <w:rPr>
                <w:sz w:val="1"/>
                <w:szCs w:val="1"/>
                <w:color w:val="auto"/>
              </w:rPr>
            </w:pPr>
          </w:p>
        </w:tc>
      </w:tr>
      <w:tr>
        <w:trPr>
          <w:trHeight w:val="39"/>
        </w:trPr>
        <w:tc>
          <w:tcPr>
            <w:tcW w:w="2560" w:type="dxa"/>
            <w:vAlign w:val="bottom"/>
            <w:gridSpan w:val="2"/>
          </w:tcPr>
          <w:p>
            <w:pPr>
              <w:spacing w:after="0" w:line="40" w:lineRule="exact"/>
              <w:rPr>
                <w:sz w:val="20"/>
                <w:szCs w:val="20"/>
                <w:color w:val="auto"/>
              </w:rPr>
            </w:pPr>
            <w:r>
              <w:rPr>
                <w:rFonts w:ascii="Arial" w:cs="Arial" w:eastAsia="Arial" w:hAnsi="Arial"/>
                <w:sz w:val="4"/>
                <w:szCs w:val="4"/>
                <w:color w:val="FFFFFF"/>
              </w:rPr>
              <w:t>best judgment of TSLX based upon currently</w:t>
            </w:r>
          </w:p>
        </w:tc>
        <w:tc>
          <w:tcPr>
            <w:tcW w:w="960" w:type="dxa"/>
            <w:vAlign w:val="bottom"/>
          </w:tcPr>
          <w:p>
            <w:pPr>
              <w:spacing w:after="0"/>
              <w:rPr>
                <w:sz w:val="3"/>
                <w:szCs w:val="3"/>
                <w:color w:val="auto"/>
              </w:rPr>
            </w:pPr>
          </w:p>
        </w:tc>
        <w:tc>
          <w:tcPr>
            <w:tcW w:w="7900" w:type="dxa"/>
            <w:vAlign w:val="bottom"/>
            <w:gridSpan w:val="6"/>
          </w:tcPr>
          <w:p>
            <w:pPr>
              <w:jc w:val="right"/>
              <w:ind w:right="267"/>
              <w:spacing w:after="0" w:line="40" w:lineRule="exact"/>
              <w:rPr>
                <w:sz w:val="20"/>
                <w:szCs w:val="20"/>
                <w:color w:val="auto"/>
              </w:rPr>
            </w:pPr>
            <w:r>
              <w:rPr>
                <w:rFonts w:ascii="Arial" w:cs="Arial" w:eastAsia="Arial" w:hAnsi="Arial"/>
                <w:sz w:val="4"/>
                <w:szCs w:val="4"/>
                <w:color w:val="FFFFFF"/>
              </w:rPr>
              <w:t>. Such forward-looking statements are inherently uncertain, and stockholders and other potential investors must recognize that actual results may</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differ materially from TSLX’s expectations asavailableresultofinformationvarietyof factors, including, without limitation, those discussed below. Such forward-looking statements are based upon management’s current expectations</w:t>
            </w:r>
          </w:p>
        </w:tc>
        <w:tc>
          <w:tcPr>
            <w:tcW w:w="0" w:type="dxa"/>
            <w:vAlign w:val="bottom"/>
          </w:tcPr>
          <w:p>
            <w:pPr>
              <w:spacing w:after="0" w:line="20" w:lineRule="exact"/>
              <w:rPr>
                <w:sz w:val="1"/>
                <w:szCs w:val="1"/>
                <w:color w:val="auto"/>
              </w:rPr>
            </w:pPr>
          </w:p>
        </w:tc>
      </w:tr>
      <w:tr>
        <w:trPr>
          <w:trHeight w:val="39"/>
        </w:trPr>
        <w:tc>
          <w:tcPr>
            <w:tcW w:w="3520" w:type="dxa"/>
            <w:vAlign w:val="bottom"/>
            <w:gridSpan w:val="3"/>
          </w:tcPr>
          <w:p>
            <w:pPr>
              <w:spacing w:after="0" w:line="40" w:lineRule="exact"/>
              <w:rPr>
                <w:sz w:val="20"/>
                <w:szCs w:val="20"/>
                <w:color w:val="auto"/>
              </w:rPr>
            </w:pPr>
            <w:r>
              <w:rPr>
                <w:rFonts w:ascii="Arial" w:cs="Arial" w:eastAsia="Arial" w:hAnsi="Arial"/>
                <w:sz w:val="4"/>
                <w:szCs w:val="4"/>
                <w:color w:val="FFFFFF"/>
              </w:rPr>
              <w:t>and include known and unknown risks, uncertainties and other</w:t>
            </w:r>
          </w:p>
        </w:tc>
        <w:tc>
          <w:tcPr>
            <w:tcW w:w="7900" w:type="dxa"/>
            <w:vAlign w:val="bottom"/>
            <w:gridSpan w:val="6"/>
          </w:tcPr>
          <w:p>
            <w:pPr>
              <w:jc w:val="right"/>
              <w:ind w:right="147"/>
              <w:spacing w:after="0" w:line="40" w:lineRule="exact"/>
              <w:rPr>
                <w:sz w:val="20"/>
                <w:szCs w:val="20"/>
                <w:color w:val="auto"/>
              </w:rPr>
            </w:pPr>
            <w:r>
              <w:rPr>
                <w:rFonts w:ascii="Arial" w:cs="Arial" w:eastAsia="Arial" w:hAnsi="Arial"/>
                <w:sz w:val="4"/>
                <w:szCs w:val="4"/>
                <w:color w:val="FFFFFF"/>
              </w:rPr>
              <w:t>many of which TSLX is unable to predict or control, that may cause TSLX’s plans with respect to TICC, actual results or performance to differ</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materially from any plans, future results or performance expressedfactors,implied by such forward-looking statements. These statements involve risks, uncertainties and other factors discussed below and detailed from time</w:t>
            </w:r>
          </w:p>
        </w:tc>
        <w:tc>
          <w:tcPr>
            <w:tcW w:w="0" w:type="dxa"/>
            <w:vAlign w:val="bottom"/>
          </w:tcPr>
          <w:p>
            <w:pPr>
              <w:spacing w:after="0" w:line="20" w:lineRule="exact"/>
              <w:rPr>
                <w:sz w:val="1"/>
                <w:szCs w:val="1"/>
                <w:color w:val="auto"/>
              </w:rPr>
            </w:pPr>
          </w:p>
        </w:tc>
      </w:tr>
      <w:tr>
        <w:trPr>
          <w:trHeight w:val="39"/>
        </w:trPr>
        <w:tc>
          <w:tcPr>
            <w:tcW w:w="1140" w:type="dxa"/>
            <w:vAlign w:val="bottom"/>
          </w:tcPr>
          <w:p>
            <w:pPr>
              <w:spacing w:after="0" w:line="40" w:lineRule="exact"/>
              <w:rPr>
                <w:sz w:val="20"/>
                <w:szCs w:val="20"/>
                <w:color w:val="auto"/>
              </w:rPr>
            </w:pPr>
            <w:r>
              <w:rPr>
                <w:rFonts w:ascii="Arial" w:cs="Arial" w:eastAsia="Arial" w:hAnsi="Arial"/>
                <w:sz w:val="4"/>
                <w:szCs w:val="4"/>
                <w:color w:val="FFFFFF"/>
              </w:rPr>
              <w:t>to time in TSLX’s</w:t>
            </w:r>
          </w:p>
        </w:tc>
        <w:tc>
          <w:tcPr>
            <w:tcW w:w="10280" w:type="dxa"/>
            <w:vAlign w:val="bottom"/>
            <w:gridSpan w:val="8"/>
          </w:tcPr>
          <w:p>
            <w:pPr>
              <w:jc w:val="right"/>
              <w:ind w:right="67"/>
              <w:spacing w:after="0" w:line="40" w:lineRule="exact"/>
              <w:rPr>
                <w:sz w:val="20"/>
                <w:szCs w:val="20"/>
                <w:color w:val="auto"/>
              </w:rPr>
            </w:pPr>
            <w:r>
              <w:rPr>
                <w:rFonts w:ascii="Arial" w:cs="Arial" w:eastAsia="Arial" w:hAnsi="Arial"/>
                <w:sz w:val="4"/>
                <w:szCs w:val="4"/>
                <w:color w:val="FFFFFF"/>
              </w:rPr>
              <w:t>with the SEC. Risks and uncertainties related to the proposed transaction include, among others, uncertainty as to whether TSLX will further pursue, enter into or consummate the transaction</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on the terms set forthfilingsthe proposal or on other terms, potential adverse reactions or changes to business relationships resulting from the announcement or completion of the transaction, uncertainties as to the timing of</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the transaction, adverse effects on TSLX’s stock price resulting from the announcement or consummation of the transaction or any failure to complete the transaction, competitive responses to the announcement or</w:t>
            </w:r>
          </w:p>
        </w:tc>
        <w:tc>
          <w:tcPr>
            <w:tcW w:w="0" w:type="dxa"/>
            <w:vAlign w:val="bottom"/>
          </w:tcPr>
          <w:p>
            <w:pPr>
              <w:spacing w:after="0" w:line="20" w:lineRule="exact"/>
              <w:rPr>
                <w:sz w:val="1"/>
                <w:szCs w:val="1"/>
                <w:color w:val="auto"/>
              </w:rPr>
            </w:pPr>
          </w:p>
        </w:tc>
      </w:tr>
      <w:tr>
        <w:trPr>
          <w:trHeight w:val="39"/>
        </w:trPr>
        <w:tc>
          <w:tcPr>
            <w:tcW w:w="3520" w:type="dxa"/>
            <w:vAlign w:val="bottom"/>
            <w:gridSpan w:val="3"/>
          </w:tcPr>
          <w:p>
            <w:pPr>
              <w:spacing w:after="0" w:line="40" w:lineRule="exact"/>
              <w:rPr>
                <w:sz w:val="20"/>
                <w:szCs w:val="20"/>
                <w:color w:val="auto"/>
              </w:rPr>
            </w:pPr>
            <w:r>
              <w:rPr>
                <w:rFonts w:ascii="Arial" w:cs="Arial" w:eastAsia="Arial" w:hAnsi="Arial"/>
                <w:sz w:val="4"/>
                <w:szCs w:val="4"/>
                <w:color w:val="FFFFFF"/>
              </w:rPr>
              <w:t>consummation of the transaction, the risk that regulatory or other</w:t>
            </w:r>
          </w:p>
        </w:tc>
        <w:tc>
          <w:tcPr>
            <w:tcW w:w="2460" w:type="dxa"/>
            <w:vAlign w:val="bottom"/>
          </w:tcPr>
          <w:p>
            <w:pPr>
              <w:ind w:left="480"/>
              <w:spacing w:after="0" w:line="40" w:lineRule="exact"/>
              <w:rPr>
                <w:sz w:val="20"/>
                <w:szCs w:val="20"/>
                <w:color w:val="auto"/>
              </w:rPr>
            </w:pPr>
            <w:r>
              <w:rPr>
                <w:rFonts w:ascii="Arial" w:cs="Arial" w:eastAsia="Arial" w:hAnsi="Arial"/>
                <w:sz w:val="4"/>
                <w:szCs w:val="4"/>
                <w:color w:val="FFFFFF"/>
              </w:rPr>
              <w:t>and financing required for the</w:t>
            </w:r>
          </w:p>
        </w:tc>
        <w:tc>
          <w:tcPr>
            <w:tcW w:w="2620" w:type="dxa"/>
            <w:vAlign w:val="bottom"/>
            <w:gridSpan w:val="3"/>
          </w:tcPr>
          <w:p>
            <w:pPr>
              <w:ind w:left="420"/>
              <w:spacing w:after="0" w:line="40" w:lineRule="exact"/>
              <w:rPr>
                <w:sz w:val="20"/>
                <w:szCs w:val="20"/>
                <w:color w:val="auto"/>
              </w:rPr>
            </w:pPr>
            <w:r>
              <w:rPr>
                <w:rFonts w:ascii="Arial" w:cs="Arial" w:eastAsia="Arial" w:hAnsi="Arial"/>
                <w:sz w:val="4"/>
                <w:szCs w:val="4"/>
                <w:color w:val="FFFFFF"/>
              </w:rPr>
              <w:t>of the transaction are not obtained or are</w:t>
            </w:r>
          </w:p>
        </w:tc>
        <w:tc>
          <w:tcPr>
            <w:tcW w:w="2820" w:type="dxa"/>
            <w:vAlign w:val="bottom"/>
            <w:gridSpan w:val="2"/>
          </w:tcPr>
          <w:p>
            <w:pPr>
              <w:jc w:val="right"/>
              <w:ind w:right="107"/>
              <w:spacing w:after="0" w:line="40" w:lineRule="exact"/>
              <w:rPr>
                <w:sz w:val="20"/>
                <w:szCs w:val="20"/>
                <w:color w:val="auto"/>
              </w:rPr>
            </w:pPr>
            <w:r>
              <w:rPr>
                <w:rFonts w:ascii="Arial" w:cs="Arial" w:eastAsia="Arial" w:hAnsi="Arial"/>
                <w:sz w:val="4"/>
                <w:szCs w:val="4"/>
                <w:color w:val="FFFFFF"/>
              </w:rPr>
              <w:t>subject to terms and conditions that are not</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anticipated, costs and difficulties related to the integration of TICC’approvalsbusinesses and operations with TSLX’consummationbusinssesand operations, the inability to obtain, or delaysobtainedobtaining, cost savings and synergies from the</w:t>
            </w:r>
          </w:p>
        </w:tc>
        <w:tc>
          <w:tcPr>
            <w:tcW w:w="0" w:type="dxa"/>
            <w:vAlign w:val="bottom"/>
          </w:tcPr>
          <w:p>
            <w:pPr>
              <w:spacing w:after="0" w:line="20" w:lineRule="exact"/>
              <w:rPr>
                <w:sz w:val="1"/>
                <w:szCs w:val="1"/>
                <w:color w:val="auto"/>
              </w:rPr>
            </w:pPr>
          </w:p>
        </w:tc>
      </w:tr>
      <w:tr>
        <w:trPr>
          <w:trHeight w:val="39"/>
        </w:trPr>
        <w:tc>
          <w:tcPr>
            <w:tcW w:w="2560" w:type="dxa"/>
            <w:vAlign w:val="bottom"/>
            <w:gridSpan w:val="2"/>
          </w:tcPr>
          <w:p>
            <w:pPr>
              <w:spacing w:after="0" w:line="40" w:lineRule="exact"/>
              <w:rPr>
                <w:sz w:val="20"/>
                <w:szCs w:val="20"/>
                <w:color w:val="auto"/>
              </w:rPr>
            </w:pPr>
            <w:r>
              <w:rPr>
                <w:rFonts w:ascii="Arial" w:cs="Arial" w:eastAsia="Arial" w:hAnsi="Arial"/>
                <w:sz w:val="4"/>
                <w:szCs w:val="4"/>
                <w:color w:val="FFFFFF"/>
              </w:rPr>
              <w:t>transaction, unexpected costs, liabilities, charges</w:t>
            </w:r>
          </w:p>
        </w:tc>
        <w:tc>
          <w:tcPr>
            <w:tcW w:w="4340" w:type="dxa"/>
            <w:vAlign w:val="bottom"/>
            <w:gridSpan w:val="3"/>
          </w:tcPr>
          <w:p>
            <w:pPr>
              <w:ind w:left="160"/>
              <w:spacing w:after="0" w:line="40" w:lineRule="exact"/>
              <w:rPr>
                <w:sz w:val="20"/>
                <w:szCs w:val="20"/>
                <w:color w:val="auto"/>
              </w:rPr>
            </w:pPr>
            <w:r>
              <w:rPr>
                <w:rFonts w:ascii="Arial" w:cs="Arial" w:eastAsia="Arial" w:hAnsi="Arial"/>
                <w:sz w:val="4"/>
                <w:szCs w:val="4"/>
                <w:color w:val="FFFFFF"/>
              </w:rPr>
              <w:t>expenses resulting from the transaction, litigation relating to the transaction, the</w:t>
            </w:r>
          </w:p>
        </w:tc>
        <w:tc>
          <w:tcPr>
            <w:tcW w:w="1420" w:type="dxa"/>
            <w:vAlign w:val="bottom"/>
          </w:tcPr>
          <w:p>
            <w:pPr>
              <w:ind w:left="520"/>
              <w:spacing w:after="0" w:line="40" w:lineRule="exact"/>
              <w:rPr>
                <w:sz w:val="20"/>
                <w:szCs w:val="20"/>
                <w:color w:val="auto"/>
              </w:rPr>
            </w:pPr>
            <w:r>
              <w:rPr>
                <w:rFonts w:ascii="Arial" w:cs="Arial" w:eastAsia="Arial" w:hAnsi="Arial"/>
                <w:sz w:val="4"/>
                <w:szCs w:val="4"/>
                <w:color w:val="FFFFFF"/>
              </w:rPr>
              <w:t>to retain key</w:t>
            </w:r>
          </w:p>
        </w:tc>
        <w:tc>
          <w:tcPr>
            <w:tcW w:w="280" w:type="dxa"/>
            <w:vAlign w:val="bottom"/>
          </w:tcPr>
          <w:p>
            <w:pPr>
              <w:spacing w:after="0"/>
              <w:rPr>
                <w:sz w:val="3"/>
                <w:szCs w:val="3"/>
                <w:color w:val="auto"/>
              </w:rPr>
            </w:pPr>
          </w:p>
        </w:tc>
        <w:tc>
          <w:tcPr>
            <w:tcW w:w="1560" w:type="dxa"/>
            <w:vAlign w:val="bottom"/>
          </w:tcPr>
          <w:p>
            <w:pPr>
              <w:ind w:left="80"/>
              <w:spacing w:after="0" w:line="40" w:lineRule="exact"/>
              <w:rPr>
                <w:sz w:val="20"/>
                <w:szCs w:val="20"/>
                <w:color w:val="auto"/>
              </w:rPr>
            </w:pPr>
            <w:r>
              <w:rPr>
                <w:rFonts w:ascii="Arial" w:cs="Arial" w:eastAsia="Arial" w:hAnsi="Arial"/>
                <w:sz w:val="4"/>
                <w:szCs w:val="4"/>
                <w:color w:val="FFFFFF"/>
              </w:rPr>
              <w:t>and any changes in general</w:t>
            </w:r>
          </w:p>
        </w:tc>
        <w:tc>
          <w:tcPr>
            <w:tcW w:w="1260" w:type="dxa"/>
            <w:vAlign w:val="bottom"/>
          </w:tcPr>
          <w:p>
            <w:pPr>
              <w:jc w:val="right"/>
              <w:ind w:right="387"/>
              <w:spacing w:after="0" w:line="40" w:lineRule="exact"/>
              <w:rPr>
                <w:sz w:val="20"/>
                <w:szCs w:val="20"/>
                <w:color w:val="auto"/>
              </w:rPr>
            </w:pPr>
            <w:r>
              <w:rPr>
                <w:rFonts w:ascii="Arial" w:cs="Arial" w:eastAsia="Arial" w:hAnsi="Arial"/>
                <w:sz w:val="4"/>
                <w:szCs w:val="4"/>
                <w:color w:val="FFFFFF"/>
              </w:rPr>
              <w:t>mic and/or</w:t>
            </w:r>
          </w:p>
        </w:tc>
        <w:tc>
          <w:tcPr>
            <w:tcW w:w="0" w:type="dxa"/>
            <w:vAlign w:val="bottom"/>
          </w:tcPr>
          <w:p>
            <w:pPr>
              <w:spacing w:after="0" w:line="20" w:lineRule="exact"/>
              <w:rPr>
                <w:sz w:val="1"/>
                <w:szCs w:val="1"/>
                <w:color w:val="auto"/>
              </w:rPr>
            </w:pPr>
          </w:p>
        </w:tc>
      </w:tr>
      <w:tr>
        <w:trPr>
          <w:trHeight w:val="39"/>
        </w:trPr>
        <w:tc>
          <w:tcPr>
            <w:tcW w:w="2560" w:type="dxa"/>
            <w:vAlign w:val="bottom"/>
            <w:gridSpan w:val="2"/>
          </w:tcPr>
          <w:p>
            <w:pPr>
              <w:spacing w:after="0" w:line="40" w:lineRule="exact"/>
              <w:rPr>
                <w:sz w:val="20"/>
                <w:szCs w:val="20"/>
                <w:color w:val="auto"/>
              </w:rPr>
            </w:pPr>
            <w:r>
              <w:rPr>
                <w:rFonts w:ascii="Arial" w:cs="Arial" w:eastAsia="Arial" w:hAnsi="Arial"/>
                <w:sz w:val="4"/>
                <w:szCs w:val="4"/>
                <w:color w:val="FFFFFF"/>
              </w:rPr>
              <w:t>industry specific conditions. In addition to</w:t>
            </w:r>
          </w:p>
        </w:tc>
        <w:tc>
          <w:tcPr>
            <w:tcW w:w="8860" w:type="dxa"/>
            <w:vAlign w:val="bottom"/>
            <w:gridSpan w:val="7"/>
          </w:tcPr>
          <w:p>
            <w:pPr>
              <w:jc w:val="right"/>
              <w:ind w:right="87"/>
              <w:spacing w:after="0" w:line="40" w:lineRule="exact"/>
              <w:rPr>
                <w:sz w:val="20"/>
                <w:szCs w:val="20"/>
                <w:color w:val="auto"/>
              </w:rPr>
            </w:pPr>
            <w:r>
              <w:rPr>
                <w:rFonts w:ascii="Arial" w:cs="Arial" w:eastAsia="Arial" w:hAnsi="Arial"/>
                <w:sz w:val="4"/>
                <w:szCs w:val="4"/>
                <w:color w:val="FFFFFF"/>
              </w:rPr>
              <w:t>factors, other factors that may affect TSLX’s plans, results or stock price are set forthinabilityTSLX’ Annual Reportpersonnel,Form 10-K and in its reports econForms 10-Q and 8-</w:t>
            </w:r>
          </w:p>
        </w:tc>
        <w:tc>
          <w:tcPr>
            <w:tcW w:w="0" w:type="dxa"/>
            <w:vAlign w:val="bottom"/>
          </w:tcPr>
          <w:p>
            <w:pPr>
              <w:spacing w:after="0" w:line="20" w:lineRule="exact"/>
              <w:rPr>
                <w:sz w:val="1"/>
                <w:szCs w:val="1"/>
                <w:color w:val="auto"/>
              </w:rPr>
            </w:pPr>
          </w:p>
        </w:tc>
      </w:tr>
      <w:tr>
        <w:trPr>
          <w:trHeight w:val="39"/>
        </w:trPr>
        <w:tc>
          <w:tcPr>
            <w:tcW w:w="1140" w:type="dxa"/>
            <w:vAlign w:val="bottom"/>
          </w:tcPr>
          <w:p>
            <w:pPr>
              <w:spacing w:after="0" w:line="40" w:lineRule="exact"/>
              <w:rPr>
                <w:sz w:val="20"/>
                <w:szCs w:val="20"/>
                <w:color w:val="auto"/>
              </w:rPr>
            </w:pPr>
            <w:r>
              <w:rPr>
                <w:rFonts w:ascii="Arial" w:cs="Arial" w:eastAsia="Arial" w:hAnsi="Arial"/>
                <w:sz w:val="4"/>
                <w:szCs w:val="4"/>
                <w:color w:val="FFFFFF"/>
              </w:rPr>
              <w:t>K. Many of the e</w:t>
            </w:r>
          </w:p>
        </w:tc>
        <w:tc>
          <w:tcPr>
            <w:tcW w:w="10280" w:type="dxa"/>
            <w:vAlign w:val="bottom"/>
            <w:gridSpan w:val="8"/>
          </w:tcPr>
          <w:p>
            <w:pPr>
              <w:jc w:val="right"/>
              <w:ind w:right="107"/>
              <w:spacing w:after="0" w:line="40" w:lineRule="exact"/>
              <w:rPr>
                <w:sz w:val="20"/>
                <w:szCs w:val="20"/>
                <w:color w:val="auto"/>
              </w:rPr>
            </w:pPr>
            <w:r>
              <w:rPr>
                <w:rFonts w:ascii="Arial" w:cs="Arial" w:eastAsia="Arial" w:hAnsi="Arial"/>
                <w:sz w:val="4"/>
                <w:szCs w:val="4"/>
                <w:color w:val="FFFFFF"/>
              </w:rPr>
              <w:t>are beyond TSLX’thesecontrol. TSLX cautions investors that any forward-looking statements made by TSLX are not guarantees of future performance. TSLX disclaims any obligation to update</w:t>
            </w:r>
          </w:p>
        </w:tc>
        <w:tc>
          <w:tcPr>
            <w:tcW w:w="0" w:type="dxa"/>
            <w:vAlign w:val="bottom"/>
          </w:tcPr>
          <w:p>
            <w:pPr>
              <w:spacing w:after="0" w:line="20" w:lineRule="exact"/>
              <w:rPr>
                <w:sz w:val="1"/>
                <w:szCs w:val="1"/>
                <w:color w:val="auto"/>
              </w:rPr>
            </w:pPr>
          </w:p>
        </w:tc>
      </w:tr>
      <w:tr>
        <w:trPr>
          <w:trHeight w:val="204"/>
        </w:trPr>
        <w:tc>
          <w:tcPr>
            <w:tcW w:w="8320" w:type="dxa"/>
            <w:vAlign w:val="bottom"/>
            <w:gridSpan w:val="6"/>
          </w:tcPr>
          <w:p>
            <w:pPr>
              <w:spacing w:after="0"/>
              <w:rPr>
                <w:sz w:val="20"/>
                <w:szCs w:val="20"/>
                <w:color w:val="auto"/>
              </w:rPr>
            </w:pPr>
            <w:r>
              <w:rPr>
                <w:rFonts w:ascii="Arial" w:cs="Arial" w:eastAsia="Arial" w:hAnsi="Arial"/>
                <w:sz w:val="13"/>
                <w:szCs w:val="13"/>
                <w:color w:val="FFFFFF"/>
                <w:w w:val="94"/>
              </w:rPr>
              <w:t>any such factors orfactorsannounce publicly the results of any revisions to any of the forward-looking statements to reflect future events or developments.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gridSpan w:val="4"/>
          </w:tcPr>
          <w:p>
            <w:pPr>
              <w:spacing w:after="0"/>
              <w:rPr>
                <w:sz w:val="20"/>
                <w:szCs w:val="20"/>
                <w:color w:val="auto"/>
              </w:rPr>
            </w:pPr>
            <w:r>
              <w:rPr>
                <w:rFonts w:ascii="Arial" w:cs="Arial" w:eastAsia="Arial" w:hAnsi="Arial"/>
                <w:sz w:val="13"/>
                <w:szCs w:val="13"/>
                <w:color w:val="FFFFFF"/>
              </w:rPr>
              <w:t>Disclaimer and Forward-Looking Statement</w:t>
            </w: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280" w:type="dxa"/>
            <w:vAlign w:val="bottom"/>
            <w:gridSpan w:val="3"/>
          </w:tcPr>
          <w:p>
            <w:pPr>
              <w:spacing w:after="0" w:line="40" w:lineRule="exact"/>
              <w:rPr>
                <w:sz w:val="20"/>
                <w:szCs w:val="20"/>
                <w:color w:val="auto"/>
              </w:rPr>
            </w:pPr>
            <w:r>
              <w:rPr>
                <w:rFonts w:ascii="Arial" w:cs="Arial" w:eastAsia="Arial" w:hAnsi="Arial"/>
                <w:sz w:val="4"/>
                <w:szCs w:val="4"/>
                <w:color w:val="FFFFFF"/>
              </w:rPr>
              <w:t>Additional Information</w:t>
            </w:r>
          </w:p>
        </w:tc>
        <w:tc>
          <w:tcPr>
            <w:tcW w:w="2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00" w:type="dxa"/>
            <w:vAlign w:val="bottom"/>
            <w:gridSpan w:val="7"/>
          </w:tcPr>
          <w:p>
            <w:pPr>
              <w:spacing w:after="0" w:line="40" w:lineRule="exact"/>
              <w:rPr>
                <w:sz w:val="20"/>
                <w:szCs w:val="20"/>
                <w:color w:val="auto"/>
              </w:rPr>
            </w:pPr>
            <w:r>
              <w:rPr>
                <w:rFonts w:ascii="Arial" w:cs="Arial" w:eastAsia="Arial" w:hAnsi="Arial"/>
                <w:sz w:val="4"/>
                <w:szCs w:val="4"/>
                <w:color w:val="FFFFFF"/>
              </w:rPr>
              <w:t>The information set forth herein is provided for informational purposes only and does not constitute an offer to purchase or the solicitation of an offer to sell any securities. TSLX intends to make a preliminary filing</w:t>
            </w:r>
          </w:p>
        </w:tc>
        <w:tc>
          <w:tcPr>
            <w:tcW w:w="0" w:type="dxa"/>
            <w:vAlign w:val="bottom"/>
          </w:tcPr>
          <w:p>
            <w:pPr>
              <w:spacing w:after="0" w:line="20" w:lineRule="exact"/>
              <w:rPr>
                <w:sz w:val="1"/>
                <w:szCs w:val="1"/>
                <w:color w:val="auto"/>
              </w:rPr>
            </w:pPr>
          </w:p>
        </w:tc>
      </w:tr>
      <w:tr>
        <w:trPr>
          <w:trHeight w:val="39"/>
        </w:trPr>
        <w:tc>
          <w:tcPr>
            <w:tcW w:w="960" w:type="dxa"/>
            <w:vAlign w:val="bottom"/>
            <w:gridSpan w:val="2"/>
          </w:tcPr>
          <w:p>
            <w:pPr>
              <w:spacing w:after="0" w:line="40" w:lineRule="exact"/>
              <w:rPr>
                <w:sz w:val="20"/>
                <w:szCs w:val="20"/>
                <w:color w:val="auto"/>
              </w:rPr>
            </w:pPr>
            <w:r>
              <w:rPr>
                <w:rFonts w:ascii="Arial" w:cs="Arial" w:eastAsia="Arial" w:hAnsi="Arial"/>
                <w:sz w:val="4"/>
                <w:szCs w:val="4"/>
                <w:color w:val="FFFFFF"/>
              </w:rPr>
              <w:t>with the SEC of a</w:t>
            </w:r>
          </w:p>
        </w:tc>
        <w:tc>
          <w:tcPr>
            <w:tcW w:w="320" w:type="dxa"/>
            <w:vAlign w:val="bottom"/>
          </w:tcPr>
          <w:p>
            <w:pPr>
              <w:spacing w:after="0"/>
              <w:rPr>
                <w:sz w:val="3"/>
                <w:szCs w:val="3"/>
                <w:color w:val="auto"/>
              </w:rPr>
            </w:pPr>
          </w:p>
        </w:tc>
        <w:tc>
          <w:tcPr>
            <w:tcW w:w="2120" w:type="dxa"/>
            <w:vAlign w:val="bottom"/>
          </w:tcPr>
          <w:p>
            <w:pPr>
              <w:ind w:left="340"/>
              <w:spacing w:after="0" w:line="40" w:lineRule="exact"/>
              <w:rPr>
                <w:sz w:val="20"/>
                <w:szCs w:val="20"/>
                <w:color w:val="auto"/>
              </w:rPr>
            </w:pPr>
            <w:r>
              <w:rPr>
                <w:rFonts w:ascii="Arial" w:cs="Arial" w:eastAsia="Arial" w:hAnsi="Arial"/>
                <w:sz w:val="4"/>
                <w:szCs w:val="4"/>
                <w:color w:val="FFFFFF"/>
              </w:rPr>
              <w:t>proxy statement and</w:t>
            </w:r>
          </w:p>
        </w:tc>
        <w:tc>
          <w:tcPr>
            <w:tcW w:w="2240" w:type="dxa"/>
            <w:vAlign w:val="bottom"/>
            <w:gridSpan w:val="2"/>
          </w:tcPr>
          <w:p>
            <w:pPr>
              <w:jc w:val="right"/>
              <w:ind w:right="187"/>
              <w:spacing w:after="0" w:line="40" w:lineRule="exact"/>
              <w:rPr>
                <w:sz w:val="20"/>
                <w:szCs w:val="20"/>
                <w:color w:val="auto"/>
              </w:rPr>
            </w:pPr>
            <w:r>
              <w:rPr>
                <w:rFonts w:ascii="Arial" w:cs="Arial" w:eastAsia="Arial" w:hAnsi="Arial"/>
                <w:sz w:val="4"/>
                <w:szCs w:val="4"/>
                <w:color w:val="FFFFFF"/>
              </w:rPr>
              <w:t>proxy card to be used to solicit votes</w:t>
            </w:r>
          </w:p>
        </w:tc>
        <w:tc>
          <w:tcPr>
            <w:tcW w:w="5760" w:type="dxa"/>
            <w:vAlign w:val="bottom"/>
          </w:tcPr>
          <w:p>
            <w:pPr>
              <w:ind w:left="220"/>
              <w:spacing w:after="0" w:line="40" w:lineRule="exact"/>
              <w:rPr>
                <w:sz w:val="20"/>
                <w:szCs w:val="20"/>
                <w:color w:val="auto"/>
              </w:rPr>
            </w:pPr>
            <w:r>
              <w:rPr>
                <w:rFonts w:ascii="Arial" w:cs="Arial" w:eastAsia="Arial" w:hAnsi="Arial"/>
                <w:sz w:val="4"/>
                <w:szCs w:val="4"/>
                <w:color w:val="FFFFFF"/>
              </w:rPr>
              <w:t>(a) approval of the new advisory agreement between TICC and TICC Management, LLC (the “Adviser”),</w:t>
            </w:r>
          </w:p>
        </w:tc>
        <w:tc>
          <w:tcPr>
            <w:tcW w:w="0" w:type="dxa"/>
            <w:vAlign w:val="bottom"/>
          </w:tcPr>
          <w:p>
            <w:pPr>
              <w:spacing w:after="0" w:line="20" w:lineRule="exact"/>
              <w:rPr>
                <w:sz w:val="1"/>
                <w:szCs w:val="1"/>
                <w:color w:val="auto"/>
              </w:rPr>
            </w:pPr>
          </w:p>
        </w:tc>
      </w:tr>
      <w:tr>
        <w:trPr>
          <w:trHeight w:val="39"/>
        </w:trPr>
        <w:tc>
          <w:tcPr>
            <w:tcW w:w="11400" w:type="dxa"/>
            <w:vAlign w:val="bottom"/>
            <w:gridSpan w:val="7"/>
          </w:tcPr>
          <w:p>
            <w:pPr>
              <w:spacing w:after="0" w:line="40" w:lineRule="exact"/>
              <w:rPr>
                <w:sz w:val="20"/>
                <w:szCs w:val="20"/>
                <w:color w:val="auto"/>
              </w:rPr>
            </w:pPr>
            <w:r>
              <w:rPr>
                <w:rFonts w:ascii="Arial" w:cs="Arial" w:eastAsia="Arial" w:hAnsi="Arial"/>
                <w:sz w:val="4"/>
                <w:szCs w:val="4"/>
                <w:color w:val="FFFFFF"/>
              </w:rPr>
              <w:t>to take effect uponpreliminarychangeof control of the Adviseraccompanyingconnection with the entrance of the Adviser intoagainstpurchase agreement with an affiliate of Benefit Street Partners L.L.C. (“Benefit Street Partners”), pursuant to</w:t>
            </w:r>
          </w:p>
        </w:tc>
        <w:tc>
          <w:tcPr>
            <w:tcW w:w="0" w:type="dxa"/>
            <w:vAlign w:val="bottom"/>
          </w:tcPr>
          <w:p>
            <w:pPr>
              <w:spacing w:after="0" w:line="20" w:lineRule="exact"/>
              <w:rPr>
                <w:sz w:val="1"/>
                <w:szCs w:val="1"/>
                <w:color w:val="auto"/>
              </w:rPr>
            </w:pPr>
          </w:p>
        </w:tc>
      </w:tr>
      <w:tr>
        <w:trPr>
          <w:trHeight w:val="39"/>
        </w:trPr>
        <w:tc>
          <w:tcPr>
            <w:tcW w:w="11400" w:type="dxa"/>
            <w:vAlign w:val="bottom"/>
            <w:gridSpan w:val="7"/>
          </w:tcPr>
          <w:p>
            <w:pPr>
              <w:spacing w:after="0" w:line="40" w:lineRule="exact"/>
              <w:rPr>
                <w:sz w:val="20"/>
                <w:szCs w:val="20"/>
                <w:color w:val="auto"/>
              </w:rPr>
            </w:pPr>
            <w:r>
              <w:rPr>
                <w:rFonts w:ascii="Arial" w:cs="Arial" w:eastAsia="Arial" w:hAnsi="Arial"/>
                <w:sz w:val="4"/>
                <w:szCs w:val="4"/>
                <w:color w:val="FFFFFF"/>
              </w:rPr>
              <w:t>which BSP will acquire control of the Adviser, and (b) the election of six directors nominated by TICC’s board of directors at a special meeting of stockholders of TICC scheduled to be held on October 27, 2015 (the</w:t>
            </w:r>
          </w:p>
        </w:tc>
        <w:tc>
          <w:tcPr>
            <w:tcW w:w="0" w:type="dxa"/>
            <w:vAlign w:val="bottom"/>
          </w:tcPr>
          <w:p>
            <w:pPr>
              <w:spacing w:after="0" w:line="20" w:lineRule="exact"/>
              <w:rPr>
                <w:sz w:val="1"/>
                <w:szCs w:val="1"/>
                <w:color w:val="auto"/>
              </w:rPr>
            </w:pPr>
          </w:p>
        </w:tc>
      </w:tr>
      <w:tr>
        <w:trPr>
          <w:trHeight w:val="39"/>
        </w:trPr>
        <w:tc>
          <w:tcPr>
            <w:tcW w:w="1280" w:type="dxa"/>
            <w:vAlign w:val="bottom"/>
            <w:gridSpan w:val="3"/>
          </w:tcPr>
          <w:p>
            <w:pPr>
              <w:spacing w:after="0" w:line="40" w:lineRule="exact"/>
              <w:rPr>
                <w:sz w:val="20"/>
                <w:szCs w:val="20"/>
                <w:color w:val="auto"/>
              </w:rPr>
            </w:pPr>
            <w:r>
              <w:rPr>
                <w:rFonts w:ascii="Arial" w:cs="Arial" w:eastAsia="Arial" w:hAnsi="Arial"/>
                <w:sz w:val="4"/>
                <w:szCs w:val="4"/>
                <w:color w:val="FFFFFF"/>
              </w:rPr>
              <w:t>“Special Meeting”).</w:t>
            </w:r>
          </w:p>
        </w:tc>
        <w:tc>
          <w:tcPr>
            <w:tcW w:w="2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180" w:type="dxa"/>
            <w:vAlign w:val="bottom"/>
            <w:gridSpan w:val="2"/>
            <w:vMerge w:val="restart"/>
          </w:tcPr>
          <w:p>
            <w:pPr>
              <w:ind w:left="200"/>
              <w:spacing w:after="0" w:line="79" w:lineRule="exact"/>
              <w:rPr>
                <w:sz w:val="20"/>
                <w:szCs w:val="20"/>
                <w:color w:val="auto"/>
              </w:rPr>
            </w:pPr>
            <w:r>
              <w:rPr>
                <w:rFonts w:ascii="Arial" w:cs="Arial" w:eastAsia="Arial" w:hAnsi="Arial"/>
                <w:sz w:val="9"/>
                <w:szCs w:val="9"/>
                <w:color w:val="FFFFFF"/>
              </w:rPr>
              <w:t>PROXY STATEMENT AND ITS OTHER PROXY</w:t>
            </w:r>
          </w:p>
        </w:tc>
        <w:tc>
          <w:tcPr>
            <w:tcW w:w="0" w:type="dxa"/>
            <w:vAlign w:val="bottom"/>
          </w:tcPr>
          <w:p>
            <w:pPr>
              <w:spacing w:after="0" w:line="20" w:lineRule="exact"/>
              <w:rPr>
                <w:sz w:val="1"/>
                <w:szCs w:val="1"/>
                <w:color w:val="auto"/>
              </w:rPr>
            </w:pPr>
          </w:p>
        </w:tc>
      </w:tr>
      <w:tr>
        <w:trPr>
          <w:trHeight w:val="39"/>
        </w:trPr>
        <w:tc>
          <w:tcPr>
            <w:tcW w:w="5220" w:type="dxa"/>
            <w:vAlign w:val="bottom"/>
            <w:gridSpan w:val="5"/>
          </w:tcPr>
          <w:p>
            <w:pPr>
              <w:spacing w:after="0" w:line="40" w:lineRule="exact"/>
              <w:rPr>
                <w:sz w:val="20"/>
                <w:szCs w:val="20"/>
                <w:color w:val="auto"/>
              </w:rPr>
            </w:pPr>
            <w:r>
              <w:rPr>
                <w:rFonts w:ascii="Arial" w:cs="Arial" w:eastAsia="Arial" w:hAnsi="Arial"/>
                <w:sz w:val="4"/>
                <w:szCs w:val="4"/>
                <w:color w:val="FFFFFF"/>
              </w:rPr>
              <w:t>TSLX STRONGLY ADVISES ALL STOCKHOLDERS OF THE COMPANY  O READ THE</w:t>
            </w:r>
          </w:p>
        </w:tc>
        <w:tc>
          <w:tcPr>
            <w:tcW w:w="61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spacing w:after="0" w:line="40" w:lineRule="exact"/>
              <w:rPr>
                <w:sz w:val="20"/>
                <w:szCs w:val="20"/>
                <w:color w:val="auto"/>
              </w:rPr>
            </w:pPr>
            <w:r>
              <w:rPr>
                <w:rFonts w:ascii="Arial" w:cs="Arial" w:eastAsia="Arial" w:hAnsi="Arial"/>
                <w:sz w:val="4"/>
                <w:szCs w:val="4"/>
                <w:color w:val="FFFFFF"/>
              </w:rPr>
              <w:t>MA</w:t>
            </w:r>
          </w:p>
        </w:tc>
        <w:tc>
          <w:tcPr>
            <w:tcW w:w="260" w:type="dxa"/>
            <w:vAlign w:val="bottom"/>
          </w:tcPr>
          <w:p>
            <w:pPr>
              <w:ind w:left="80"/>
              <w:spacing w:after="0" w:line="40" w:lineRule="exact"/>
              <w:rPr>
                <w:sz w:val="20"/>
                <w:szCs w:val="20"/>
                <w:color w:val="auto"/>
              </w:rPr>
            </w:pPr>
            <w:r>
              <w:rPr>
                <w:rFonts w:ascii="Arial" w:cs="Arial" w:eastAsia="Arial" w:hAnsi="Arial"/>
                <w:sz w:val="4"/>
                <w:szCs w:val="4"/>
                <w:color w:val="FFFFFF"/>
              </w:rPr>
              <w:t>AS</w:t>
            </w:r>
          </w:p>
        </w:tc>
        <w:tc>
          <w:tcPr>
            <w:tcW w:w="320" w:type="dxa"/>
            <w:vAlign w:val="bottom"/>
          </w:tcPr>
          <w:p>
            <w:pPr>
              <w:spacing w:after="0"/>
              <w:rPr>
                <w:sz w:val="3"/>
                <w:szCs w:val="3"/>
                <w:color w:val="auto"/>
              </w:rPr>
            </w:pPr>
          </w:p>
        </w:tc>
        <w:tc>
          <w:tcPr>
            <w:tcW w:w="2120" w:type="dxa"/>
            <w:vAlign w:val="bottom"/>
          </w:tcPr>
          <w:p>
            <w:pPr>
              <w:ind w:left="80"/>
              <w:spacing w:after="0" w:line="40" w:lineRule="exact"/>
              <w:rPr>
                <w:sz w:val="20"/>
                <w:szCs w:val="20"/>
                <w:color w:val="auto"/>
              </w:rPr>
            </w:pPr>
            <w:r>
              <w:rPr>
                <w:rFonts w:ascii="Arial" w:cs="Arial" w:eastAsia="Arial" w:hAnsi="Arial"/>
                <w:sz w:val="4"/>
                <w:szCs w:val="4"/>
                <w:color w:val="FFFFFF"/>
              </w:rPr>
              <w:t>BECOME AVAILABLE BECAUSE</w:t>
            </w:r>
          </w:p>
        </w:tc>
        <w:tc>
          <w:tcPr>
            <w:tcW w:w="8000" w:type="dxa"/>
            <w:vAlign w:val="bottom"/>
            <w:gridSpan w:val="3"/>
          </w:tcPr>
          <w:p>
            <w:pPr>
              <w:ind w:left="300"/>
              <w:spacing w:after="0" w:line="40" w:lineRule="exact"/>
              <w:rPr>
                <w:sz w:val="20"/>
                <w:szCs w:val="20"/>
                <w:color w:val="auto"/>
              </w:rPr>
            </w:pPr>
            <w:r>
              <w:rPr>
                <w:rFonts w:ascii="Arial" w:cs="Arial" w:eastAsia="Arial" w:hAnsi="Arial"/>
                <w:sz w:val="4"/>
                <w:szCs w:val="4"/>
                <w:color w:val="FFFFFF"/>
              </w:rPr>
              <w:t>WILL CONTAIN IMPORTSLXANT INFORMATION. SUCH TSLX PROXY MATERIALS WILL</w:t>
            </w:r>
          </w:p>
        </w:tc>
        <w:tc>
          <w:tcPr>
            <w:tcW w:w="0" w:type="dxa"/>
            <w:vAlign w:val="bottom"/>
          </w:tcPr>
          <w:p>
            <w:pPr>
              <w:spacing w:after="0" w:line="20" w:lineRule="exact"/>
              <w:rPr>
                <w:sz w:val="1"/>
                <w:szCs w:val="1"/>
                <w:color w:val="auto"/>
              </w:rPr>
            </w:pPr>
          </w:p>
        </w:tc>
      </w:tr>
      <w:tr>
        <w:trPr>
          <w:trHeight w:val="39"/>
        </w:trPr>
        <w:tc>
          <w:tcPr>
            <w:tcW w:w="960" w:type="dxa"/>
            <w:vAlign w:val="bottom"/>
            <w:gridSpan w:val="2"/>
          </w:tcPr>
          <w:p>
            <w:pPr>
              <w:spacing w:after="0" w:line="40" w:lineRule="exact"/>
              <w:rPr>
                <w:sz w:val="20"/>
                <w:szCs w:val="20"/>
                <w:color w:val="auto"/>
              </w:rPr>
            </w:pPr>
            <w:r>
              <w:rPr>
                <w:rFonts w:ascii="Arial" w:cs="Arial" w:eastAsia="Arial" w:hAnsi="Arial"/>
                <w:sz w:val="4"/>
                <w:szCs w:val="4"/>
                <w:color w:val="FFFFFF"/>
              </w:rPr>
              <w:t>BE TERIALSVAILABLE</w:t>
            </w:r>
          </w:p>
        </w:tc>
        <w:tc>
          <w:tcPr>
            <w:tcW w:w="10440" w:type="dxa"/>
            <w:vAlign w:val="bottom"/>
            <w:gridSpan w:val="5"/>
          </w:tcPr>
          <w:p>
            <w:pPr>
              <w:ind w:left="20"/>
              <w:spacing w:after="0" w:line="40" w:lineRule="exact"/>
              <w:rPr>
                <w:sz w:val="20"/>
                <w:szCs w:val="20"/>
                <w:color w:val="auto"/>
              </w:rPr>
            </w:pPr>
            <w:r>
              <w:rPr>
                <w:rFonts w:ascii="Arial" w:cs="Arial" w:eastAsia="Arial" w:hAnsi="Arial"/>
                <w:sz w:val="4"/>
                <w:szCs w:val="4"/>
                <w:color w:val="FFFFFF"/>
              </w:rPr>
              <w:t>THEYNO CHARGE ON THE SEC’S WEB SITETHEY HTTP://WWW.SEC.GOV AND AT TSLX’S WEBSITE A</w:t>
            </w:r>
          </w:p>
        </w:tc>
        <w:tc>
          <w:tcPr>
            <w:tcW w:w="0" w:type="dxa"/>
            <w:vAlign w:val="bottom"/>
          </w:tcPr>
          <w:p>
            <w:pPr>
              <w:spacing w:after="0" w:line="20" w:lineRule="exact"/>
              <w:rPr>
                <w:sz w:val="1"/>
                <w:szCs w:val="1"/>
                <w:color w:val="auto"/>
              </w:rPr>
            </w:pPr>
          </w:p>
        </w:tc>
      </w:tr>
      <w:tr>
        <w:trPr>
          <w:trHeight w:val="39"/>
        </w:trPr>
        <w:tc>
          <w:tcPr>
            <w:tcW w:w="5220" w:type="dxa"/>
            <w:vAlign w:val="bottom"/>
            <w:gridSpan w:val="5"/>
          </w:tcPr>
          <w:p>
            <w:pPr>
              <w:spacing w:after="0" w:line="40" w:lineRule="exact"/>
              <w:rPr>
                <w:sz w:val="20"/>
                <w:szCs w:val="20"/>
                <w:color w:val="auto"/>
              </w:rPr>
            </w:pPr>
            <w:r>
              <w:rPr>
                <w:rFonts w:ascii="Arial" w:cs="Arial" w:eastAsia="Arial" w:hAnsi="Arial"/>
                <w:sz w:val="4"/>
                <w:szCs w:val="4"/>
                <w:color w:val="FFFFFF"/>
              </w:rPr>
              <w:t>HTTP://WWW.TPGSPECIALTYLENDING.COM. IN ADDITION, TSLX WILL PROVIDE</w:t>
            </w:r>
          </w:p>
        </w:tc>
        <w:tc>
          <w:tcPr>
            <w:tcW w:w="6180" w:type="dxa"/>
            <w:vAlign w:val="bottom"/>
            <w:gridSpan w:val="2"/>
          </w:tcPr>
          <w:p>
            <w:pPr>
              <w:ind w:left="220"/>
              <w:spacing w:after="0" w:line="40" w:lineRule="exact"/>
              <w:rPr>
                <w:sz w:val="20"/>
                <w:szCs w:val="20"/>
                <w:color w:val="auto"/>
              </w:rPr>
            </w:pPr>
            <w:r>
              <w:rPr>
                <w:rFonts w:ascii="Arial" w:cs="Arial" w:eastAsia="Arial" w:hAnsi="Arial"/>
                <w:sz w:val="4"/>
                <w:szCs w:val="4"/>
                <w:color w:val="FFFFFF"/>
              </w:rPr>
              <w:t>OF THE PROXY STATEMENT WITHOUT CHARGE,</w:t>
            </w:r>
          </w:p>
        </w:tc>
        <w:tc>
          <w:tcPr>
            <w:tcW w:w="0" w:type="dxa"/>
            <w:vAlign w:val="bottom"/>
          </w:tcPr>
          <w:p>
            <w:pPr>
              <w:spacing w:after="0" w:line="20" w:lineRule="exact"/>
              <w:rPr>
                <w:sz w:val="1"/>
                <w:szCs w:val="1"/>
                <w:color w:val="auto"/>
              </w:rPr>
            </w:pPr>
          </w:p>
        </w:tc>
      </w:tr>
      <w:tr>
        <w:trPr>
          <w:trHeight w:val="39"/>
        </w:trPr>
        <w:tc>
          <w:tcPr>
            <w:tcW w:w="11400" w:type="dxa"/>
            <w:vAlign w:val="bottom"/>
            <w:gridSpan w:val="7"/>
          </w:tcPr>
          <w:p>
            <w:pPr>
              <w:spacing w:after="0" w:line="40" w:lineRule="exact"/>
              <w:rPr>
                <w:sz w:val="20"/>
                <w:szCs w:val="20"/>
                <w:color w:val="auto"/>
              </w:rPr>
            </w:pPr>
            <w:r>
              <w:rPr>
                <w:rFonts w:ascii="Arial" w:cs="Arial" w:eastAsia="Arial" w:hAnsi="Arial"/>
                <w:sz w:val="4"/>
                <w:szCs w:val="4"/>
                <w:color w:val="FFFFFF"/>
              </w:rPr>
              <w:t>WHEN  VAILABLE, UPON REQUEST. REQUESTS FOR COPIES SHOULD BE DIRECTEDCOPIESTTSLX’S PROXY SOLICITOR AT</w:t>
            </w:r>
          </w:p>
        </w:tc>
        <w:tc>
          <w:tcPr>
            <w:tcW w:w="0" w:type="dxa"/>
            <w:vAlign w:val="bottom"/>
          </w:tcPr>
          <w:p>
            <w:pPr>
              <w:spacing w:after="0" w:line="20" w:lineRule="exact"/>
              <w:rPr>
                <w:sz w:val="1"/>
                <w:szCs w:val="1"/>
                <w:color w:val="auto"/>
              </w:rPr>
            </w:pPr>
          </w:p>
        </w:tc>
      </w:tr>
      <w:tr>
        <w:trPr>
          <w:trHeight w:val="39"/>
        </w:trPr>
        <w:tc>
          <w:tcPr>
            <w:tcW w:w="3400" w:type="dxa"/>
            <w:vAlign w:val="bottom"/>
            <w:gridSpan w:val="4"/>
          </w:tcPr>
          <w:p>
            <w:pPr>
              <w:ind w:left="80"/>
              <w:spacing w:after="0" w:line="40" w:lineRule="exact"/>
              <w:rPr>
                <w:sz w:val="20"/>
                <w:szCs w:val="20"/>
                <w:color w:val="auto"/>
              </w:rPr>
            </w:pPr>
            <w:r>
              <w:rPr>
                <w:rFonts w:ascii="Arial" w:cs="Arial" w:eastAsia="Arial" w:hAnsi="Arial"/>
                <w:sz w:val="4"/>
                <w:szCs w:val="4"/>
                <w:color w:val="FFFFFF"/>
              </w:rPr>
              <w:t>ROXY@MACKENZIEPARTNERS.COM.</w:t>
            </w:r>
          </w:p>
        </w:tc>
        <w:tc>
          <w:tcPr>
            <w:tcW w:w="1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spacing w:after="0" w:line="40" w:lineRule="exact"/>
              <w:rPr>
                <w:sz w:val="20"/>
                <w:szCs w:val="20"/>
                <w:color w:val="auto"/>
              </w:rPr>
            </w:pPr>
            <w:r>
              <w:rPr>
                <w:rFonts w:ascii="Arial" w:cs="Arial" w:eastAsia="Arial" w:hAnsi="Arial"/>
                <w:sz w:val="4"/>
                <w:szCs w:val="4"/>
                <w:color w:val="FFFFFF"/>
              </w:rPr>
              <w:t>Participants</w:t>
            </w:r>
          </w:p>
        </w:tc>
        <w:tc>
          <w:tcPr>
            <w:tcW w:w="270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a Solicitation</w:t>
            </w:r>
          </w:p>
        </w:tc>
        <w:tc>
          <w:tcPr>
            <w:tcW w:w="1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760" w:type="dxa"/>
            <w:vAlign w:val="bottom"/>
            <w:vMerge w:val="restart"/>
          </w:tcPr>
          <w:p>
            <w:pPr>
              <w:ind w:left="640"/>
              <w:spacing w:after="0" w:line="79" w:lineRule="exact"/>
              <w:rPr>
                <w:sz w:val="20"/>
                <w:szCs w:val="20"/>
                <w:color w:val="auto"/>
              </w:rPr>
            </w:pPr>
            <w:r>
              <w:rPr>
                <w:rFonts w:ascii="Arial" w:cs="Arial" w:eastAsia="Arial" w:hAnsi="Arial"/>
                <w:sz w:val="9"/>
                <w:szCs w:val="9"/>
                <w:color w:val="FFFFFF"/>
              </w:rPr>
              <w:t>with respect to the proposed transaction under the rules of the SEC. Security holders may obtain</w:t>
            </w:r>
          </w:p>
        </w:tc>
        <w:tc>
          <w:tcPr>
            <w:tcW w:w="0" w:type="dxa"/>
            <w:vAlign w:val="bottom"/>
          </w:tcPr>
          <w:p>
            <w:pPr>
              <w:spacing w:after="0" w:line="20" w:lineRule="exact"/>
              <w:rPr>
                <w:sz w:val="1"/>
                <w:szCs w:val="1"/>
                <w:color w:val="auto"/>
              </w:rPr>
            </w:pPr>
          </w:p>
        </w:tc>
      </w:tr>
      <w:tr>
        <w:trPr>
          <w:trHeight w:val="39"/>
        </w:trPr>
        <w:tc>
          <w:tcPr>
            <w:tcW w:w="5640" w:type="dxa"/>
            <w:vAlign w:val="bottom"/>
            <w:gridSpan w:val="6"/>
          </w:tcPr>
          <w:p>
            <w:pPr>
              <w:spacing w:after="0" w:line="40" w:lineRule="exact"/>
              <w:rPr>
                <w:sz w:val="20"/>
                <w:szCs w:val="20"/>
                <w:color w:val="auto"/>
              </w:rPr>
            </w:pPr>
            <w:r>
              <w:rPr>
                <w:rFonts w:ascii="Arial" w:cs="Arial" w:eastAsia="Arial" w:hAnsi="Arial"/>
                <w:sz w:val="4"/>
                <w:szCs w:val="4"/>
                <w:color w:val="FFFFFF"/>
              </w:rPr>
              <w:t>TSLX and certain of its respective directors and executive officers may be deemed to be participants in any</w:t>
            </w:r>
          </w:p>
        </w:tc>
        <w:tc>
          <w:tcPr>
            <w:tcW w:w="5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00" w:type="dxa"/>
            <w:vAlign w:val="bottom"/>
            <w:gridSpan w:val="7"/>
          </w:tcPr>
          <w:p>
            <w:pPr>
              <w:spacing w:after="0" w:line="40" w:lineRule="exact"/>
              <w:rPr>
                <w:sz w:val="20"/>
                <w:szCs w:val="20"/>
                <w:color w:val="auto"/>
              </w:rPr>
            </w:pPr>
            <w:r>
              <w:rPr>
                <w:rFonts w:ascii="Arial" w:cs="Arial" w:eastAsia="Arial" w:hAnsi="Arial"/>
                <w:sz w:val="4"/>
                <w:szCs w:val="4"/>
                <w:color w:val="FFFFFF"/>
              </w:rPr>
              <w:t>information regarding the names, affiliations and interests of TSLX’s directors and executive officers in TSLX’solicitationAnnual Report on Form 10-K for the year ended December 31, 2014, which was filed with the SEC on</w:t>
            </w:r>
          </w:p>
        </w:tc>
        <w:tc>
          <w:tcPr>
            <w:tcW w:w="0" w:type="dxa"/>
            <w:vAlign w:val="bottom"/>
          </w:tcPr>
          <w:p>
            <w:pPr>
              <w:spacing w:after="0" w:line="20" w:lineRule="exact"/>
              <w:rPr>
                <w:sz w:val="1"/>
                <w:szCs w:val="1"/>
                <w:color w:val="auto"/>
              </w:rPr>
            </w:pPr>
          </w:p>
        </w:tc>
      </w:tr>
      <w:tr>
        <w:trPr>
          <w:trHeight w:val="39"/>
        </w:trPr>
        <w:tc>
          <w:tcPr>
            <w:tcW w:w="11400" w:type="dxa"/>
            <w:vAlign w:val="bottom"/>
            <w:gridSpan w:val="7"/>
          </w:tcPr>
          <w:p>
            <w:pPr>
              <w:spacing w:after="0" w:line="40" w:lineRule="exact"/>
              <w:rPr>
                <w:sz w:val="20"/>
                <w:szCs w:val="20"/>
                <w:color w:val="auto"/>
              </w:rPr>
            </w:pPr>
            <w:r>
              <w:rPr>
                <w:rFonts w:ascii="Arial" w:cs="Arial" w:eastAsia="Arial" w:hAnsi="Arial"/>
                <w:sz w:val="4"/>
                <w:szCs w:val="4"/>
                <w:color w:val="FFFFFF"/>
              </w:rPr>
              <w:t>February 24, 2015, its proxy statement for the 2015 Annual Meeting, which was filed with the SEC on April 10, 2015 and certain of its Current Reports on Form 8-K. These documents can be obtained free of charge</w:t>
            </w:r>
          </w:p>
        </w:tc>
        <w:tc>
          <w:tcPr>
            <w:tcW w:w="0" w:type="dxa"/>
            <w:vAlign w:val="bottom"/>
          </w:tcPr>
          <w:p>
            <w:pPr>
              <w:spacing w:after="0" w:line="20" w:lineRule="exact"/>
              <w:rPr>
                <w:sz w:val="1"/>
                <w:szCs w:val="1"/>
                <w:color w:val="auto"/>
              </w:rPr>
            </w:pPr>
          </w:p>
        </w:tc>
      </w:tr>
      <w:tr>
        <w:trPr>
          <w:trHeight w:val="0"/>
        </w:trPr>
        <w:tc>
          <w:tcPr>
            <w:tcW w:w="960" w:type="dxa"/>
            <w:vAlign w:val="bottom"/>
            <w:gridSpan w:val="2"/>
          </w:tcPr>
          <w:p>
            <w:pPr>
              <w:spacing w:after="0" w:line="78" w:lineRule="exact"/>
              <w:rPr>
                <w:sz w:val="20"/>
                <w:szCs w:val="20"/>
                <w:color w:val="auto"/>
              </w:rPr>
            </w:pPr>
            <w:r>
              <w:rPr>
                <w:rFonts w:ascii="Arial" w:cs="Arial" w:eastAsia="Arial" w:hAnsi="Arial"/>
                <w:sz w:val="8"/>
                <w:szCs w:val="8"/>
                <w:color w:val="FFFFFF"/>
              </w:rPr>
              <w:t>from the sources</w:t>
            </w:r>
          </w:p>
        </w:tc>
        <w:tc>
          <w:tcPr>
            <w:tcW w:w="320" w:type="dxa"/>
            <w:vAlign w:val="bottom"/>
          </w:tcPr>
          <w:p>
            <w:pPr>
              <w:spacing w:after="0" w:line="20" w:lineRule="exact"/>
              <w:rPr>
                <w:sz w:val="1"/>
                <w:szCs w:val="1"/>
                <w:color w:val="auto"/>
              </w:rPr>
            </w:pPr>
          </w:p>
        </w:tc>
        <w:tc>
          <w:tcPr>
            <w:tcW w:w="4360" w:type="dxa"/>
            <w:vAlign w:val="bottom"/>
            <w:gridSpan w:val="3"/>
          </w:tcPr>
          <w:p>
            <w:pPr>
              <w:jc w:val="right"/>
              <w:ind w:right="167"/>
              <w:spacing w:after="0" w:line="78" w:lineRule="exact"/>
              <w:rPr>
                <w:sz w:val="20"/>
                <w:szCs w:val="20"/>
                <w:color w:val="auto"/>
              </w:rPr>
            </w:pPr>
            <w:r>
              <w:rPr>
                <w:rFonts w:ascii="Arial" w:cs="Arial" w:eastAsia="Arial" w:hAnsi="Arial"/>
                <w:sz w:val="8"/>
                <w:szCs w:val="8"/>
                <w:color w:val="FFFFFF"/>
              </w:rPr>
              <w:t>above. Additional information regarding the interests of these participants in</w:t>
            </w:r>
          </w:p>
        </w:tc>
        <w:tc>
          <w:tcPr>
            <w:tcW w:w="5760" w:type="dxa"/>
            <w:vAlign w:val="bottom"/>
          </w:tcPr>
          <w:p>
            <w:pPr>
              <w:ind w:left="20"/>
              <w:spacing w:after="0" w:line="78" w:lineRule="exact"/>
              <w:rPr>
                <w:sz w:val="20"/>
                <w:szCs w:val="20"/>
                <w:color w:val="auto"/>
              </w:rPr>
            </w:pPr>
            <w:r>
              <w:rPr>
                <w:rFonts w:ascii="Arial" w:cs="Arial" w:eastAsia="Arial" w:hAnsi="Arial"/>
                <w:sz w:val="8"/>
                <w:szCs w:val="8"/>
                <w:color w:val="FFFFFF"/>
              </w:rPr>
              <w:t>proxy solicitation and a description   their direct and indirect interests, by security holdings or otherwise,</w:t>
            </w:r>
          </w:p>
        </w:tc>
        <w:tc>
          <w:tcPr>
            <w:tcW w:w="0" w:type="dxa"/>
            <w:vAlign w:val="bottom"/>
          </w:tcPr>
          <w:p>
            <w:pPr>
              <w:spacing w:after="0" w:line="20" w:lineRule="exact"/>
              <w:rPr>
                <w:sz w:val="1"/>
                <w:szCs w:val="1"/>
                <w:color w:val="auto"/>
              </w:rPr>
            </w:pPr>
          </w:p>
        </w:tc>
      </w:tr>
    </w:tbl>
    <w:p>
      <w:pPr>
        <w:ind w:right="180"/>
        <w:spacing w:after="0" w:line="211" w:lineRule="auto"/>
        <w:rPr>
          <w:sz w:val="20"/>
          <w:szCs w:val="20"/>
          <w:color w:val="auto"/>
        </w:rPr>
      </w:pPr>
      <w:r>
        <w:rPr>
          <w:rFonts w:ascii="Arial" w:cs="Arial" w:eastAsia="Arial" w:hAnsi="Arial"/>
          <w:sz w:val="4"/>
          <w:szCs w:val="4"/>
          <w:color w:val="FFFFFF"/>
        </w:rPr>
        <w:t>will also be includedindicatedany proxy statement and other relevant materials to be filed with the SEC when they become available. As of the date hereof, TSLX directly beneficially owned 1,633,660 shares of Common Stock of TICC.</w:t>
      </w:r>
    </w:p>
    <w:p>
      <w:pPr>
        <w:spacing w:after="0"/>
        <w:rPr>
          <w:sz w:val="20"/>
          <w:szCs w:val="20"/>
          <w:color w:val="auto"/>
        </w:rPr>
      </w:pPr>
      <w:r>
        <w:rPr>
          <w:rFonts w:ascii="Arial" w:cs="Arial" w:eastAsia="Arial" w:hAnsi="Arial"/>
          <w:sz w:val="13"/>
          <w:szCs w:val="13"/>
          <w:color w:val="FFFFFF"/>
        </w:rPr>
        <w:t>TSLX (NYSE)</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2019-12-20T23:16:35Z</dcterms:created>
  <dcterms:modified xsi:type="dcterms:W3CDTF">2019-12-20T23:16:35Z</dcterms:modified>
</cp:coreProperties>
</file>