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8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tbl>
      <w:tblPr>
        <w:tblLayout w:type="fixed"/>
        <w:tblInd w:w="4" w:type="dxa"/>
        <w:tblCellMar>
          <w:top w:w="0" w:type="dxa"/>
          <w:left w:w="0" w:type="dxa"/>
          <w:bottom w:w="0" w:type="dxa"/>
          <w:right w:w="0" w:type="dxa"/>
        </w:tblCellMar>
      </w:tblPr>
      <w:tr>
        <w:trPr>
          <w:trHeight w:val="380"/>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Times New Roman" w:cs="Times New Roman" w:eastAsia="Times New Roman" w:hAnsi="Times New Roman"/>
                <w:sz w:val="32"/>
                <w:szCs w:val="32"/>
                <w:b w:val="1"/>
                <w:bCs w:val="1"/>
                <w:color w:val="auto"/>
              </w:rPr>
              <w:t>SCHEDULE 14A</w:t>
            </w:r>
          </w:p>
        </w:tc>
      </w:tr>
      <w:tr>
        <w:trPr>
          <w:trHeight w:val="286"/>
        </w:trPr>
        <w:tc>
          <w:tcPr>
            <w:tcW w:w="2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20" w:type="dxa"/>
            <w:vAlign w:val="bottom"/>
            <w:gridSpan w:val="2"/>
          </w:tcPr>
          <w:p>
            <w:pPr>
              <w:jc w:val="center"/>
              <w:ind w:right="1100"/>
              <w:spacing w:after="0"/>
              <w:rPr>
                <w:sz w:val="20"/>
                <w:szCs w:val="20"/>
                <w:color w:val="auto"/>
              </w:rPr>
            </w:pPr>
            <w:r>
              <w:rPr>
                <w:rFonts w:ascii="Times New Roman" w:cs="Times New Roman" w:eastAsia="Times New Roman" w:hAnsi="Times New Roman"/>
                <w:sz w:val="22"/>
                <w:szCs w:val="22"/>
                <w:b w:val="1"/>
                <w:bCs w:val="1"/>
                <w:color w:val="auto"/>
                <w:w w:val="98"/>
              </w:rPr>
              <w:t>(RULE 14a-101)</w:t>
            </w:r>
          </w:p>
        </w:tc>
      </w:tr>
      <w:tr>
        <w:trPr>
          <w:trHeight w:val="218"/>
        </w:trPr>
        <w:tc>
          <w:tcPr>
            <w:tcW w:w="2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100" w:type="dxa"/>
            <w:vAlign w:val="bottom"/>
          </w:tcPr>
          <w:p>
            <w:pPr>
              <w:spacing w:after="0"/>
              <w:rPr>
                <w:sz w:val="18"/>
                <w:szCs w:val="18"/>
                <w:color w:val="auto"/>
              </w:rPr>
            </w:pPr>
          </w:p>
        </w:tc>
      </w:tr>
      <w:tr>
        <w:trPr>
          <w:trHeight w:val="313"/>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Times New Roman" w:cs="Times New Roman" w:eastAsia="Times New Roman" w:hAnsi="Times New Roman"/>
                <w:sz w:val="22"/>
                <w:szCs w:val="22"/>
                <w:b w:val="1"/>
                <w:bCs w:val="1"/>
                <w:color w:val="auto"/>
                <w:w w:val="98"/>
              </w:rPr>
              <w:t>Proxy Statement Pursuant to Section 14(a) of the</w:t>
            </w:r>
          </w:p>
        </w:tc>
      </w:tr>
      <w:tr>
        <w:trPr>
          <w:trHeight w:val="286"/>
        </w:trPr>
        <w:tc>
          <w:tcPr>
            <w:tcW w:w="2300" w:type="dxa"/>
            <w:vAlign w:val="bottom"/>
          </w:tcPr>
          <w:p>
            <w:pPr>
              <w:spacing w:after="0"/>
              <w:rPr>
                <w:sz w:val="24"/>
                <w:szCs w:val="24"/>
                <w:color w:val="auto"/>
              </w:rPr>
            </w:pPr>
          </w:p>
        </w:tc>
        <w:tc>
          <w:tcPr>
            <w:tcW w:w="5460" w:type="dxa"/>
            <w:vAlign w:val="bottom"/>
            <w:gridSpan w:val="3"/>
          </w:tcPr>
          <w:p>
            <w:pPr>
              <w:jc w:val="center"/>
              <w:ind w:left="823"/>
              <w:spacing w:after="0"/>
              <w:rPr>
                <w:sz w:val="20"/>
                <w:szCs w:val="20"/>
                <w:color w:val="auto"/>
              </w:rPr>
            </w:pPr>
            <w:r>
              <w:rPr>
                <w:rFonts w:ascii="Times New Roman" w:cs="Times New Roman" w:eastAsia="Times New Roman" w:hAnsi="Times New Roman"/>
                <w:sz w:val="22"/>
                <w:szCs w:val="22"/>
                <w:b w:val="1"/>
                <w:bCs w:val="1"/>
                <w:color w:val="auto"/>
                <w:w w:val="98"/>
              </w:rPr>
              <w:t>Securities Exchange Act of 1934</w:t>
            </w:r>
          </w:p>
        </w:tc>
      </w:tr>
      <w:tr>
        <w:trPr>
          <w:trHeight w:val="332"/>
        </w:trPr>
        <w:tc>
          <w:tcPr>
            <w:tcW w:w="23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tc>
        <w:tc>
          <w:tcPr>
            <w:tcW w:w="5460" w:type="dxa"/>
            <w:vAlign w:val="bottom"/>
            <w:gridSpan w:val="3"/>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0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2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03" w:lineRule="exact"/>
        <w:rPr>
          <w:sz w:val="24"/>
          <w:szCs w:val="24"/>
          <w:color w:val="auto"/>
        </w:rPr>
      </w:pPr>
    </w:p>
    <w:p>
      <w:pPr>
        <w:ind w:left="664" w:hanging="664"/>
        <w:spacing w:after="0"/>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4" w:hanging="664"/>
        <w:spacing w:after="0"/>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64" w:hanging="664"/>
        <w:spacing w:after="0"/>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664" w:hanging="664"/>
        <w:spacing w:after="0"/>
        <w:tabs>
          <w:tab w:leader="none" w:pos="6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664" w:hanging="664"/>
        <w:spacing w:after="0"/>
        <w:tabs>
          <w:tab w:leader="none" w:pos="6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82"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0"/>
          <w:szCs w:val="40"/>
          <w:b w:val="1"/>
          <w:bCs w:val="1"/>
          <w:color w:val="auto"/>
        </w:rPr>
        <w:t>Sixth Street Specialty Lending, Inc.</w:t>
      </w:r>
    </w:p>
    <w:p>
      <w:pPr>
        <w:spacing w:after="0" w:line="4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1" w:lineRule="exact"/>
        <w:rPr>
          <w:sz w:val="24"/>
          <w:szCs w:val="24"/>
          <w:color w:val="auto"/>
        </w:rPr>
      </w:pPr>
    </w:p>
    <w:p>
      <w:pPr>
        <w:ind w:left="330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0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31" w:lineRule="exact"/>
        <w:rPr>
          <w:sz w:val="24"/>
          <w:szCs w:val="24"/>
          <w:color w:val="auto"/>
        </w:rPr>
      </w:pPr>
    </w:p>
    <w:p>
      <w:pPr>
        <w:ind w:left="664" w:hanging="664"/>
        <w:spacing w:after="0"/>
        <w:tabs>
          <w:tab w:leader="none" w:pos="6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664" w:hanging="664"/>
        <w:spacing w:after="0"/>
        <w:tabs>
          <w:tab w:leader="none" w:pos="6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64" w:hanging="664"/>
        <w:spacing w:after="0"/>
        <w:tabs>
          <w:tab w:leader="none" w:pos="6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403"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2100 McKinney Avenue, Suite 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35445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VOTE YOUR PROXY TODAY</w:t>
      </w:r>
    </w:p>
    <w:p>
      <w:pPr>
        <w:spacing w:after="0" w:line="229"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May 18,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right="1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According to our latest records, we have not received your voting instructions for the Special Meeting of Stockholders of Sixth Street Specialty Lending, Inc. to be held on Thursday, May 26, 2022. </w:t>
      </w:r>
      <w:r>
        <w:rPr>
          <w:rFonts w:ascii="Times New Roman" w:cs="Times New Roman" w:eastAsia="Times New Roman" w:hAnsi="Times New Roman"/>
          <w:sz w:val="17"/>
          <w:szCs w:val="17"/>
          <w:b w:val="1"/>
          <w:bCs w:val="1"/>
          <w:color w:val="auto"/>
        </w:rPr>
        <w:t>Your vote is extremely important, no matter how many shares you hold. If we do not receive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your vote, we may have to postpone the Special Meeting and continue to request stockholder participation to reach a required quorum.</w:t>
      </w:r>
    </w:p>
    <w:p>
      <w:pPr>
        <w:spacing w:after="0" w:line="158"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For the reasons set forth in the proxy statement, dated April 13, 2022, the Board of Directors, including the Independent Directors,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w:t>
      </w:r>
      <w:r>
        <w:rPr>
          <w:rFonts w:ascii="Times New Roman" w:cs="Times New Roman" w:eastAsia="Times New Roman" w:hAnsi="Times New Roman"/>
          <w:sz w:val="18"/>
          <w:szCs w:val="18"/>
          <w:b w:val="1"/>
          <w:bCs w:val="1"/>
          <w:color w:val="auto"/>
        </w:rPr>
        <w:t>Please vote via the internet or phone as soon as possible or alternatively, please sign, 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return the enclosed proxy card.</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If you need assistance voting your TSLX shares, please call D.F. King toll-free at (877) 283-0318. On behalf of your Board of Directors, thank you for your cooperation and continued support.</w:t>
      </w:r>
    </w:p>
    <w:p>
      <w:pPr>
        <w:spacing w:after="0" w:line="200" w:lineRule="exact"/>
        <w:rPr>
          <w:sz w:val="20"/>
          <w:szCs w:val="20"/>
          <w:color w:val="auto"/>
        </w:rPr>
      </w:pP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THREE EASY WAYS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1146175</wp:posOffset>
            </wp:positionH>
            <wp:positionV relativeFrom="paragraph">
              <wp:posOffset>173990</wp:posOffset>
            </wp:positionV>
            <wp:extent cx="4705985" cy="17316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05985" cy="1731645"/>
                    </a:xfrm>
                    <a:prstGeom prst="rect">
                      <a:avLst/>
                    </a:prstGeom>
                    <a:noFill/>
                  </pic:spPr>
                </pic:pic>
              </a:graphicData>
            </a:graphic>
          </wp:anchor>
        </w:drawing>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2022-05-18T15:19:02Z</dcterms:created>
  <dcterms:modified xsi:type="dcterms:W3CDTF">2022-05-18T15:19:02Z</dcterms:modified>
</cp:coreProperties>
</file>