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Easterly Joshua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12/31/2013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18"/>
          <w:szCs w:val="18"/>
          <w:color w:val="0000FF"/>
        </w:rPr>
        <w:t>Co-Chief Executive Officer</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0000FF"/>
              </w:rPr>
              <w:t>12/31/2013</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703.59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15.35</w:t>
            </w: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0000FF"/>
              </w:rPr>
              <w:t>6,511.07</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LLC ("TSL Advisers") directly holds 2,604,620 shares of Common Stock of the Issuer, including 6,511.07 shares of Common Stock of the Issuer indirectly beneficially owned by Mr. Easterly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01/03/2014</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2019-12-16T08:17:11Z</dcterms:created>
  <dcterms:modified xsi:type="dcterms:W3CDTF">2019-12-16T08:17:11Z</dcterms:modified>
</cp:coreProperties>
</file>