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r>
              <w:rPr>
                <w:rFonts w:ascii="Arial" w:cs="Arial" w:eastAsia="Arial" w:hAnsi="Arial"/>
                <w:sz w:val="18"/>
                <w:szCs w:val="18"/>
                <w:color w:val="auto"/>
              </w:rPr>
              <w:t>SEC Form 3</w:t>
            </w:r>
          </w:p>
        </w:tc>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740"/>
              <w:spacing w:after="0"/>
              <w:rPr>
                <w:sz w:val="20"/>
                <w:szCs w:val="20"/>
                <w:color w:val="auto"/>
              </w:rPr>
            </w:pPr>
            <w:r>
              <w:rPr>
                <w:rFonts w:ascii="Arial" w:cs="Arial" w:eastAsia="Arial" w:hAnsi="Arial"/>
                <w:sz w:val="21"/>
                <w:szCs w:val="21"/>
                <w:b w:val="1"/>
                <w:bCs w:val="1"/>
                <w:color w:val="auto"/>
              </w:rPr>
              <w:t>FORM 3</w:t>
            </w:r>
          </w:p>
        </w:tc>
        <w:tc>
          <w:tcPr>
            <w:tcW w:w="7040" w:type="dxa"/>
            <w:vAlign w:val="bottom"/>
          </w:tcPr>
          <w:p>
            <w:pPr>
              <w:jc w:val="center"/>
              <w:ind w:left="6"/>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40" w:type="dxa"/>
            <w:vAlign w:val="bottom"/>
            <w:vMerge w:val="restart"/>
          </w:tcPr>
          <w:p>
            <w:pPr>
              <w:jc w:val="center"/>
              <w:ind w:left="6"/>
              <w:spacing w:after="0" w:line="117" w:lineRule="exact"/>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160" w:type="dxa"/>
            <w:vAlign w:val="bottom"/>
          </w:tcPr>
          <w:p>
            <w:pPr>
              <w:spacing w:after="0"/>
              <w:rPr>
                <w:sz w:val="6"/>
                <w:szCs w:val="6"/>
                <w:color w:val="auto"/>
              </w:rPr>
            </w:pPr>
          </w:p>
        </w:tc>
        <w:tc>
          <w:tcPr>
            <w:tcW w:w="7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3"/>
            <w:vMerge w:val="restart"/>
          </w:tcPr>
          <w:p>
            <w:pPr>
              <w:ind w:left="4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1"/>
        </w:trPr>
        <w:tc>
          <w:tcPr>
            <w:tcW w:w="2160" w:type="dxa"/>
            <w:vAlign w:val="bottom"/>
          </w:tcPr>
          <w:p>
            <w:pPr>
              <w:spacing w:after="0"/>
              <w:rPr>
                <w:sz w:val="8"/>
                <w:szCs w:val="8"/>
                <w:color w:val="auto"/>
              </w:rPr>
            </w:pPr>
          </w:p>
        </w:tc>
        <w:tc>
          <w:tcPr>
            <w:tcW w:w="7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40" w:type="dxa"/>
            <w:vAlign w:val="bottom"/>
            <w:vMerge w:val="restart"/>
          </w:tcPr>
          <w:p>
            <w:pPr>
              <w:jc w:val="center"/>
              <w:ind w:left="6"/>
              <w:spacing w:after="0" w:line="164" w:lineRule="exact"/>
              <w:rPr>
                <w:sz w:val="20"/>
                <w:szCs w:val="20"/>
                <w:color w:val="auto"/>
              </w:rPr>
            </w:pPr>
            <w:r>
              <w:rPr>
                <w:rFonts w:ascii="Arial" w:cs="Arial" w:eastAsia="Arial" w:hAnsi="Arial"/>
                <w:sz w:val="18"/>
                <w:szCs w:val="18"/>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60" w:type="dxa"/>
            <w:vAlign w:val="bottom"/>
          </w:tcPr>
          <w:p>
            <w:pPr>
              <w:spacing w:after="0"/>
              <w:rPr>
                <w:sz w:val="10"/>
                <w:szCs w:val="10"/>
                <w:color w:val="auto"/>
              </w:rPr>
            </w:pPr>
          </w:p>
        </w:tc>
        <w:tc>
          <w:tcPr>
            <w:tcW w:w="70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3235-0104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6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7040" w:type="dxa"/>
            <w:vAlign w:val="bottom"/>
            <w:vMerge w:val="restart"/>
          </w:tcPr>
          <w:p>
            <w:pPr>
              <w:jc w:val="center"/>
              <w:ind w:left="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160" w:type="dxa"/>
            <w:vAlign w:val="bottom"/>
          </w:tcPr>
          <w:p>
            <w:pPr>
              <w:spacing w:after="0"/>
              <w:rPr>
                <w:sz w:val="3"/>
                <w:szCs w:val="3"/>
                <w:color w:val="auto"/>
              </w:rPr>
            </w:pPr>
          </w:p>
        </w:tc>
        <w:tc>
          <w:tcPr>
            <w:tcW w:w="7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7192010</wp:posOffset>
            </wp:positionH>
            <wp:positionV relativeFrom="paragraph">
              <wp:posOffset>-554990</wp:posOffset>
            </wp:positionV>
            <wp:extent cx="54610" cy="568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10" cy="56832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-554990</wp:posOffset>
            </wp:positionV>
            <wp:extent cx="54610" cy="568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683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15875</wp:posOffset>
            </wp:positionV>
            <wp:extent cx="7293610" cy="3268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3610" cy="3268345"/>
                    </a:xfrm>
                    <a:prstGeom prst="rect">
                      <a:avLst/>
                    </a:prstGeom>
                    <a:noFill/>
                  </pic:spPr>
                </pic:pic>
              </a:graphicData>
            </a:graphic>
          </wp:anchor>
        </w:drawing>
      </w:r>
    </w:p>
    <w:p>
      <w:pPr>
        <w:sectPr>
          <w:pgSz w:w="11900" w:h="16838" w:orient="portrait"/>
          <w:cols w:equalWidth="0" w:num="1">
            <w:col w:w="11440"/>
          </w:cols>
          <w:pgMar w:left="240" w:top="212" w:right="219" w:bottom="1440" w:gutter="0" w:footer="0" w:header="0"/>
        </w:sectPr>
      </w:pPr>
    </w:p>
    <w:p>
      <w:pPr>
        <w:spacing w:after="0" w:line="43"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060" w:type="dxa"/>
            <w:vAlign w:val="bottom"/>
          </w:tcPr>
          <w:p>
            <w:pPr>
              <w:ind w:left="62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restart"/>
          </w:tcPr>
          <w:p>
            <w:pPr>
              <w:spacing w:after="0"/>
              <w:rPr>
                <w:rFonts w:ascii="Arial" w:cs="Arial" w:eastAsia="Arial" w:hAnsi="Arial"/>
                <w:sz w:val="18"/>
                <w:szCs w:val="18"/>
                <w:color w:val="0000EE"/>
                <w:w w:val="92"/>
              </w:rPr>
            </w:pPr>
            <w:hyperlink r:id="rId11">
              <w:r>
                <w:rPr>
                  <w:rFonts w:ascii="Arial" w:cs="Arial" w:eastAsia="Arial" w:hAnsi="Arial"/>
                  <w:sz w:val="18"/>
                  <w:szCs w:val="18"/>
                  <w:color w:val="0000EE"/>
                  <w:w w:val="92"/>
                </w:rPr>
                <w:t>Mello Jennifer</w:t>
              </w:r>
            </w:hyperlink>
          </w:p>
        </w:tc>
        <w:tc>
          <w:tcPr>
            <w:tcW w:w="1700" w:type="dxa"/>
            <w:vAlign w:val="bottom"/>
          </w:tcPr>
          <w:p>
            <w:pPr>
              <w:spacing w:after="0"/>
              <w:rPr>
                <w:sz w:val="9"/>
                <w:szCs w:val="9"/>
                <w:color w:val="auto"/>
              </w:rPr>
            </w:pPr>
          </w:p>
        </w:tc>
        <w:tc>
          <w:tcPr>
            <w:tcW w:w="2060" w:type="dxa"/>
            <w:vAlign w:val="bottom"/>
          </w:tcPr>
          <w:p>
            <w:pPr>
              <w:ind w:left="620"/>
              <w:spacing w:after="0" w:line="107" w:lineRule="exact"/>
              <w:rPr>
                <w:sz w:val="20"/>
                <w:szCs w:val="20"/>
                <w:color w:val="auto"/>
              </w:rPr>
            </w:pPr>
            <w:r>
              <w:rPr>
                <w:rFonts w:ascii="Arial" w:cs="Arial" w:eastAsia="Arial" w:hAnsi="Arial"/>
                <w:sz w:val="11"/>
                <w:szCs w:val="11"/>
                <w:color w:val="auto"/>
              </w:rPr>
              <w:t>Statement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060" w:type="dxa"/>
            <w:vAlign w:val="bottom"/>
            <w:tcBorders>
              <w:bottom w:val="single" w:sz="8" w:color="0000EE"/>
            </w:tcBorders>
            <w:vMerge w:val="continue"/>
          </w:tcPr>
          <w:p>
            <w:pPr>
              <w:spacing w:after="0"/>
              <w:rPr>
                <w:sz w:val="10"/>
                <w:szCs w:val="10"/>
                <w:color w:val="auto"/>
              </w:rPr>
            </w:pPr>
          </w:p>
        </w:tc>
        <w:tc>
          <w:tcPr>
            <w:tcW w:w="1700" w:type="dxa"/>
            <w:vAlign w:val="bottom"/>
            <w:vMerge w:val="restart"/>
          </w:tcPr>
          <w:p>
            <w:pPr>
              <w:spacing w:after="0"/>
              <w:rPr>
                <w:sz w:val="10"/>
                <w:szCs w:val="10"/>
                <w:color w:val="auto"/>
              </w:rPr>
            </w:pPr>
          </w:p>
        </w:tc>
        <w:tc>
          <w:tcPr>
            <w:tcW w:w="2060" w:type="dxa"/>
            <w:vAlign w:val="bottom"/>
            <w:vMerge w:val="restart"/>
          </w:tcPr>
          <w:p>
            <w:pPr>
              <w:ind w:left="620"/>
              <w:spacing w:after="0"/>
              <w:rPr>
                <w:sz w:val="20"/>
                <w:szCs w:val="20"/>
                <w:color w:val="auto"/>
              </w:rPr>
            </w:pPr>
            <w:r>
              <w:rPr>
                <w:rFonts w:ascii="Arial" w:cs="Arial" w:eastAsia="Arial" w:hAnsi="Arial"/>
                <w:sz w:val="15"/>
                <w:szCs w:val="15"/>
                <w:color w:val="0000FF"/>
              </w:rPr>
              <w:t>03/12/2013</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11"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TPG Specialty Lending, Inc.</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NA</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296" w:lineRule="exact"/>
        <w:rPr>
          <w:sz w:val="24"/>
          <w:szCs w:val="24"/>
          <w:color w:val="auto"/>
        </w:rPr>
      </w:pPr>
    </w:p>
    <w:p>
      <w:pPr>
        <w:sectPr>
          <w:pgSz w:w="11900" w:h="16838" w:orient="portrait"/>
          <w:cols w:equalWidth="0" w:num="2">
            <w:col w:w="4920" w:space="260"/>
            <w:col w:w="6260"/>
          </w:cols>
          <w:pgMar w:left="240" w:top="212" w:right="219" w:bottom="1440" w:gutter="0" w:footer="0" w:header="0"/>
          <w:type w:val="continuous"/>
        </w:sectPr>
      </w:pPr>
    </w:p>
    <w:p>
      <w:pPr>
        <w:spacing w:after="0" w:line="57" w:lineRule="exact"/>
        <w:rPr>
          <w:sz w:val="24"/>
          <w:szCs w:val="24"/>
          <w:color w:val="auto"/>
        </w:rPr>
      </w:pPr>
    </w:p>
    <w:p>
      <w:pPr>
        <w:ind w:left="100"/>
        <w:spacing w:after="0"/>
        <w:tabs>
          <w:tab w:leader="none" w:pos="1160" w:val="left"/>
          <w:tab w:leader="none" w:pos="226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C/O TPG GLOBAL, LLC</w:t>
      </w:r>
    </w:p>
    <w:p>
      <w:pPr>
        <w:spacing w:after="0" w:line="56" w:lineRule="exact"/>
        <w:rPr>
          <w:sz w:val="24"/>
          <w:szCs w:val="24"/>
          <w:color w:val="auto"/>
        </w:rPr>
      </w:pPr>
    </w:p>
    <w:p>
      <w:pPr>
        <w:ind w:left="100"/>
        <w:spacing w:after="0"/>
        <w:rPr>
          <w:sz w:val="20"/>
          <w:szCs w:val="20"/>
          <w:color w:val="auto"/>
        </w:rPr>
      </w:pPr>
      <w:r>
        <w:rPr>
          <w:rFonts w:ascii="Arial" w:cs="Arial" w:eastAsia="Arial" w:hAnsi="Arial"/>
          <w:sz w:val="14"/>
          <w:szCs w:val="14"/>
          <w:color w:val="0000FF"/>
        </w:rPr>
        <w:t>301 COMMERCE STREET, SUITE 3300</w:t>
      </w:r>
    </w:p>
    <w:p>
      <w:pPr>
        <w:spacing w:after="0" w:line="267" w:lineRule="exact"/>
        <w:rPr>
          <w:sz w:val="24"/>
          <w:szCs w:val="24"/>
          <w:color w:val="auto"/>
        </w:rPr>
      </w:pPr>
    </w:p>
    <w:tbl>
      <w:tblPr>
        <w:tblLayout w:type="fixed"/>
        <w:tblInd w:w="60" w:type="dxa"/>
        <w:tblCellMar>
          <w:top w:w="0" w:type="dxa"/>
          <w:left w:w="0" w:type="dxa"/>
          <w:bottom w:w="0" w:type="dxa"/>
          <w:right w:w="0" w:type="dxa"/>
        </w:tblCellMar>
      </w:tblPr>
      <w:tr>
        <w:trPr>
          <w:trHeight w:val="137"/>
        </w:trPr>
        <w:tc>
          <w:tcPr>
            <w:tcW w:w="1780" w:type="dxa"/>
            <w:vAlign w:val="bottom"/>
          </w:tcPr>
          <w:p>
            <w:pPr>
              <w:spacing w:after="0"/>
              <w:rPr>
                <w:sz w:val="20"/>
                <w:szCs w:val="20"/>
                <w:color w:val="auto"/>
              </w:rPr>
            </w:pPr>
            <w:r>
              <w:rPr>
                <w:rFonts w:ascii="Arial" w:cs="Arial" w:eastAsia="Arial" w:hAnsi="Arial"/>
                <w:sz w:val="11"/>
                <w:szCs w:val="11"/>
                <w:color w:val="auto"/>
              </w:rPr>
              <w:t>(Street)</w:t>
            </w:r>
          </w:p>
        </w:tc>
        <w:tc>
          <w:tcPr>
            <w:tcW w:w="820" w:type="dxa"/>
            <w:vAlign w:val="bottom"/>
          </w:tcPr>
          <w:p>
            <w:pPr>
              <w:spacing w:after="0"/>
              <w:rPr>
                <w:sz w:val="11"/>
                <w:szCs w:val="11"/>
                <w:color w:val="auto"/>
              </w:rPr>
            </w:pPr>
          </w:p>
        </w:tc>
      </w:tr>
      <w:tr>
        <w:trPr>
          <w:trHeight w:val="204"/>
        </w:trPr>
        <w:tc>
          <w:tcPr>
            <w:tcW w:w="1780" w:type="dxa"/>
            <w:vAlign w:val="bottom"/>
          </w:tcPr>
          <w:p>
            <w:pPr>
              <w:ind w:left="40"/>
              <w:spacing w:after="0"/>
              <w:rPr>
                <w:sz w:val="20"/>
                <w:szCs w:val="20"/>
                <w:color w:val="auto"/>
              </w:rPr>
            </w:pPr>
            <w:r>
              <w:rPr>
                <w:rFonts w:ascii="Arial" w:cs="Arial" w:eastAsia="Arial" w:hAnsi="Arial"/>
                <w:sz w:val="15"/>
                <w:szCs w:val="15"/>
                <w:color w:val="0000FF"/>
              </w:rPr>
              <w:t>FORT WORTH  TX</w:t>
            </w:r>
          </w:p>
        </w:tc>
        <w:tc>
          <w:tcPr>
            <w:tcW w:w="820" w:type="dxa"/>
            <w:vAlign w:val="bottom"/>
          </w:tcPr>
          <w:p>
            <w:pPr>
              <w:jc w:val="right"/>
              <w:spacing w:after="0"/>
              <w:rPr>
                <w:sz w:val="20"/>
                <w:szCs w:val="20"/>
                <w:color w:val="auto"/>
              </w:rPr>
            </w:pPr>
            <w:r>
              <w:rPr>
                <w:rFonts w:ascii="Arial" w:cs="Arial" w:eastAsia="Arial" w:hAnsi="Arial"/>
                <w:sz w:val="15"/>
                <w:szCs w:val="15"/>
                <w:color w:val="0000FF"/>
              </w:rPr>
              <w:t>76102</w:t>
            </w:r>
          </w:p>
        </w:tc>
      </w:tr>
    </w:tbl>
    <w:p>
      <w:pPr>
        <w:spacing w:after="0" w:line="20" w:lineRule="exact"/>
        <w:rPr>
          <w:sz w:val="24"/>
          <w:szCs w:val="24"/>
          <w:color w:val="auto"/>
        </w:rPr>
      </w:pPr>
      <w:r>
        <w:rPr>
          <w:sz w:val="24"/>
          <w:szCs w:val="24"/>
          <w:color w:val="auto"/>
        </w:rPr>
        <w:br w:type="column"/>
      </w:r>
    </w:p>
    <w:p>
      <w:pPr>
        <w:ind w:left="-10" w:right="840" w:firstLine="10"/>
        <w:spacing w:after="0" w:line="258" w:lineRule="auto"/>
        <w:tabs>
          <w:tab w:leader="none" w:pos="117"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3" w:lineRule="exact"/>
        <w:rPr>
          <w:sz w:val="24"/>
          <w:szCs w:val="24"/>
          <w:color w:val="auto"/>
        </w:rPr>
      </w:pPr>
    </w:p>
    <w:tbl>
      <w:tblPr>
        <w:tblLayout w:type="fixed"/>
        <w:tblInd w:w="210" w:type="dxa"/>
        <w:tblCellMar>
          <w:top w:w="0" w:type="dxa"/>
          <w:left w:w="0" w:type="dxa"/>
          <w:bottom w:w="0" w:type="dxa"/>
          <w:right w:w="0" w:type="dxa"/>
        </w:tblCellMar>
      </w:tblPr>
      <w:tr>
        <w:trPr>
          <w:trHeight w:val="137"/>
        </w:trPr>
        <w:tc>
          <w:tcPr>
            <w:tcW w:w="220" w:type="dxa"/>
            <w:vAlign w:val="bottom"/>
          </w:tcPr>
          <w:p>
            <w:pPr>
              <w:spacing w:after="0"/>
              <w:rPr>
                <w:sz w:val="11"/>
                <w:szCs w:val="11"/>
                <w:color w:val="auto"/>
              </w:rPr>
            </w:pPr>
          </w:p>
        </w:tc>
        <w:tc>
          <w:tcPr>
            <w:tcW w:w="1340" w:type="dxa"/>
            <w:vAlign w:val="bottom"/>
          </w:tcPr>
          <w:p>
            <w:pPr>
              <w:ind w:left="100"/>
              <w:spacing w:after="0"/>
              <w:rPr>
                <w:sz w:val="20"/>
                <w:szCs w:val="20"/>
                <w:color w:val="auto"/>
              </w:rPr>
            </w:pPr>
            <w:r>
              <w:rPr>
                <w:rFonts w:ascii="Arial" w:cs="Arial" w:eastAsia="Arial" w:hAnsi="Arial"/>
                <w:sz w:val="11"/>
                <w:szCs w:val="11"/>
                <w:color w:val="auto"/>
              </w:rPr>
              <w:t>Director</w:t>
            </w:r>
          </w:p>
        </w:tc>
        <w:tc>
          <w:tcPr>
            <w:tcW w:w="1480" w:type="dxa"/>
            <w:vAlign w:val="bottom"/>
          </w:tcPr>
          <w:p>
            <w:pPr>
              <w:ind w:left="4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Arial" w:cs="Arial" w:eastAsia="Arial" w:hAnsi="Arial"/>
                <w:sz w:val="15"/>
                <w:szCs w:val="15"/>
                <w:color w:val="0000FF"/>
              </w:rPr>
              <w:t>X</w:t>
            </w:r>
          </w:p>
        </w:tc>
        <w:tc>
          <w:tcPr>
            <w:tcW w:w="1340" w:type="dxa"/>
            <w:vAlign w:val="bottom"/>
          </w:tcPr>
          <w:p>
            <w:pPr>
              <w:ind w:left="100"/>
              <w:spacing w:after="0"/>
              <w:rPr>
                <w:sz w:val="20"/>
                <w:szCs w:val="20"/>
                <w:color w:val="auto"/>
              </w:rPr>
            </w:pPr>
            <w:r>
              <w:rPr>
                <w:rFonts w:ascii="Arial" w:cs="Arial" w:eastAsia="Arial" w:hAnsi="Arial"/>
                <w:sz w:val="11"/>
                <w:szCs w:val="11"/>
                <w:color w:val="auto"/>
              </w:rPr>
              <w:t>Officer (give title</w:t>
            </w:r>
          </w:p>
        </w:tc>
        <w:tc>
          <w:tcPr>
            <w:tcW w:w="1480" w:type="dxa"/>
            <w:vAlign w:val="bottom"/>
            <w:vMerge w:val="restart"/>
          </w:tcPr>
          <w:p>
            <w:pPr>
              <w:ind w:left="400"/>
              <w:spacing w:after="0"/>
              <w:rPr>
                <w:sz w:val="20"/>
                <w:szCs w:val="20"/>
                <w:color w:val="auto"/>
              </w:rPr>
            </w:pPr>
            <w:r>
              <w:rPr>
                <w:rFonts w:ascii="Arial" w:cs="Arial" w:eastAsia="Arial" w:hAnsi="Arial"/>
                <w:sz w:val="11"/>
                <w:szCs w:val="11"/>
                <w:color w:val="auto"/>
              </w:rPr>
              <w:t>Other (specify below)</w:t>
            </w:r>
          </w:p>
        </w:tc>
        <w:tc>
          <w:tcPr>
            <w:tcW w:w="0" w:type="dxa"/>
            <w:vAlign w:val="bottom"/>
          </w:tcPr>
          <w:p>
            <w:pPr>
              <w:spacing w:after="0"/>
              <w:rPr>
                <w:sz w:val="1"/>
                <w:szCs w:val="1"/>
                <w:color w:val="auto"/>
              </w:rPr>
            </w:pPr>
          </w:p>
        </w:tc>
      </w:tr>
      <w:tr>
        <w:trPr>
          <w:trHeight w:val="90"/>
        </w:trPr>
        <w:tc>
          <w:tcPr>
            <w:tcW w:w="220" w:type="dxa"/>
            <w:vAlign w:val="bottom"/>
            <w:vMerge w:val="continue"/>
          </w:tcPr>
          <w:p>
            <w:pPr>
              <w:spacing w:after="0"/>
              <w:rPr>
                <w:sz w:val="7"/>
                <w:szCs w:val="7"/>
                <w:color w:val="auto"/>
              </w:rPr>
            </w:pPr>
          </w:p>
        </w:tc>
        <w:tc>
          <w:tcPr>
            <w:tcW w:w="1340" w:type="dxa"/>
            <w:vAlign w:val="bottom"/>
            <w:vMerge w:val="restart"/>
          </w:tcPr>
          <w:p>
            <w:pPr>
              <w:ind w:left="100"/>
              <w:spacing w:after="0"/>
              <w:rPr>
                <w:sz w:val="20"/>
                <w:szCs w:val="20"/>
                <w:color w:val="auto"/>
              </w:rPr>
            </w:pPr>
            <w:r>
              <w:rPr>
                <w:rFonts w:ascii="Arial" w:cs="Arial" w:eastAsia="Arial" w:hAnsi="Arial"/>
                <w:sz w:val="11"/>
                <w:szCs w:val="11"/>
                <w:color w:val="auto"/>
              </w:rPr>
              <w:t>below)</w:t>
            </w: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1230"/>
        <w:spacing w:after="0"/>
        <w:rPr>
          <w:sz w:val="20"/>
          <w:szCs w:val="20"/>
          <w:color w:val="auto"/>
        </w:rPr>
      </w:pPr>
      <w:r>
        <w:rPr>
          <w:rFonts w:ascii="Arial" w:cs="Arial" w:eastAsia="Arial" w:hAnsi="Arial"/>
          <w:sz w:val="15"/>
          <w:szCs w:val="15"/>
          <w:color w:val="0000FF"/>
        </w:rPr>
        <w:t>Vice President</w:t>
      </w:r>
    </w:p>
    <w:p>
      <w:pPr>
        <w:spacing w:after="0" w:line="20" w:lineRule="exact"/>
        <w:rPr>
          <w:sz w:val="24"/>
          <w:szCs w:val="24"/>
          <w:color w:val="auto"/>
        </w:rPr>
      </w:pPr>
      <w:r>
        <w:rPr>
          <w:sz w:val="24"/>
          <w:szCs w:val="24"/>
          <w:color w:val="auto"/>
        </w:rPr>
        <w:br w:type="column"/>
      </w:r>
    </w:p>
    <w:p>
      <w:pPr>
        <w:ind w:left="-10" w:right="860" w:firstLine="10"/>
        <w:spacing w:after="0" w:line="258" w:lineRule="auto"/>
        <w:tabs>
          <w:tab w:leader="none" w:pos="117" w:val="left"/>
        </w:tabs>
        <w:numPr>
          <w:ilvl w:val="0"/>
          <w:numId w:val="2"/>
        </w:numPr>
        <w:rPr>
          <w:rFonts w:ascii="Arial" w:cs="Arial" w:eastAsia="Arial" w:hAnsi="Arial"/>
          <w:sz w:val="11"/>
          <w:szCs w:val="11"/>
          <w:color w:val="auto"/>
        </w:rPr>
      </w:pPr>
      <w:r>
        <w:rPr>
          <w:rFonts w:ascii="Arial" w:cs="Arial" w:eastAsia="Arial" w:hAnsi="Arial"/>
          <w:sz w:val="11"/>
          <w:szCs w:val="11"/>
          <w:color w:val="auto"/>
        </w:rPr>
        <w:t>If Amendment, Date of Original Filed (Month/Day/Year)</w:t>
      </w:r>
    </w:p>
    <w:p>
      <w:pPr>
        <w:spacing w:after="0" w:line="241" w:lineRule="exact"/>
        <w:rPr>
          <w:rFonts w:ascii="Arial" w:cs="Arial" w:eastAsia="Arial" w:hAnsi="Arial"/>
          <w:sz w:val="11"/>
          <w:szCs w:val="11"/>
          <w:color w:val="auto"/>
        </w:rPr>
      </w:pPr>
    </w:p>
    <w:p>
      <w:pPr>
        <w:ind w:left="-10" w:right="220" w:firstLine="10"/>
        <w:spacing w:after="0" w:line="258" w:lineRule="auto"/>
        <w:tabs>
          <w:tab w:leader="none" w:pos="117" w:val="left"/>
        </w:tabs>
        <w:numPr>
          <w:ilvl w:val="0"/>
          <w:numId w:val="2"/>
        </w:numPr>
        <w:rPr>
          <w:rFonts w:ascii="Arial" w:cs="Arial" w:eastAsia="Arial" w:hAnsi="Arial"/>
          <w:sz w:val="11"/>
          <w:szCs w:val="11"/>
          <w:color w:val="auto"/>
        </w:rPr>
      </w:pPr>
      <w:r>
        <w:rPr>
          <w:rFonts w:ascii="Arial" w:cs="Arial" w:eastAsia="Arial" w:hAnsi="Arial"/>
          <w:sz w:val="11"/>
          <w:szCs w:val="11"/>
          <w:color w:val="auto"/>
        </w:rPr>
        <w:t>Individual or Joint/Group Filing (Check Applicable Line)</w:t>
      </w:r>
    </w:p>
    <w:p>
      <w:pPr>
        <w:spacing w:after="0" w:line="1" w:lineRule="exact"/>
        <w:rPr>
          <w:sz w:val="24"/>
          <w:szCs w:val="24"/>
          <w:color w:val="auto"/>
        </w:rPr>
      </w:pPr>
    </w:p>
    <w:p>
      <w:pPr>
        <w:ind w:left="470" w:hanging="296"/>
        <w:spacing w:after="0"/>
        <w:tabs>
          <w:tab w:leader="none" w:pos="470" w:val="left"/>
        </w:tabs>
        <w:numPr>
          <w:ilvl w:val="0"/>
          <w:numId w:val="3"/>
        </w:numPr>
        <w:rPr>
          <w:rFonts w:ascii="Arial" w:cs="Arial" w:eastAsia="Arial" w:hAnsi="Arial"/>
          <w:sz w:val="15"/>
          <w:szCs w:val="15"/>
          <w:color w:val="0000FF"/>
        </w:rPr>
      </w:pPr>
      <w:r>
        <w:rPr>
          <w:rFonts w:ascii="Arial" w:cs="Arial" w:eastAsia="Arial" w:hAnsi="Arial"/>
          <w:sz w:val="11"/>
          <w:szCs w:val="11"/>
          <w:color w:val="auto"/>
        </w:rPr>
        <w:t>Form filed by One Reporting Person</w:t>
      </w:r>
    </w:p>
    <w:p>
      <w:pPr>
        <w:spacing w:after="0" w:line="68" w:lineRule="exact"/>
        <w:rPr>
          <w:rFonts w:ascii="Arial" w:cs="Arial" w:eastAsia="Arial" w:hAnsi="Arial"/>
          <w:sz w:val="15"/>
          <w:szCs w:val="15"/>
          <w:color w:val="0000FF"/>
        </w:rPr>
      </w:pPr>
    </w:p>
    <w:p>
      <w:pPr>
        <w:ind w:left="470" w:right="380"/>
        <w:spacing w:after="0" w:line="258" w:lineRule="auto"/>
        <w:rPr>
          <w:rFonts w:ascii="Arial" w:cs="Arial" w:eastAsia="Arial" w:hAnsi="Arial"/>
          <w:sz w:val="15"/>
          <w:szCs w:val="15"/>
          <w:color w:val="0000FF"/>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470" w:space="720"/>
            <w:col w:w="3250" w:space="170"/>
            <w:col w:w="2830"/>
          </w:cols>
          <w:pgMar w:left="240" w:top="212" w:right="219" w:bottom="1440" w:gutter="0" w:footer="0" w:header="0"/>
          <w:type w:val="continuous"/>
        </w:sectPr>
      </w:pPr>
    </w:p>
    <w:p>
      <w:pPr>
        <w:spacing w:after="0" w:line="18" w:lineRule="exact"/>
        <w:rPr>
          <w:sz w:val="24"/>
          <w:szCs w:val="24"/>
          <w:color w:val="auto"/>
        </w:rPr>
      </w:pPr>
    </w:p>
    <w:p>
      <w:pPr>
        <w:ind w:left="100"/>
        <w:spacing w:after="0"/>
        <w:tabs>
          <w:tab w:leader="none" w:pos="1160" w:val="left"/>
          <w:tab w:leader="none" w:pos="226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1"/>
          <w:szCs w:val="11"/>
          <w:color w:val="auto"/>
        </w:rPr>
        <w:t>(Zip)</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Table I - Non-Derivative Securities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30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40" w:type="dxa"/>
            <w:vAlign w:val="bottom"/>
          </w:tcPr>
          <w:p>
            <w:pPr>
              <w:ind w:left="1780"/>
              <w:spacing w:after="0"/>
              <w:rPr>
                <w:sz w:val="20"/>
                <w:szCs w:val="20"/>
                <w:color w:val="auto"/>
              </w:rPr>
            </w:pPr>
            <w:r>
              <w:rPr>
                <w:rFonts w:ascii="Arial" w:cs="Arial" w:eastAsia="Arial" w:hAnsi="Arial"/>
                <w:sz w:val="11"/>
                <w:szCs w:val="11"/>
                <w:b w:val="1"/>
                <w:bCs w:val="1"/>
                <w:color w:val="auto"/>
              </w:rPr>
              <w:t>2. Amount of Securities Beneficially</w:t>
            </w:r>
          </w:p>
        </w:tc>
        <w:tc>
          <w:tcPr>
            <w:tcW w:w="4280" w:type="dxa"/>
            <w:vAlign w:val="bottom"/>
          </w:tcPr>
          <w:p>
            <w:pPr>
              <w:ind w:left="120"/>
              <w:spacing w:after="0"/>
              <w:rPr>
                <w:sz w:val="20"/>
                <w:szCs w:val="20"/>
                <w:color w:val="auto"/>
              </w:rPr>
            </w:pPr>
            <w:r>
              <w:rPr>
                <w:rFonts w:ascii="Arial" w:cs="Arial" w:eastAsia="Arial" w:hAnsi="Arial"/>
                <w:sz w:val="11"/>
                <w:szCs w:val="11"/>
                <w:b w:val="1"/>
                <w:bCs w:val="1"/>
                <w:color w:val="auto"/>
              </w:rPr>
              <w:t>3. Ownership Form:   4. Nature of Indirect Beneficial Ownership (Instr. 5)</w:t>
            </w:r>
          </w:p>
        </w:tc>
      </w:tr>
      <w:tr>
        <w:trPr>
          <w:trHeight w:val="125"/>
        </w:trPr>
        <w:tc>
          <w:tcPr>
            <w:tcW w:w="3300" w:type="dxa"/>
            <w:vAlign w:val="bottom"/>
          </w:tcPr>
          <w:p>
            <w:pPr>
              <w:spacing w:after="0"/>
              <w:rPr>
                <w:sz w:val="10"/>
                <w:szCs w:val="10"/>
                <w:color w:val="auto"/>
              </w:rPr>
            </w:pPr>
          </w:p>
        </w:tc>
        <w:tc>
          <w:tcPr>
            <w:tcW w:w="3840" w:type="dxa"/>
            <w:vAlign w:val="bottom"/>
          </w:tcPr>
          <w:p>
            <w:pPr>
              <w:ind w:left="1780"/>
              <w:spacing w:after="0" w:line="125" w:lineRule="exact"/>
              <w:rPr>
                <w:sz w:val="20"/>
                <w:szCs w:val="20"/>
                <w:color w:val="auto"/>
              </w:rPr>
            </w:pPr>
            <w:r>
              <w:rPr>
                <w:rFonts w:ascii="Arial" w:cs="Arial" w:eastAsia="Arial" w:hAnsi="Arial"/>
                <w:sz w:val="11"/>
                <w:szCs w:val="11"/>
                <w:b w:val="1"/>
                <w:bCs w:val="1"/>
                <w:color w:val="auto"/>
              </w:rPr>
              <w:t>Owned (Instr. 4)</w:t>
            </w:r>
          </w:p>
        </w:tc>
        <w:tc>
          <w:tcPr>
            <w:tcW w:w="42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Direct (D) or Indirect</w:t>
            </w:r>
          </w:p>
        </w:tc>
      </w:tr>
      <w:tr>
        <w:trPr>
          <w:trHeight w:val="151"/>
        </w:trPr>
        <w:tc>
          <w:tcPr>
            <w:tcW w:w="3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1"/>
                <w:szCs w:val="11"/>
                <w:b w:val="1"/>
                <w:bCs w:val="1"/>
                <w:color w:val="auto"/>
              </w:rPr>
              <w:t>(I) (Instr. 5)</w:t>
            </w:r>
          </w:p>
        </w:tc>
      </w:tr>
      <w:tr>
        <w:trPr>
          <w:trHeight w:val="37"/>
        </w:trPr>
        <w:tc>
          <w:tcPr>
            <w:tcW w:w="3300" w:type="dxa"/>
            <w:vAlign w:val="bottom"/>
            <w:tcBorders>
              <w:bottom w:val="single" w:sz="8" w:color="2C2C2C"/>
            </w:tcBorders>
          </w:tcPr>
          <w:p>
            <w:pPr>
              <w:spacing w:after="0"/>
              <w:rPr>
                <w:sz w:val="3"/>
                <w:szCs w:val="3"/>
                <w:color w:val="auto"/>
              </w:rPr>
            </w:pPr>
          </w:p>
        </w:tc>
        <w:tc>
          <w:tcPr>
            <w:tcW w:w="3840" w:type="dxa"/>
            <w:vAlign w:val="bottom"/>
            <w:tcBorders>
              <w:bottom w:val="single" w:sz="8" w:color="2C2C2C"/>
            </w:tcBorders>
          </w:tcPr>
          <w:p>
            <w:pPr>
              <w:spacing w:after="0"/>
              <w:rPr>
                <w:sz w:val="3"/>
                <w:szCs w:val="3"/>
                <w:color w:val="auto"/>
              </w:rPr>
            </w:pPr>
          </w:p>
        </w:tc>
        <w:tc>
          <w:tcPr>
            <w:tcW w:w="4280" w:type="dxa"/>
            <w:vAlign w:val="bottom"/>
            <w:tcBorders>
              <w:bottom w:val="single" w:sz="8" w:color="2C2C2C"/>
            </w:tcBorders>
          </w:tcPr>
          <w:p>
            <w:pPr>
              <w:spacing w:after="0"/>
              <w:rPr>
                <w:sz w:val="3"/>
                <w:szCs w:val="3"/>
                <w:color w:val="auto"/>
              </w:rPr>
            </w:pPr>
          </w:p>
        </w:tc>
      </w:tr>
    </w:tbl>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5"/>
                <w:szCs w:val="15"/>
                <w:color w:val="0000FF"/>
              </w:rPr>
              <w:t>No securities beneficially owned</w:t>
            </w:r>
            <w:r>
              <w:rPr>
                <w:rFonts w:ascii="Arial" w:cs="Arial" w:eastAsia="Arial" w:hAnsi="Arial"/>
                <w:sz w:val="18"/>
                <w:szCs w:val="18"/>
                <w:color w:val="008000"/>
                <w:vertAlign w:val="superscript"/>
              </w:rPr>
              <w:t>(1)(2)(3)</w:t>
            </w: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right"/>
              <w:ind w:right="879"/>
              <w:spacing w:after="0"/>
              <w:rPr>
                <w:sz w:val="20"/>
                <w:szCs w:val="20"/>
                <w:color w:val="auto"/>
              </w:rPr>
            </w:pPr>
            <w:r>
              <w:rPr>
                <w:rFonts w:ascii="Arial" w:cs="Arial" w:eastAsia="Arial" w:hAnsi="Arial"/>
                <w:sz w:val="15"/>
                <w:szCs w:val="15"/>
                <w:color w:val="0000FF"/>
              </w:rPr>
              <w:t>0</w:t>
            </w:r>
          </w:p>
        </w:tc>
        <w:tc>
          <w:tcPr>
            <w:tcW w:w="960" w:type="dxa"/>
            <w:vAlign w:val="bottom"/>
            <w:tcBorders>
              <w:bottom w:val="single" w:sz="8" w:color="2C2C2C"/>
            </w:tcBorders>
          </w:tcPr>
          <w:p>
            <w:pPr>
              <w:ind w:left="680"/>
              <w:spacing w:after="0"/>
              <w:rPr>
                <w:sz w:val="20"/>
                <w:szCs w:val="20"/>
                <w:color w:val="auto"/>
              </w:rPr>
            </w:pPr>
            <w:r>
              <w:rPr>
                <w:rFonts w:ascii="Arial" w:cs="Arial" w:eastAsia="Arial" w:hAnsi="Arial"/>
                <w:sz w:val="15"/>
                <w:szCs w:val="15"/>
                <w:color w:val="0000FF"/>
              </w:rPr>
              <w:t>D</w:t>
            </w:r>
          </w:p>
        </w:tc>
        <w:tc>
          <w:tcPr>
            <w:tcW w:w="7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4280" w:type="dxa"/>
            <w:vAlign w:val="bottom"/>
            <w:tcBorders>
              <w:top w:val="single" w:sz="8" w:color="2C2C2C"/>
            </w:tcBorders>
            <w:gridSpan w:val="4"/>
          </w:tcPr>
          <w:p>
            <w:pPr>
              <w:ind w:left="180"/>
              <w:spacing w:after="0"/>
              <w:rPr>
                <w:sz w:val="20"/>
                <w:szCs w:val="20"/>
                <w:color w:val="auto"/>
              </w:rPr>
            </w:pPr>
            <w:r>
              <w:rPr>
                <w:rFonts w:ascii="Arial" w:cs="Arial" w:eastAsia="Arial" w:hAnsi="Arial"/>
                <w:sz w:val="15"/>
                <w:szCs w:val="15"/>
                <w:b w:val="1"/>
                <w:bCs w:val="1"/>
                <w:color w:val="auto"/>
              </w:rPr>
              <w:t>Table II - Derivative Securities Beneficially Owned</w:t>
            </w:r>
          </w:p>
        </w:tc>
        <w:tc>
          <w:tcPr>
            <w:tcW w:w="780" w:type="dxa"/>
            <w:vAlign w:val="bottom"/>
            <w:tcBorders>
              <w:top w:val="single" w:sz="8" w:color="2C2C2C"/>
            </w:tcBorders>
          </w:tcPr>
          <w:p>
            <w:pPr>
              <w:spacing w:after="0"/>
              <w:rPr>
                <w:sz w:val="16"/>
                <w:szCs w:val="16"/>
                <w:color w:val="auto"/>
              </w:rPr>
            </w:pPr>
          </w:p>
        </w:tc>
        <w:tc>
          <w:tcPr>
            <w:tcW w:w="900" w:type="dxa"/>
            <w:vAlign w:val="bottom"/>
            <w:tcBorders>
              <w:top w:val="single" w:sz="8" w:color="2C2C2C"/>
            </w:tcBorders>
          </w:tcPr>
          <w:p>
            <w:pPr>
              <w:spacing w:after="0"/>
              <w:rPr>
                <w:sz w:val="16"/>
                <w:szCs w:val="16"/>
                <w:color w:val="auto"/>
              </w:rPr>
            </w:pPr>
          </w:p>
        </w:tc>
        <w:tc>
          <w:tcPr>
            <w:tcW w:w="168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5060" w:type="dxa"/>
            <w:vAlign w:val="bottom"/>
            <w:gridSpan w:val="5"/>
          </w:tcPr>
          <w:p>
            <w:pPr>
              <w:ind w:left="6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78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2. Date Exercisable and</w:t>
            </w:r>
          </w:p>
        </w:tc>
        <w:tc>
          <w:tcPr>
            <w:tcW w:w="2840" w:type="dxa"/>
            <w:vAlign w:val="bottom"/>
            <w:gridSpan w:val="2"/>
          </w:tcPr>
          <w:p>
            <w:pPr>
              <w:ind w:left="40"/>
              <w:spacing w:after="0"/>
              <w:rPr>
                <w:sz w:val="20"/>
                <w:szCs w:val="20"/>
                <w:color w:val="auto"/>
              </w:rPr>
            </w:pPr>
            <w:r>
              <w:rPr>
                <w:rFonts w:ascii="Arial" w:cs="Arial" w:eastAsia="Arial" w:hAnsi="Arial"/>
                <w:sz w:val="11"/>
                <w:szCs w:val="11"/>
                <w:b w:val="1"/>
                <w:bCs w:val="1"/>
                <w:color w:val="auto"/>
              </w:rPr>
              <w:t>3. Title and Amount of Securities Underlying</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Ownership</w:t>
            </w:r>
          </w:p>
        </w:tc>
        <w:tc>
          <w:tcPr>
            <w:tcW w:w="1700" w:type="dxa"/>
            <w:vAlign w:val="bottom"/>
            <w:gridSpan w:val="2"/>
          </w:tcPr>
          <w:p>
            <w:pPr>
              <w:ind w:left="80"/>
              <w:spacing w:after="0"/>
              <w:rPr>
                <w:sz w:val="20"/>
                <w:szCs w:val="20"/>
                <w:color w:val="auto"/>
              </w:rPr>
            </w:pPr>
            <w:r>
              <w:rPr>
                <w:rFonts w:ascii="Arial" w:cs="Arial" w:eastAsia="Arial" w:hAnsi="Arial"/>
                <w:sz w:val="11"/>
                <w:szCs w:val="11"/>
                <w:b w:val="1"/>
                <w:bCs w:val="1"/>
                <w:color w:val="auto"/>
              </w:rPr>
              <w:t>6. Nature of Indirect</w:t>
            </w: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 Security (Instr. 4)</w:t>
            </w:r>
          </w:p>
        </w:tc>
        <w:tc>
          <w:tcPr>
            <w:tcW w:w="9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 Ownership (Instr.</w:t>
            </w: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3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 (Instr. 5)</w:t>
            </w: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9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Amount</w:t>
            </w:r>
          </w:p>
        </w:tc>
        <w:tc>
          <w:tcPr>
            <w:tcW w:w="7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880" w:type="dxa"/>
            <w:vAlign w:val="bottom"/>
          </w:tcPr>
          <w:p>
            <w:pPr>
              <w:spacing w:after="0"/>
              <w:rPr>
                <w:sz w:val="10"/>
                <w:szCs w:val="10"/>
                <w:color w:val="auto"/>
              </w:rPr>
            </w:pPr>
          </w:p>
        </w:tc>
        <w:tc>
          <w:tcPr>
            <w:tcW w:w="960" w:type="dxa"/>
            <w:vAlign w:val="bottom"/>
          </w:tcPr>
          <w:p>
            <w:pPr>
              <w:ind w:left="340"/>
              <w:spacing w:after="0" w:line="125" w:lineRule="exact"/>
              <w:rPr>
                <w:sz w:val="20"/>
                <w:szCs w:val="20"/>
                <w:color w:val="auto"/>
              </w:rPr>
            </w:pPr>
            <w:r>
              <w:rPr>
                <w:rFonts w:ascii="Arial" w:cs="Arial" w:eastAsia="Arial" w:hAnsi="Arial"/>
                <w:sz w:val="11"/>
                <w:szCs w:val="11"/>
                <w:b w:val="1"/>
                <w:bCs w:val="1"/>
                <w:color w:val="auto"/>
              </w:rPr>
              <w:t>or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960" w:type="dxa"/>
            <w:vAlign w:val="bottom"/>
          </w:tcPr>
          <w:p>
            <w:pPr>
              <w:ind w:left="340"/>
              <w:spacing w:after="0" w:line="122" w:lineRule="exact"/>
              <w:rPr>
                <w:sz w:val="20"/>
                <w:szCs w:val="20"/>
                <w:color w:val="auto"/>
              </w:rPr>
            </w:pPr>
            <w:r>
              <w:rPr>
                <w:rFonts w:ascii="Arial" w:cs="Arial" w:eastAsia="Arial" w:hAnsi="Arial"/>
                <w:sz w:val="11"/>
                <w:szCs w:val="11"/>
                <w:b w:val="1"/>
                <w:bCs w:val="1"/>
                <w:color w:val="auto"/>
              </w:rPr>
              <w:t>Number of</w:t>
            </w: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8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60" w:type="dxa"/>
            <w:vAlign w:val="bottom"/>
          </w:tcPr>
          <w:p>
            <w:pPr>
              <w:ind w:left="340"/>
              <w:spacing w:after="0"/>
              <w:rPr>
                <w:sz w:val="20"/>
                <w:szCs w:val="20"/>
                <w:color w:val="auto"/>
              </w:rPr>
            </w:pPr>
            <w:r>
              <w:rPr>
                <w:rFonts w:ascii="Arial" w:cs="Arial" w:eastAsia="Arial" w:hAnsi="Arial"/>
                <w:sz w:val="11"/>
                <w:szCs w:val="11"/>
                <w:b w:val="1"/>
                <w:bCs w:val="1"/>
                <w:color w:val="auto"/>
              </w:rPr>
              <w:t>Shares</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50" w:lineRule="exact"/>
        <w:rPr>
          <w:sz w:val="24"/>
          <w:szCs w:val="24"/>
          <w:color w:val="auto"/>
        </w:rPr>
      </w:pPr>
    </w:p>
    <w:p>
      <w:pPr>
        <w:ind w:left="140" w:hanging="115"/>
        <w:spacing w:after="0"/>
        <w:tabs>
          <w:tab w:leader="none" w:pos="140"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Jennifer Mello does not directly own any securities of TPG Specialty Lending, Inc. (the "Issuer").</w:t>
      </w:r>
    </w:p>
    <w:p>
      <w:pPr>
        <w:spacing w:after="0" w:line="44" w:lineRule="exact"/>
        <w:rPr>
          <w:rFonts w:ascii="Arial" w:cs="Arial" w:eastAsia="Arial" w:hAnsi="Arial"/>
          <w:sz w:val="11"/>
          <w:szCs w:val="11"/>
          <w:color w:val="008000"/>
        </w:rPr>
      </w:pPr>
    </w:p>
    <w:p>
      <w:pPr>
        <w:ind w:left="20" w:right="260" w:firstLine="5"/>
        <w:spacing w:after="0" w:line="293" w:lineRule="auto"/>
        <w:tabs>
          <w:tab w:leader="none" w:pos="134" w:val="left"/>
        </w:tabs>
        <w:numPr>
          <w:ilvl w:val="0"/>
          <w:numId w:val="4"/>
        </w:numPr>
        <w:rPr>
          <w:rFonts w:ascii="Arial" w:cs="Arial" w:eastAsia="Arial" w:hAnsi="Arial"/>
          <w:sz w:val="10"/>
          <w:szCs w:val="10"/>
          <w:color w:val="008000"/>
        </w:rPr>
      </w:pPr>
      <w:r>
        <w:rPr>
          <w:rFonts w:ascii="Arial" w:cs="Arial" w:eastAsia="Arial" w:hAnsi="Arial"/>
          <w:sz w:val="10"/>
          <w:szCs w:val="10"/>
          <w:color w:val="008000"/>
        </w:rPr>
        <w:t>Ms. Mello is a Vice President of the Issuer and General Counsel to TPG Special Situations Partners, L.P., which is affiliated with TPG Group Holdings (SBS) Advisors, Inc., a Delaware corporation ("Group Advisors"), and Tarrant Capital Advisors, Inc. a Delaware corporation ("Tarrant Capital"). As of the date hereof, Group Advisors may be deemed to beneficially own 33,177 shares of Common Stock (the "TSL Stock") of the Issuer. As of the date hereof, Tarrant Capital may be deemed to beneficially own (i) 28,146 shares of the TSL Stock, (ii) 5,544 shares of Common Stock held by TSL FOF, L.P., a Delaware limited partnership, and (iii) 1 share of Common Stock held by Tarrant Advisors, Inc., a Texas corporation.</w:t>
      </w:r>
    </w:p>
    <w:p>
      <w:pPr>
        <w:ind w:left="20" w:right="40" w:firstLine="5"/>
        <w:spacing w:after="0" w:line="256" w:lineRule="auto"/>
        <w:tabs>
          <w:tab w:leader="none" w:pos="134" w:val="left"/>
        </w:tabs>
        <w:numPr>
          <w:ilvl w:val="0"/>
          <w:numId w:val="4"/>
        </w:numPr>
        <w:rPr>
          <w:rFonts w:ascii="Arial" w:cs="Arial" w:eastAsia="Arial" w:hAnsi="Arial"/>
          <w:sz w:val="11"/>
          <w:szCs w:val="11"/>
          <w:color w:val="008000"/>
        </w:rPr>
      </w:pPr>
      <w:r>
        <w:rPr>
          <w:rFonts w:ascii="Arial" w:cs="Arial" w:eastAsia="Arial" w:hAnsi="Arial"/>
          <w:sz w:val="11"/>
          <w:szCs w:val="11"/>
          <w:color w:val="008000"/>
        </w:rPr>
        <w:t>Ms. Mello disclaims beneficial ownership of the shares of Common Stock that are or may be beneficially owned by Group Holdings or Tarrant Capital or any of their respective affiliates. Pursuant to Rule 16a-1(a)(4) under the Securities Exchange Act of 1934, as amended (the "Exchange Act"), this filing shall not be deemed an admission that Ms. Mello is, for purposes of Section 16 of the Exchange Act or otherwise, the beneficial owner of any securities of the Issuer directly held by Group Advisors, Tarrant Capital or any of their affiliates.</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1"/>
          <w:szCs w:val="11"/>
          <w:color w:val="008000"/>
        </w:rPr>
        <w:t>4. Ronald Cami is signing on behalf of Jennifer Mello pursuant to the authorization and designation letter dated April 15, 2013, which is attached here as an exhibit.</w:t>
      </w:r>
    </w:p>
    <w:p>
      <w:pPr>
        <w:sectPr>
          <w:pgSz w:w="11900" w:h="16838" w:orient="portrait"/>
          <w:cols w:equalWidth="0" w:num="1">
            <w:col w:w="11440"/>
          </w:cols>
          <w:pgMar w:left="240" w:top="212" w:right="219" w:bottom="1440" w:gutter="0" w:footer="0" w:header="0"/>
          <w:type w:val="continuous"/>
        </w:sectPr>
      </w:pPr>
    </w:p>
    <w:p>
      <w:pPr>
        <w:spacing w:after="0" w:line="69" w:lineRule="exact"/>
        <w:rPr>
          <w:sz w:val="24"/>
          <w:szCs w:val="24"/>
          <w:color w:val="auto"/>
        </w:rPr>
      </w:pPr>
    </w:p>
    <w:p>
      <w:pPr>
        <w:ind w:left="6860"/>
        <w:spacing w:after="0"/>
        <w:rPr>
          <w:sz w:val="20"/>
          <w:szCs w:val="20"/>
          <w:color w:val="auto"/>
        </w:rPr>
      </w:pPr>
      <w:r>
        <w:rPr>
          <w:rFonts w:ascii="Arial" w:cs="Arial" w:eastAsia="Arial" w:hAnsi="Arial"/>
          <w:sz w:val="14"/>
          <w:szCs w:val="14"/>
          <w:color w:val="0000FF"/>
        </w:rPr>
        <w:t>By: Ronald Cami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4359275</wp:posOffset>
            </wp:positionH>
            <wp:positionV relativeFrom="paragraph">
              <wp:posOffset>-3175</wp:posOffset>
            </wp:positionV>
            <wp:extent cx="1136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36650" cy="6985"/>
                    </a:xfrm>
                    <a:prstGeom prst="rect">
                      <a:avLst/>
                    </a:prstGeom>
                    <a:noFill/>
                  </pic:spPr>
                </pic:pic>
              </a:graphicData>
            </a:graphic>
          </wp:anchor>
        </w:drawing>
      </w:r>
    </w:p>
    <w:p>
      <w:pPr>
        <w:spacing w:after="0" w:line="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Jennifer Mello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4359275</wp:posOffset>
            </wp:positionH>
            <wp:positionV relativeFrom="paragraph">
              <wp:posOffset>-13970</wp:posOffset>
            </wp:positionV>
            <wp:extent cx="684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84530" cy="6985"/>
                    </a:xfrm>
                    <a:prstGeom prst="rect">
                      <a:avLst/>
                    </a:prstGeom>
                    <a:noFill/>
                  </pic:spPr>
                </pic:pic>
              </a:graphicData>
            </a:graphic>
          </wp:anchor>
        </w:drawing>
      </w:r>
    </w:p>
    <w:p>
      <w:pPr>
        <w:spacing w:after="0" w:line="37" w:lineRule="exact"/>
        <w:rPr>
          <w:sz w:val="24"/>
          <w:szCs w:val="24"/>
          <w:color w:val="auto"/>
        </w:rPr>
      </w:pPr>
    </w:p>
    <w:p>
      <w:pPr>
        <w:ind w:left="6860"/>
        <w:spacing w:after="0"/>
        <w:rPr>
          <w:sz w:val="20"/>
          <w:szCs w:val="20"/>
          <w:color w:val="auto"/>
        </w:rPr>
      </w:pPr>
      <w:r>
        <w:rPr>
          <w:rFonts w:ascii="Arial" w:cs="Arial" w:eastAsia="Arial" w:hAnsi="Arial"/>
          <w:sz w:val="11"/>
          <w:szCs w:val="11"/>
          <w:color w:val="auto"/>
        </w:rPr>
        <w:t>** Signature of Reporting Person</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45" w:lineRule="exact"/>
        <w:rPr>
          <w:sz w:val="24"/>
          <w:szCs w:val="24"/>
          <w:color w:val="auto"/>
        </w:rPr>
      </w:pPr>
    </w:p>
    <w:p>
      <w:pPr>
        <w:jc w:val="both"/>
        <w:ind w:left="20" w:right="2120" w:firstLine="5"/>
        <w:spacing w:after="0" w:line="322" w:lineRule="auto"/>
        <w:tabs>
          <w:tab w:leader="none" w:pos="140" w:val="left"/>
        </w:tabs>
        <w:numPr>
          <w:ilvl w:val="0"/>
          <w:numId w:val="5"/>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0000FF"/>
        </w:rPr>
        <w:t>04/19/2013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4286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8625" cy="698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8720" w:space="440"/>
            <w:col w:w="2280"/>
          </w:cols>
          <w:pgMar w:left="240" w:top="212" w:right="21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April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450 Fifth Street, NW</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6" w:lineRule="exact"/>
        <w:rPr>
          <w:sz w:val="20"/>
          <w:szCs w:val="20"/>
          <w:color w:val="auto"/>
        </w:rPr>
      </w:pPr>
    </w:p>
    <w:p>
      <w:pPr>
        <w:ind w:right="480" w:firstLine="684"/>
        <w:spacing w:after="0" w:line="280" w:lineRule="auto"/>
        <w:rPr>
          <w:sz w:val="20"/>
          <w:szCs w:val="20"/>
          <w:color w:val="auto"/>
        </w:rPr>
      </w:pPr>
      <w:r>
        <w:rPr>
          <w:rFonts w:ascii="Arial" w:cs="Arial" w:eastAsia="Arial" w:hAnsi="Arial"/>
          <w:sz w:val="15"/>
          <w:szCs w:val="15"/>
          <w:color w:val="auto"/>
        </w:rPr>
        <w:t>This letter confirms that Ronald Cami and David Reintjes are authorized and designated to sign all securities related filing with the Securities and Exchange Commission, including Form ID Acknowledgments, on my behalf. This authorization and designation shall be valid for three years from the date of this letter.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Very truly yours,</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5"/>
          <w:szCs w:val="15"/>
          <w:u w:val="single" w:color="auto"/>
          <w:color w:val="auto"/>
        </w:rPr>
        <w:t>/s/ Jennifer Mello</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Jennifer Mello</w:t>
      </w:r>
    </w:p>
    <w:sectPr>
      <w:pgSz w:w="11900" w:h="16838" w:orient="portrait"/>
      <w:cols w:equalWidth="0" w:num="1">
        <w:col w:w="11520"/>
      </w:cols>
      <w:pgMar w:left="240" w:top="32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74849"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2019-12-17T05:44:23Z</dcterms:created>
  <dcterms:modified xsi:type="dcterms:W3CDTF">2019-12-17T05:44:23Z</dcterms:modified>
</cp:coreProperties>
</file>