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TPG Speciality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255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Arizona State Retirement System</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860250939</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United States of America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25,518</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25,518</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25,518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95"/>
              </w:rPr>
              <w:t>10</w:t>
            </w:r>
          </w:p>
        </w:tc>
        <w:tc>
          <w:tcPr>
            <w:tcW w:w="10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w:t>
            </w:r>
          </w:p>
        </w:tc>
      </w:tr>
      <w:tr>
        <w:trPr>
          <w:trHeight w:val="264"/>
        </w:trPr>
        <w:tc>
          <w:tcPr>
            <w:tcW w:w="620" w:type="dxa"/>
            <w:vAlign w:val="bottom"/>
          </w:tcPr>
          <w:p>
            <w:pPr>
              <w:spacing w:after="0"/>
              <w:rPr>
                <w:sz w:val="22"/>
                <w:szCs w:val="22"/>
                <w:color w:val="auto"/>
              </w:rPr>
            </w:pPr>
          </w:p>
        </w:tc>
        <w:tc>
          <w:tcPr>
            <w:tcW w:w="10800" w:type="dxa"/>
            <w:vAlign w:val="bottom"/>
          </w:tcPr>
          <w:p>
            <w:pPr>
              <w:ind w:left="140"/>
              <w:spacing w:after="0"/>
              <w:rPr>
                <w:sz w:val="20"/>
                <w:szCs w:val="20"/>
                <w:color w:val="auto"/>
              </w:rPr>
            </w:pPr>
            <w:r>
              <w:rPr>
                <w:rFonts w:ascii="Arial" w:cs="Arial" w:eastAsia="Arial" w:hAnsi="Arial"/>
                <w:sz w:val="18"/>
                <w:szCs w:val="18"/>
                <w:color w:val="auto"/>
              </w:rPr>
              <w:t>PERCENT OF CLASS REPRESENTED BY AMOUNT IN ROW (9)</w:t>
            </w:r>
          </w:p>
        </w:tc>
      </w:tr>
      <w:tr>
        <w:trPr>
          <w:trHeight w:val="500"/>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0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5.4 (1)%</w:t>
            </w:r>
          </w:p>
        </w:tc>
      </w:tr>
      <w:tr>
        <w:trPr>
          <w:trHeight w:val="264"/>
        </w:trPr>
        <w:tc>
          <w:tcPr>
            <w:tcW w:w="620" w:type="dxa"/>
            <w:vAlign w:val="bottom"/>
          </w:tcPr>
          <w:p>
            <w:pPr>
              <w:spacing w:after="0"/>
              <w:rPr>
                <w:sz w:val="22"/>
                <w:szCs w:val="22"/>
                <w:color w:val="auto"/>
              </w:rPr>
            </w:pPr>
          </w:p>
        </w:tc>
        <w:tc>
          <w:tcPr>
            <w:tcW w:w="10800" w:type="dxa"/>
            <w:vAlign w:val="bottom"/>
          </w:tcPr>
          <w:p>
            <w:pPr>
              <w:ind w:left="140"/>
              <w:spacing w:after="0"/>
              <w:rPr>
                <w:sz w:val="20"/>
                <w:szCs w:val="20"/>
                <w:color w:val="auto"/>
              </w:rPr>
            </w:pPr>
            <w:r>
              <w:rPr>
                <w:rFonts w:ascii="Arial" w:cs="Arial" w:eastAsia="Arial" w:hAnsi="Arial"/>
                <w:sz w:val="18"/>
                <w:szCs w:val="18"/>
                <w:color w:val="auto"/>
              </w:rPr>
              <w:t>TYPE OF REPORTING PERSON (SEE INSTRUCTIONS)</w:t>
            </w:r>
          </w:p>
        </w:tc>
      </w:tr>
      <w:tr>
        <w:trPr>
          <w:trHeight w:val="501"/>
        </w:trPr>
        <w:tc>
          <w:tcPr>
            <w:tcW w:w="620" w:type="dxa"/>
            <w:vAlign w:val="bottom"/>
          </w:tcPr>
          <w:p>
            <w:pPr>
              <w:jc w:val="center"/>
              <w:spacing w:after="0"/>
              <w:rPr>
                <w:sz w:val="20"/>
                <w:szCs w:val="20"/>
                <w:color w:val="auto"/>
              </w:rPr>
            </w:pPr>
            <w:r>
              <w:rPr>
                <w:rFonts w:ascii="Arial" w:cs="Arial" w:eastAsia="Arial" w:hAnsi="Arial"/>
                <w:sz w:val="32"/>
                <w:szCs w:val="32"/>
                <w:b w:val="1"/>
                <w:bCs w:val="1"/>
                <w:color w:val="auto"/>
                <w:w w:val="95"/>
              </w:rPr>
              <w:t>12</w:t>
            </w:r>
          </w:p>
        </w:tc>
        <w:tc>
          <w:tcPr>
            <w:tcW w:w="10800" w:type="dxa"/>
            <w:vAlign w:val="bottom"/>
          </w:tcPr>
          <w:p>
            <w:pPr>
              <w:ind w:left="140"/>
              <w:spacing w:after="0"/>
              <w:rPr>
                <w:sz w:val="20"/>
                <w:szCs w:val="20"/>
                <w:color w:val="auto"/>
              </w:rPr>
            </w:pPr>
            <w:r>
              <w:rPr>
                <w:rFonts w:ascii="Arial" w:cs="Arial" w:eastAsia="Arial" w:hAnsi="Arial"/>
                <w:sz w:val="18"/>
                <w:szCs w:val="18"/>
                <w:color w:val="auto"/>
              </w:rPr>
              <w:t>EP</w:t>
            </w:r>
          </w:p>
        </w:tc>
      </w:tr>
    </w:tbl>
    <w:p>
      <w:pPr>
        <w:spacing w:after="0" w:line="200" w:lineRule="exact"/>
        <w:rPr>
          <w:sz w:val="20"/>
          <w:szCs w:val="20"/>
          <w:color w:val="auto"/>
        </w:rPr>
      </w:pP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120" w:hanging="9"/>
        <w:spacing w:after="0" w:line="277" w:lineRule="auto"/>
        <w:tabs>
          <w:tab w:leader="none" w:pos="10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Percentages calculated based on 473,678 shares of the issuer's common stock, par value $0.01 per share, outstanding as of December 31, 2012, which figure is based on information provided to the reporting person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TPG Specialty Lending,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301 Commerce Street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Suite 3300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Fort Worth, Texas 76102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Arizona State Retirement System</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3300 North Central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14th Floor</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Phoenix, Arizona 85012</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237" w:lineRule="exact"/>
        <w:rPr>
          <w:rFonts w:ascii="Arial" w:cs="Arial" w:eastAsia="Arial" w:hAnsi="Arial"/>
          <w:sz w:val="18"/>
          <w:szCs w:val="18"/>
          <w:color w:val="auto"/>
        </w:rPr>
      </w:pPr>
    </w:p>
    <w:p>
      <w:pPr>
        <w:ind w:left="1300" w:right="87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CUSIP Number N/A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NaN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5.4 (1)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25,518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25,518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14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Arizona State Retirement System</w:t>
      </w:r>
    </w:p>
    <w:p>
      <w:pPr>
        <w:sectPr>
          <w:pgSz w:w="11900" w:h="16838" w:orient="portrait"/>
          <w:cols w:equalWidth="0" w:num="1">
            <w:col w:w="11400"/>
          </w:cols>
          <w:pgMar w:left="240" w:top="756"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06, 2013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Gary R. Dokes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Gary R. Dokes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Chief Investment Officer</w:t>
      </w:r>
    </w:p>
    <w:p>
      <w:pPr>
        <w:spacing w:after="0" w:line="200" w:lineRule="exact"/>
        <w:rPr>
          <w:sz w:val="20"/>
          <w:szCs w:val="20"/>
          <w:color w:val="auto"/>
        </w:rPr>
      </w:pPr>
    </w:p>
    <w:p>
      <w:pPr>
        <w:sectPr>
          <w:pgSz w:w="11900" w:h="16838" w:orient="portrait"/>
          <w:cols w:equalWidth="0" w:num="3">
            <w:col w:w="5000" w:space="720"/>
            <w:col w:w="260" w:space="100"/>
            <w:col w:w="5320"/>
          </w:cols>
          <w:pgMar w:left="240" w:top="756" w:right="259" w:bottom="1440" w:gutter="0" w:footer="0" w:header="0"/>
          <w:type w:val="continuous"/>
        </w:sectPr>
      </w:pPr>
    </w:p>
    <w:p>
      <w:pPr>
        <w:spacing w:after="0" w:line="261" w:lineRule="exact"/>
        <w:rPr>
          <w:sz w:val="20"/>
          <w:szCs w:val="20"/>
          <w:color w:val="auto"/>
        </w:rPr>
      </w:pPr>
    </w:p>
    <w:p>
      <w:pPr>
        <w:ind w:left="860" w:hanging="850"/>
        <w:spacing w:after="0" w:line="282" w:lineRule="auto"/>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(1) Percentages calculated based on 473,678 shares of the issuer's common stock, par value $0.01 per share, outstanding as of December 31, 2012,</w:t>
      </w:r>
      <w:r>
        <w:rPr>
          <w:rFonts w:ascii="Arial" w:cs="Arial" w:eastAsia="Arial" w:hAnsi="Arial"/>
          <w:sz w:val="18"/>
          <w:szCs w:val="18"/>
          <w:b w:val="1"/>
          <w:bCs w:val="1"/>
          <w:color w:val="auto"/>
        </w:rPr>
        <w:t xml:space="preserve"> </w:t>
      </w:r>
      <w:r>
        <w:rPr>
          <w:rFonts w:ascii="Arial" w:cs="Arial" w:eastAsia="Arial" w:hAnsi="Arial"/>
          <w:sz w:val="18"/>
          <w:szCs w:val="18"/>
          <w:color w:val="auto"/>
        </w:rPr>
        <w:t>which figure is based on information provided to the reporting person by the issuer.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400"/>
      </w:cols>
      <w:pgMar w:left="240" w:top="75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2019-12-07T23:36:42Z</dcterms:created>
  <dcterms:modified xsi:type="dcterms:W3CDTF">2019-12-07T23:36:42Z</dcterms:modified>
</cp:coreProperties>
</file>