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99"/>
        </w:trPr>
        <w:tc>
          <w:tcPr>
            <w:tcW w:w="16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940" w:type="dxa"/>
            <w:vAlign w:val="bottom"/>
            <w:gridSpan w:val="2"/>
          </w:tcPr>
          <w:p>
            <w:pPr>
              <w:jc w:val="center"/>
              <w:ind w:right="1580"/>
              <w:spacing w:after="0"/>
              <w:rPr>
                <w:sz w:val="20"/>
                <w:szCs w:val="20"/>
                <w:color w:val="auto"/>
              </w:rPr>
            </w:pPr>
            <w:r>
              <w:rPr>
                <w:rFonts w:ascii="Arial" w:cs="Arial" w:eastAsia="Arial" w:hAnsi="Arial"/>
                <w:sz w:val="26"/>
                <w:szCs w:val="26"/>
                <w:b w:val="1"/>
                <w:bCs w:val="1"/>
                <w:color w:val="auto"/>
                <w:w w:val="96"/>
              </w:rPr>
              <w:t>UNITED STATES</w:t>
            </w:r>
          </w:p>
        </w:tc>
      </w:tr>
      <w:tr>
        <w:trPr>
          <w:trHeight w:val="299"/>
        </w:trPr>
        <w:tc>
          <w:tcPr>
            <w:tcW w:w="1640" w:type="dxa"/>
            <w:vAlign w:val="bottom"/>
          </w:tcPr>
          <w:p>
            <w:pPr>
              <w:spacing w:after="0"/>
              <w:rPr>
                <w:sz w:val="24"/>
                <w:szCs w:val="24"/>
                <w:color w:val="auto"/>
              </w:rPr>
            </w:pPr>
          </w:p>
        </w:tc>
        <w:tc>
          <w:tcPr>
            <w:tcW w:w="6760" w:type="dxa"/>
            <w:vAlign w:val="bottom"/>
            <w:gridSpan w:val="3"/>
          </w:tcPr>
          <w:p>
            <w:pPr>
              <w:jc w:val="center"/>
              <w:ind w:left="1172"/>
              <w:spacing w:after="0"/>
              <w:rPr>
                <w:sz w:val="20"/>
                <w:szCs w:val="20"/>
                <w:color w:val="auto"/>
              </w:rPr>
            </w:pPr>
            <w:r>
              <w:rPr>
                <w:rFonts w:ascii="Arial" w:cs="Arial" w:eastAsia="Arial" w:hAnsi="Arial"/>
                <w:sz w:val="26"/>
                <w:szCs w:val="26"/>
                <w:b w:val="1"/>
                <w:bCs w:val="1"/>
                <w:color w:val="auto"/>
                <w:w w:val="99"/>
              </w:rPr>
              <w:t>SECURITIES AND EXCHANGE COMMISSION</w:t>
            </w:r>
          </w:p>
        </w:tc>
      </w:tr>
      <w:tr>
        <w:trPr>
          <w:trHeight w:val="220"/>
        </w:trPr>
        <w:tc>
          <w:tcPr>
            <w:tcW w:w="16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940" w:type="dxa"/>
            <w:vAlign w:val="bottom"/>
            <w:gridSpan w:val="2"/>
          </w:tcPr>
          <w:p>
            <w:pPr>
              <w:jc w:val="center"/>
              <w:ind w:right="1580"/>
              <w:spacing w:after="0"/>
              <w:rPr>
                <w:sz w:val="20"/>
                <w:szCs w:val="20"/>
                <w:color w:val="auto"/>
              </w:rPr>
            </w:pPr>
            <w:r>
              <w:rPr>
                <w:rFonts w:ascii="Arial" w:cs="Arial" w:eastAsia="Arial" w:hAnsi="Arial"/>
                <w:sz w:val="17"/>
                <w:szCs w:val="17"/>
                <w:b w:val="1"/>
                <w:bCs w:val="1"/>
                <w:color w:val="auto"/>
                <w:w w:val="91"/>
              </w:rPr>
              <w:t>Washington, D.C. 20549</w:t>
            </w:r>
          </w:p>
        </w:tc>
      </w:tr>
      <w:tr>
        <w:trPr>
          <w:trHeight w:val="142"/>
        </w:trPr>
        <w:tc>
          <w:tcPr>
            <w:tcW w:w="16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360" w:type="dxa"/>
            <w:vAlign w:val="bottom"/>
            <w:tcBorders>
              <w:bottom w:val="single" w:sz="8" w:color="auto"/>
            </w:tcBorders>
          </w:tcPr>
          <w:p>
            <w:pPr>
              <w:spacing w:after="0"/>
              <w:rPr>
                <w:sz w:val="12"/>
                <w:szCs w:val="12"/>
                <w:color w:val="auto"/>
              </w:rPr>
            </w:pPr>
          </w:p>
        </w:tc>
        <w:tc>
          <w:tcPr>
            <w:tcW w:w="1580" w:type="dxa"/>
            <w:vAlign w:val="bottom"/>
          </w:tcPr>
          <w:p>
            <w:pPr>
              <w:spacing w:after="0"/>
              <w:rPr>
                <w:sz w:val="12"/>
                <w:szCs w:val="12"/>
                <w:color w:val="auto"/>
              </w:rPr>
            </w:pPr>
          </w:p>
        </w:tc>
      </w:tr>
      <w:tr>
        <w:trPr>
          <w:trHeight w:val="321"/>
        </w:trPr>
        <w:tc>
          <w:tcPr>
            <w:tcW w:w="16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940" w:type="dxa"/>
            <w:vAlign w:val="bottom"/>
            <w:gridSpan w:val="2"/>
          </w:tcPr>
          <w:p>
            <w:pPr>
              <w:jc w:val="center"/>
              <w:ind w:right="1580"/>
              <w:spacing w:after="0"/>
              <w:rPr>
                <w:sz w:val="20"/>
                <w:szCs w:val="20"/>
                <w:color w:val="auto"/>
              </w:rPr>
            </w:pPr>
            <w:r>
              <w:rPr>
                <w:rFonts w:ascii="Arial" w:cs="Arial" w:eastAsia="Arial" w:hAnsi="Arial"/>
                <w:sz w:val="26"/>
                <w:szCs w:val="26"/>
                <w:b w:val="1"/>
                <w:bCs w:val="1"/>
                <w:color w:val="auto"/>
                <w:w w:val="96"/>
              </w:rPr>
              <w:t>SCHEDULE 14A</w:t>
            </w:r>
          </w:p>
        </w:tc>
      </w:tr>
      <w:tr>
        <w:trPr>
          <w:trHeight w:val="220"/>
        </w:trPr>
        <w:tc>
          <w:tcPr>
            <w:tcW w:w="16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940" w:type="dxa"/>
            <w:vAlign w:val="bottom"/>
            <w:gridSpan w:val="2"/>
          </w:tcPr>
          <w:p>
            <w:pPr>
              <w:jc w:val="center"/>
              <w:ind w:right="1580"/>
              <w:spacing w:after="0"/>
              <w:rPr>
                <w:sz w:val="20"/>
                <w:szCs w:val="20"/>
                <w:color w:val="auto"/>
              </w:rPr>
            </w:pPr>
            <w:r>
              <w:rPr>
                <w:rFonts w:ascii="Arial" w:cs="Arial" w:eastAsia="Arial" w:hAnsi="Arial"/>
                <w:sz w:val="17"/>
                <w:szCs w:val="17"/>
                <w:b w:val="1"/>
                <w:bCs w:val="1"/>
                <w:color w:val="auto"/>
                <w:w w:val="96"/>
              </w:rPr>
              <w:t>(RULE 14a-101)</w:t>
            </w:r>
          </w:p>
        </w:tc>
      </w:tr>
      <w:tr>
        <w:trPr>
          <w:trHeight w:val="217"/>
        </w:trPr>
        <w:tc>
          <w:tcPr>
            <w:tcW w:w="1640" w:type="dxa"/>
            <w:vAlign w:val="bottom"/>
          </w:tcPr>
          <w:p>
            <w:pPr>
              <w:spacing w:after="0"/>
              <w:rPr>
                <w:sz w:val="18"/>
                <w:szCs w:val="18"/>
                <w:color w:val="auto"/>
              </w:rPr>
            </w:pPr>
          </w:p>
        </w:tc>
        <w:tc>
          <w:tcPr>
            <w:tcW w:w="6760" w:type="dxa"/>
            <w:vAlign w:val="bottom"/>
            <w:gridSpan w:val="3"/>
          </w:tcPr>
          <w:p>
            <w:pPr>
              <w:jc w:val="center"/>
              <w:ind w:left="1172"/>
              <w:spacing w:after="0"/>
              <w:rPr>
                <w:sz w:val="20"/>
                <w:szCs w:val="20"/>
                <w:color w:val="auto"/>
              </w:rPr>
            </w:pPr>
            <w:r>
              <w:rPr>
                <w:rFonts w:ascii="Arial" w:cs="Arial" w:eastAsia="Arial" w:hAnsi="Arial"/>
                <w:sz w:val="17"/>
                <w:szCs w:val="17"/>
                <w:b w:val="1"/>
                <w:bCs w:val="1"/>
                <w:color w:val="auto"/>
              </w:rPr>
              <w:t>INFORMATION REQUIRED IN PROXY STATEMENT</w:t>
            </w:r>
          </w:p>
        </w:tc>
      </w:tr>
      <w:tr>
        <w:trPr>
          <w:trHeight w:val="220"/>
        </w:trPr>
        <w:tc>
          <w:tcPr>
            <w:tcW w:w="1640" w:type="dxa"/>
            <w:vAlign w:val="bottom"/>
          </w:tcPr>
          <w:p>
            <w:pPr>
              <w:spacing w:after="0"/>
              <w:rPr>
                <w:sz w:val="19"/>
                <w:szCs w:val="19"/>
                <w:color w:val="auto"/>
              </w:rPr>
            </w:pPr>
          </w:p>
        </w:tc>
        <w:tc>
          <w:tcPr>
            <w:tcW w:w="6760" w:type="dxa"/>
            <w:vAlign w:val="bottom"/>
            <w:gridSpan w:val="3"/>
          </w:tcPr>
          <w:p>
            <w:pPr>
              <w:jc w:val="center"/>
              <w:ind w:left="1152"/>
              <w:spacing w:after="0"/>
              <w:rPr>
                <w:sz w:val="20"/>
                <w:szCs w:val="20"/>
                <w:color w:val="auto"/>
              </w:rPr>
            </w:pPr>
            <w:r>
              <w:rPr>
                <w:rFonts w:ascii="Arial" w:cs="Arial" w:eastAsia="Arial" w:hAnsi="Arial"/>
                <w:sz w:val="17"/>
                <w:szCs w:val="17"/>
                <w:b w:val="1"/>
                <w:bCs w:val="1"/>
                <w:color w:val="auto"/>
              </w:rPr>
              <w:t>SCHEDULE 14A INFORMATION</w:t>
            </w:r>
          </w:p>
        </w:tc>
      </w:tr>
      <w:tr>
        <w:trPr>
          <w:trHeight w:val="217"/>
        </w:trPr>
        <w:tc>
          <w:tcPr>
            <w:tcW w:w="1640" w:type="dxa"/>
            <w:vAlign w:val="bottom"/>
          </w:tcPr>
          <w:p>
            <w:pPr>
              <w:spacing w:after="0"/>
              <w:rPr>
                <w:sz w:val="18"/>
                <w:szCs w:val="18"/>
                <w:color w:val="auto"/>
              </w:rPr>
            </w:pPr>
          </w:p>
        </w:tc>
        <w:tc>
          <w:tcPr>
            <w:tcW w:w="6760" w:type="dxa"/>
            <w:vAlign w:val="bottom"/>
            <w:gridSpan w:val="3"/>
          </w:tcPr>
          <w:p>
            <w:pPr>
              <w:jc w:val="center"/>
              <w:ind w:left="1172"/>
              <w:spacing w:after="0"/>
              <w:rPr>
                <w:sz w:val="20"/>
                <w:szCs w:val="20"/>
                <w:color w:val="auto"/>
              </w:rPr>
            </w:pPr>
            <w:r>
              <w:rPr>
                <w:rFonts w:ascii="Arial" w:cs="Arial" w:eastAsia="Arial" w:hAnsi="Arial"/>
                <w:sz w:val="17"/>
                <w:szCs w:val="17"/>
                <w:b w:val="1"/>
                <w:bCs w:val="1"/>
                <w:color w:val="auto"/>
                <w:w w:val="89"/>
              </w:rPr>
              <w:t>Proxy Statement Pursuant to Section 14(a) of the</w:t>
            </w:r>
          </w:p>
        </w:tc>
      </w:tr>
      <w:tr>
        <w:trPr>
          <w:trHeight w:val="220"/>
        </w:trPr>
        <w:tc>
          <w:tcPr>
            <w:tcW w:w="16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940" w:type="dxa"/>
            <w:vAlign w:val="bottom"/>
            <w:gridSpan w:val="2"/>
          </w:tcPr>
          <w:p>
            <w:pPr>
              <w:jc w:val="center"/>
              <w:ind w:right="1580"/>
              <w:spacing w:after="0"/>
              <w:rPr>
                <w:sz w:val="20"/>
                <w:szCs w:val="20"/>
                <w:color w:val="auto"/>
              </w:rPr>
            </w:pPr>
            <w:r>
              <w:rPr>
                <w:rFonts w:ascii="Arial" w:cs="Arial" w:eastAsia="Arial" w:hAnsi="Arial"/>
                <w:sz w:val="17"/>
                <w:szCs w:val="17"/>
                <w:b w:val="1"/>
                <w:bCs w:val="1"/>
                <w:color w:val="auto"/>
                <w:w w:val="88"/>
              </w:rPr>
              <w:t>Securities Exchange Act of 1934</w:t>
            </w:r>
          </w:p>
        </w:tc>
      </w:tr>
      <w:tr>
        <w:trPr>
          <w:trHeight w:val="152"/>
        </w:trPr>
        <w:tc>
          <w:tcPr>
            <w:tcW w:w="16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360" w:type="dxa"/>
            <w:vAlign w:val="bottom"/>
            <w:tcBorders>
              <w:bottom w:val="single" w:sz="8" w:color="auto"/>
            </w:tcBorders>
          </w:tcPr>
          <w:p>
            <w:pPr>
              <w:spacing w:after="0"/>
              <w:rPr>
                <w:sz w:val="13"/>
                <w:szCs w:val="13"/>
                <w:color w:val="auto"/>
              </w:rPr>
            </w:pPr>
          </w:p>
        </w:tc>
        <w:tc>
          <w:tcPr>
            <w:tcW w:w="1580" w:type="dxa"/>
            <w:vAlign w:val="bottom"/>
          </w:tcPr>
          <w:p>
            <w:pPr>
              <w:spacing w:after="0"/>
              <w:rPr>
                <w:sz w:val="13"/>
                <w:szCs w:val="13"/>
                <w:color w:val="auto"/>
              </w:rPr>
            </w:pPr>
          </w:p>
        </w:tc>
      </w:tr>
      <w:tr>
        <w:trPr>
          <w:trHeight w:val="196"/>
        </w:trPr>
        <w:tc>
          <w:tcPr>
            <w:tcW w:w="1640" w:type="dxa"/>
            <w:vAlign w:val="bottom"/>
          </w:tcPr>
          <w:p>
            <w:pPr>
              <w:spacing w:after="0" w:line="127" w:lineRule="exact"/>
              <w:rPr>
                <w:sz w:val="20"/>
                <w:szCs w:val="20"/>
                <w:color w:val="auto"/>
              </w:rPr>
            </w:pPr>
            <w:r>
              <w:rPr>
                <w:rFonts w:ascii="Arial" w:cs="Arial" w:eastAsia="Arial" w:hAnsi="Arial"/>
                <w:sz w:val="11"/>
                <w:szCs w:val="11"/>
                <w:color w:val="auto"/>
              </w:rPr>
              <w:t xml:space="preserve">Filed by the Registrant </w:t>
            </w:r>
            <w:r>
              <w:rPr>
                <w:rFonts w:ascii="MS PGothic" w:cs="MS PGothic" w:eastAsia="MS PGothic" w:hAnsi="MS PGothic"/>
                <w:sz w:val="11"/>
                <w:szCs w:val="11"/>
                <w:color w:val="auto"/>
              </w:rPr>
              <w:t>☒</w:t>
            </w:r>
          </w:p>
        </w:tc>
        <w:tc>
          <w:tcPr>
            <w:tcW w:w="6760" w:type="dxa"/>
            <w:vAlign w:val="bottom"/>
            <w:gridSpan w:val="3"/>
          </w:tcPr>
          <w:p>
            <w:pPr>
              <w:ind w:left="380"/>
              <w:spacing w:after="0" w:line="127" w:lineRule="exact"/>
              <w:rPr>
                <w:sz w:val="20"/>
                <w:szCs w:val="20"/>
                <w:color w:val="auto"/>
              </w:rPr>
            </w:pPr>
            <w:r>
              <w:rPr>
                <w:rFonts w:ascii="Arial" w:cs="Arial" w:eastAsia="Arial" w:hAnsi="Arial"/>
                <w:sz w:val="11"/>
                <w:szCs w:val="11"/>
                <w:color w:val="auto"/>
              </w:rPr>
              <w:t xml:space="preserve">Filed by a Party other than the Registrant </w:t>
            </w:r>
            <w:r>
              <w:rPr>
                <w:rFonts w:ascii="MS PGothic" w:cs="MS PGothic" w:eastAsia="MS PGothic" w:hAnsi="MS PGothic"/>
                <w:sz w:val="11"/>
                <w:szCs w:val="11"/>
                <w:color w:val="auto"/>
              </w:rPr>
              <w:t>☐</w:t>
            </w:r>
          </w:p>
        </w:tc>
      </w:tr>
      <w:tr>
        <w:trPr>
          <w:trHeight w:val="169"/>
        </w:trPr>
        <w:tc>
          <w:tcPr>
            <w:tcW w:w="1640" w:type="dxa"/>
            <w:vAlign w:val="bottom"/>
          </w:tcPr>
          <w:p>
            <w:pPr>
              <w:spacing w:after="0"/>
              <w:rPr>
                <w:sz w:val="20"/>
                <w:szCs w:val="20"/>
                <w:color w:val="auto"/>
              </w:rPr>
            </w:pPr>
            <w:r>
              <w:rPr>
                <w:rFonts w:ascii="Arial" w:cs="Arial" w:eastAsia="Arial" w:hAnsi="Arial"/>
                <w:sz w:val="11"/>
                <w:szCs w:val="11"/>
                <w:color w:val="auto"/>
              </w:rPr>
              <w:t>Check the appropriate box:</w:t>
            </w:r>
          </w:p>
        </w:tc>
        <w:tc>
          <w:tcPr>
            <w:tcW w:w="28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80" w:type="dxa"/>
            <w:vAlign w:val="bottom"/>
          </w:tcPr>
          <w:p>
            <w:pPr>
              <w:spacing w:after="0"/>
              <w:rPr>
                <w:sz w:val="14"/>
                <w:szCs w:val="14"/>
                <w:color w:val="auto"/>
              </w:rPr>
            </w:pPr>
          </w:p>
        </w:tc>
      </w:tr>
    </w:tbl>
    <w:p>
      <w:pPr>
        <w:spacing w:after="0" w:line="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193675</wp:posOffset>
            </wp:positionH>
            <wp:positionV relativeFrom="page">
              <wp:posOffset>149860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183515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ind w:left="560" w:hanging="555"/>
        <w:spacing w:after="0"/>
        <w:tabs>
          <w:tab w:leader="none" w:pos="56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Preliminary Proxy Statement</w:t>
      </w:r>
    </w:p>
    <w:p>
      <w:pPr>
        <w:spacing w:after="0" w:line="52" w:lineRule="exact"/>
        <w:rPr>
          <w:rFonts w:ascii="MS PGothic" w:cs="MS PGothic" w:eastAsia="MS PGothic" w:hAnsi="MS PGothic"/>
          <w:sz w:val="11"/>
          <w:szCs w:val="11"/>
          <w:color w:val="auto"/>
        </w:rPr>
      </w:pPr>
    </w:p>
    <w:p>
      <w:pPr>
        <w:ind w:left="560" w:hanging="555"/>
        <w:spacing w:after="0"/>
        <w:tabs>
          <w:tab w:leader="none" w:pos="560" w:val="left"/>
        </w:tabs>
        <w:numPr>
          <w:ilvl w:val="0"/>
          <w:numId w:val="1"/>
        </w:numPr>
        <w:rPr>
          <w:rFonts w:ascii="MS PGothic" w:cs="MS PGothic" w:eastAsia="MS PGothic" w:hAnsi="MS PGothic"/>
          <w:sz w:val="11"/>
          <w:szCs w:val="11"/>
          <w:color w:val="auto"/>
        </w:rPr>
      </w:pPr>
      <w:r>
        <w:rPr>
          <w:rFonts w:ascii="Arial" w:cs="Arial" w:eastAsia="Arial" w:hAnsi="Arial"/>
          <w:sz w:val="11"/>
          <w:szCs w:val="11"/>
          <w:b w:val="1"/>
          <w:bCs w:val="1"/>
          <w:color w:val="auto"/>
        </w:rPr>
        <w:t>Confidential, for Use of the Commission Only (as permitted by Rule 14a-6(e)(2))</w:t>
      </w:r>
    </w:p>
    <w:p>
      <w:pPr>
        <w:spacing w:after="0" w:line="56" w:lineRule="exact"/>
        <w:rPr>
          <w:rFonts w:ascii="MS PGothic" w:cs="MS PGothic" w:eastAsia="MS PGothic" w:hAnsi="MS PGothic"/>
          <w:sz w:val="11"/>
          <w:szCs w:val="11"/>
          <w:color w:val="auto"/>
        </w:rPr>
      </w:pPr>
    </w:p>
    <w:p>
      <w:pPr>
        <w:ind w:left="560" w:hanging="555"/>
        <w:spacing w:after="0"/>
        <w:tabs>
          <w:tab w:leader="none" w:pos="56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Definitive Proxy Statement</w:t>
      </w:r>
    </w:p>
    <w:p>
      <w:pPr>
        <w:spacing w:after="0" w:line="54" w:lineRule="exact"/>
        <w:rPr>
          <w:sz w:val="24"/>
          <w:szCs w:val="24"/>
          <w:color w:val="auto"/>
        </w:rPr>
      </w:pPr>
    </w:p>
    <w:p>
      <w:pPr>
        <w:ind w:left="560" w:hanging="555"/>
        <w:spacing w:after="0"/>
        <w:tabs>
          <w:tab w:leader="none" w:pos="560" w:val="left"/>
        </w:tabs>
        <w:numPr>
          <w:ilvl w:val="0"/>
          <w:numId w:val="2"/>
        </w:numPr>
        <w:rPr>
          <w:rFonts w:ascii="MS PGothic" w:cs="MS PGothic" w:eastAsia="MS PGothic" w:hAnsi="MS PGothic"/>
          <w:sz w:val="11"/>
          <w:szCs w:val="11"/>
          <w:color w:val="auto"/>
        </w:rPr>
      </w:pPr>
      <w:r>
        <w:rPr>
          <w:rFonts w:ascii="Arial" w:cs="Arial" w:eastAsia="Arial" w:hAnsi="Arial"/>
          <w:sz w:val="11"/>
          <w:szCs w:val="11"/>
          <w:color w:val="auto"/>
        </w:rPr>
        <w:t>Definitive Additional Materials</w:t>
      </w:r>
    </w:p>
    <w:p>
      <w:pPr>
        <w:spacing w:after="0" w:line="54" w:lineRule="exact"/>
        <w:rPr>
          <w:sz w:val="24"/>
          <w:szCs w:val="24"/>
          <w:color w:val="auto"/>
        </w:rPr>
      </w:pPr>
    </w:p>
    <w:p>
      <w:pPr>
        <w:ind w:left="560" w:hanging="555"/>
        <w:spacing w:after="0"/>
        <w:tabs>
          <w:tab w:leader="none" w:pos="560" w:val="left"/>
        </w:tabs>
        <w:numPr>
          <w:ilvl w:val="0"/>
          <w:numId w:val="3"/>
        </w:numPr>
        <w:rPr>
          <w:rFonts w:ascii="MS PGothic" w:cs="MS PGothic" w:eastAsia="MS PGothic" w:hAnsi="MS PGothic"/>
          <w:sz w:val="11"/>
          <w:szCs w:val="11"/>
          <w:color w:val="auto"/>
        </w:rPr>
      </w:pPr>
      <w:r>
        <w:rPr>
          <w:rFonts w:ascii="Arial" w:cs="Arial" w:eastAsia="Arial" w:hAnsi="Arial"/>
          <w:sz w:val="11"/>
          <w:szCs w:val="11"/>
          <w:color w:val="auto"/>
        </w:rPr>
        <w:t>Soliciting Material Pursuant to §240.14a-12</w:t>
      </w:r>
    </w:p>
    <w:p>
      <w:pPr>
        <w:spacing w:after="0" w:line="32" w:lineRule="exact"/>
        <w:rPr>
          <w:sz w:val="24"/>
          <w:szCs w:val="24"/>
          <w:color w:val="auto"/>
        </w:rPr>
      </w:pPr>
    </w:p>
    <w:p>
      <w:pPr>
        <w:jc w:val="center"/>
        <w:ind w:right="-79"/>
        <w:spacing w:after="0"/>
        <w:rPr>
          <w:sz w:val="20"/>
          <w:szCs w:val="20"/>
          <w:color w:val="auto"/>
        </w:rPr>
      </w:pPr>
      <w:r>
        <w:rPr>
          <w:rFonts w:ascii="Arial" w:cs="Arial" w:eastAsia="Arial" w:hAnsi="Arial"/>
          <w:sz w:val="31"/>
          <w:szCs w:val="31"/>
          <w:b w:val="1"/>
          <w:bCs w:val="1"/>
          <w:color w:val="auto"/>
        </w:rPr>
        <w:t>TPG Specialty Lending, Inc.</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44" w:lineRule="exact"/>
        <w:rPr>
          <w:sz w:val="24"/>
          <w:szCs w:val="24"/>
          <w:color w:val="auto"/>
        </w:rPr>
      </w:pPr>
    </w:p>
    <w:p>
      <w:pPr>
        <w:jc w:val="center"/>
        <w:ind w:right="-79"/>
        <w:spacing w:after="0"/>
        <w:rPr>
          <w:sz w:val="20"/>
          <w:szCs w:val="20"/>
          <w:color w:val="auto"/>
        </w:rPr>
      </w:pPr>
      <w:r>
        <w:rPr>
          <w:rFonts w:ascii="Arial" w:cs="Arial" w:eastAsia="Arial" w:hAnsi="Arial"/>
          <w:sz w:val="11"/>
          <w:szCs w:val="11"/>
          <w:b w:val="1"/>
          <w:bCs w:val="1"/>
          <w:color w:val="auto"/>
        </w:rPr>
        <w:t>(Name of Person(s) Filing Proxy Statement, if other than the Registrant)</w:t>
      </w:r>
    </w:p>
    <w:p>
      <w:pPr>
        <w:spacing w:after="0" w:line="46" w:lineRule="exact"/>
        <w:rPr>
          <w:sz w:val="24"/>
          <w:szCs w:val="24"/>
          <w:color w:val="auto"/>
        </w:rPr>
      </w:pPr>
    </w:p>
    <w:p>
      <w:pPr>
        <w:spacing w:after="0"/>
        <w:rPr>
          <w:sz w:val="20"/>
          <w:szCs w:val="20"/>
          <w:color w:val="auto"/>
        </w:rPr>
      </w:pPr>
      <w:r>
        <w:rPr>
          <w:rFonts w:ascii="Arial" w:cs="Arial" w:eastAsia="Arial" w:hAnsi="Arial"/>
          <w:sz w:val="11"/>
          <w:szCs w:val="11"/>
          <w:color w:val="auto"/>
        </w:rPr>
        <w:t>Payment of Filing Fee (Check the appropriate box):</w:t>
      </w:r>
    </w:p>
    <w:p>
      <w:pPr>
        <w:spacing w:after="0" w:line="76" w:lineRule="exact"/>
        <w:rPr>
          <w:sz w:val="24"/>
          <w:szCs w:val="24"/>
          <w:color w:val="auto"/>
        </w:rPr>
      </w:pPr>
    </w:p>
    <w:p>
      <w:pPr>
        <w:ind w:left="580" w:hanging="575"/>
        <w:spacing w:after="0"/>
        <w:tabs>
          <w:tab w:leader="none" w:pos="580" w:val="left"/>
        </w:tabs>
        <w:numPr>
          <w:ilvl w:val="0"/>
          <w:numId w:val="4"/>
        </w:numPr>
        <w:rPr>
          <w:rFonts w:ascii="MS PGothic" w:cs="MS PGothic" w:eastAsia="MS PGothic" w:hAnsi="MS PGothic"/>
          <w:sz w:val="11"/>
          <w:szCs w:val="11"/>
          <w:color w:val="auto"/>
        </w:rPr>
      </w:pPr>
      <w:r>
        <w:rPr>
          <w:rFonts w:ascii="Arial" w:cs="Arial" w:eastAsia="Arial" w:hAnsi="Arial"/>
          <w:sz w:val="11"/>
          <w:szCs w:val="11"/>
          <w:color w:val="auto"/>
        </w:rPr>
        <w:t>No fee required.</w:t>
      </w:r>
    </w:p>
    <w:p>
      <w:pPr>
        <w:spacing w:after="0" w:line="182" w:lineRule="exact"/>
        <w:rPr>
          <w:sz w:val="24"/>
          <w:szCs w:val="24"/>
          <w:color w:val="auto"/>
        </w:rPr>
      </w:pPr>
    </w:p>
    <w:p>
      <w:pPr>
        <w:ind w:left="580" w:hanging="575"/>
        <w:spacing w:after="0"/>
        <w:tabs>
          <w:tab w:leader="none" w:pos="580" w:val="left"/>
        </w:tabs>
        <w:numPr>
          <w:ilvl w:val="0"/>
          <w:numId w:val="5"/>
        </w:numPr>
        <w:rPr>
          <w:rFonts w:ascii="MS PGothic" w:cs="MS PGothic" w:eastAsia="MS PGothic" w:hAnsi="MS PGothic"/>
          <w:sz w:val="11"/>
          <w:szCs w:val="11"/>
          <w:color w:val="auto"/>
        </w:rPr>
      </w:pPr>
      <w:r>
        <w:rPr>
          <w:rFonts w:ascii="Arial" w:cs="Arial" w:eastAsia="Arial" w:hAnsi="Arial"/>
          <w:sz w:val="11"/>
          <w:szCs w:val="11"/>
          <w:color w:val="auto"/>
        </w:rPr>
        <w:t>Fee computed on table below per Exchange Act Rules 14a-6(i)(1) and 0-11.</w:t>
      </w:r>
    </w:p>
    <w:p>
      <w:pPr>
        <w:spacing w:after="0" w:line="54" w:lineRule="exact"/>
        <w:rPr>
          <w:rFonts w:ascii="MS PGothic" w:cs="MS PGothic" w:eastAsia="MS PGothic" w:hAnsi="MS PGothic"/>
          <w:sz w:val="11"/>
          <w:szCs w:val="11"/>
          <w:color w:val="auto"/>
        </w:rPr>
      </w:pPr>
    </w:p>
    <w:p>
      <w:pPr>
        <w:ind w:left="1140" w:hanging="560"/>
        <w:spacing w:after="0"/>
        <w:tabs>
          <w:tab w:leader="none" w:pos="1140" w:val="left"/>
        </w:tabs>
        <w:numPr>
          <w:ilvl w:val="1"/>
          <w:numId w:val="5"/>
        </w:numPr>
        <w:rPr>
          <w:rFonts w:ascii="Arial" w:cs="Arial" w:eastAsia="Arial" w:hAnsi="Arial"/>
          <w:sz w:val="11"/>
          <w:szCs w:val="11"/>
          <w:color w:val="auto"/>
        </w:rPr>
      </w:pPr>
      <w:r>
        <w:rPr>
          <w:rFonts w:ascii="Arial" w:cs="Arial" w:eastAsia="Arial" w:hAnsi="Arial"/>
          <w:sz w:val="11"/>
          <w:szCs w:val="11"/>
          <w:color w:val="auto"/>
        </w:rPr>
        <w:t>Title of each class of securities to which transaction applies:</w:t>
      </w:r>
    </w:p>
    <w:p>
      <w:pPr>
        <w:spacing w:after="0" w:line="182" w:lineRule="exact"/>
        <w:rPr>
          <w:rFonts w:ascii="Arial" w:cs="Arial" w:eastAsia="Arial" w:hAnsi="Arial"/>
          <w:sz w:val="11"/>
          <w:szCs w:val="11"/>
          <w:color w:val="auto"/>
        </w:rPr>
      </w:pPr>
    </w:p>
    <w:p>
      <w:pPr>
        <w:ind w:left="1140" w:hanging="560"/>
        <w:spacing w:after="0"/>
        <w:tabs>
          <w:tab w:leader="none" w:pos="1140" w:val="left"/>
        </w:tabs>
        <w:numPr>
          <w:ilvl w:val="1"/>
          <w:numId w:val="5"/>
        </w:numPr>
        <w:rPr>
          <w:rFonts w:ascii="Arial" w:cs="Arial" w:eastAsia="Arial" w:hAnsi="Arial"/>
          <w:sz w:val="11"/>
          <w:szCs w:val="11"/>
          <w:color w:val="auto"/>
        </w:rPr>
      </w:pPr>
      <w:r>
        <w:rPr>
          <w:rFonts w:ascii="Arial" w:cs="Arial" w:eastAsia="Arial" w:hAnsi="Arial"/>
          <w:sz w:val="11"/>
          <w:szCs w:val="11"/>
          <w:color w:val="auto"/>
        </w:rPr>
        <w:t>Aggregate number of securities to which transaction applies:</w:t>
      </w:r>
    </w:p>
    <w:p>
      <w:pPr>
        <w:spacing w:after="0" w:line="182" w:lineRule="exact"/>
        <w:rPr>
          <w:rFonts w:ascii="Arial" w:cs="Arial" w:eastAsia="Arial" w:hAnsi="Arial"/>
          <w:sz w:val="11"/>
          <w:szCs w:val="11"/>
          <w:color w:val="auto"/>
        </w:rPr>
      </w:pPr>
    </w:p>
    <w:p>
      <w:pPr>
        <w:ind w:left="1140" w:hanging="560"/>
        <w:spacing w:after="0"/>
        <w:tabs>
          <w:tab w:leader="none" w:pos="1140" w:val="left"/>
        </w:tabs>
        <w:numPr>
          <w:ilvl w:val="1"/>
          <w:numId w:val="5"/>
        </w:numPr>
        <w:rPr>
          <w:rFonts w:ascii="Arial" w:cs="Arial" w:eastAsia="Arial" w:hAnsi="Arial"/>
          <w:sz w:val="11"/>
          <w:szCs w:val="11"/>
          <w:color w:val="auto"/>
        </w:rPr>
      </w:pPr>
      <w:r>
        <w:rPr>
          <w:rFonts w:ascii="Arial" w:cs="Arial" w:eastAsia="Arial" w:hAnsi="Arial"/>
          <w:sz w:val="11"/>
          <w:szCs w:val="11"/>
          <w:color w:val="auto"/>
        </w:rPr>
        <w:t>Per unit price or other underlying value of transaction computed pursuant to Exchange Act Rule 0-11 (set forth the amount on which the filing fee is calculated and state how it was determined):</w:t>
      </w:r>
    </w:p>
    <w:p>
      <w:pPr>
        <w:spacing w:after="0" w:line="182" w:lineRule="exact"/>
        <w:rPr>
          <w:rFonts w:ascii="Arial" w:cs="Arial" w:eastAsia="Arial" w:hAnsi="Arial"/>
          <w:sz w:val="11"/>
          <w:szCs w:val="11"/>
          <w:color w:val="auto"/>
        </w:rPr>
      </w:pPr>
    </w:p>
    <w:p>
      <w:pPr>
        <w:ind w:left="1140" w:hanging="560"/>
        <w:spacing w:after="0"/>
        <w:tabs>
          <w:tab w:leader="none" w:pos="1140" w:val="left"/>
        </w:tabs>
        <w:numPr>
          <w:ilvl w:val="1"/>
          <w:numId w:val="5"/>
        </w:numPr>
        <w:rPr>
          <w:rFonts w:ascii="Arial" w:cs="Arial" w:eastAsia="Arial" w:hAnsi="Arial"/>
          <w:sz w:val="11"/>
          <w:szCs w:val="11"/>
          <w:color w:val="auto"/>
        </w:rPr>
      </w:pPr>
      <w:r>
        <w:rPr>
          <w:rFonts w:ascii="Arial" w:cs="Arial" w:eastAsia="Arial" w:hAnsi="Arial"/>
          <w:sz w:val="11"/>
          <w:szCs w:val="11"/>
          <w:color w:val="auto"/>
        </w:rPr>
        <w:t>Proposed maximum aggregate value of transaction:</w:t>
      </w:r>
    </w:p>
    <w:p>
      <w:pPr>
        <w:spacing w:after="0" w:line="182" w:lineRule="exact"/>
        <w:rPr>
          <w:rFonts w:ascii="Arial" w:cs="Arial" w:eastAsia="Arial" w:hAnsi="Arial"/>
          <w:sz w:val="11"/>
          <w:szCs w:val="11"/>
          <w:color w:val="auto"/>
        </w:rPr>
      </w:pPr>
    </w:p>
    <w:p>
      <w:pPr>
        <w:ind w:left="1140" w:hanging="560"/>
        <w:spacing w:after="0"/>
        <w:tabs>
          <w:tab w:leader="none" w:pos="1140" w:val="left"/>
        </w:tabs>
        <w:numPr>
          <w:ilvl w:val="1"/>
          <w:numId w:val="5"/>
        </w:numPr>
        <w:rPr>
          <w:rFonts w:ascii="Arial" w:cs="Arial" w:eastAsia="Arial" w:hAnsi="Arial"/>
          <w:sz w:val="11"/>
          <w:szCs w:val="11"/>
          <w:color w:val="auto"/>
        </w:rPr>
      </w:pPr>
      <w:r>
        <w:rPr>
          <w:rFonts w:ascii="Arial" w:cs="Arial" w:eastAsia="Arial" w:hAnsi="Arial"/>
          <w:sz w:val="11"/>
          <w:szCs w:val="11"/>
          <w:color w:val="auto"/>
        </w:rPr>
        <w:t>Total fee paid:</w:t>
      </w:r>
    </w:p>
    <w:p>
      <w:pPr>
        <w:spacing w:after="0" w:line="235" w:lineRule="exact"/>
        <w:rPr>
          <w:rFonts w:ascii="Arial" w:cs="Arial" w:eastAsia="Arial" w:hAnsi="Arial"/>
          <w:sz w:val="11"/>
          <w:szCs w:val="11"/>
          <w:color w:val="auto"/>
        </w:rPr>
      </w:pPr>
    </w:p>
    <w:p>
      <w:pPr>
        <w:ind w:left="580" w:hanging="575"/>
        <w:spacing w:after="0"/>
        <w:tabs>
          <w:tab w:leader="none" w:pos="580" w:val="left"/>
        </w:tabs>
        <w:numPr>
          <w:ilvl w:val="0"/>
          <w:numId w:val="5"/>
        </w:numPr>
        <w:rPr>
          <w:rFonts w:ascii="MS PGothic" w:cs="MS PGothic" w:eastAsia="MS PGothic" w:hAnsi="MS PGothic"/>
          <w:sz w:val="11"/>
          <w:szCs w:val="11"/>
          <w:color w:val="auto"/>
        </w:rPr>
      </w:pPr>
      <w:r>
        <w:rPr>
          <w:rFonts w:ascii="Arial" w:cs="Arial" w:eastAsia="Arial" w:hAnsi="Arial"/>
          <w:sz w:val="11"/>
          <w:szCs w:val="11"/>
          <w:color w:val="auto"/>
        </w:rPr>
        <w:t>Fee paid previously with preliminary materials.</w:t>
      </w:r>
    </w:p>
    <w:p>
      <w:pPr>
        <w:spacing w:after="0" w:line="65" w:lineRule="exact"/>
        <w:rPr>
          <w:rFonts w:ascii="MS PGothic" w:cs="MS PGothic" w:eastAsia="MS PGothic" w:hAnsi="MS PGothic"/>
          <w:sz w:val="11"/>
          <w:szCs w:val="11"/>
          <w:color w:val="auto"/>
        </w:rPr>
      </w:pPr>
    </w:p>
    <w:p>
      <w:pPr>
        <w:ind w:left="580" w:hanging="575"/>
        <w:spacing w:after="0" w:line="257" w:lineRule="auto"/>
        <w:tabs>
          <w:tab w:leader="none" w:pos="580" w:val="left"/>
        </w:tabs>
        <w:numPr>
          <w:ilvl w:val="0"/>
          <w:numId w:val="5"/>
        </w:numPr>
        <w:rPr>
          <w:rFonts w:ascii="MS PGothic" w:cs="MS PGothic" w:eastAsia="MS PGothic" w:hAnsi="MS PGothic"/>
          <w:sz w:val="11"/>
          <w:szCs w:val="11"/>
          <w:color w:val="auto"/>
        </w:rPr>
      </w:pPr>
      <w:r>
        <w:rPr>
          <w:rFonts w:ascii="Arial" w:cs="Arial" w:eastAsia="Arial" w:hAnsi="Arial"/>
          <w:sz w:val="11"/>
          <w:szCs w:val="1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 w:lineRule="exact"/>
        <w:rPr>
          <w:rFonts w:ascii="MS PGothic" w:cs="MS PGothic" w:eastAsia="MS PGothic" w:hAnsi="MS PGothic"/>
          <w:sz w:val="11"/>
          <w:szCs w:val="11"/>
          <w:color w:val="auto"/>
        </w:rPr>
      </w:pPr>
    </w:p>
    <w:p>
      <w:pPr>
        <w:ind w:left="1140" w:hanging="560"/>
        <w:spacing w:after="0"/>
        <w:tabs>
          <w:tab w:leader="none" w:pos="1140" w:val="left"/>
        </w:tabs>
        <w:numPr>
          <w:ilvl w:val="1"/>
          <w:numId w:val="5"/>
        </w:numPr>
        <w:rPr>
          <w:rFonts w:ascii="Arial" w:cs="Arial" w:eastAsia="Arial" w:hAnsi="Arial"/>
          <w:sz w:val="11"/>
          <w:szCs w:val="11"/>
          <w:color w:val="auto"/>
        </w:rPr>
      </w:pPr>
      <w:r>
        <w:rPr>
          <w:rFonts w:ascii="Arial" w:cs="Arial" w:eastAsia="Arial" w:hAnsi="Arial"/>
          <w:sz w:val="11"/>
          <w:szCs w:val="11"/>
          <w:color w:val="auto"/>
        </w:rPr>
        <w:t>Amount Previously Paid:</w:t>
      </w:r>
    </w:p>
    <w:p>
      <w:pPr>
        <w:spacing w:after="0" w:line="182" w:lineRule="exact"/>
        <w:rPr>
          <w:rFonts w:ascii="Arial" w:cs="Arial" w:eastAsia="Arial" w:hAnsi="Arial"/>
          <w:sz w:val="11"/>
          <w:szCs w:val="11"/>
          <w:color w:val="auto"/>
        </w:rPr>
      </w:pPr>
    </w:p>
    <w:p>
      <w:pPr>
        <w:ind w:left="1140" w:hanging="560"/>
        <w:spacing w:after="0"/>
        <w:tabs>
          <w:tab w:leader="none" w:pos="1140" w:val="left"/>
        </w:tabs>
        <w:numPr>
          <w:ilvl w:val="1"/>
          <w:numId w:val="5"/>
        </w:numPr>
        <w:rPr>
          <w:rFonts w:ascii="Arial" w:cs="Arial" w:eastAsia="Arial" w:hAnsi="Arial"/>
          <w:sz w:val="11"/>
          <w:szCs w:val="11"/>
          <w:color w:val="auto"/>
        </w:rPr>
      </w:pPr>
      <w:r>
        <w:rPr>
          <w:rFonts w:ascii="Arial" w:cs="Arial" w:eastAsia="Arial" w:hAnsi="Arial"/>
          <w:sz w:val="11"/>
          <w:szCs w:val="11"/>
          <w:color w:val="auto"/>
        </w:rPr>
        <w:t>Form, Schedule or Registration Statement No.:</w:t>
      </w:r>
    </w:p>
    <w:p>
      <w:pPr>
        <w:spacing w:after="0" w:line="182" w:lineRule="exact"/>
        <w:rPr>
          <w:rFonts w:ascii="Arial" w:cs="Arial" w:eastAsia="Arial" w:hAnsi="Arial"/>
          <w:sz w:val="11"/>
          <w:szCs w:val="11"/>
          <w:color w:val="auto"/>
        </w:rPr>
      </w:pPr>
    </w:p>
    <w:p>
      <w:pPr>
        <w:ind w:left="1140" w:hanging="560"/>
        <w:spacing w:after="0"/>
        <w:tabs>
          <w:tab w:leader="none" w:pos="1140" w:val="left"/>
        </w:tabs>
        <w:numPr>
          <w:ilvl w:val="1"/>
          <w:numId w:val="5"/>
        </w:numPr>
        <w:rPr>
          <w:rFonts w:ascii="Arial" w:cs="Arial" w:eastAsia="Arial" w:hAnsi="Arial"/>
          <w:sz w:val="11"/>
          <w:szCs w:val="11"/>
          <w:color w:val="auto"/>
        </w:rPr>
      </w:pPr>
      <w:r>
        <w:rPr>
          <w:rFonts w:ascii="Arial" w:cs="Arial" w:eastAsia="Arial" w:hAnsi="Arial"/>
          <w:sz w:val="11"/>
          <w:szCs w:val="11"/>
          <w:color w:val="auto"/>
        </w:rPr>
        <w:t>Filing Party:</w:t>
      </w:r>
    </w:p>
    <w:p>
      <w:pPr>
        <w:spacing w:after="0" w:line="182" w:lineRule="exact"/>
        <w:rPr>
          <w:rFonts w:ascii="Arial" w:cs="Arial" w:eastAsia="Arial" w:hAnsi="Arial"/>
          <w:sz w:val="11"/>
          <w:szCs w:val="11"/>
          <w:color w:val="auto"/>
        </w:rPr>
      </w:pPr>
    </w:p>
    <w:p>
      <w:pPr>
        <w:ind w:left="1140" w:hanging="560"/>
        <w:spacing w:after="0"/>
        <w:tabs>
          <w:tab w:leader="none" w:pos="1140" w:val="left"/>
        </w:tabs>
        <w:numPr>
          <w:ilvl w:val="1"/>
          <w:numId w:val="5"/>
        </w:numPr>
        <w:rPr>
          <w:rFonts w:ascii="Arial" w:cs="Arial" w:eastAsia="Arial" w:hAnsi="Arial"/>
          <w:sz w:val="11"/>
          <w:szCs w:val="11"/>
          <w:color w:val="auto"/>
        </w:rPr>
      </w:pPr>
      <w:r>
        <w:rPr>
          <w:rFonts w:ascii="Arial" w:cs="Arial" w:eastAsia="Arial" w:hAnsi="Arial"/>
          <w:sz w:val="11"/>
          <w:szCs w:val="11"/>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719455</wp:posOffset>
            </wp:positionH>
            <wp:positionV relativeFrom="paragraph">
              <wp:posOffset>-1792605</wp:posOffset>
            </wp:positionV>
            <wp:extent cx="64452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45250" cy="6985"/>
                    </a:xfrm>
                    <a:prstGeom prst="rect">
                      <a:avLst/>
                    </a:prstGeom>
                    <a:noFill/>
                  </pic:spPr>
                </pic:pic>
              </a:graphicData>
            </a:graphic>
          </wp:anchor>
        </w:drawing>
        <w:drawing>
          <wp:anchor simplePos="0" relativeHeight="251657728" behindDoc="1" locked="0" layoutInCell="0" allowOverlap="1">
            <wp:simplePos x="0" y="0"/>
            <wp:positionH relativeFrom="column">
              <wp:posOffset>719455</wp:posOffset>
            </wp:positionH>
            <wp:positionV relativeFrom="paragraph">
              <wp:posOffset>-1597025</wp:posOffset>
            </wp:positionV>
            <wp:extent cx="644525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45250" cy="6985"/>
                    </a:xfrm>
                    <a:prstGeom prst="rect">
                      <a:avLst/>
                    </a:prstGeom>
                    <a:noFill/>
                  </pic:spPr>
                </pic:pic>
              </a:graphicData>
            </a:graphic>
          </wp:anchor>
        </w:drawing>
        <w:drawing>
          <wp:anchor simplePos="0" relativeHeight="251657728" behindDoc="1" locked="0" layoutInCell="0" allowOverlap="1">
            <wp:simplePos x="0" y="0"/>
            <wp:positionH relativeFrom="column">
              <wp:posOffset>719455</wp:posOffset>
            </wp:positionH>
            <wp:positionV relativeFrom="paragraph">
              <wp:posOffset>-1400810</wp:posOffset>
            </wp:positionV>
            <wp:extent cx="644525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45250" cy="6985"/>
                    </a:xfrm>
                    <a:prstGeom prst="rect">
                      <a:avLst/>
                    </a:prstGeom>
                    <a:noFill/>
                  </pic:spPr>
                </pic:pic>
              </a:graphicData>
            </a:graphic>
          </wp:anchor>
        </w:drawing>
        <w:drawing>
          <wp:anchor simplePos="0" relativeHeight="251657728" behindDoc="1" locked="0" layoutInCell="0" allowOverlap="1">
            <wp:simplePos x="0" y="0"/>
            <wp:positionH relativeFrom="column">
              <wp:posOffset>719455</wp:posOffset>
            </wp:positionH>
            <wp:positionV relativeFrom="paragraph">
              <wp:posOffset>-1205230</wp:posOffset>
            </wp:positionV>
            <wp:extent cx="644525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45250" cy="6985"/>
                    </a:xfrm>
                    <a:prstGeom prst="rect">
                      <a:avLst/>
                    </a:prstGeom>
                    <a:noFill/>
                  </pic:spPr>
                </pic:pic>
              </a:graphicData>
            </a:graphic>
          </wp:anchor>
        </w:drawing>
        <w:drawing>
          <wp:anchor simplePos="0" relativeHeight="251657728" behindDoc="1" locked="0" layoutInCell="0" allowOverlap="1">
            <wp:simplePos x="0" y="0"/>
            <wp:positionH relativeFrom="column">
              <wp:posOffset>719455</wp:posOffset>
            </wp:positionH>
            <wp:positionV relativeFrom="paragraph">
              <wp:posOffset>-1009015</wp:posOffset>
            </wp:positionV>
            <wp:extent cx="644525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45250" cy="6985"/>
                    </a:xfrm>
                    <a:prstGeom prst="rect">
                      <a:avLst/>
                    </a:prstGeom>
                    <a:noFill/>
                  </pic:spPr>
                </pic:pic>
              </a:graphicData>
            </a:graphic>
          </wp:anchor>
        </w:drawing>
        <w:drawing>
          <wp:anchor simplePos="0" relativeHeight="251657728" behindDoc="1" locked="0" layoutInCell="0" allowOverlap="1">
            <wp:simplePos x="0" y="0"/>
            <wp:positionH relativeFrom="column">
              <wp:posOffset>719455</wp:posOffset>
            </wp:positionH>
            <wp:positionV relativeFrom="paragraph">
              <wp:posOffset>-475615</wp:posOffset>
            </wp:positionV>
            <wp:extent cx="644525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45250" cy="6985"/>
                    </a:xfrm>
                    <a:prstGeom prst="rect">
                      <a:avLst/>
                    </a:prstGeom>
                    <a:noFill/>
                  </pic:spPr>
                </pic:pic>
              </a:graphicData>
            </a:graphic>
          </wp:anchor>
        </w:drawing>
        <w:drawing>
          <wp:anchor simplePos="0" relativeHeight="251657728" behindDoc="1" locked="0" layoutInCell="0" allowOverlap="1">
            <wp:simplePos x="0" y="0"/>
            <wp:positionH relativeFrom="column">
              <wp:posOffset>719455</wp:posOffset>
            </wp:positionH>
            <wp:positionV relativeFrom="paragraph">
              <wp:posOffset>-279400</wp:posOffset>
            </wp:positionV>
            <wp:extent cx="644525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45250" cy="6985"/>
                    </a:xfrm>
                    <a:prstGeom prst="rect">
                      <a:avLst/>
                    </a:prstGeom>
                    <a:noFill/>
                  </pic:spPr>
                </pic:pic>
              </a:graphicData>
            </a:graphic>
          </wp:anchor>
        </w:drawing>
        <w:drawing>
          <wp:anchor simplePos="0" relativeHeight="251657728" behindDoc="1" locked="0" layoutInCell="0" allowOverlap="1">
            <wp:simplePos x="0" y="0"/>
            <wp:positionH relativeFrom="column">
              <wp:posOffset>719455</wp:posOffset>
            </wp:positionH>
            <wp:positionV relativeFrom="paragraph">
              <wp:posOffset>-83185</wp:posOffset>
            </wp:positionV>
            <wp:extent cx="644525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45250" cy="6985"/>
                    </a:xfrm>
                    <a:prstGeom prst="rect">
                      <a:avLst/>
                    </a:prstGeom>
                    <a:noFill/>
                  </pic:spPr>
                </pic:pic>
              </a:graphicData>
            </a:graphic>
          </wp:anchor>
        </w:drawing>
        <w:drawing>
          <wp:anchor simplePos="0" relativeHeight="251657728" behindDoc="1" locked="0" layoutInCell="0" allowOverlap="1">
            <wp:simplePos x="0" y="0"/>
            <wp:positionH relativeFrom="column">
              <wp:posOffset>719455</wp:posOffset>
            </wp:positionH>
            <wp:positionV relativeFrom="paragraph">
              <wp:posOffset>111760</wp:posOffset>
            </wp:positionV>
            <wp:extent cx="644525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4525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172720</wp:posOffset>
            </wp:positionV>
            <wp:extent cx="716153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206375</wp:posOffset>
            </wp:positionV>
            <wp:extent cx="716153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20"/>
          </w:cols>
          <w:pgMar w:left="300" w:top="340" w:right="379" w:bottom="1440" w:gutter="0" w:footer="0" w:header="0"/>
        </w:sectPr>
      </w:pPr>
    </w:p>
    <w:bookmarkStart w:id="1" w:name="page2"/>
    <w:bookmarkEnd w:id="1"/>
    <w:p>
      <w:pPr>
        <w:jc w:val="right"/>
        <w:ind w:right="179"/>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4865"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20320"/>
                    </a:xfrm>
                    <a:prstGeom prst="rect">
                      <a:avLst/>
                    </a:prstGeom>
                    <a:noFill/>
                  </pic:spPr>
                </pic:pic>
              </a:graphicData>
            </a:graphic>
          </wp:anchor>
        </w:drawing>
        <w:t>April 22, 2020</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To Our Stockholders:</w:t>
      </w:r>
    </w:p>
    <w:p>
      <w:pPr>
        <w:spacing w:after="0" w:line="179" w:lineRule="exact"/>
        <w:rPr>
          <w:sz w:val="20"/>
          <w:szCs w:val="20"/>
          <w:color w:val="auto"/>
        </w:rPr>
      </w:pPr>
    </w:p>
    <w:p>
      <w:pPr>
        <w:ind w:left="160" w:right="239"/>
        <w:spacing w:after="0" w:line="281" w:lineRule="auto"/>
        <w:rPr>
          <w:sz w:val="20"/>
          <w:szCs w:val="20"/>
          <w:color w:val="auto"/>
        </w:rPr>
      </w:pPr>
      <w:r>
        <w:rPr>
          <w:rFonts w:ascii="Arial" w:cs="Arial" w:eastAsia="Arial" w:hAnsi="Arial"/>
          <w:sz w:val="13"/>
          <w:szCs w:val="13"/>
          <w:color w:val="auto"/>
        </w:rPr>
        <w:t>TPG Specialty Lending, Inc. (“TSLX”) will be holding a Special Meeting of Stockholders on May 28, 2020 and filed a proxy statement related to the Special Meeting on April 17, 2020. Consistent with the last three years, at the Special Meeting we are asking stockholders to vote on a proposal authorizing the Company, with the approval of our board of directors, to issue shares of our common stock at a price below our then-current NAV per share, subject to certain conditions set forth in the proxy statement. As you know, last year the same proposal was approved with overwhelming support (92.2% of all shareholders who voted and 86.2% of all non-affiliate shareholders who voted, i.e., after excluding votes from insiders and those holding 5% or more of TSLX common stock). We were humbled and will continue to take our duties and responsibilities to our shareholders regarding capital allocation with the upmost seriousness — one of the most important decisions we make.</w:t>
      </w:r>
    </w:p>
    <w:p>
      <w:pPr>
        <w:spacing w:after="0" w:line="137" w:lineRule="exact"/>
        <w:rPr>
          <w:sz w:val="20"/>
          <w:szCs w:val="20"/>
          <w:color w:val="auto"/>
        </w:rPr>
      </w:pPr>
    </w:p>
    <w:p>
      <w:pPr>
        <w:ind w:left="160" w:right="219"/>
        <w:spacing w:after="0" w:line="314" w:lineRule="auto"/>
        <w:rPr>
          <w:sz w:val="20"/>
          <w:szCs w:val="20"/>
          <w:color w:val="auto"/>
        </w:rPr>
      </w:pPr>
      <w:r>
        <w:rPr>
          <w:rFonts w:ascii="Arial" w:cs="Arial" w:eastAsia="Arial" w:hAnsi="Arial"/>
          <w:sz w:val="12"/>
          <w:szCs w:val="12"/>
          <w:color w:val="auto"/>
        </w:rPr>
        <w:t>As we have expressed to our stockholders in the past, while we have no intention to do so in the near term, we are seeking the flexibility to sell common stock at a price below NAV because we believe there could be moments in time when doing so would be in the best interest of our stockholders. Ironically, sometimes the best investment opportunities exist during periods of elevated volatility and credit market dislocation – when it is more likely that our stock could trade below NAV. We believe that having the flexibility to access the capital markets in these types of environments is an important tool that can help us drive stockholder value during periods of market distress, and we are committed to doing so should we be given the opportunity.</w:t>
      </w:r>
    </w:p>
    <w:p>
      <w:pPr>
        <w:spacing w:after="0" w:line="119" w:lineRule="exact"/>
        <w:rPr>
          <w:sz w:val="20"/>
          <w:szCs w:val="20"/>
          <w:color w:val="auto"/>
        </w:rPr>
      </w:pPr>
    </w:p>
    <w:p>
      <w:pPr>
        <w:ind w:left="160" w:right="339"/>
        <w:spacing w:after="0" w:line="263" w:lineRule="auto"/>
        <w:rPr>
          <w:sz w:val="20"/>
          <w:szCs w:val="20"/>
          <w:color w:val="auto"/>
        </w:rPr>
      </w:pPr>
      <w:r>
        <w:rPr>
          <w:rFonts w:ascii="Arial" w:cs="Arial" w:eastAsia="Arial" w:hAnsi="Arial"/>
          <w:sz w:val="14"/>
          <w:szCs w:val="14"/>
          <w:color w:val="auto"/>
        </w:rPr>
        <w:t>It’s our hope that we’ve built, over time, a reputation with our stockholders as long-term oriented, disciplined capital allocators. Our framework is simple: we don’t intend to issue common stock when our stock is trading above NAV unless we expect it will be ROE-accretive, and we don’t necessarily believe that one should never issue common stock below NAV if market opportunities allow for sufficiently high risk-adjusted returns that will ultimately be accretive to NAV through over-earning one’s cost of capital.</w:t>
      </w:r>
    </w:p>
    <w:p>
      <w:pPr>
        <w:spacing w:after="0" w:line="145" w:lineRule="exact"/>
        <w:rPr>
          <w:sz w:val="20"/>
          <w:szCs w:val="20"/>
          <w:color w:val="auto"/>
        </w:rPr>
      </w:pPr>
    </w:p>
    <w:p>
      <w:pPr>
        <w:ind w:left="160" w:right="379"/>
        <w:spacing w:after="0" w:line="369" w:lineRule="auto"/>
        <w:rPr>
          <w:sz w:val="20"/>
          <w:szCs w:val="20"/>
          <w:color w:val="auto"/>
        </w:rPr>
      </w:pPr>
      <w:r>
        <w:rPr>
          <w:rFonts w:ascii="Arial" w:cs="Arial" w:eastAsia="Arial" w:hAnsi="Arial"/>
          <w:sz w:val="12"/>
          <w:szCs w:val="12"/>
          <w:color w:val="auto"/>
        </w:rPr>
        <w:t>Attached is a presentation that walks through our thought process and financial framework for this proposal. For assistance voting your TSLX shares, please call D.F. King toll-free at (866) 416-0553 or collect at (212) 269-5550. We’d also welcome the opportunity to discuss at your convenience.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Best,</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Josh Easterly, Bo Stanley, Ian Simmonds and the TSLX team</w:t>
      </w:r>
    </w:p>
    <w:p>
      <w:pPr>
        <w:sectPr>
          <w:pgSz w:w="11900" w:h="16838" w:orient="portrait"/>
          <w:cols w:equalWidth="0" w:num="1">
            <w:col w:w="9019"/>
          </w:cols>
          <w:pgMar w:left="1440" w:top="246" w:right="1440"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5485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5485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5485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5485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5485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5485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4865"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5485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5485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5485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5485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5485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5485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5485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5485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5485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5485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5485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5485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5485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5485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5485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5485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5485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5485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5485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54857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2020-04-22T16:04:13Z</dcterms:created>
  <dcterms:modified xsi:type="dcterms:W3CDTF">2020-04-22T16:04:13Z</dcterms:modified>
</cp:coreProperties>
</file>