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Filed Pursuant to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333-276252</w:t>
      </w:r>
    </w:p>
    <w:p>
      <w:pPr>
        <w:spacing w:after="0" w:line="1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(To Prospectus dated December 22, 2023)</w:t>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89535</wp:posOffset>
            </wp:positionV>
            <wp:extent cx="145732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5.625% Notes due 2030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136525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ind w:left="180" w:right="140" w:firstLine="440"/>
        <w:spacing w:after="0" w:line="233" w:lineRule="auto"/>
        <w:rPr>
          <w:sz w:val="20"/>
          <w:szCs w:val="20"/>
          <w:color w:val="auto"/>
        </w:rPr>
      </w:pPr>
      <w:r>
        <w:rPr>
          <w:rFonts w:ascii="Times New Roman" w:cs="Times New Roman" w:eastAsia="Times New Roman" w:hAnsi="Times New Roman"/>
          <w:sz w:val="14"/>
          <w:szCs w:val="14"/>
          <w:color w:val="auto"/>
        </w:rPr>
        <w:t>We are offering $300,000,000 in aggregate principal amount of 5.625% notes due 2030, which we refer to as the Notes. The Notes will mature on August 15, 2030. We will pay interest on the Notes on February 15 and August 15 of each year, beginning on August 15, 2025.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5" w:lineRule="exact"/>
        <w:rPr>
          <w:sz w:val="24"/>
          <w:szCs w:val="24"/>
          <w:color w:val="auto"/>
        </w:rPr>
      </w:pPr>
    </w:p>
    <w:p>
      <w:pPr>
        <w:ind w:left="180" w:right="140" w:firstLine="440"/>
        <w:spacing w:after="0" w:line="236" w:lineRule="auto"/>
        <w:rPr>
          <w:sz w:val="20"/>
          <w:szCs w:val="20"/>
          <w:color w:val="auto"/>
        </w:rPr>
      </w:pPr>
      <w:r>
        <w:rPr>
          <w:rFonts w:ascii="Times New Roman" w:cs="Times New Roman" w:eastAsia="Times New Roman" w:hAnsi="Times New Roman"/>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in U.S.-domiciled middle market companies through direct originations of senior secured loans and, to a lesser extent, originations of mezzanine and unsecured loans and investments in corporate bonds, equity securities and other instruments.</w:t>
      </w:r>
    </w:p>
    <w:p>
      <w:pPr>
        <w:spacing w:after="0" w:line="15" w:lineRule="exact"/>
        <w:rPr>
          <w:sz w:val="24"/>
          <w:szCs w:val="24"/>
          <w:color w:val="auto"/>
        </w:rPr>
      </w:pPr>
    </w:p>
    <w:p>
      <w:pPr>
        <w:jc w:val="both"/>
        <w:ind w:left="180" w:right="260" w:firstLine="440"/>
        <w:spacing w:after="0" w:line="241" w:lineRule="auto"/>
        <w:rPr>
          <w:sz w:val="20"/>
          <w:szCs w:val="20"/>
          <w:color w:val="auto"/>
        </w:rPr>
      </w:pPr>
      <w:r>
        <w:rPr>
          <w:rFonts w:ascii="Times New Roman" w:cs="Times New Roman" w:eastAsia="Times New Roman" w:hAnsi="Times New Roman"/>
          <w:sz w:val="14"/>
          <w:szCs w:val="14"/>
          <w:color w:val="auto"/>
        </w:rPr>
        <w:t>As of December 31, 2024, our investment portfolio consisted of investments in 116 portfolio companies (including one structured credit investment, which includes each series of collateralized loan obligation as a separate portfolio company investment) with an aggregate fair value of $3,518.4 million. We intend to continue to pursue an investment strategy focused primarily on direct origination of loans to middle-market companies domiciled in the United States.</w:t>
      </w:r>
    </w:p>
    <w:p>
      <w:pPr>
        <w:spacing w:after="0" w:line="15" w:lineRule="exact"/>
        <w:rPr>
          <w:sz w:val="24"/>
          <w:szCs w:val="24"/>
          <w:color w:val="auto"/>
        </w:rPr>
      </w:pPr>
    </w:p>
    <w:p>
      <w:pPr>
        <w:jc w:val="both"/>
        <w:ind w:left="180" w:right="200" w:firstLine="440"/>
        <w:spacing w:after="0" w:line="26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$100 billion in assets under management as of December 31, 2024.</w:t>
      </w:r>
    </w:p>
    <w:p>
      <w:pPr>
        <w:spacing w:after="0" w:line="1" w:lineRule="exact"/>
        <w:rPr>
          <w:sz w:val="24"/>
          <w:szCs w:val="24"/>
          <w:color w:val="auto"/>
        </w:rPr>
      </w:pPr>
    </w:p>
    <w:p>
      <w:pPr>
        <w:ind w:left="180" w:right="4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3" w:lineRule="exact"/>
        <w:rPr>
          <w:sz w:val="24"/>
          <w:szCs w:val="24"/>
          <w:color w:val="auto"/>
        </w:rPr>
      </w:pPr>
    </w:p>
    <w:p>
      <w:pPr>
        <w:ind w:left="180" w:right="24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100965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4" w:lineRule="exact"/>
        <w:rPr>
          <w:sz w:val="24"/>
          <w:szCs w:val="24"/>
          <w:color w:val="auto"/>
        </w:rPr>
      </w:pPr>
    </w:p>
    <w:p>
      <w:pPr>
        <w:jc w:val="both"/>
        <w:ind w:left="180"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Notes involves risks, including the risk of leverage,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beginning on page S-10 of this prospectus supplement and page 24 of the accompanying prospectus and the matters discussed in the documents incorporated or deemed to be incorporated by reference in this prospectus supplement and the accompanying prospectus.</w:t>
      </w:r>
    </w:p>
    <w:p>
      <w:pPr>
        <w:spacing w:after="0" w:line="8" w:lineRule="exact"/>
        <w:rPr>
          <w:sz w:val="24"/>
          <w:szCs w:val="24"/>
          <w:color w:val="auto"/>
        </w:rPr>
      </w:pPr>
    </w:p>
    <w:p>
      <w:pPr>
        <w:ind w:left="180" w:right="10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2100 McKinney Avenue,, Suite 1500, Dallas, TX 75201,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102870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1500" w:type="dxa"/>
        <w:tblCellMar>
          <w:top w:w="0" w:type="dxa"/>
          <w:left w:w="0" w:type="dxa"/>
          <w:bottom w:w="0" w:type="dxa"/>
          <w:right w:w="0" w:type="dxa"/>
        </w:tblCellMar>
      </w:tblPr>
      <w:tr>
        <w:trPr>
          <w:trHeight w:val="165"/>
        </w:trPr>
        <w:tc>
          <w:tcPr>
            <w:tcW w:w="66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Public offering price </w:t>
            </w:r>
            <w:r>
              <w:rPr>
                <w:rFonts w:ascii="Times New Roman" w:cs="Times New Roman" w:eastAsia="Times New Roman" w:hAnsi="Times New Roman"/>
                <w:sz w:val="8"/>
                <w:szCs w:val="8"/>
                <w:color w:val="auto"/>
              </w:rPr>
              <w:t>(1)</w:t>
            </w:r>
          </w:p>
        </w:tc>
        <w:tc>
          <w:tcPr>
            <w:tcW w:w="7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98.805%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296,415,000</w:t>
            </w:r>
          </w:p>
        </w:tc>
        <w:tc>
          <w:tcPr>
            <w:tcW w:w="40" w:type="dxa"/>
            <w:vAlign w:val="bottom"/>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3,000,000</w:t>
            </w:r>
          </w:p>
        </w:tc>
      </w:tr>
      <w:tr>
        <w:trPr>
          <w:trHeight w:val="148"/>
        </w:trPr>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Proceeds to us, before expenses </w:t>
            </w:r>
            <w:r>
              <w:rPr>
                <w:rFonts w:ascii="Times New Roman" w:cs="Times New Roman" w:eastAsia="Times New Roman" w:hAnsi="Times New Roman"/>
                <w:sz w:val="8"/>
                <w:szCs w:val="8"/>
                <w:color w:val="auto"/>
              </w:rPr>
              <w:t>(2)</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97.805%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9"/>
              </w:rPr>
              <w:t>293,415,000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93980</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4"/>
          <w:szCs w:val="24"/>
          <w:color w:val="auto"/>
        </w:rPr>
      </w:pPr>
    </w:p>
    <w:p>
      <w:pPr>
        <w:ind w:left="600" w:right="360" w:hanging="424"/>
        <w:spacing w:after="0" w:line="233" w:lineRule="auto"/>
        <w:tabs>
          <w:tab w:leader="none" w:pos="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set forth above does not include accrued interest, if any. Interest on the Notes must be paid by the purchaser if the Notes are delivered after February 25, 2025.</w:t>
      </w:r>
    </w:p>
    <w:p>
      <w:pPr>
        <w:ind w:left="600" w:hanging="424"/>
        <w:spacing w:after="0"/>
        <w:tabs>
          <w:tab w:leader="none" w:pos="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deducting expenses payable by us related to this offering, estimated at $1.3 million.</w:t>
      </w:r>
    </w:p>
    <w:p>
      <w:pPr>
        <w:spacing w:after="0" w:line="27" w:lineRule="exact"/>
        <w:rPr>
          <w:sz w:val="24"/>
          <w:szCs w:val="24"/>
          <w:color w:val="auto"/>
        </w:rPr>
      </w:pPr>
    </w:p>
    <w:p>
      <w:pPr>
        <w:ind w:left="180" w:right="460" w:firstLine="440"/>
        <w:spacing w:after="0" w:line="262" w:lineRule="auto"/>
        <w:rPr>
          <w:sz w:val="20"/>
          <w:szCs w:val="20"/>
          <w:color w:val="auto"/>
        </w:rPr>
      </w:pPr>
      <w:r>
        <w:rPr>
          <w:rFonts w:ascii="Times New Roman" w:cs="Times New Roman" w:eastAsia="Times New Roman" w:hAnsi="Times New Roman"/>
          <w:sz w:val="15"/>
          <w:szCs w:val="15"/>
          <w:b w:val="1"/>
          <w:bCs w:val="1"/>
          <w:color w:val="auto"/>
        </w:rPr>
        <w:t>THE NOTES ARE NOT DEPOSITS OR OTHER OBLIGATIONS OF A BANK AND ARE NOT INSURED BY THE FEDERAL DEPOSIT INSURANCE CORPORATION OR ANY OTHER GOVERNMENT AGENCY.</w:t>
      </w:r>
    </w:p>
    <w:p>
      <w:pPr>
        <w:spacing w:after="0" w:line="1" w:lineRule="exact"/>
        <w:rPr>
          <w:sz w:val="24"/>
          <w:szCs w:val="24"/>
          <w:color w:val="auto"/>
        </w:rPr>
      </w:pPr>
    </w:p>
    <w:p>
      <w:pPr>
        <w:ind w:left="180" w:right="720" w:firstLine="440"/>
        <w:spacing w:after="0" w:line="261"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Delivery of the Notes in book-entry form only through The Depository Trust Company will be made on or about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126365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163" w:lineRule="exact"/>
        <w:rPr>
          <w:sz w:val="24"/>
          <w:szCs w:val="24"/>
          <w:color w:val="auto"/>
        </w:rPr>
      </w:pPr>
    </w:p>
    <w:tbl>
      <w:tblPr>
        <w:tblLayout w:type="fixed"/>
        <w:tblInd w:w="180" w:type="dxa"/>
        <w:tblCellMar>
          <w:top w:w="0" w:type="dxa"/>
          <w:left w:w="0" w:type="dxa"/>
          <w:bottom w:w="0" w:type="dxa"/>
          <w:right w:w="0" w:type="dxa"/>
        </w:tblCellMar>
      </w:tblP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2880" w:type="dxa"/>
            <w:vAlign w:val="bottom"/>
          </w:tcPr>
          <w:p>
            <w:pPr>
              <w:jc w:val="center"/>
              <w:ind w:right="411"/>
              <w:spacing w:after="0"/>
              <w:rPr>
                <w:sz w:val="20"/>
                <w:szCs w:val="20"/>
                <w:color w:val="auto"/>
              </w:rPr>
            </w:pPr>
            <w:r>
              <w:rPr>
                <w:rFonts w:ascii="Times New Roman" w:cs="Times New Roman" w:eastAsia="Times New Roman" w:hAnsi="Times New Roman"/>
                <w:sz w:val="20"/>
                <w:szCs w:val="20"/>
                <w:b w:val="1"/>
                <w:bCs w:val="1"/>
                <w:color w:val="auto"/>
                <w:w w:val="96"/>
              </w:rPr>
              <w:t>J.P. Morgan</w:t>
            </w:r>
          </w:p>
        </w:tc>
        <w:tc>
          <w:tcPr>
            <w:tcW w:w="3400" w:type="dxa"/>
            <w:vAlign w:val="bottom"/>
          </w:tcPr>
          <w:p>
            <w:pPr>
              <w:jc w:val="center"/>
              <w:ind w:right="289"/>
              <w:spacing w:after="0"/>
              <w:rPr>
                <w:sz w:val="20"/>
                <w:szCs w:val="20"/>
                <w:color w:val="auto"/>
              </w:rPr>
            </w:pPr>
            <w:r>
              <w:rPr>
                <w:rFonts w:ascii="Times New Roman" w:cs="Times New Roman" w:eastAsia="Times New Roman" w:hAnsi="Times New Roman"/>
                <w:sz w:val="20"/>
                <w:szCs w:val="20"/>
                <w:b w:val="1"/>
                <w:bCs w:val="1"/>
                <w:color w:val="auto"/>
                <w:w w:val="99"/>
              </w:rPr>
              <w:t>SMBC Nikko</w:t>
            </w: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Wells Fargo Securities</w:t>
            </w:r>
          </w:p>
        </w:tc>
      </w:t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MUFG</w:t>
            </w:r>
          </w:p>
        </w:tc>
        <w:tc>
          <w:tcPr>
            <w:tcW w:w="2880" w:type="dxa"/>
            <w:vAlign w:val="bottom"/>
          </w:tcPr>
          <w:p>
            <w:pPr>
              <w:jc w:val="center"/>
              <w:ind w:right="411"/>
              <w:spacing w:after="0"/>
              <w:rPr>
                <w:sz w:val="20"/>
                <w:szCs w:val="20"/>
                <w:color w:val="auto"/>
              </w:rPr>
            </w:pPr>
            <w:r>
              <w:rPr>
                <w:rFonts w:ascii="Times New Roman" w:cs="Times New Roman" w:eastAsia="Times New Roman" w:hAnsi="Times New Roman"/>
                <w:sz w:val="20"/>
                <w:szCs w:val="20"/>
                <w:b w:val="1"/>
                <w:bCs w:val="1"/>
                <w:color w:val="auto"/>
                <w:w w:val="97"/>
              </w:rPr>
              <w:t>Truist Securities</w:t>
            </w:r>
          </w:p>
        </w:tc>
        <w:tc>
          <w:tcPr>
            <w:tcW w:w="3400" w:type="dxa"/>
            <w:vAlign w:val="bottom"/>
          </w:tcPr>
          <w:p>
            <w:pPr>
              <w:ind w:left="1240"/>
              <w:spacing w:after="0"/>
              <w:rPr>
                <w:sz w:val="20"/>
                <w:szCs w:val="20"/>
                <w:color w:val="auto"/>
              </w:rPr>
            </w:pPr>
            <w:r>
              <w:rPr>
                <w:rFonts w:ascii="Times New Roman" w:cs="Times New Roman" w:eastAsia="Times New Roman" w:hAnsi="Times New Roman"/>
                <w:sz w:val="20"/>
                <w:szCs w:val="20"/>
                <w:b w:val="1"/>
                <w:bCs w:val="1"/>
                <w:color w:val="auto"/>
              </w:rPr>
              <w:t>HSBC</w:t>
            </w: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Mizuho</w:t>
            </w:r>
          </w:p>
        </w:tc>
      </w:tr>
      <w:tr>
        <w:trPr>
          <w:trHeight w:val="262"/>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2880" w:type="dxa"/>
            <w:vAlign w:val="bottom"/>
          </w:tcPr>
          <w:p>
            <w:pPr>
              <w:jc w:val="center"/>
              <w:ind w:right="411"/>
              <w:spacing w:after="0"/>
              <w:rPr>
                <w:sz w:val="20"/>
                <w:szCs w:val="20"/>
                <w:color w:val="auto"/>
              </w:rPr>
            </w:pPr>
            <w:r>
              <w:rPr>
                <w:rFonts w:ascii="Times New Roman" w:cs="Times New Roman" w:eastAsia="Times New Roman" w:hAnsi="Times New Roman"/>
                <w:sz w:val="20"/>
                <w:szCs w:val="20"/>
                <w:b w:val="1"/>
                <w:bCs w:val="1"/>
                <w:color w:val="auto"/>
                <w:w w:val="98"/>
              </w:rPr>
              <w:t>Citigroup</w:t>
            </w:r>
          </w:p>
        </w:tc>
        <w:tc>
          <w:tcPr>
            <w:tcW w:w="3400" w:type="dxa"/>
            <w:vAlign w:val="bottom"/>
          </w:tcPr>
          <w:p>
            <w:pPr>
              <w:jc w:val="center"/>
              <w:ind w:right="289"/>
              <w:spacing w:after="0"/>
              <w:rPr>
                <w:sz w:val="20"/>
                <w:szCs w:val="20"/>
                <w:color w:val="auto"/>
              </w:rPr>
            </w:pPr>
            <w:r>
              <w:rPr>
                <w:rFonts w:ascii="Times New Roman" w:cs="Times New Roman" w:eastAsia="Times New Roman" w:hAnsi="Times New Roman"/>
                <w:sz w:val="20"/>
                <w:szCs w:val="20"/>
                <w:b w:val="1"/>
                <w:bCs w:val="1"/>
                <w:color w:val="auto"/>
                <w:w w:val="99"/>
              </w:rPr>
              <w:t>Goldman Sachs &amp; Co. LLC</w:t>
            </w:r>
          </w:p>
        </w:tc>
        <w:tc>
          <w:tcPr>
            <w:tcW w:w="2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RBC Capital Markets</w:t>
            </w:r>
          </w:p>
        </w:tc>
      </w:tr>
      <w:tr>
        <w:trPr>
          <w:trHeight w:val="335"/>
        </w:trPr>
        <w:tc>
          <w:tcPr>
            <w:tcW w:w="2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tc>
        <w:tc>
          <w:tcPr>
            <w:tcW w:w="256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ICBC Standard Bank</w:t>
            </w:r>
          </w:p>
        </w:tc>
        <w:tc>
          <w:tcPr>
            <w:tcW w:w="2880" w:type="dxa"/>
            <w:vAlign w:val="bottom"/>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9"/>
              </w:rPr>
              <w:t>Keefe, Bruyette &amp; Woods</w:t>
            </w:r>
          </w:p>
        </w:tc>
        <w:tc>
          <w:tcPr>
            <w:tcW w:w="34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Oppenheimer &amp; Co.</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Citizens Capital Markets</w:t>
            </w:r>
          </w:p>
        </w:tc>
      </w:tr>
      <w:tr>
        <w:trPr>
          <w:trHeight w:val="150"/>
        </w:trPr>
        <w:tc>
          <w:tcPr>
            <w:tcW w:w="2180" w:type="dxa"/>
            <w:vAlign w:val="bottom"/>
          </w:tcPr>
          <w:p>
            <w:pPr>
              <w:spacing w:after="0"/>
              <w:rPr>
                <w:sz w:val="13"/>
                <w:szCs w:val="13"/>
                <w:color w:val="auto"/>
              </w:rPr>
            </w:pPr>
          </w:p>
        </w:tc>
        <w:tc>
          <w:tcPr>
            <w:tcW w:w="2880" w:type="dxa"/>
            <w:vAlign w:val="bottom"/>
          </w:tcPr>
          <w:p>
            <w:pPr>
              <w:jc w:val="center"/>
              <w:ind w:left="751"/>
              <w:spacing w:after="0"/>
              <w:rPr>
                <w:sz w:val="20"/>
                <w:szCs w:val="20"/>
                <w:color w:val="auto"/>
              </w:rPr>
            </w:pPr>
            <w:r>
              <w:rPr>
                <w:rFonts w:ascii="Times New Roman" w:cs="Times New Roman" w:eastAsia="Times New Roman" w:hAnsi="Times New Roman"/>
                <w:sz w:val="12"/>
                <w:szCs w:val="12"/>
                <w:i w:val="1"/>
                <w:iCs w:val="1"/>
                <w:color w:val="auto"/>
              </w:rPr>
              <w:t>                            A Stifel Company</w:t>
            </w:r>
          </w:p>
        </w:tc>
        <w:tc>
          <w:tcPr>
            <w:tcW w:w="34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Raymond James</w:t>
            </w:r>
          </w:p>
        </w:tc>
        <w:tc>
          <w:tcPr>
            <w:tcW w:w="2880" w:type="dxa"/>
            <w:vAlign w:val="bottom"/>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rPr>
              <w:t>Ladenburg Thalmann</w:t>
            </w:r>
          </w:p>
        </w:tc>
        <w:tc>
          <w:tcPr>
            <w:tcW w:w="34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Comerica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 Seelaus &amp; Co., LLC</w:t>
            </w:r>
          </w:p>
        </w:tc>
      </w:tr>
    </w:tbl>
    <w:p>
      <w:pPr>
        <w:spacing w:after="0" w:line="191" w:lineRule="exact"/>
        <w:rPr>
          <w:sz w:val="24"/>
          <w:szCs w:val="24"/>
          <w:color w:val="auto"/>
        </w:rPr>
      </w:pPr>
    </w:p>
    <w:p>
      <w:pPr>
        <w:sectPr>
          <w:pgSz w:w="11900" w:h="16838" w:orient="portrait"/>
          <w:cols w:equalWidth="0" w:num="1">
            <w:col w:w="11200"/>
          </w:cols>
          <w:pgMar w:left="260" w:top="225" w:right="439" w:bottom="1440" w:gutter="0" w:footer="0" w:header="0"/>
        </w:sect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February 18, 2025.</w:t>
      </w:r>
    </w:p>
    <w:p>
      <w:pPr>
        <w:sectPr>
          <w:pgSz w:w="11900" w:h="16838" w:orient="portrait"/>
          <w:cols w:equalWidth="0" w:num="1">
            <w:col w:w="11200"/>
          </w:cols>
          <w:pgMar w:left="26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3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w:t>
            </w:r>
          </w:p>
        </w:tc>
        <w:tc>
          <w:tcPr>
            <w:tcW w:w="4020" w:type="dxa"/>
            <w:vAlign w:val="bottom"/>
            <w:tcBorders>
              <w:top w:val="single" w:sz="8" w:color="0000EE"/>
            </w:tcBorders>
            <w:gridSpan w:val="26"/>
          </w:tcPr>
          <w:p>
            <w:pPr>
              <w:spacing w:after="0"/>
              <w:rPr>
                <w:sz w:val="17"/>
                <w:szCs w:val="17"/>
                <w:color w:val="auto"/>
              </w:rPr>
            </w:pPr>
          </w:p>
        </w:tc>
        <w:tc>
          <w:tcPr>
            <w:tcW w:w="5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SPECIFIC TERMS OF THE NOTES AND THE OFFERING</w:t>
            </w:r>
          </w:p>
        </w:tc>
        <w:tc>
          <w:tcPr>
            <w:tcW w:w="61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CAPITALIZATION</w:t>
            </w:r>
          </w:p>
        </w:tc>
        <w:tc>
          <w:tcPr>
            <w:tcW w:w="9060" w:type="dxa"/>
            <w:vAlign w:val="bottom"/>
            <w:gridSpan w:val="2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CONSEQUENCES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98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MATTERS</w:t>
            </w:r>
          </w:p>
        </w:tc>
        <w:tc>
          <w:tcPr>
            <w:tcW w:w="9080" w:type="dxa"/>
            <w:vAlign w:val="bottom"/>
            <w:gridSpan w:val="2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S-43</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33"/>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12"/>
          </w:tcPr>
          <w:p>
            <w:pPr>
              <w:spacing w:after="0"/>
              <w:rPr>
                <w:sz w:val="17"/>
                <w:szCs w:val="17"/>
                <w:color w:val="auto"/>
              </w:rPr>
            </w:pPr>
          </w:p>
        </w:tc>
        <w:tc>
          <w:tcPr>
            <w:tcW w:w="834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21"/>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 w:type="dxa"/>
            <w:vAlign w:val="bottom"/>
            <w:tcBorders>
              <w:top w:val="single" w:sz="8" w:color="0000EE"/>
            </w:tcBorders>
            <w:gridSpan w:val="7"/>
          </w:tcPr>
          <w:p>
            <w:pPr>
              <w:spacing w:after="0"/>
              <w:rPr>
                <w:sz w:val="17"/>
                <w:szCs w:val="17"/>
                <w:color w:val="auto"/>
              </w:rPr>
            </w:pPr>
          </w:p>
        </w:tc>
        <w:tc>
          <w:tcPr>
            <w:tcW w:w="850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2"/>
          </w:tcPr>
          <w:p>
            <w:pPr>
              <w:spacing w:after="0"/>
              <w:rPr>
                <w:sz w:val="17"/>
                <w:szCs w:val="17"/>
                <w:color w:val="auto"/>
              </w:rPr>
            </w:pPr>
          </w:p>
        </w:tc>
        <w:tc>
          <w:tcPr>
            <w:tcW w:w="570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668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7"/>
          </w:tcPr>
          <w:p>
            <w:pPr>
              <w:spacing w:after="0"/>
              <w:rPr>
                <w:sz w:val="17"/>
                <w:szCs w:val="17"/>
                <w:color w:val="auto"/>
              </w:rPr>
            </w:pPr>
          </w:p>
        </w:tc>
        <w:tc>
          <w:tcPr>
            <w:tcW w:w="43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00" w:type="dxa"/>
            <w:vAlign w:val="bottom"/>
            <w:tcBorders>
              <w:top w:val="single" w:sz="8" w:color="0000EE"/>
            </w:tcBorders>
            <w:gridSpan w:val="5"/>
          </w:tcPr>
          <w:p>
            <w:pPr>
              <w:spacing w:after="0"/>
              <w:rPr>
                <w:sz w:val="17"/>
                <w:szCs w:val="17"/>
                <w:color w:val="auto"/>
              </w:rPr>
            </w:pPr>
          </w:p>
        </w:tc>
        <w:tc>
          <w:tcPr>
            <w:tcW w:w="850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260" w:type="dxa"/>
            <w:vAlign w:val="bottom"/>
            <w:gridSpan w:val="15"/>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5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2024 (the “2024 Annual Report”), any subsequent Quarterly Reports on Form 10-Q or Current Reports on Form 8-K we file after the date of this prospectus supplement, and those discussed in other documents we file with the SEC.</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2024 Annual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82"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180" w:hanging="415"/>
        <w:spacing w:after="0" w:line="28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225"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2024, we have originated more than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$336.0 million and weighted average annual EBITDA of $110.2 million. As of December 31, 2024, our core portfolio companies had a median annual revenue of $146.9 million and a median annual EBITDA of $53.1 million.</w:t>
      </w:r>
    </w:p>
    <w:p>
      <w:pPr>
        <w:spacing w:after="0" w:line="187"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82"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2024, our portfolio based on fair value consisted of 93.9% first-lien debt investments, 0.6% second-lien debt investments, 1.1% mezzanine debt investments, 4.4% equity and less than 0.1% structured credit investments. As of December 31, 2024, 97.2%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2024, we had investments in 116 portfolio companies (including one structured credit investment, which includes each series of collateralized loan obligation as a separate portfolio company investment) with an aggregate fair value of $3,518.4 million. For the year ended December 31, 2024, the principal amount of new investments funded was $838.9 million in 34 new portfolio companies and 21 existing portfolio companies. For this period, we had $793.7 million aggregate principal amount in exits and repayments.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2024, the largest single investment based on fair value represented 2.3% of our total investment portfolio.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2024, the average investment size in each of our portfolio companies was approximately $30.3 million based on fair value.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companies includes investments in structured products including each series of collateralized loan obligation as a portfolio company investment.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When excluding investments in structured credit investments, the average investment in our remaining portfolio companies was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$30.6 million as of December 31, 2024. As of December 31, 2024, the largest industry represented 16.4% of our total portfolio based on fair value.</w:t>
      </w:r>
    </w:p>
    <w:p>
      <w:pPr>
        <w:spacing w:after="0" w:line="207" w:lineRule="exact"/>
        <w:rPr>
          <w:sz w:val="20"/>
          <w:szCs w:val="20"/>
          <w:color w:val="auto"/>
        </w:rPr>
      </w:pPr>
    </w:p>
    <w:p>
      <w:pPr>
        <w:ind w:left="300" w:right="36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December 31, 2024, weighted by capital invested, our exited investments have generated an average realized gross internal rate of return to us of 17.1% (based on total capital invested of $7.9 billion and total proceeds from these exited investments of $10.0 billion). Ninety-two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II, Item 7 of our 2024 Annual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82"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2024 Annual Report, which is incorporated herein by reference,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3" w:lineRule="exact"/>
        <w:rPr>
          <w:sz w:val="20"/>
          <w:szCs w:val="20"/>
          <w:color w:val="auto"/>
        </w:rPr>
      </w:pPr>
    </w:p>
    <w:p>
      <w:pPr>
        <w:ind w:left="300" w:right="40" w:firstLine="426"/>
        <w:spacing w:after="0" w:line="269" w:lineRule="auto"/>
        <w:rPr>
          <w:sz w:val="20"/>
          <w:szCs w:val="20"/>
          <w:color w:val="auto"/>
        </w:rPr>
      </w:pPr>
      <w:r>
        <w:rPr>
          <w:rFonts w:ascii="Times New Roman" w:cs="Times New Roman" w:eastAsia="Times New Roman" w:hAnsi="Times New Roman"/>
          <w:sz w:val="17"/>
          <w:szCs w:val="17"/>
          <w:color w:val="auto"/>
        </w:rPr>
        <w:t>Sixth Street is a global investment business with over $100 billion of assets under management as of December 31, 2024.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our business, including fifty-seven (57) investment professionals.</w:t>
      </w:r>
    </w:p>
    <w:p>
      <w:pPr>
        <w:spacing w:after="0" w:line="182"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720" w:firstLine="42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82"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852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852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40"/>
          </w:cols>
          <w:pgMar w:left="320" w:top="482"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SPECIFIC TERMS OF THE NOTES AND THE OFFERING</w:t>
      </w:r>
    </w:p>
    <w:p>
      <w:pPr>
        <w:spacing w:after="0" w:line="227" w:lineRule="exact"/>
        <w:rPr>
          <w:sz w:val="20"/>
          <w:szCs w:val="20"/>
          <w:color w:val="auto"/>
        </w:rPr>
      </w:pPr>
    </w:p>
    <w:p>
      <w:pPr>
        <w:ind w:left="300" w:right="2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Sixth Street Specialty Lending, Inc., a Delaware corporation</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of the Securities</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5.625% Notes due 2030</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Aggregate Principal Amount Being Offered</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$300,000,000</w:t>
            </w:r>
          </w:p>
        </w:tc>
      </w:tr>
      <w:tr>
        <w:trPr>
          <w:trHeight w:val="472"/>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98.805% of the aggregate principal amount of Notes</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5.625%</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Yield to Maturity</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5.884%</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Date</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18, 2025</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Date</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15, 2030</w:t>
            </w:r>
          </w:p>
        </w:tc>
      </w:tr>
      <w:tr>
        <w:trPr>
          <w:trHeight w:val="472"/>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15 and August 15, commencing August 15, 2025</w:t>
            </w:r>
          </w:p>
        </w:tc>
      </w:tr>
      <w:tr>
        <w:trPr>
          <w:trHeight w:val="47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 of Notes</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Notes will be our direct, general unsecured obligations and will rank:</w:t>
            </w:r>
          </w:p>
        </w:tc>
      </w:tr>
      <w:tr>
        <w:trPr>
          <w:trHeight w:val="333"/>
        </w:trPr>
        <w:tc>
          <w:tcPr>
            <w:tcW w:w="3980" w:type="dxa"/>
            <w:vAlign w:val="bottom"/>
          </w:tcPr>
          <w:p>
            <w:pPr>
              <w:spacing w:after="0"/>
              <w:rPr>
                <w:sz w:val="24"/>
                <w:szCs w:val="24"/>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Senior in right of payment to all of our future indebtedness or other obligations that are</w:t>
            </w:r>
          </w:p>
        </w:tc>
      </w:tr>
      <w:tr>
        <w:trPr>
          <w:trHeight w:val="234"/>
        </w:trPr>
        <w:tc>
          <w:tcPr>
            <w:tcW w:w="3980" w:type="dxa"/>
            <w:vAlign w:val="bottom"/>
          </w:tcPr>
          <w:p>
            <w:pPr>
              <w:spacing w:after="0"/>
              <w:rPr>
                <w:sz w:val="20"/>
                <w:szCs w:val="20"/>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expressly subordinated, or junior, in right of payment to the Notes;</w:t>
            </w:r>
          </w:p>
        </w:tc>
      </w:tr>
      <w:tr>
        <w:trPr>
          <w:trHeight w:val="319"/>
        </w:trPr>
        <w:tc>
          <w:tcPr>
            <w:tcW w:w="3980" w:type="dxa"/>
            <w:vAlign w:val="bottom"/>
          </w:tcPr>
          <w:p>
            <w:pPr>
              <w:spacing w:after="0"/>
              <w:rPr>
                <w:sz w:val="24"/>
                <w:szCs w:val="24"/>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Pari passu, or equal, in right of payment with all of our existing and future indebtedness</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 other obligations that are not so subordinated, or junior, including, without limitation,</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of December 31, 2024, approximately $300.0 million aggregate principal amount of</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indebtedness under our unsecured notes due August 2026, which we refer to</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the 2026 Notes, approximately $300.0 million aggregate principal amount of</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indebtedness under our unsecured notes due August 2028, which we refer to</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the 2028 Notes, and approximately $350.0 million aggregate principal amount of</w:t>
            </w:r>
          </w:p>
        </w:tc>
      </w:tr>
      <w:tr>
        <w:trPr>
          <w:trHeight w:val="216"/>
        </w:trPr>
        <w:tc>
          <w:tcPr>
            <w:tcW w:w="398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indebtedness under our unsecured notes due March 2029, which we refer to</w:t>
            </w:r>
          </w:p>
        </w:tc>
      </w:tr>
      <w:tr>
        <w:trPr>
          <w:trHeight w:val="234"/>
        </w:trPr>
        <w:tc>
          <w:tcPr>
            <w:tcW w:w="3980" w:type="dxa"/>
            <w:vAlign w:val="bottom"/>
          </w:tcPr>
          <w:p>
            <w:pPr>
              <w:spacing w:after="0"/>
              <w:rPr>
                <w:sz w:val="20"/>
                <w:szCs w:val="20"/>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the 2029 Notes;</w:t>
            </w:r>
          </w:p>
        </w:tc>
      </w:tr>
      <w:tr>
        <w:trPr>
          <w:trHeight w:val="172"/>
        </w:trPr>
        <w:tc>
          <w:tcPr>
            <w:tcW w:w="3980" w:type="dxa"/>
            <w:vAlign w:val="bottom"/>
            <w:tcBorders>
              <w:bottom w:val="single" w:sz="8" w:color="auto"/>
            </w:tcBorders>
          </w:tcPr>
          <w:p>
            <w:pPr>
              <w:spacing w:after="0"/>
              <w:rPr>
                <w:sz w:val="14"/>
                <w:szCs w:val="14"/>
                <w:color w:val="auto"/>
              </w:rPr>
            </w:pPr>
          </w:p>
        </w:tc>
        <w:tc>
          <w:tcPr>
            <w:tcW w:w="7040" w:type="dxa"/>
            <w:vAlign w:val="bottom"/>
            <w:tcBorders>
              <w:bottom w:val="single" w:sz="8" w:color="auto"/>
            </w:tcBorders>
          </w:tcPr>
          <w:p>
            <w:pPr>
              <w:spacing w:after="0"/>
              <w:rPr>
                <w:sz w:val="14"/>
                <w:szCs w:val="14"/>
                <w:color w:val="auto"/>
              </w:rPr>
            </w:pPr>
          </w:p>
        </w:tc>
      </w:tr>
      <w:tr>
        <w:trPr>
          <w:trHeight w:val="361"/>
        </w:trPr>
        <w:tc>
          <w:tcPr>
            <w:tcW w:w="3980" w:type="dxa"/>
            <w:vAlign w:val="bottom"/>
          </w:tcPr>
          <w:p>
            <w:pPr>
              <w:spacing w:after="0"/>
              <w:rPr>
                <w:sz w:val="24"/>
                <w:szCs w:val="24"/>
                <w:color w:val="auto"/>
              </w:rPr>
            </w:pPr>
          </w:p>
        </w:tc>
        <w:tc>
          <w:tcPr>
            <w:tcW w:w="70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520" w:right="260" w:hanging="179"/>
        <w:spacing w:after="0" w:line="256" w:lineRule="auto"/>
        <w:tabs>
          <w:tab w:leader="none" w:pos="4500" w:val="left"/>
        </w:tabs>
        <w:rPr>
          <w:sz w:val="20"/>
          <w:szCs w:val="20"/>
          <w:color w:val="auto"/>
        </w:rPr>
      </w:pPr>
      <w:r>
        <w:rPr>
          <w:rFonts w:ascii="Times New Roman" w:cs="Times New Roman" w:eastAsia="Times New Roman" w:hAnsi="Times New Roman"/>
          <w:sz w:val="18"/>
          <w:szCs w:val="18"/>
          <w:color w:val="auto"/>
        </w:rPr>
        <w:t>•</w:t>
        <w:tab/>
        <w:t>Effectively subordinated, or junior, to any of our secured indebtedness or other obligations (including unsecured indebtedness that we later secure) to the extent of the value of the assets securing such indebtedness, including, without limitation, approximately $1,004.1 million aggregate principal amount of outstanding indebtedness as of December 31, 2024 under our Senior Secured Revolving Credit Agreement, dated August 23, 2012, as amended, which we refer to as the Revolving Credit Facility; and</w:t>
      </w:r>
    </w:p>
    <w:p>
      <w:pPr>
        <w:spacing w:after="0" w:line="93" w:lineRule="exact"/>
        <w:rPr>
          <w:sz w:val="20"/>
          <w:szCs w:val="20"/>
          <w:color w:val="auto"/>
        </w:rPr>
      </w:pPr>
    </w:p>
    <w:p>
      <w:pPr>
        <w:ind w:left="4520" w:right="240" w:hanging="179"/>
        <w:spacing w:after="0" w:line="266" w:lineRule="auto"/>
        <w:tabs>
          <w:tab w:leader="none" w:pos="4500" w:val="left"/>
        </w:tabs>
        <w:rPr>
          <w:sz w:val="20"/>
          <w:szCs w:val="20"/>
          <w:color w:val="auto"/>
        </w:rPr>
      </w:pPr>
      <w:r>
        <w:rPr>
          <w:rFonts w:ascii="Times New Roman" w:cs="Times New Roman" w:eastAsia="Times New Roman" w:hAnsi="Times New Roman"/>
          <w:sz w:val="18"/>
          <w:szCs w:val="18"/>
          <w:color w:val="auto"/>
        </w:rPr>
        <w:t>•</w:t>
        <w:tab/>
        <w:t>Structurally subordinated, or junior, to all existing and future indebtedness and other obligations (including trade payables) incurred by our subsidiaries, financing vehicles or similar facilities.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2024, our total consolidated indebtedness was approximately</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$1,954.1 million aggregate principal amount outstanding, of which approximately</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$1,004.1 million was secured indebtedness at the TSLX level and none of which was</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indebtedness of our subsidiaries. After giving effect to the issuance of the Notes, and</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assuming the net proceeds therefrom are used to repay outstanding borrowings under the</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Revolving Credit Facility, our total consolidated indebtedness would have been</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approximately $1,961.9 million aggregate principal amount outstanding as of</w:t>
            </w:r>
          </w:p>
        </w:tc>
      </w:tr>
      <w:tr>
        <w:trPr>
          <w:trHeight w:val="234"/>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2024. See “Capitalization”.</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will issue the Notes in denominations of $2,000 and integral multiples of $1,000 in</w:t>
            </w:r>
          </w:p>
        </w:tc>
      </w:tr>
      <w:tr>
        <w:trPr>
          <w:trHeight w:val="234"/>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excess thereof.</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may redeem some or all of the Notes, in whole or in part, at any time, or from time to</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time, at a redemption price, prior to Par Call Date, equal to the greater of (1) (a) the sum of</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present values of the remaining scheduled payments of principal and interest thereon</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 the Par Call Date) on a</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Treasury Rate plus 25 basis points less (b) interest accrued to the date of redemption, and</w:t>
            </w:r>
          </w:p>
        </w:tc>
      </w:tr>
      <w:tr>
        <w:trPr>
          <w:trHeight w:val="214"/>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 plus, in either case, accrued</w:t>
            </w:r>
          </w:p>
        </w:tc>
      </w:tr>
      <w:tr>
        <w:trPr>
          <w:trHeight w:val="218"/>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and unpaid interest thereon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 redeem</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any Notes on or after the Par Call Date, the redemption price for the Notes will be equal to</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plus accrued and unpaid interest</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thereon to the redemption date. Any exercise of our option to redeem the Notes will be</w:t>
            </w:r>
          </w:p>
        </w:tc>
      </w:tr>
      <w:tr>
        <w:trPr>
          <w:trHeight w:val="234"/>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done in compliance with the 1940 Act.</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Notes will not be subject to any sinking fund. A sinking fund is a reserve fund</w:t>
            </w:r>
          </w:p>
        </w:tc>
      </w:tr>
      <w:tr>
        <w:trPr>
          <w:trHeight w:val="234"/>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over a period of time for the retirement of debt.</w:t>
            </w:r>
          </w:p>
        </w:tc>
      </w:tr>
      <w:tr>
        <w:trPr>
          <w:trHeight w:val="441"/>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to Purchase upon a Change of Control</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If a Change of Control Repurchase Event occurs prior to maturity, unless we have</w:t>
            </w: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Event</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exercised our right to redeem the Notes in full,</w:t>
            </w:r>
          </w:p>
        </w:tc>
      </w:tr>
      <w:tr>
        <w:trPr>
          <w:trHeight w:val="186"/>
        </w:trPr>
        <w:tc>
          <w:tcPr>
            <w:tcW w:w="3780" w:type="dxa"/>
            <w:vAlign w:val="bottom"/>
            <w:tcBorders>
              <w:bottom w:val="single" w:sz="8" w:color="auto"/>
            </w:tcBorders>
          </w:tcPr>
          <w:p>
            <w:pPr>
              <w:spacing w:after="0"/>
              <w:rPr>
                <w:sz w:val="16"/>
                <w:szCs w:val="16"/>
                <w:color w:val="auto"/>
              </w:rPr>
            </w:pPr>
          </w:p>
        </w:tc>
        <w:tc>
          <w:tcPr>
            <w:tcW w:w="7240" w:type="dxa"/>
            <w:vAlign w:val="bottom"/>
            <w:tcBorders>
              <w:bottom w:val="single" w:sz="8" w:color="auto"/>
            </w:tcBorders>
          </w:tcPr>
          <w:p>
            <w:pPr>
              <w:spacing w:after="0"/>
              <w:rPr>
                <w:sz w:val="16"/>
                <w:szCs w:val="16"/>
                <w:color w:val="auto"/>
              </w:rPr>
            </w:pPr>
          </w:p>
        </w:tc>
      </w:tr>
      <w:tr>
        <w:trPr>
          <w:trHeight w:val="361"/>
        </w:trPr>
        <w:tc>
          <w:tcPr>
            <w:tcW w:w="3780" w:type="dxa"/>
            <w:vAlign w:val="bottom"/>
          </w:tcPr>
          <w:p>
            <w:pPr>
              <w:spacing w:after="0"/>
              <w:rPr>
                <w:sz w:val="24"/>
                <w:szCs w:val="24"/>
                <w:color w:val="auto"/>
              </w:rPr>
            </w:pPr>
          </w:p>
        </w:tc>
        <w:tc>
          <w:tcPr>
            <w:tcW w:w="72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5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holders will have the right, at their option, to require us to repurchase for cash some or all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of the Notes at a repurchase price equal to 100% of the principal amount of the Notes being</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repurchased, plus accrued and unpaid interest to, but not including, the repurchase date.</w:t>
            </w:r>
          </w:p>
        </w:tc>
      </w:tr>
      <w:tr>
        <w:trPr>
          <w:trHeight w:val="45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Legal Defeasance</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are subject to legal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and Discharge; Defeasance,” we can legally release ourselves from all</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payment and other obligations on the Notes.</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are subject to covenant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Satisfaction and Discharge; Defeasance,” we will be released from some of the restrictive</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covenants in the indenture.</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name of The Depository Trust Company, or DTC, or its nominee. This means that,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except in limited circumstances, you will not receive certificates for the Notes. Beneficial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interests in the Notes will be represented through book-entry accounts of financial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institutions acting on behalf of beneficial owners as direct and indirect participants in DTC.</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Investors may elect to hold interests in the Notes through either DTC, if they are a</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participant, or indirectly through organizations that are participants in DTC.</w:t>
            </w:r>
          </w:p>
        </w:tc>
      </w:tr>
      <w:tr>
        <w:trPr>
          <w:trHeight w:val="459"/>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If an event of default (as described under “Description of Notes”) on the Notes occurs,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may be declared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immediately due and payable, subject to conditions set forth in the indenture. These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amounts automatically become due and payable in the case of certain types of bankruptcy</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or insolvency events involving us.</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Covenants</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 addition to the covenants described in the accompanying prospectus, the following</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covenants shall apply to the Notes:</w:t>
            </w:r>
          </w:p>
        </w:tc>
      </w:tr>
      <w:tr>
        <w:trPr>
          <w:trHeight w:val="319"/>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  We agree that for the period of time during which the Notes are outstanding, we will not</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violate, whether or not we are subject</w:t>
            </w:r>
          </w:p>
        </w:tc>
      </w:tr>
      <w:tr>
        <w:trPr>
          <w:trHeight w:val="172"/>
        </w:trPr>
        <w:tc>
          <w:tcPr>
            <w:tcW w:w="3500" w:type="dxa"/>
            <w:vAlign w:val="bottom"/>
            <w:tcBorders>
              <w:left w:val="single" w:sz="8" w:color="auto"/>
              <w:bottom w:val="single" w:sz="8" w:color="auto"/>
            </w:tcBorders>
          </w:tcPr>
          <w:p>
            <w:pPr>
              <w:spacing w:after="0"/>
              <w:rPr>
                <w:sz w:val="14"/>
                <w:szCs w:val="14"/>
                <w:color w:val="auto"/>
              </w:rPr>
            </w:pPr>
          </w:p>
        </w:tc>
        <w:tc>
          <w:tcPr>
            <w:tcW w:w="7520" w:type="dxa"/>
            <w:vAlign w:val="bottom"/>
            <w:tcBorders>
              <w:bottom w:val="single" w:sz="8" w:color="auto"/>
              <w:right w:val="single" w:sz="8" w:color="auto"/>
            </w:tcBorders>
          </w:tcPr>
          <w:p>
            <w:pPr>
              <w:spacing w:after="0"/>
              <w:rPr>
                <w:sz w:val="14"/>
                <w:szCs w:val="14"/>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4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341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560" w:right="260"/>
        <w:spacing w:after="0" w:line="266" w:lineRule="auto"/>
        <w:rPr>
          <w:sz w:val="20"/>
          <w:szCs w:val="20"/>
          <w:color w:val="auto"/>
        </w:rPr>
      </w:pPr>
      <w:r>
        <w:rPr>
          <w:rFonts w:ascii="Times New Roman" w:cs="Times New Roman" w:eastAsia="Times New Roman" w:hAnsi="Times New Roman"/>
          <w:sz w:val="18"/>
          <w:szCs w:val="18"/>
          <w:color w:val="auto"/>
        </w:rPr>
        <w:t>thereto, Section 18(a)(1)(A) as modified by Section 61(a) of the 1940 Act or any successor provisions, but giving effect, in either case, to any exemptive relief granted to us by the SEC.</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If, at any time, we are not subject to the reporting requirements of Sections 13 or 15(d)</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the Exchange Act to file any periodic reports with the SEC, we agree to furnish to</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holders of the Notes and the trustee, for the period of time during which the Notes are</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outstanding, our audited annual consolidated financial statements, within 90 days of our</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fiscal year end, and unaudited interim consolidated financial statements, within 45 days</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our fiscal quarter end (other than our fourth fiscal quarter). All such financial</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statements will be prepared, in all material respects, in accordance with applicable</w:t>
            </w:r>
          </w:p>
        </w:tc>
      </w:tr>
      <w:tr>
        <w:trPr>
          <w:trHeight w:val="234"/>
        </w:trPr>
        <w:tc>
          <w:tcPr>
            <w:tcW w:w="380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United States generally accepted accounting principles, or GAAP.</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Established Trading Market</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 be listed on any securities exchange or quoted on any automated dealer quotation</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system. Although certain of the underwriters have informed us that they currently intend to</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make a market in the Notes, as permitted by applicable laws and regulations, they are not</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obligated to do so and may discontinue any such market making activities at any time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without notice. See “Underwriting.” Accordingly, we cannot assure you that a liquid</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market for the Notes will develop or be maintained.</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DTC to be settled in immediately available funds. None of the Company, the trustee or the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paying agent will have any responsibility or liability for the performance by DTC or its</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participants or indirect participants of their respective obligations under the rules and</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procedures governing their operations.</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Notes and the indenture are governed by and construed in accordance with the laws of</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State of New York.</w:t>
            </w:r>
          </w:p>
        </w:tc>
      </w:tr>
      <w:tr>
        <w:trPr>
          <w:trHeight w:val="172"/>
        </w:trPr>
        <w:tc>
          <w:tcPr>
            <w:tcW w:w="3800" w:type="dxa"/>
            <w:vAlign w:val="bottom"/>
            <w:tcBorders>
              <w:bottom w:val="single" w:sz="8" w:color="auto"/>
            </w:tcBorders>
          </w:tcPr>
          <w:p>
            <w:pPr>
              <w:spacing w:after="0"/>
              <w:rPr>
                <w:sz w:val="14"/>
                <w:szCs w:val="14"/>
                <w:color w:val="auto"/>
              </w:rPr>
            </w:pPr>
          </w:p>
        </w:tc>
        <w:tc>
          <w:tcPr>
            <w:tcW w:w="7220" w:type="dxa"/>
            <w:vAlign w:val="bottom"/>
            <w:tcBorders>
              <w:bottom w:val="single" w:sz="8" w:color="auto"/>
            </w:tcBorders>
          </w:tcPr>
          <w:p>
            <w:pPr>
              <w:spacing w:after="0"/>
              <w:rPr>
                <w:sz w:val="14"/>
                <w:szCs w:val="14"/>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 risks set out below and the risk factors incorporated by reference in Part I, Item 1A, “Risk Factors,” in our 2024 Annual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2024 Annual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unsecured and therefore are effectively subordinated to any secured indebtedness we have currently incurred or may incur in the future.</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2024, we had approximately $1,004.1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our total consolidated indebtedness was approximately $1,954.1 million aggregate principal amount outstanding, of which approximately $1,004.1 million was secured indebtedness at the TSLX level and none of which was indebtedness of our subsidiaries, and approximately $950 million aggregate principal amount was unsecured indebtedness.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indebtedness;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85" w:lineRule="exact"/>
        <w:rPr>
          <w:sz w:val="20"/>
          <w:szCs w:val="20"/>
          <w:color w:val="auto"/>
        </w:rPr>
      </w:pPr>
    </w:p>
    <w:p>
      <w:pPr>
        <w:ind w:left="1080" w:right="340" w:hanging="424"/>
        <w:spacing w:after="0" w:line="257"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Notes.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under the 2026 Notes, 2028 Notes or 2029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could proceed against the collateral securing the debt. Because our Revolving Credit Facility, 2026 Notes, 2028 Notes and 2029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 Repurchase Event.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2026 Notes, 2028 Notes and 2029 Notes each contain a provision that would require us to offer to purchase the respective 2026 Notes, 2028 Notes and 2029 Notes upon the occurrence of a fundamental change.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that an active trading market will be maintained for the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$300.0 million aggregate principal amount of Notes in this offering will be approximately $292.1 million, after deducting the underwriting discounts and commissions and estimated offering expenses payable by us.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 outstanding indebtedness on the Revolving Credit Facility on or about the date of the closing of this offering. As of December 31, 2024, aggregate commitments under the facility were $1.700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April 24, 2029 with respect to $1.505 billion of commitments, February 4, 2026 for $25.0 million of commitments and April 23, 2027 with respect to $170.0 million of commitments. As of December 31, 2024, amounts drawn under the facility bear interest at either the applicable reference rate plus an applicable credit spread adjustment, plus a margin of either 1.75% or 1.875%, or the base rate plus a margin of either 0.75% or 0.875%. See “Management’s Discussion and Analysis of Financial Condition and Results of Operations—Financial Condition, Liquidity and Capital Resources—Revolving Credit Facility” in Part II, Item 7 of our 2024 Annual Report.</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at December 31, 2024. You should read this table together with “Use of Proceeds” described in this prospectus supplement and our most recent balance sheet included in our 2024 Annual Report incorporated by reference in this prospectus supplement.</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27,328</w:t>
            </w:r>
          </w:p>
        </w:tc>
        <w:tc>
          <w:tcPr>
            <w:tcW w:w="0" w:type="dxa"/>
            <w:vAlign w:val="bottom"/>
          </w:tcPr>
          <w:p>
            <w:pPr>
              <w:spacing w:after="0"/>
              <w:rPr>
                <w:sz w:val="1"/>
                <w:szCs w:val="1"/>
                <w:color w:val="auto"/>
              </w:rPr>
            </w:pPr>
          </w:p>
        </w:tc>
      </w:tr>
      <w:tr>
        <w:trPr>
          <w:trHeight w:val="216"/>
        </w:trPr>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22"/>
                <w:szCs w:val="22"/>
                <w:b w:val="1"/>
                <w:bCs w:val="1"/>
                <w:color w:val="auto"/>
                <w:vertAlign w:val="superscript"/>
              </w:rPr>
              <w:t>(1)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1,004,058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Notes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1,954,058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94,325,686</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93,661,436 shares outstanding</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1,519,337</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664,250 shares</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97,708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1,607,529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3,582,225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424"/>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December 31, 2024. Outstanding indebtedness under the Revolving Credit Facility was $943.9 million as of February 13, 2025. The net proceeds from the sale of the Notes in this offering are expected to be used to pay down outstanding indebtedness under the Revolving Credit Facility. See “Use of Proceeds”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-433070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40"/>
          </w:cols>
          <w:pgMar w:left="320" w:top="482"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particular terms of the 5.625% Notes due 2030 supplements and, to the extent inconsistent therewith, replaces the description of the general terms and provisions of the debt securities set forth in the accompanying prospectus.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Notes under a base indenture dated as of January 16, 2024, between us and U.S. Bank Trust Company, National Association, as trustee (the “trustee”), as supplemented by a separate supplemental indenture, dated as of the settlement date of the Notes (the “second supplemental indenture”).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aggregate principal amount of $300,000,000;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August 15, 2030, unless earlier redeemed or repurchased, as discussed below;</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cash interest from February 25, 2025 at an annual rate of 5.625% payable semi-annually on February 15 and August 15 of each year, beginning on August 15,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“—Optional Redemption;”</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repurchase;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“—Book-Entry, Settlement and Clearance.”</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be issued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be part of the same issue as the Notes for U.S. federal income tax purposes.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Notes bear cash interest at a rate of 5.625% per year until maturity. Interest on the Notes will accrue from February 25, 2025 or from the most recent date on which interest has been paid or duly provided for. Interest is payable semiannually in arrears on February 15 and August 15 of each year, beginning on August 15, 2025.</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 February 1 or August 1 (whether or not a business day), as the case may be, immediately preceding the relevant interest payment date. Interest on the Notes will be computed on the basis of a 360-day year composed of twelve 30-day months.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our direct, general unsecured obligations that rank:</w:t>
      </w:r>
    </w:p>
    <w:p>
      <w:pPr>
        <w:spacing w:after="0" w:line="131" w:lineRule="exact"/>
        <w:rPr>
          <w:sz w:val="20"/>
          <w:szCs w:val="20"/>
          <w:color w:val="auto"/>
        </w:rPr>
      </w:pPr>
    </w:p>
    <w:p>
      <w:pPr>
        <w:ind w:left="1080" w:right="5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December 31, 2024, approximately $300.0 million aggregate principal amount of outstanding indebtedness under our 2026 Notes, approximately $300.0 million aggregate principal amount of outstanding indebtedness under our 2028 Notes, and approximately $350.0 million aggregate principal amount of outstanding indebtedness under our 2029 Notes;</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$1,004.1 million aggregate principal amount of outstanding indebtedness as of December 31, 2024 under the Revolving Credit Facility;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our total consolidated indebtedness was approximately $1,954.1 million aggregate principal amount outstanding, of which approximately $1,004.1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$1,961.9 million aggregate principal amount outstanding as of December 31, 2024. See “Capitalization.”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Any exercise of our option to redeem the Notes will be done in compliance with the 1940 Act. Prior to July 15, 2030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1080" w:right="12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25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plus, in either case, accrued and unpaid interest thereon to the redemption date.</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 S-19</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facility. In addition, the indentures governing the 2026 Notes, 2028 Notes and 2029 Notes each contains a provision that would require us to offer to purchase the respective 2024 Notes, 2026 Notes, 2028 Notes or 2029 Notes upon the occurrence of a fundamental change. A failure to purchase any tendered 2024 Notes, 2026 Notes, 2028 Notes or 2029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2024 Annual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Notes: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88" w:lineRule="exact"/>
        <w:rPr>
          <w:rFonts w:ascii="Times New Roman" w:cs="Times New Roman" w:eastAsia="Times New Roman" w:hAnsi="Times New Roman"/>
          <w:sz w:val="18"/>
          <w:szCs w:val="18"/>
          <w:color w:val="auto"/>
        </w:rPr>
      </w:pPr>
    </w:p>
    <w:p>
      <w:pPr>
        <w:jc w:val="both"/>
        <w:ind w:left="1080" w:right="14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“Fitch” means Fitch Ratings, Inc., also known as Fitch Ratings, or any successor thereto.</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“Investment Grade” means a rating of BBB-or better by Fitch (or its equivalent under any successor rating categories of Fitch), BBB-or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or any successor thereto.</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secured debt instrument of TSLX or its Controlled Subsidiaries shall not be deemed to be any such sale, transfer, lease, conveyance or disposition) in any one transaction or series of related transactions unless:</w:t>
      </w:r>
    </w:p>
    <w:p>
      <w:pPr>
        <w:spacing w:after="0" w:line="67" w:lineRule="exact"/>
        <w:rPr>
          <w:sz w:val="20"/>
          <w:szCs w:val="20"/>
          <w:color w:val="auto"/>
        </w:rPr>
      </w:pPr>
    </w:p>
    <w:p>
      <w:pPr>
        <w:ind w:left="1080" w:right="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right="3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1" w:lineRule="exact"/>
        <w:rPr>
          <w:rFonts w:ascii="Times New Roman" w:cs="Times New Roman" w:eastAsia="Times New Roman" w:hAnsi="Times New Roman"/>
          <w:sz w:val="18"/>
          <w:szCs w:val="18"/>
          <w:color w:val="auto"/>
        </w:rPr>
      </w:pPr>
    </w:p>
    <w:p>
      <w:pPr>
        <w:ind w:left="1080" w:right="340" w:hanging="532"/>
        <w:spacing w:after="0" w:line="276"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08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is not consolidated with TSLX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99" w:lineRule="exact"/>
        <w:rPr>
          <w:rFonts w:ascii="Times New Roman" w:cs="Times New Roman" w:eastAsia="Times New Roman" w:hAnsi="Times New Roman"/>
          <w:sz w:val="17"/>
          <w:szCs w:val="17"/>
          <w:color w:val="auto"/>
        </w:rPr>
      </w:pPr>
    </w:p>
    <w:p>
      <w:pPr>
        <w:ind w:left="1080" w:right="1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81"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67"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shall have made written request to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800 Nicollet Mall, Minneapolis, Minnesota 55402.</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4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procedures for same-day funds settlement applicable to DTC. Euroclear and Clearstream participants may not deliver instructions directly to the DTC depositaries that are acting for Euroclear or Clearstream.</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purchase, ownership and disposition of the Notes. This summary deals only with Notes that are held as capital assets (within the meaning of Section 1221 of the Code) by a person who purchases the Notes upon original issuance at their “issue price” (the first price at which a substantial amount of the Notes is sold for money to investors, excluding sales to bond houses, brokers or similar persons or organizations acting in the capacity of underwriter, placement agent or wholesaler).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the Notes that is, for U.S.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that is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“non-U.S. holder” means a beneficial owner of the Notes (other than an entity or arrangement treated as a partnership for U.S. federal income tax purposes) that is not a U.S. holder.</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Notes, the tax treatment of a partner generally will depend upon the status of the partner and the activities of the partnership. If you are a partnership or a partner in a partnership considering an investment in the Notes, you should consult your own tax advisors.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U.S. federal income tax consequences applicable to you if you are a person subject to special tax treatment under the U.S. federal income tax laws, including, without limitation:</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(or an investor in such an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U.S. Treasury Regulations, administrative rulings and judicial decisions thereunder as of the date hereof. Those authorities may be changed, possibly on a retroactive basis, so as to result in U.S. federal income tax consequences different from those summarized below. We have not and will not seek any rulings from the IRS regarding the matters discussed below. There can be no assurance that the IRS will not take positions concerning the tax consequences of the purchase, ownership or disposition of the Notes that are different from those discussed below.</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It is not intended to be, and should not be construed to be, legal or tax advice to any particular purchaser of Notes.</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the Notes, you should consult your own tax advisors concerning the particular U.S. federal income tax consequences to you of the purchase, ownership and disposition of the Notes,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that will apply to U.S. holders of the Notes.</w:t>
      </w:r>
    </w:p>
    <w:p>
      <w:pPr>
        <w:spacing w:after="0" w:line="22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Stated Interest</w:t>
      </w:r>
      <w:r>
        <w:rPr>
          <w:rFonts w:ascii="Times New Roman" w:cs="Times New Roman" w:eastAsia="Times New Roman" w:hAnsi="Times New Roman"/>
          <w:sz w:val="18"/>
          <w:szCs w:val="18"/>
          <w:color w:val="auto"/>
        </w:rPr>
        <w:t>. Stated interest on the Notes generally will be taxable to you as ordinary income at the time it is received or accrued, depending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regular method of accounting for U.S. federal income tax purposes.</w:t>
      </w:r>
    </w:p>
    <w:p>
      <w:pPr>
        <w:spacing w:after="0" w:line="15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Notes</w:t>
      </w:r>
      <w:r>
        <w:rPr>
          <w:rFonts w:ascii="Times New Roman" w:cs="Times New Roman" w:eastAsia="Times New Roman" w:hAnsi="Times New Roman"/>
          <w:sz w:val="18"/>
          <w:szCs w:val="18"/>
          <w:color w:val="auto"/>
        </w:rPr>
        <w:t>. Upon the sale, exchange, retirement, redemption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disposition of a Note, you generally will recognize gain or loss equal to the difference, if any, between the amount realized upon the sale, exchange, retirement, redemption or other taxable disposition (less any amount attributable to accrued and unpaid stated interest, which will be taxable as interest income to the extent not previously included in income) and your adjusted tax basis in the Note. Your adjusted tax basis in a Note will generally be your cost for that Note. Any gain or loss you recognize will generally be capital gain or loss and will generally be long-term capital gain or loss if you have held the Note for more than one year. Long-term capital gains of non-corporate U.S. holders (including individuals) are eligible for reduced rates of taxation. The deductibility of capital losses is subject to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Tax Consequences to Non-U.S. Holders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Withholding Tax. </w:t>
      </w:r>
      <w:r>
        <w:rPr>
          <w:rFonts w:ascii="Times New Roman" w:cs="Times New Roman" w:eastAsia="Times New Roman" w:hAnsi="Times New Roman"/>
          <w:sz w:val="18"/>
          <w:szCs w:val="18"/>
          <w:color w:val="auto"/>
        </w:rPr>
        <w:t>Subject to the discussions of backup withholding and FATCA below, U.S. federal withholding tax will not apply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payment of interest on the Notes under the “portfolio interest rule,” provided that:</w:t>
      </w:r>
    </w:p>
    <w:p>
      <w:pPr>
        <w:spacing w:after="0" w:line="6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our voting stock within the meaning of the Code and applicable U.S. Treasury regulations;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82"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actually or constructively related to us through stock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described in Section 881(c)(3)(A) of the Code;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U.S. Treasury regulations. Special certification rules apply to non-U.S. holders that are pass-through entities rather than corporations or individuals.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a 30% U.S. federal withholding tax, unless you provide the applicable withholding agent with a properly executed:</w:t>
      </w:r>
    </w:p>
    <w:p>
      <w:pPr>
        <w:spacing w:after="0" w:line="67" w:lineRule="exact"/>
        <w:rPr>
          <w:sz w:val="20"/>
          <w:szCs w:val="20"/>
          <w:color w:val="auto"/>
        </w:rPr>
      </w:pPr>
    </w:p>
    <w:p>
      <w:pPr>
        <w:ind w:left="1080" w:right="3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Form W-8BEN-E (or other applicable form) claiming an exemption from or reduction in withholding under the benefit of an applicable income tax treaty; or</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certifying that interest paid on the Notes is not subject to withholding tax because it is effectively connected with your conduct of a trade or business in the United States (as discussed below under “—U.S. Federal Income Tax”).</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30% U.S. federal withholding tax generally will not apply to any payment of principal or gain that you realize on the sale, exchange, retirement or other taxable disposition of a Note.</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w:t>
      </w:r>
      <w:r>
        <w:rPr>
          <w:rFonts w:ascii="Times New Roman" w:cs="Times New Roman" w:eastAsia="Times New Roman" w:hAnsi="Times New Roman"/>
          <w:sz w:val="18"/>
          <w:szCs w:val="18"/>
          <w:color w:val="auto"/>
        </w:rPr>
        <w:t>If you are engaged in a trade or business in the United States and interest on the Notes is effectively connected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 of that trade or business (and, if required by an applicable income tax treaty, is attributable to a U.S. permanent establishment), then you generally will be subject to U.S. federal income tax on that interest on a net income basis in the same manner as if you were a United States person as defined under the Code (although you will be exempt from the 30% U.S. federal withholding tax described above, provided the certification requirements discussed above in “—U.S. Federal Withholding Tax” are satisfied). In addition, if you are a foreign corporation, you may be subject to a branch profits tax equal to 30% (or lower applicable income tax treaty rate) of your effectively connected earnings and profits, subject to adjustments.</w:t>
      </w:r>
    </w:p>
    <w:p>
      <w:pPr>
        <w:spacing w:after="0" w:line="18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on the sale, exchange, retirement or other taxable disposition of a Note generally will not be subject to U.S. federal income tax unless:</w:t>
      </w:r>
    </w:p>
    <w:p>
      <w:pPr>
        <w:spacing w:after="0" w:line="67" w:lineRule="exact"/>
        <w:rPr>
          <w:sz w:val="20"/>
          <w:szCs w:val="20"/>
          <w:color w:val="auto"/>
        </w:rPr>
      </w:pPr>
    </w:p>
    <w:p>
      <w:pPr>
        <w:jc w:val="both"/>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(and, if required by an applicable income tax treaty, is attributable to a U.S. permanent establishment), in which case such gain generally will be subject to U.S. federal income tax (and possibly branch profits tax) in the same manner as effectively connected interest as described above;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that disposition and certain other conditions are met, in which case, unless an applicable income tax treaty provides otherwise, you generally will be subject to a 30% U.S. federal income tax on any gain recognized, which may be offset by certain U.S. source losses.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 Holders</w:t>
      </w:r>
      <w:r>
        <w:rPr>
          <w:rFonts w:ascii="Times New Roman" w:cs="Times New Roman" w:eastAsia="Times New Roman" w:hAnsi="Times New Roman"/>
          <w:sz w:val="18"/>
          <w:szCs w:val="18"/>
          <w:color w:val="auto"/>
        </w:rPr>
        <w:t>. In general, information reporting requirements will apply to payments of stated interest on the Notes and the proceeds from a sale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taxable disposition (including a retirement or redemption) of a Note paid to you (unless you establish that you are an exempt recipient). Backup withholding may apply to any payments described in the preceding sentence if you fail to provide a taxpayer identification number and a certification that you are not subject to backup withholding or if you fail to report in full dividend and interest income.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58"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Non-U.S. Holders</w:t>
      </w:r>
      <w:r>
        <w:rPr>
          <w:rFonts w:ascii="Times New Roman" w:cs="Times New Roman" w:eastAsia="Times New Roman" w:hAnsi="Times New Roman"/>
          <w:sz w:val="18"/>
          <w:szCs w:val="18"/>
          <w:color w:val="auto"/>
        </w:rPr>
        <w:t>. Generally, the amount of interest paid to you and the amount of tax, if any, withheld with respect to those payments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to the IRS. Copies of the information returns reporting such interest payments and any withholding may also be made available to the tax authorities in the country in which you reside under the provisions of an applicable income tax treaty.</w:t>
      </w:r>
    </w:p>
    <w:p>
      <w:pPr>
        <w:spacing w:after="0" w:line="175"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general, you will not be subject to backup withholding with respect to payments of interest on the Notes that we make to you, provided that the applicable withholding agent does not have actual knowledge or reason to know that you are a United States person as defined under the Code, and such withholding agent has received from you the statement described above in the fifth bullet point under “—Certain Tax Consequences to Non-U.S. Holders —U.S. Federal Withholding Tax.”</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taxable disposition (including a retirement or redemption) of Notes within the United States or conducted through certain U.S.-related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w:t>
      </w:r>
    </w:p>
    <w:p>
      <w:pPr>
        <w:spacing w:after="0" w:line="2" w:lineRule="exact"/>
        <w:rPr>
          <w:sz w:val="20"/>
          <w:szCs w:val="20"/>
          <w:color w:val="auto"/>
        </w:rPr>
      </w:pPr>
    </w:p>
    <w:p>
      <w:pPr>
        <w:ind w:left="120" w:right="60" w:hanging="4"/>
        <w:spacing w:after="0" w:line="251"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“—Certain Tax Consequences to Non-U.S. Holders—U.S.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the Notes, proposed U.S.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60"/>
        </w:trPr>
        <w:tc>
          <w:tcPr>
            <w:tcW w:w="4520" w:type="dxa"/>
            <w:vAlign w:val="bottom"/>
            <w:gridSpan w:val="3"/>
            <w:vMerge w:val="continue"/>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5"/>
                <w:szCs w:val="15"/>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98.805%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296,415,000</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97.805%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293,415,000</w:t>
            </w:r>
          </w:p>
        </w:tc>
      </w:tr>
    </w:tbl>
    <w:p>
      <w:pPr>
        <w:spacing w:after="0" w:line="19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0.600% of the aggregate principal amount of the Notes. The underwriters may allow, and the dealers may reallow, a discount not in excess of 0.400%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$1.3 million and are payable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Certain funds or accounts managed by affiliates of the Adviser may purchase Notes in the transaction through the underwriters at the public offering price.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February 25, 2025, which will be the fifth business day following the date hereof. Under Rule 15c6-1 under the Exchange Act,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BofA Securities, Inc. is One Bryant Park, New York, NY 10036. The principal business address of J.P. Morgan Securities LLC is 383 Madison Avenue, New York, NY 10179. The principal business address of SMBC Nikko Securities America, Inc. is 277 Park Avenue, New York, NY 10172. The principal business address of Wells Fargo Securities, LLC, is 550 South Tryon Street, Charlotte, North Carolina 28202.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2"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7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color w:val="auto"/>
        </w:rPr>
        <w:t xml:space="preserve">securities laws; (ii) an “accredited investor” as such term is defined in section 1.1 of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in Ontario, as such term is defined in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(iii) a “permitted client” as such 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 Registration Exemptions</w:t>
      </w:r>
      <w:r>
        <w:rPr>
          <w:rFonts w:ascii="Times New Roman" w:cs="Times New Roman" w:eastAsia="Times New Roman" w:hAnsi="Times New Roman"/>
          <w:sz w:val="18"/>
          <w:szCs w:val="18"/>
          <w:color w:val="auto"/>
        </w:rPr>
        <w:t xml:space="preserve"> and in Multilateral Instrument 45-107 </w:t>
      </w:r>
      <w:r>
        <w:rPr>
          <w:rFonts w:ascii="Times New Roman" w:cs="Times New Roman" w:eastAsia="Times New Roman" w:hAnsi="Times New Roman"/>
          <w:sz w:val="18"/>
          <w:szCs w:val="18"/>
          <w:i w:val="1"/>
          <w:iCs w:val="1"/>
          <w:color w:val="auto"/>
        </w:rPr>
        <w:t>Listing Representation and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Action Disclosure Exemptions</w:t>
      </w:r>
      <w:r>
        <w:rPr>
          <w:rFonts w:ascii="Times New Roman" w:cs="Times New Roman" w:eastAsia="Times New Roman" w:hAnsi="Times New Roman"/>
          <w:sz w:val="18"/>
          <w:szCs w:val="18"/>
          <w:color w:val="auto"/>
        </w:rPr>
        <w:t>, as applicable, with a remedy for damages or rescission, or both, in addition to any other rights they may have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0840"/>
          </w:cols>
          <w:pgMar w:left="320" w:top="482" w:right="7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13, 2025 (the “2024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67">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February 13, 2025;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w:t>
      </w:r>
      <w:hyperlink r:id="rId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2023, filed with the SEC on February 15, 2024 from our </w:t>
      </w:r>
      <w:hyperlink r:id="rId69">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2024 Annual Meeting of Stockholders, filed with the SEC on April 11, 2024.</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3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548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7570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11000"/>
          </w:cols>
          <w:pgMar w:left="440" w:top="293" w:right="459" w:bottom="1440" w:gutter="0" w:footer="0" w:header="0"/>
        </w:sectPr>
      </w:pPr>
    </w:p>
    <w:bookmarkStart w:id="46" w:name="page47"/>
    <w:bookmarkEnd w:id="46"/>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convertible or exchangeable into shares of our common stock. The securities may be offered at prices and on terms to be described in one or more supplements to this prospectus.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63" w:lineRule="exact"/>
        <w:rPr>
          <w:sz w:val="20"/>
          <w:szCs w:val="20"/>
          <w:color w:val="auto"/>
        </w:rPr>
      </w:pPr>
    </w:p>
    <w:p>
      <w:pPr>
        <w:ind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24 of this prospectus and in the documents incorporated by reference herein.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accompanied by a prospectus supplement.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2023</w:t>
      </w:r>
    </w:p>
    <w:p>
      <w:pPr>
        <w:sectPr>
          <w:pgSz w:w="11900" w:h="16838" w:orient="portrait"/>
          <w:cols w:equalWidth="0" w:num="1">
            <w:col w:w="10980"/>
          </w:cols>
          <w:pgMar w:left="440" w:top="297" w:right="4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9"/>
          </w:tcPr>
          <w:p>
            <w:pPr>
              <w:spacing w:after="0"/>
              <w:rPr>
                <w:sz w:val="17"/>
                <w:szCs w:val="17"/>
                <w:color w:val="auto"/>
              </w:rPr>
            </w:pPr>
          </w:p>
        </w:tc>
        <w:tc>
          <w:tcPr>
            <w:tcW w:w="64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3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652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9"/>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8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3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68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4"/>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3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8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2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4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260" w:type="dxa"/>
            <w:vAlign w:val="bottom"/>
            <w:gridSpan w:val="12"/>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93" w:right="439" w:bottom="1440" w:gutter="0" w:footer="0" w:header="0"/>
        </w:sectPr>
      </w:pPr>
    </w:p>
    <w:bookmarkStart w:id="48" w:name="page49"/>
    <w:bookmarkEnd w:id="4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80"/>
          </w:cols>
          <w:pgMar w:left="440" w:top="297" w:right="47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02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6002655"/>
                    </a:xfrm>
                    <a:prstGeom prst="rect">
                      <a:avLst/>
                    </a:prstGeom>
                    <a:noFill/>
                  </pic:spPr>
                </pic:pic>
              </a:graphicData>
            </a:graphic>
          </wp:anchor>
        </w:drawing>
        <w:t>SUMMARY</w:t>
      </w:r>
    </w:p>
    <w:p>
      <w:pPr>
        <w:spacing w:after="0" w:line="229"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31" w:lineRule="exact"/>
        <w:rPr>
          <w:sz w:val="20"/>
          <w:szCs w:val="20"/>
          <w:color w:val="auto"/>
        </w:rPr>
      </w:pPr>
    </w:p>
    <w:p>
      <w:pPr>
        <w:ind w:left="940" w:right="360" w:hanging="523"/>
        <w:spacing w:after="0" w:line="282" w:lineRule="auto"/>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“TSLX,” “Sixth Street Specialty Lending,” “we,” “us,” “our,” the “Company,” and the “Registrant” refer to Sixth Street Specialty Lending, Inc., a Delaware corporation, and its consolidated subsidiaries;</w:t>
      </w:r>
    </w:p>
    <w:p>
      <w:pPr>
        <w:spacing w:after="0" w:line="67" w:lineRule="exact"/>
        <w:rPr>
          <w:rFonts w:ascii="Times New Roman" w:cs="Times New Roman" w:eastAsia="Times New Roman" w:hAnsi="Times New Roman"/>
          <w:sz w:val="18"/>
          <w:szCs w:val="18"/>
          <w:color w:val="auto"/>
        </w:rPr>
      </w:pPr>
    </w:p>
    <w:p>
      <w:pPr>
        <w:jc w:val="both"/>
        <w:ind w:left="940" w:right="120" w:hanging="523"/>
        <w:spacing w:after="0" w:line="266" w:lineRule="auto"/>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refers to Sixth Street Partners, LLC.</w:t>
      </w:r>
    </w:p>
    <w:p>
      <w:pPr>
        <w:spacing w:after="0" w:line="225"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September 30, 2023, we have originated more than $28.6 billion aggregate principal amount of investments and retained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billion aggregate principal amount of these investments on our balance sheet prior to any subsequent exits and repayments. We seek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 current income primarily in U.S.-domiciled middle-market companies through direct originations of senior secured loans and, to a lesser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originations of mezzanine and unsecured loans and investments in corporate bonds and equity securities. By “middle-market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mean companies that have annual earnings before interest, income taxes, depreciation and amortization, or EBITDA, which we believe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useful proxy for cash flow, of $10 million to $250 million, although we may invest in larger or smaller companies on occasion.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our core portfolio companies, which excludes certain investments that fall outside of our typical borrower profile and represent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92.8% of our total investments based on fair value, had weighted average annual revenue of $209.0 million and weighted average annual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$69.2 million.</w:t>
      </w:r>
    </w:p>
    <w:p>
      <w:pPr>
        <w:spacing w:after="0" w:line="207" w:lineRule="exact"/>
        <w:rPr>
          <w:sz w:val="20"/>
          <w:szCs w:val="20"/>
          <w:color w:val="auto"/>
        </w:rPr>
      </w:pPr>
    </w:p>
    <w:p>
      <w:pPr>
        <w:ind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40"/>
          </w:cols>
          <w:pgMar w:left="620" w:top="482"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Investment Portfolio</w:t>
      </w:r>
    </w:p>
    <w:p>
      <w:pPr>
        <w:spacing w:after="0" w:line="121" w:lineRule="exact"/>
        <w:rPr>
          <w:sz w:val="20"/>
          <w:szCs w:val="20"/>
          <w:color w:val="auto"/>
        </w:rPr>
      </w:pPr>
    </w:p>
    <w:p>
      <w:pPr>
        <w:ind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right="2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right="6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right="2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76"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68" w:lineRule="exact"/>
        <w:rPr>
          <w:sz w:val="20"/>
          <w:szCs w:val="20"/>
          <w:color w:val="auto"/>
        </w:rPr>
      </w:pPr>
    </w:p>
    <w:p>
      <w:pPr>
        <w:ind w:right="20" w:firstLine="426"/>
        <w:spacing w:after="0" w:line="274" w:lineRule="auto"/>
        <w:rPr>
          <w:sz w:val="20"/>
          <w:szCs w:val="20"/>
          <w:color w:val="auto"/>
        </w:rPr>
      </w:pPr>
      <w:r>
        <w:rPr>
          <w:rFonts w:ascii="Times New Roman" w:cs="Times New Roman" w:eastAsia="Times New Roman" w:hAnsi="Times New Roman"/>
          <w:sz w:val="17"/>
          <w:szCs w:val="17"/>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right="4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620" w:top="482" w:right="679" w:bottom="1440" w:gutter="0" w:footer="0" w:header="0"/>
        </w:sectPr>
      </w:pPr>
    </w:p>
    <w:bookmarkStart w:id="51" w:name="page52"/>
    <w:bookmarkEnd w:id="51"/>
    <w:p>
      <w:pPr>
        <w:ind w:firstLine="42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68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5968365"/>
                    </a:xfrm>
                    <a:prstGeom prst="rect">
                      <a:avLst/>
                    </a:prstGeom>
                    <a:noFill/>
                  </pic:spPr>
                </pic:pic>
              </a:graphicData>
            </a:graphic>
          </wp:anchor>
        </w:drawing>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360" w:firstLine="426"/>
        <w:spacing w:after="0" w:line="26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76"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3"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92" w:lineRule="exact"/>
        <w:rPr>
          <w:sz w:val="20"/>
          <w:szCs w:val="20"/>
          <w:color w:val="auto"/>
        </w:rPr>
      </w:pPr>
    </w:p>
    <w:p>
      <w:pPr>
        <w:ind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160" w:firstLine="42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620" w:top="486"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About Our Administrator</w:t>
      </w:r>
    </w:p>
    <w:p>
      <w:pPr>
        <w:spacing w:after="0" w:line="121" w:lineRule="exact"/>
        <w:rPr>
          <w:sz w:val="20"/>
          <w:szCs w:val="20"/>
          <w:color w:val="auto"/>
        </w:rPr>
      </w:pPr>
    </w:p>
    <w:p>
      <w:pPr>
        <w:ind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right="100" w:firstLine="426"/>
        <w:spacing w:after="0" w:line="266" w:lineRule="auto"/>
        <w:rPr>
          <w:sz w:val="20"/>
          <w:szCs w:val="20"/>
          <w:color w:val="auto"/>
        </w:rPr>
      </w:pPr>
      <w:r>
        <w:rPr>
          <w:rFonts w:ascii="Times New Roman" w:cs="Times New Roman" w:eastAsia="Times New Roman" w:hAnsi="Times New Roman"/>
          <w:sz w:val="18"/>
          <w:szCs w:val="18"/>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3Q 2023 Quarterly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40"/>
          </w:cols>
          <w:pgMar w:left="620" w:top="482" w:right="639" w:bottom="1440" w:gutter="0" w:footer="0" w:header="0"/>
        </w:sectPr>
      </w:pPr>
    </w:p>
    <w:bookmarkStart w:id="53" w:name="page54"/>
    <w:bookmarkEnd w:id="53"/>
    <w:p>
      <w:pPr>
        <w:ind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42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6242685"/>
                    </a:xfrm>
                    <a:prstGeom prst="rect">
                      <a:avLst/>
                    </a:prstGeom>
                    <a:noFill/>
                  </pic:spPr>
                </pic:pic>
              </a:graphicData>
            </a:graphic>
          </wp:anchor>
        </w:drawing>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80"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85" w:lineRule="exact"/>
        <w:rPr>
          <w:sz w:val="20"/>
          <w:szCs w:val="20"/>
          <w:color w:val="auto"/>
        </w:rPr>
      </w:pPr>
    </w:p>
    <w:p>
      <w:pPr>
        <w:ind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right="4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620" w:top="484" w:right="639" w:bottom="1440" w:gutter="0" w:footer="0" w:header="0"/>
        </w:sectPr>
      </w:pPr>
    </w:p>
    <w:bookmarkStart w:id="54" w:name="page55"/>
    <w:bookmarkEnd w:id="54"/>
    <w:p>
      <w:pPr>
        <w:ind w:right="9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74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6174105"/>
                    </a:xfrm>
                    <a:prstGeom prst="rect">
                      <a:avLst/>
                    </a:prstGeom>
                    <a:noFill/>
                  </pic:spPr>
                </pic:pic>
              </a:graphicData>
            </a:graphic>
          </wp:anchor>
        </w:drawing>
        <w:t>combine a rigorous analysis of macroeconomic and market factors with a deep understanding of individual companies and their assets, management and prospects. We believe four factors distinguish our investment approach:</w:t>
      </w:r>
    </w:p>
    <w:p>
      <w:pPr>
        <w:spacing w:after="0" w:line="65" w:lineRule="exact"/>
        <w:rPr>
          <w:sz w:val="20"/>
          <w:szCs w:val="20"/>
          <w:color w:val="auto"/>
        </w:rPr>
      </w:pPr>
    </w:p>
    <w:p>
      <w:pPr>
        <w:ind w:left="940" w:right="340" w:hanging="523"/>
        <w:spacing w:after="0" w:line="284"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Sixth Street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940" w:right="180" w:hanging="523"/>
        <w:spacing w:after="0" w:line="258"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940" w:right="320" w:hanging="523"/>
        <w:spacing w:after="0" w:line="284"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940" w:right="160" w:hanging="523"/>
        <w:spacing w:after="0" w:line="258"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8" w:lineRule="exact"/>
        <w:rPr>
          <w:rFonts w:ascii="Times New Roman" w:cs="Times New Roman" w:eastAsia="Times New Roman" w:hAnsi="Times New Roman"/>
          <w:sz w:val="18"/>
          <w:szCs w:val="18"/>
          <w:color w:val="auto"/>
        </w:rPr>
      </w:pPr>
    </w:p>
    <w:p>
      <w:pPr>
        <w:ind w:left="940" w:right="100" w:hanging="523"/>
        <w:spacing w:after="0" w:line="257"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jc w:val="both"/>
        <w:ind w:left="940" w:hanging="523"/>
        <w:spacing w:after="0" w:line="267"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940" w:right="400" w:hanging="523"/>
        <w:spacing w:after="0" w:line="267"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940" w:right="180" w:hanging="523"/>
        <w:spacing w:after="0" w:line="267"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w:t>
      </w:r>
    </w:p>
    <w:p>
      <w:pPr>
        <w:spacing w:after="0" w:line="223" w:lineRule="exact"/>
        <w:rPr>
          <w:sz w:val="20"/>
          <w:szCs w:val="20"/>
          <w:color w:val="auto"/>
        </w:rPr>
      </w:pPr>
    </w:p>
    <w:p>
      <w:pPr>
        <w:ind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 Since we began investing in July 2011, through September 30, 2023, we have originated more than $28.6 billion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investments. As of September 30, 2023, our investment portfolio consisted of investments in 131 portfolio companies (including 42 structured credit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620" w:top="486" w:right="639" w:bottom="1440" w:gutter="0" w:footer="0" w:header="0"/>
        </w:sectPr>
      </w:pPr>
    </w:p>
    <w:bookmarkStart w:id="55" w:name="page56"/>
    <w:bookmarkEnd w:id="5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17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6217285"/>
                    </a:xfrm>
                    <a:prstGeom prst="rect">
                      <a:avLst/>
                    </a:prstGeom>
                    <a:noFill/>
                  </pic:spPr>
                </pic:pic>
              </a:graphicData>
            </a:graphic>
          </wp:anchor>
        </w:drawing>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81" w:lineRule="exact"/>
        <w:rPr>
          <w:sz w:val="20"/>
          <w:szCs w:val="20"/>
          <w:color w:val="auto"/>
        </w:rPr>
      </w:pPr>
    </w:p>
    <w:p>
      <w:pPr>
        <w:ind w:right="1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nine Sixth Street Partners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jc w:val="both"/>
        <w:ind w:right="3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right="8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940" w:right="120" w:hanging="523"/>
        <w:spacing w:after="0" w:line="257"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87" w:lineRule="exact"/>
        <w:rPr>
          <w:rFonts w:ascii="Times New Roman" w:cs="Times New Roman" w:eastAsia="Times New Roman" w:hAnsi="Times New Roman"/>
          <w:sz w:val="18"/>
          <w:szCs w:val="18"/>
          <w:color w:val="auto"/>
        </w:rPr>
      </w:pPr>
    </w:p>
    <w:p>
      <w:pPr>
        <w:ind w:left="940" w:right="180" w:hanging="523"/>
        <w:spacing w:after="0" w:line="290"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940" w:right="80" w:hanging="523"/>
        <w:spacing w:after="0" w:line="312"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45"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20"/>
          </w:cols>
          <w:pgMar w:left="620" w:top="486" w:right="659" w:bottom="1440" w:gutter="0" w:footer="0" w:header="0"/>
        </w:sectPr>
      </w:pPr>
    </w:p>
    <w:bookmarkStart w:id="56" w:name="page57"/>
    <w:bookmarkEnd w:id="56"/>
    <w:p>
      <w:pPr>
        <w:ind w:right="200" w:firstLine="42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45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6045835"/>
                    </a:xfrm>
                    <a:prstGeom prst="rect">
                      <a:avLst/>
                    </a:prstGeom>
                    <a:noFill/>
                  </pic:spPr>
                </pic:pic>
              </a:graphicData>
            </a:graphic>
          </wp:anchor>
        </w:drawing>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940" w:right="80" w:hanging="523"/>
        <w:spacing w:after="0" w:line="267"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89" w:lineRule="exact"/>
        <w:rPr>
          <w:sz w:val="20"/>
          <w:szCs w:val="20"/>
          <w:color w:val="auto"/>
        </w:rPr>
      </w:pPr>
    </w:p>
    <w:p>
      <w:pPr>
        <w:jc w:val="both"/>
        <w:ind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ind w:right="160" w:firstLine="426"/>
        <w:spacing w:after="0" w:line="274" w:lineRule="auto"/>
        <w:rPr>
          <w:sz w:val="20"/>
          <w:szCs w:val="20"/>
          <w:color w:val="auto"/>
        </w:rPr>
      </w:pPr>
      <w:r>
        <w:rPr>
          <w:rFonts w:ascii="Times New Roman" w:cs="Times New Roman" w:eastAsia="Times New Roman" w:hAnsi="Times New Roman"/>
          <w:sz w:val="17"/>
          <w:szCs w:val="17"/>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20"/>
          </w:cols>
          <w:pgMar w:left="620" w:top="486"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Conflicts of Interests</w:t>
      </w:r>
    </w:p>
    <w:p>
      <w:pPr>
        <w:spacing w:after="0" w:line="121" w:lineRule="exact"/>
        <w:rPr>
          <w:sz w:val="20"/>
          <w:szCs w:val="20"/>
          <w:color w:val="auto"/>
        </w:rPr>
      </w:pPr>
    </w:p>
    <w:p>
      <w:pPr>
        <w:ind w:firstLine="426"/>
        <w:spacing w:after="0" w:line="252"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96" w:lineRule="exact"/>
        <w:rPr>
          <w:sz w:val="20"/>
          <w:szCs w:val="20"/>
          <w:color w:val="auto"/>
        </w:rPr>
      </w:pPr>
    </w:p>
    <w:p>
      <w:pPr>
        <w:ind w:right="60" w:firstLine="426"/>
        <w:spacing w:after="0" w:line="253"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4" w:lineRule="exact"/>
        <w:rPr>
          <w:sz w:val="20"/>
          <w:szCs w:val="20"/>
          <w:color w:val="auto"/>
        </w:rPr>
      </w:pPr>
    </w:p>
    <w:p>
      <w:pPr>
        <w:ind w:right="6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ind w:right="80" w:firstLine="426"/>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20"/>
          </w:cols>
          <w:pgMar w:left="620" w:top="482" w:right="6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9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6259830"/>
                    </a:xfrm>
                    <a:prstGeom prst="rect">
                      <a:avLst/>
                    </a:prstGeom>
                    <a:noFill/>
                  </pic:spPr>
                </pic:pic>
              </a:graphicData>
            </a:graphic>
          </wp:anchor>
        </w:drawing>
        <w:t>Exemptive Order</w:t>
      </w:r>
    </w:p>
    <w:p>
      <w:pPr>
        <w:spacing w:after="0" w:line="121" w:lineRule="exact"/>
        <w:rPr>
          <w:sz w:val="20"/>
          <w:szCs w:val="20"/>
          <w:color w:val="auto"/>
        </w:rPr>
      </w:pPr>
    </w:p>
    <w:p>
      <w:pPr>
        <w:jc w:val="both"/>
        <w:ind w:right="140" w:firstLine="426"/>
        <w:spacing w:after="0" w:line="26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76"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80" w:lineRule="exact"/>
        <w:rPr>
          <w:sz w:val="20"/>
          <w:szCs w:val="20"/>
          <w:color w:val="auto"/>
        </w:rPr>
      </w:pPr>
    </w:p>
    <w:p>
      <w:pPr>
        <w:ind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420" w:firstLine="426"/>
        <w:spacing w:after="0" w:line="282" w:lineRule="auto"/>
        <w:rPr>
          <w:sz w:val="20"/>
          <w:szCs w:val="20"/>
          <w:color w:val="auto"/>
        </w:rPr>
      </w:pPr>
      <w:r>
        <w:rPr>
          <w:rFonts w:ascii="Times New Roman" w:cs="Times New Roman" w:eastAsia="Times New Roman" w:hAnsi="Times New Roman"/>
          <w:sz w:val="18"/>
          <w:szCs w:val="18"/>
          <w:color w:val="auto"/>
        </w:rPr>
        <w:t>See “Regulation as a Business Development Company-Transactions with our Affiliates” in our 2022 Annual Report, and such section is incorporated by reference in this prospectus.</w:t>
      </w:r>
    </w:p>
    <w:p>
      <w:pPr>
        <w:spacing w:after="0" w:line="162" w:lineRule="exact"/>
        <w:rPr>
          <w:sz w:val="20"/>
          <w:szCs w:val="20"/>
          <w:color w:val="auto"/>
        </w:rPr>
      </w:pPr>
    </w:p>
    <w:p>
      <w:pPr>
        <w:ind w:right="18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2023 Annual Proxy, and such section is incorporated by reference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14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940" w:hanging="523"/>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40"/>
          </w:cols>
          <w:pgMar w:left="620" w:top="482" w:right="639" w:bottom="1440" w:gutter="0" w:footer="0" w:header="0"/>
        </w:sectPr>
      </w:pPr>
    </w:p>
    <w:bookmarkStart w:id="59" w:name="page60"/>
    <w:bookmarkEnd w:id="59"/>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0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6680200"/>
                    </a:xfrm>
                    <a:prstGeom prst="rect">
                      <a:avLst/>
                    </a:prstGeom>
                    <a:noFill/>
                  </pic:spPr>
                </pic:pic>
              </a:graphicData>
            </a:graphic>
          </wp:anchor>
        </w:drawing>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940" w:right="56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940" w:right="2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a nondeductible 4% U.S. federal excise tax.</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940" w:hanging="523"/>
        <w:spacing w:after="0" w:line="266"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940" w:right="140" w:hanging="523"/>
        <w:spacing w:after="0" w:line="312"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5"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940" w:right="52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33" w:lineRule="exact"/>
        <w:rPr>
          <w:sz w:val="20"/>
          <w:szCs w:val="20"/>
          <w:color w:val="auto"/>
        </w:rPr>
      </w:pPr>
    </w:p>
    <w:p>
      <w:pPr>
        <w:ind w:left="940" w:right="500" w:hanging="523"/>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940" w:right="600" w:hanging="523"/>
        <w:spacing w:after="0" w:line="282"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620" w:top="486" w:right="659" w:bottom="1440" w:gutter="0" w:footer="0" w:header="0"/>
        </w:sectPr>
      </w:pPr>
    </w:p>
    <w:bookmarkStart w:id="60" w:name="page61"/>
    <w:bookmarkEnd w:id="60"/>
    <w:p>
      <w:pPr>
        <w:ind w:left="940" w:hanging="523"/>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48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6748780"/>
                    </a:xfrm>
                    <a:prstGeom prst="rect">
                      <a:avLst/>
                    </a:prstGeom>
                    <a:noFill/>
                  </pic:spPr>
                </pic:pic>
              </a:graphicData>
            </a:graphic>
          </wp:anchor>
        </w:drawing>
        <w:t>Economic recessions or downturns could impair our portfolio companies and harm our operating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jc w:val="both"/>
        <w:ind w:left="940" w:right="180" w:hanging="523"/>
        <w:spacing w:after="0" w:line="266"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940" w:right="200" w:hanging="523"/>
        <w:spacing w:after="0" w:line="266"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940" w:hanging="523"/>
        <w:spacing w:after="0" w:line="266"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940" w:right="80" w:hanging="523"/>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940" w:right="60" w:hanging="523"/>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940" w:right="360" w:hanging="523"/>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940" w:hanging="523"/>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333"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620"/>
          </w:cols>
          <w:pgMar w:left="620" w:top="486" w:right="659" w:bottom="1440" w:gutter="0" w:footer="0" w:header="0"/>
        </w:sectPr>
      </w:pPr>
    </w:p>
    <w:bookmarkStart w:id="61" w:name="page62"/>
    <w:bookmarkEnd w:id="61"/>
    <w:p>
      <w:pPr>
        <w:ind w:left="940" w:hanging="523"/>
        <w:spacing w:after="0" w:line="282"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97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6097270"/>
                    </a:xfrm>
                    <a:prstGeom prst="rect">
                      <a:avLst/>
                    </a:prstGeom>
                    <a:noFill/>
                  </pic:spPr>
                </pic:pic>
              </a:graphicData>
            </a:graphic>
          </wp:anchor>
        </w:drawing>
        <w:t>Investing in our securities may involve a high degree of risk and the market price of our common stock may fluctuate significantly and could decline.</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30" w:lineRule="exact"/>
        <w:rPr>
          <w:rFonts w:ascii="Times New Roman" w:cs="Times New Roman" w:eastAsia="Times New Roman" w:hAnsi="Times New Roman"/>
          <w:sz w:val="18"/>
          <w:szCs w:val="18"/>
          <w:color w:val="auto"/>
        </w:rPr>
      </w:pPr>
    </w:p>
    <w:p>
      <w:pPr>
        <w:ind w:left="940" w:right="180" w:hanging="523"/>
        <w:spacing w:after="0" w:line="282"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940" w:right="320" w:hanging="523"/>
        <w:spacing w:after="0" w:line="282"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940" w:right="20" w:hanging="523"/>
        <w:spacing w:after="0" w:line="282"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made pursuant to this prospectus, to the extent it is successful.</w:t>
      </w:r>
    </w:p>
    <w:p>
      <w:pPr>
        <w:spacing w:after="0" w:line="130" w:lineRule="exact"/>
        <w:rPr>
          <w:rFonts w:ascii="Times New Roman" w:cs="Times New Roman" w:eastAsia="Times New Roman" w:hAnsi="Times New Roman"/>
          <w:sz w:val="18"/>
          <w:szCs w:val="18"/>
          <w:color w:val="auto"/>
        </w:rPr>
      </w:pPr>
    </w:p>
    <w:p>
      <w:pPr>
        <w:ind w:left="940" w:right="180" w:hanging="523"/>
        <w:spacing w:after="0" w:line="282"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67" w:lineRule="exact"/>
        <w:rPr>
          <w:rFonts w:ascii="Times New Roman" w:cs="Times New Roman" w:eastAsia="Times New Roman" w:hAnsi="Times New Roman"/>
          <w:sz w:val="18"/>
          <w:szCs w:val="18"/>
          <w:color w:val="auto"/>
        </w:rPr>
      </w:pPr>
    </w:p>
    <w:p>
      <w:pPr>
        <w:ind w:left="940" w:right="160" w:hanging="523"/>
        <w:spacing w:after="0" w:line="266"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81" w:lineRule="exact"/>
        <w:rPr>
          <w:rFonts w:ascii="Times New Roman" w:cs="Times New Roman" w:eastAsia="Times New Roman" w:hAnsi="Times New Roman"/>
          <w:sz w:val="18"/>
          <w:szCs w:val="18"/>
          <w:color w:val="auto"/>
        </w:rPr>
      </w:pPr>
    </w:p>
    <w:p>
      <w:pPr>
        <w:ind w:left="940" w:right="420" w:hanging="523"/>
        <w:spacing w:after="0" w:line="282"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determine to issue preferred stock, which could adversely affect the market value of our common stock and cause the net asset value and market value of our common stock to be more volatile.</w:t>
      </w:r>
    </w:p>
    <w:p>
      <w:pPr>
        <w:spacing w:after="0" w:line="67"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the board of directors and class voting rights on certain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620" w:top="486" w:right="6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48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5848350"/>
                    </a:xfrm>
                    <a:prstGeom prst="rect">
                      <a:avLst/>
                    </a:prstGeom>
                    <a:noFill/>
                  </pic:spPr>
                </pic:pic>
              </a:graphicData>
            </a:graphic>
          </wp:anchor>
        </w:drawing>
        <w:t>THE OFFERING</w:t>
      </w:r>
    </w:p>
    <w:p>
      <w:pPr>
        <w:spacing w:after="0" w:line="229" w:lineRule="exact"/>
        <w:rPr>
          <w:sz w:val="20"/>
          <w:szCs w:val="20"/>
          <w:color w:val="auto"/>
        </w:rPr>
      </w:pPr>
    </w:p>
    <w:p>
      <w:pPr>
        <w:ind w:left="180" w:right="220" w:firstLine="426"/>
        <w:spacing w:after="0" w:line="268"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180" w:right="380" w:hanging="2"/>
        <w:spacing w:after="0" w:line="255" w:lineRule="auto"/>
        <w:tabs>
          <w:tab w:leader="none" w:pos="4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6" w:lineRule="exact"/>
        <w:rPr>
          <w:sz w:val="20"/>
          <w:szCs w:val="20"/>
          <w:color w:val="auto"/>
        </w:rPr>
      </w:pPr>
    </w:p>
    <w:p>
      <w:pPr>
        <w:ind w:left="180" w:right="280" w:firstLine="426"/>
        <w:spacing w:after="0" w:line="26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76" w:lineRule="exact"/>
        <w:rPr>
          <w:sz w:val="20"/>
          <w:szCs w:val="20"/>
          <w:color w:val="auto"/>
        </w:rPr>
      </w:pPr>
    </w:p>
    <w:p>
      <w:pPr>
        <w:ind w:left="18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80" w:right="460" w:firstLine="95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76" w:lineRule="exact"/>
        <w:rPr>
          <w:sz w:val="20"/>
          <w:szCs w:val="20"/>
          <w:color w:val="auto"/>
        </w:rPr>
      </w:pPr>
    </w:p>
    <w:p>
      <w:pPr>
        <w:ind w:left="180" w:right="500" w:firstLine="426"/>
        <w:spacing w:after="0" w:line="282" w:lineRule="auto"/>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the proceeds from such offering. See “Use of Proceeds.”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“TSLX”</w:t>
            </w:r>
          </w:p>
        </w:tc>
      </w:tr>
      <w:tr>
        <w:trPr>
          <w:trHeight w:val="41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 will</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 reported to stockholders after the end of the calendar year. Future quarterly dividends, if any,</w:t>
            </w:r>
          </w:p>
        </w:tc>
      </w:tr>
      <w:tr>
        <w:trPr>
          <w:trHeight w:val="234"/>
        </w:trPr>
        <w:tc>
          <w:tcPr>
            <w:tcW w:w="2860" w:type="dxa"/>
            <w:vAlign w:val="bottom"/>
          </w:tcPr>
          <w:p>
            <w:pPr>
              <w:spacing w:after="0"/>
              <w:rPr>
                <w:sz w:val="20"/>
                <w:szCs w:val="20"/>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will be determined by our Board. See “Price Range of Common Stock and Distributions.”</w:t>
            </w:r>
          </w:p>
        </w:tc>
      </w:tr>
      <w:tr>
        <w:trPr>
          <w:trHeight w:val="159"/>
        </w:trPr>
        <w:tc>
          <w:tcPr>
            <w:tcW w:w="286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spacing w:after="0"/>
              <w:rPr>
                <w:sz w:val="13"/>
                <w:szCs w:val="13"/>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020"/>
          </w:cols>
          <w:pgMar w:left="440" w:top="482" w:right="439" w:bottom="1440" w:gutter="0" w:footer="0" w:header="0"/>
        </w:sectPr>
      </w:pPr>
    </w:p>
    <w:bookmarkStart w:id="63" w:name="page64"/>
    <w:bookmarkEnd w:id="63"/>
    <w:p>
      <w:pPr>
        <w:ind w:left="37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14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6114415"/>
                    </a:xfrm>
                    <a:prstGeom prst="rect">
                      <a:avLst/>
                    </a:prstGeom>
                    <a:noFill/>
                  </pic:spPr>
                </pic:pic>
              </a:graphicData>
            </a:graphic>
          </wp:anchor>
        </w:drawing>
        <w:t>To maintain our tax treatment as a RIC, we must make certain distributions. See “Material U.S.</w:t>
      </w:r>
    </w:p>
    <w:p>
      <w:pPr>
        <w:spacing w:after="0" w:line="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p>
      <w:pPr>
        <w:sectPr>
          <w:pgSz w:w="11900" w:h="16838" w:orient="portrait"/>
          <w:cols w:equalWidth="0" w:num="1">
            <w:col w:w="10640"/>
          </w:cols>
          <w:pgMar w:left="620" w:top="729" w:right="6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79"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line="3" w:lineRule="exact"/>
        <w:rPr>
          <w:sz w:val="20"/>
          <w:szCs w:val="20"/>
          <w:color w:val="auto"/>
        </w:rPr>
      </w:pPr>
    </w:p>
    <w:p>
      <w:pPr>
        <w:ind w:left="3740" w:right="140"/>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10640"/>
          </w:cols>
          <w:pgMar w:left="620" w:top="729" w:right="6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83"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0"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ind w:right="140" w:firstLine="42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 income taxation on our earnings, we must, among other things:</w:t>
      </w:r>
    </w:p>
    <w:p>
      <w:pPr>
        <w:spacing w:after="0" w:line="67" w:lineRule="exact"/>
        <w:rPr>
          <w:sz w:val="20"/>
          <w:szCs w:val="20"/>
          <w:color w:val="auto"/>
        </w:rPr>
      </w:pPr>
    </w:p>
    <w:p>
      <w:pPr>
        <w:ind w:left="940" w:hanging="523"/>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40" w:right="100" w:hanging="523"/>
        <w:spacing w:after="0" w:line="282"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40"/>
          </w:cols>
          <w:pgMar w:left="620" w:top="729" w:right="639" w:bottom="1440" w:gutter="0" w:footer="0" w:header="0"/>
          <w:type w:val="continuous"/>
        </w:sectPr>
      </w:pPr>
    </w:p>
    <w:bookmarkStart w:id="64" w:name="page65"/>
    <w:bookmarkEnd w:id="64"/>
    <w:p>
      <w:pPr>
        <w:ind w:right="380" w:firstLine="42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05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6105525"/>
                    </a:xfrm>
                    <a:prstGeom prst="rect">
                      <a:avLst/>
                    </a:prstGeom>
                    <a:noFill/>
                  </pic:spPr>
                </pic:pic>
              </a:graphicData>
            </a:graphic>
          </wp:anchor>
        </w:drawing>
        <w:t>In addition, we must distribute (or be treated as distributing) in each taxable year dividends for tax purposes equal to at least 90% of our investment company taxable income and net tax-exempt income for that taxable year.</w:t>
      </w:r>
    </w:p>
    <w:p>
      <w:pPr>
        <w:spacing w:after="0" w:line="162"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92" w:lineRule="exact"/>
        <w:rPr>
          <w:sz w:val="20"/>
          <w:szCs w:val="20"/>
          <w:color w:val="auto"/>
        </w:rPr>
      </w:pPr>
    </w:p>
    <w:p>
      <w:pPr>
        <w:jc w:val="both"/>
        <w:ind w:right="280" w:firstLine="426"/>
        <w:spacing w:after="0" w:line="289" w:lineRule="auto"/>
        <w:rPr>
          <w:sz w:val="20"/>
          <w:szCs w:val="20"/>
          <w:color w:val="auto"/>
        </w:rPr>
      </w:pPr>
      <w:r>
        <w:rPr>
          <w:rFonts w:ascii="Times New Roman" w:cs="Times New Roman" w:eastAsia="Times New Roman" w:hAnsi="Times New Roman"/>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Arrangements</w:t>
      </w:r>
    </w:p>
    <w:p>
      <w:pPr>
        <w:spacing w:after="0" w:line="121" w:lineRule="exact"/>
        <w:rPr>
          <w:sz w:val="20"/>
          <w:szCs w:val="20"/>
          <w:color w:val="auto"/>
        </w:rPr>
      </w:pPr>
    </w:p>
    <w:p>
      <w:pPr>
        <w:jc w:val="both"/>
        <w:ind w:right="260" w:firstLine="426"/>
        <w:spacing w:after="0" w:line="266" w:lineRule="auto"/>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121" w:lineRule="exact"/>
        <w:rPr>
          <w:sz w:val="20"/>
          <w:szCs w:val="20"/>
          <w:color w:val="auto"/>
        </w:rPr>
      </w:pPr>
    </w:p>
    <w:p>
      <w:pPr>
        <w:ind w:right="140" w:firstLine="959"/>
        <w:spacing w:after="0" w:line="256"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1384"/>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76" w:lineRule="exact"/>
        <w:rPr>
          <w:sz w:val="20"/>
          <w:szCs w:val="20"/>
          <w:color w:val="auto"/>
        </w:rPr>
      </w:pPr>
    </w:p>
    <w:p>
      <w:pPr>
        <w:ind w:right="40" w:firstLine="426"/>
        <w:spacing w:after="0" w:line="282"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information available, free of charge, on or through our website. Information</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0"/>
          </w:cols>
          <w:pgMar w:left="620" w:top="486" w:right="67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42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1442085"/>
                    </a:xfrm>
                    <a:prstGeom prst="rect">
                      <a:avLst/>
                    </a:prstGeom>
                    <a:noFill/>
                  </pic:spPr>
                </pic:pic>
              </a:graphicData>
            </a:graphic>
          </wp:anchor>
        </w:drawing>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40"/>
          </w:cols>
          <w:pgMar w:left="620" w:top="486" w:right="639" w:bottom="1440" w:gutter="0" w:footer="0" w:header="0"/>
        </w:sectPr>
      </w:pPr>
    </w:p>
    <w:bookmarkStart w:id="66" w:name="page67"/>
    <w:bookmarkEnd w:id="66"/>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1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6251575"/>
                    </a:xfrm>
                    <a:prstGeom prst="rect">
                      <a:avLst/>
                    </a:prstGeom>
                    <a:noFill/>
                  </pic:spPr>
                </pic:pic>
              </a:graphicData>
            </a:graphic>
          </wp:anchor>
        </w:drawing>
        <w:t>FEES AND EXPENSES</w:t>
      </w:r>
    </w:p>
    <w:p>
      <w:pPr>
        <w:spacing w:after="0" w:line="229" w:lineRule="exact"/>
        <w:rPr>
          <w:sz w:val="20"/>
          <w:szCs w:val="20"/>
          <w:color w:val="auto"/>
        </w:rPr>
      </w:pPr>
    </w:p>
    <w:p>
      <w:pPr>
        <w:ind w:left="2" w:right="6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4"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net assets attributable to common stock)</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7"/>
                <w:szCs w:val="17"/>
                <w:b w:val="1"/>
                <w:bCs w:val="1"/>
                <w:color w:val="auto"/>
              </w:rPr>
              <w:t>:</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2" w:right="280" w:hanging="422"/>
        <w:spacing w:after="0" w:line="282" w:lineRule="auto"/>
        <w:tabs>
          <w:tab w:leader="none" w:pos="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67" w:lineRule="exact"/>
        <w:rPr>
          <w:rFonts w:ascii="Times New Roman" w:cs="Times New Roman" w:eastAsia="Times New Roman" w:hAnsi="Times New Roman"/>
          <w:sz w:val="18"/>
          <w:szCs w:val="18"/>
          <w:color w:val="auto"/>
        </w:rPr>
      </w:pPr>
    </w:p>
    <w:p>
      <w:pPr>
        <w:ind w:left="422" w:right="460" w:hanging="422"/>
        <w:spacing w:after="0" w:line="282" w:lineRule="auto"/>
        <w:tabs>
          <w:tab w:leader="none" w:pos="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67" w:lineRule="exact"/>
        <w:rPr>
          <w:rFonts w:ascii="Times New Roman" w:cs="Times New Roman" w:eastAsia="Times New Roman" w:hAnsi="Times New Roman"/>
          <w:sz w:val="18"/>
          <w:szCs w:val="18"/>
          <w:color w:val="auto"/>
        </w:rPr>
      </w:pPr>
    </w:p>
    <w:p>
      <w:pPr>
        <w:ind w:left="422" w:right="180" w:hanging="422"/>
        <w:spacing w:after="0" w:line="258" w:lineRule="auto"/>
        <w:tabs>
          <w:tab w:leader="none" w:pos="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88" w:lineRule="exact"/>
        <w:rPr>
          <w:rFonts w:ascii="Times New Roman" w:cs="Times New Roman" w:eastAsia="Times New Roman" w:hAnsi="Times New Roman"/>
          <w:sz w:val="18"/>
          <w:szCs w:val="18"/>
          <w:color w:val="auto"/>
        </w:rPr>
      </w:pPr>
    </w:p>
    <w:p>
      <w:pPr>
        <w:ind w:left="422" w:right="440" w:hanging="422"/>
        <w:spacing w:after="0" w:line="282" w:lineRule="auto"/>
        <w:tabs>
          <w:tab w:leader="none" w:pos="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$1,341.6 million as of December 31, 2022.</w:t>
      </w:r>
    </w:p>
    <w:p>
      <w:pPr>
        <w:spacing w:after="0" w:line="67" w:lineRule="exact"/>
        <w:rPr>
          <w:rFonts w:ascii="Times New Roman" w:cs="Times New Roman" w:eastAsia="Times New Roman" w:hAnsi="Times New Roman"/>
          <w:sz w:val="18"/>
          <w:szCs w:val="18"/>
          <w:color w:val="auto"/>
        </w:rPr>
      </w:pPr>
    </w:p>
    <w:p>
      <w:pPr>
        <w:ind w:left="422" w:right="40" w:hanging="422"/>
        <w:spacing w:after="0" w:line="256" w:lineRule="auto"/>
        <w:tabs>
          <w:tab w:leader="none" w:pos="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2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42"/>
          </w:cols>
          <w:pgMar w:left="618" w:top="482" w:right="639" w:bottom="1440" w:gutter="0" w:footer="0" w:header="0"/>
        </w:sectPr>
      </w:pPr>
    </w:p>
    <w:bookmarkStart w:id="67" w:name="page68"/>
    <w:bookmarkEnd w:id="67"/>
    <w:p>
      <w:pPr>
        <w:ind w:left="422"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85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5985510"/>
                    </a:xfrm>
                    <a:prstGeom prst="rect">
                      <a:avLst/>
                    </a:prstGeom>
                    <a:noFill/>
                  </pic:spPr>
                </pic:pic>
              </a:graphicData>
            </a:graphic>
          </wp:anchor>
        </w:drawing>
        <w:t>The Management Fee reflected in the table is calculated by determining the ratio that the Management Fee for the year ended December 31, 2022 bears to our net assets attributable to common stock (rather than our gross assets).</w:t>
      </w:r>
    </w:p>
    <w:p>
      <w:pPr>
        <w:spacing w:after="0" w:line="162" w:lineRule="exact"/>
        <w:rPr>
          <w:sz w:val="20"/>
          <w:szCs w:val="20"/>
          <w:color w:val="auto"/>
        </w:rPr>
      </w:pPr>
    </w:p>
    <w:p>
      <w:pPr>
        <w:ind w:left="422"/>
        <w:spacing w:after="0" w:line="258"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83" w:lineRule="exact"/>
        <w:rPr>
          <w:sz w:val="20"/>
          <w:szCs w:val="20"/>
          <w:color w:val="auto"/>
        </w:rPr>
      </w:pPr>
    </w:p>
    <w:p>
      <w:pPr>
        <w:ind w:left="422" w:right="80"/>
        <w:spacing w:after="0" w:line="253"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221" w:lineRule="exact"/>
        <w:rPr>
          <w:sz w:val="20"/>
          <w:szCs w:val="20"/>
          <w:color w:val="auto"/>
        </w:rPr>
      </w:pPr>
    </w:p>
    <w:p>
      <w:pPr>
        <w:ind w:left="422" w:hanging="422"/>
        <w:spacing w:after="0"/>
        <w:tabs>
          <w:tab w:leader="none" w:pos="4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225" w:lineRule="exact"/>
        <w:rPr>
          <w:rFonts w:ascii="Times New Roman" w:cs="Times New Roman" w:eastAsia="Times New Roman" w:hAnsi="Times New Roman"/>
          <w:sz w:val="18"/>
          <w:szCs w:val="18"/>
          <w:color w:val="auto"/>
        </w:rPr>
      </w:pPr>
    </w:p>
    <w:p>
      <w:pPr>
        <w:ind w:left="422"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42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sz w:val="20"/>
          <w:szCs w:val="20"/>
          <w:color w:val="auto"/>
        </w:rPr>
      </w:pPr>
    </w:p>
    <w:p>
      <w:pPr>
        <w:ind w:left="422" w:right="6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87" w:lineRule="exact"/>
        <w:rPr>
          <w:sz w:val="20"/>
          <w:szCs w:val="20"/>
          <w:color w:val="auto"/>
        </w:rPr>
      </w:pPr>
    </w:p>
    <w:p>
      <w:pPr>
        <w:ind w:left="422" w:right="260" w:firstLine="4"/>
        <w:spacing w:after="0" w:line="266" w:lineRule="auto"/>
        <w:tabs>
          <w:tab w:leader="none" w:pos="6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8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22"/>
          </w:cols>
          <w:pgMar w:left="618" w:top="486" w:right="659" w:bottom="1440" w:gutter="0" w:footer="0" w:header="0"/>
        </w:sectPr>
      </w:pPr>
    </w:p>
    <w:bookmarkStart w:id="68" w:name="page69"/>
    <w:bookmarkEnd w:id="68"/>
    <w:p>
      <w:pPr>
        <w:ind w:left="422"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08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74865" cy="5908675"/>
                    </a:xfrm>
                    <a:prstGeom prst="rect">
                      <a:avLst/>
                    </a:prstGeom>
                    <a:noFill/>
                  </pic:spPr>
                </pic:pic>
              </a:graphicData>
            </a:graphic>
          </wp:anchor>
        </w:drawing>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8" w:lineRule="exact"/>
        <w:rPr>
          <w:sz w:val="20"/>
          <w:szCs w:val="20"/>
          <w:color w:val="auto"/>
        </w:rPr>
      </w:pPr>
    </w:p>
    <w:p>
      <w:pPr>
        <w:ind w:left="422" w:right="380"/>
        <w:spacing w:after="0" w:line="312" w:lineRule="auto"/>
        <w:rPr>
          <w:sz w:val="20"/>
          <w:szCs w:val="20"/>
          <w:color w:val="auto"/>
        </w:rPr>
      </w:pPr>
      <w:r>
        <w:rPr>
          <w:rFonts w:ascii="Times New Roman" w:cs="Times New Roman" w:eastAsia="Times New Roman" w:hAnsi="Times New Roman"/>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0" w:lineRule="exact"/>
        <w:rPr>
          <w:sz w:val="20"/>
          <w:szCs w:val="20"/>
          <w:color w:val="auto"/>
        </w:rPr>
      </w:pPr>
    </w:p>
    <w:p>
      <w:pPr>
        <w:ind w:left="422"/>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8" w:lineRule="exact"/>
        <w:rPr>
          <w:sz w:val="20"/>
          <w:szCs w:val="20"/>
          <w:color w:val="auto"/>
        </w:rPr>
      </w:pPr>
    </w:p>
    <w:p>
      <w:pPr>
        <w:ind w:left="422" w:right="100"/>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422" w:right="100"/>
        <w:spacing w:after="0" w:line="266" w:lineRule="auto"/>
        <w:rPr>
          <w:sz w:val="20"/>
          <w:szCs w:val="20"/>
          <w:color w:val="auto"/>
        </w:rPr>
      </w:pPr>
      <w:r>
        <w:rPr>
          <w:rFonts w:ascii="Times New Roman" w:cs="Times New Roman" w:eastAsia="Times New Roman" w:hAnsi="Times New Roman"/>
          <w:sz w:val="18"/>
          <w:szCs w:val="18"/>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76" w:lineRule="exact"/>
        <w:rPr>
          <w:sz w:val="20"/>
          <w:szCs w:val="20"/>
          <w:color w:val="auto"/>
        </w:rPr>
      </w:pPr>
    </w:p>
    <w:p>
      <w:pPr>
        <w:ind w:left="422" w:right="20"/>
        <w:spacing w:after="0" w:line="266"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81" w:lineRule="exact"/>
        <w:rPr>
          <w:sz w:val="20"/>
          <w:szCs w:val="20"/>
          <w:color w:val="auto"/>
        </w:rPr>
      </w:pPr>
    </w:p>
    <w:p>
      <w:pPr>
        <w:ind w:left="422" w:right="60" w:hanging="422"/>
        <w:spacing w:after="0" w:line="268" w:lineRule="auto"/>
        <w:tabs>
          <w:tab w:leader="none" w:pos="42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Times New Roman" w:cs="Times New Roman" w:eastAsia="Times New Roman" w:hAnsi="Times New Roman"/>
          <w:sz w:val="17"/>
          <w:szCs w:val="17"/>
          <w:color w:val="auto"/>
        </w:rPr>
      </w:pP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SBCAA.</w:t>
      </w:r>
    </w:p>
    <w:p>
      <w:pPr>
        <w:spacing w:after="0" w:line="315"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02"/>
          </w:cols>
          <w:pgMar w:left="618" w:top="486" w:right="679" w:bottom="1440" w:gutter="0" w:footer="0" w:header="0"/>
        </w:sectPr>
      </w:pPr>
    </w:p>
    <w:bookmarkStart w:id="69" w:name="page70"/>
    <w:bookmarkEnd w:id="69"/>
    <w:p>
      <w:pPr>
        <w:ind w:left="422" w:right="60" w:hanging="422"/>
        <w:spacing w:after="0" w:line="261" w:lineRule="auto"/>
        <w:tabs>
          <w:tab w:leader="none" w:pos="4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08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74865" cy="4708525"/>
                    </a:xfrm>
                    <a:prstGeom prst="rect">
                      <a:avLst/>
                    </a:prstGeom>
                    <a:noFill/>
                  </pic:spPr>
                </pic:pic>
              </a:graphicData>
            </a:graphic>
          </wp:anchor>
        </w:drawing>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$ 423</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765</w:t>
            </w:r>
          </w:p>
        </w:tc>
      </w:tr>
    </w:tbl>
    <w:p>
      <w:pPr>
        <w:spacing w:after="0" w:line="198" w:lineRule="exact"/>
        <w:rPr>
          <w:sz w:val="20"/>
          <w:szCs w:val="20"/>
          <w:color w:val="auto"/>
        </w:rPr>
      </w:pPr>
    </w:p>
    <w:p>
      <w:pPr>
        <w:ind w:left="2"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2"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6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42"/>
          </w:cols>
          <w:pgMar w:left="618" w:top="486" w:right="6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HIGHLIGHTS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2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1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5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50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4"/>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60" w:type="dxa"/>
            <w:vAlign w:val="bottom"/>
          </w:tcPr>
          <w:p>
            <w:pPr>
              <w:spacing w:after="0"/>
              <w:rPr>
                <w:sz w:val="12"/>
                <w:szCs w:val="12"/>
                <w:color w:val="auto"/>
              </w:rPr>
            </w:pP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center"/>
              <w:ind w:left="348"/>
              <w:spacing w:after="0" w:line="155" w:lineRule="exact"/>
              <w:rPr>
                <w:sz w:val="20"/>
                <w:szCs w:val="20"/>
                <w:color w:val="auto"/>
              </w:rPr>
            </w:pPr>
            <w:r>
              <w:rPr>
                <w:rFonts w:ascii="Times New Roman" w:cs="Times New Roman" w:eastAsia="Times New Roman" w:hAnsi="Times New Roman"/>
                <w:sz w:val="14"/>
                <w:szCs w:val="14"/>
                <w:color w:val="auto"/>
                <w:w w:val="97"/>
              </w:rPr>
              <w:t>0.14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w w:val="97"/>
              </w:rPr>
              <w:t>0.81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left="268"/>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93" w:right="439" w:bottom="1440" w:gutter="0" w:footer="0" w:header="0"/>
        </w:sectPr>
      </w:pPr>
    </w:p>
    <w:bookmarkStart w:id="71" w:name="page72"/>
    <w:bookmarkEnd w:id="71"/>
    <w:tbl>
      <w:tblPr>
        <w:tblLayout w:type="fixed"/>
        <w:tblInd w:w="4"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9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87,546,498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67,684,209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65,412,817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1,485,822</w:t>
            </w:r>
          </w:p>
        </w:tc>
        <w:tc>
          <w:tcPr>
            <w:tcW w:w="4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1,341,569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1,275,848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1,161,315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1,119,297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1,063,202</w:t>
            </w:r>
          </w:p>
        </w:tc>
        <w:tc>
          <w:tcPr>
            <w:tcW w:w="0" w:type="dxa"/>
            <w:vAlign w:val="bottom"/>
          </w:tcPr>
          <w:p>
            <w:pPr>
              <w:spacing w:after="0"/>
              <w:rPr>
                <w:sz w:val="1"/>
                <w:szCs w:val="1"/>
                <w:color w:val="auto"/>
              </w:rPr>
            </w:pPr>
          </w:p>
        </w:tc>
      </w:tr>
      <w:tr>
        <w:trPr>
          <w:trHeight w:val="3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24"/>
                <w:szCs w:val="24"/>
                <w:color w:val="auto"/>
              </w:rPr>
            </w:pPr>
          </w:p>
        </w:tc>
        <w:tc>
          <w:tcPr>
            <w:tcW w:w="14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19.80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15.75%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15.36%</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5.71%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11.87%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7.62%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14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59,716,205</w:t>
            </w:r>
          </w:p>
        </w:tc>
        <w:tc>
          <w:tcPr>
            <w:tcW w:w="1860" w:type="dxa"/>
            <w:vAlign w:val="bottom"/>
            <w:gridSpan w:val="7"/>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54,163,960</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53,797,358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37,026,023</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9.31%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12.49%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58.08%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969,284</w:t>
            </w:r>
          </w:p>
        </w:tc>
        <w:tc>
          <w:tcPr>
            <w:tcW w:w="14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952,212</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820,741</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835,405</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574,696</w:t>
            </w:r>
          </w:p>
        </w:tc>
        <w:tc>
          <w:tcPr>
            <w:tcW w:w="0" w:type="dxa"/>
            <w:vAlign w:val="bottom"/>
          </w:tcPr>
          <w:p>
            <w:pPr>
              <w:spacing w:after="0"/>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24" w:hanging="424"/>
        <w:spacing w:after="0"/>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weighted average shares outstanding during the period.</w:t>
      </w:r>
    </w:p>
    <w:p>
      <w:pPr>
        <w:spacing w:after="0" w:line="3" w:lineRule="exact"/>
        <w:rPr>
          <w:rFonts w:ascii="Times New Roman" w:cs="Times New Roman" w:eastAsia="Times New Roman" w:hAnsi="Times New Roman"/>
          <w:sz w:val="14"/>
          <w:szCs w:val="14"/>
          <w:color w:val="auto"/>
        </w:rPr>
      </w:pPr>
    </w:p>
    <w:p>
      <w:pPr>
        <w:ind w:left="424"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actual shares outstanding at the date of the relevant transactions.</w:t>
      </w:r>
    </w:p>
    <w:p>
      <w:pPr>
        <w:ind w:left="424" w:right="440"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424" w:right="60"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 the change in market value per share during the period plus declared dividends per share, divided by the beginning market value per share.</w:t>
      </w:r>
    </w:p>
    <w:p>
      <w:pPr>
        <w:ind w:left="424" w:right="340"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declared dividends per share, divided by the beginning net asset value per share.</w:t>
      </w:r>
    </w:p>
    <w:p>
      <w:pPr>
        <w:ind w:left="424"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ratios reflect an annualized amount.</w:t>
      </w:r>
    </w:p>
    <w:p>
      <w:pPr>
        <w:ind w:left="424" w:hanging="424"/>
        <w:spacing w:after="0" w:line="221" w:lineRule="auto"/>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sum due to rounding.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8" w:right="4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FACTORS</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at a price below our then-current net asset value per share, subject to the approval of our Board and certain other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 approval expires on May 25, 2024. We intend to propose the extension of this approval in future years.</w:t>
      </w:r>
    </w:p>
    <w:p>
      <w:pPr>
        <w:spacing w:after="0" w:line="20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3" w:right="459" w:bottom="1440" w:gutter="0" w:footer="0" w:header="0"/>
        </w:sectPr>
      </w:pPr>
    </w:p>
    <w:bookmarkStart w:id="73" w:name="page74"/>
    <w:bookmarkEnd w:id="7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3" w:right="459" w:bottom="1440" w:gutter="0" w:footer="0" w:header="0"/>
        </w:sectPr>
      </w:pPr>
    </w:p>
    <w:bookmarkStart w:id="74" w:name="page75"/>
    <w:bookmarkEnd w:id="7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440" w:top="297" w:right="5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960" w:right="40" w:hanging="53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960" w:right="140" w:hanging="532"/>
        <w:spacing w:after="0" w:line="312" w:lineRule="auto"/>
        <w:tabs>
          <w:tab w:leader="none" w:pos="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4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3" w:right="4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93" w:right="459" w:bottom="1440" w:gutter="0" w:footer="0" w:header="0"/>
        </w:sectPr>
      </w:pPr>
    </w:p>
    <w:bookmarkStart w:id="77" w:name="page78"/>
    <w:bookmarkEnd w:id="7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PRICE RANGE OF COMMON STOCK AND DISTRIBUTIONS</w:t>
      </w:r>
    </w:p>
    <w:p>
      <w:pPr>
        <w:spacing w:after="0" w:line="229"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1"/>
                <w:szCs w:val="21"/>
                <w:b w:val="1"/>
                <w:bCs w:val="1"/>
                <w:color w:val="auto"/>
                <w:vertAlign w:val="superscript"/>
              </w:rPr>
              <w:t>(1)</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$22.76</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$24.27</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2023</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$19.83</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16.97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December 20, 2023)</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21.49</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2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131"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4"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93" w:right="43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tables summarize dividends declared during the nine months ended September 30, 2023 and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29,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14,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97" w:right="439" w:bottom="1440" w:gutter="0" w:footer="0" w:header="0"/>
        </w:sectPr>
      </w:pPr>
    </w:p>
    <w:bookmarkStart w:id="79" w:name="page80"/>
    <w:bookmarkEnd w:id="79"/>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1"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97" w:right="479" w:bottom="1440" w:gutter="0" w:footer="0" w:header="0"/>
        </w:sectPr>
      </w:pPr>
    </w:p>
    <w:bookmarkStart w:id="80" w:name="page81"/>
    <w:bookmarkEnd w:id="8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SENIOR SECURITIES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0"/>
        </w:trPr>
        <w:tc>
          <w:tcPr>
            <w:tcW w:w="3560" w:type="dxa"/>
            <w:vAlign w:val="bottom"/>
            <w:gridSpan w:val="6"/>
            <w:vMerge w:val="continue"/>
          </w:tcPr>
          <w:p>
            <w:pPr>
              <w:spacing w:after="0"/>
              <w:rPr>
                <w:sz w:val="13"/>
                <w:szCs w:val="13"/>
                <w:color w:val="auto"/>
              </w:rPr>
            </w:pPr>
          </w:p>
        </w:tc>
        <w:tc>
          <w:tcPr>
            <w:tcW w:w="1740" w:type="dxa"/>
            <w:vAlign w:val="bottom"/>
            <w:gridSpan w:val="3"/>
          </w:tcPr>
          <w:p>
            <w:pPr>
              <w:ind w:left="88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6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2,329.5</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Convertible Senior Notes due 2019</w:t>
            </w:r>
          </w:p>
        </w:tc>
        <w:tc>
          <w:tcPr>
            <w:tcW w:w="9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2023 Notes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440" w:top="293" w:right="91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0"/>
        </w:trPr>
        <w:tc>
          <w:tcPr>
            <w:tcW w:w="3380" w:type="dxa"/>
            <w:vAlign w:val="bottom"/>
            <w:gridSpan w:val="4"/>
            <w:vMerge w:val="continue"/>
          </w:tcPr>
          <w:p>
            <w:pPr>
              <w:spacing w:after="0"/>
              <w:rPr>
                <w:sz w:val="15"/>
                <w:szCs w:val="15"/>
                <w:color w:val="auto"/>
              </w:rPr>
            </w:pPr>
          </w:p>
        </w:tc>
        <w:tc>
          <w:tcPr>
            <w:tcW w:w="1920" w:type="dxa"/>
            <w:vAlign w:val="bottom"/>
            <w:gridSpan w:val="3"/>
          </w:tcPr>
          <w:p>
            <w:pPr>
              <w:ind w:left="106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2024 Notes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2028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line="282"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44"/>
          </w:cols>
          <w:pgMar w:left="436" w:top="278" w:right="12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COMPANIES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60" w:type="dxa"/>
            <w:vAlign w:val="bottom"/>
            <w:vMerge w:val="restart"/>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2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Bestpass, Inc. </w:t>
            </w:r>
            <w:r>
              <w:rPr>
                <w:rFonts w:ascii="Times New Roman" w:cs="Times New Roman" w:eastAsia="Times New Roman" w:hAnsi="Times New Roman"/>
                <w:sz w:val="10"/>
                <w:szCs w:val="10"/>
                <w:color w:val="auto"/>
              </w:rPr>
              <w:t>(3)(5)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($39,900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5/26/2023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11.07%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39,202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Carlstar Group, LLC </w:t>
            </w:r>
            <w:r>
              <w:rPr>
                <w:rFonts w:ascii="Times New Roman" w:cs="Times New Roman" w:eastAsia="Times New Roman" w:hAnsi="Times New Roman"/>
                <w:sz w:val="10"/>
                <w:szCs w:val="10"/>
                <w:color w:val="auto"/>
              </w:rPr>
              <w:t>(3)</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725 Cool Springs Boulevard</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($26,118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Franklin, TN 37067</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26,378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64,318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65,580</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0"/>
                <w:szCs w:val="10"/>
                <w:color w:val="auto"/>
              </w:rPr>
              <w:t>(3)(4)(5)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 Queen Street</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6100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(CAD 57,353 par,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42,633</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Montreal, Quebec H3C 2N6</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+ 4.75%</w:t>
            </w: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43,340</w:t>
            </w:r>
          </w:p>
        </w:tc>
        <w:tc>
          <w:tcPr>
            <w:tcW w:w="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10/2025)</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57,640)</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0"/>
                <w:szCs w:val="10"/>
                <w:color w:val="auto"/>
              </w:rPr>
              <w:t>(3)(5)</w:t>
            </w:r>
            <w:r>
              <w:rPr>
                <w:rFonts w:ascii="Times New Roman" w:cs="Times New Roman" w:eastAsia="Times New Roman" w:hAnsi="Times New Roman"/>
                <w:sz w:val="14"/>
                <w:szCs w:val="14"/>
                <w:color w:val="auto"/>
              </w:rPr>
              <w:t xml:space="preserve"> 3933 Lake</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Washington Blvd NE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6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($68,794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Kirkland, WA 98033</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8/15/2019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9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68,125</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69,660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Ignition Purchaser, Inc. </w:t>
            </w:r>
            <w:r>
              <w:rPr>
                <w:rFonts w:ascii="Times New Roman" w:cs="Times New Roman" w:eastAsia="Times New Roman" w:hAnsi="Times New Roman"/>
                <w:sz w:val="10"/>
                <w:szCs w:val="10"/>
                <w:color w:val="auto"/>
              </w:rPr>
              <w:t>(3)</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holdco loan ($30,913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Nashville, TN 37203</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+ 9.00%</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30,449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10/2030)</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PIK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10"/>
                <w:szCs w:val="10"/>
                <w:color w:val="auto"/>
              </w:rPr>
              <w:t>(3)(4)</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 York Street</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(CAD 36,778 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27,483</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28,026</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37,157)</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(CAD</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804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1,086 par, due 12/2026)</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1,086)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93" w:right="4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2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8"/>
                <w:szCs w:val="8"/>
                <w:color w:val="auto"/>
              </w:rPr>
              <w:t>(3)(5)</w:t>
            </w:r>
          </w:p>
        </w:tc>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 Pike St</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($64,162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1600</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63,157</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63,681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98101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300</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Santana Row</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($2,788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Suite 400</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2,803</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Jose, CA 95128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($2,566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8/17/2020</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14.49%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Galileo Parent, Inc. </w:t>
            </w:r>
            <w:r>
              <w:rPr>
                <w:rFonts w:ascii="Times New Roman" w:cs="Times New Roman" w:eastAsia="Times New Roman" w:hAnsi="Times New Roman"/>
                <w:sz w:val="10"/>
                <w:szCs w:val="10"/>
                <w:color w:val="auto"/>
              </w:rPr>
              <w:t>(3)</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($64,904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 Boston, MA 02199</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63,030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63,930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($4,471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Hornetsecurity Holding GmbH (3)(4)</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 Listholze 78</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3,335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3,335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30177 Hanover</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11/14/2022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3,150)</w:t>
            </w: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Information Clearinghouse, LLC and</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MS Market Service, LLC </w:t>
            </w:r>
            <w:r>
              <w:rPr>
                <w:rFonts w:ascii="Times New Roman" w:cs="Times New Roman" w:eastAsia="Times New Roman" w:hAnsi="Times New Roman"/>
                <w:sz w:val="10"/>
                <w:szCs w:val="10"/>
                <w:color w:val="auto"/>
              </w:rPr>
              <w:t>(3)(5)</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($17,685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310 East Shore Road</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+ 6.65%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17,361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17,596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 Neck, NY 11023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Corporate Purchaser, Inc. </w:t>
            </w:r>
            <w:r>
              <w:rPr>
                <w:rFonts w:ascii="Times New Roman" w:cs="Times New Roman" w:eastAsia="Times New Roman" w:hAnsi="Times New Roman"/>
                <w:sz w:val="10"/>
                <w:szCs w:val="10"/>
                <w:color w:val="auto"/>
              </w:rPr>
              <w:t>(3)(9)</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+ 4.60%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Auburn, AL 36832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0"/>
                <w:szCs w:val="10"/>
                <w:color w:val="auto"/>
              </w:rPr>
              <w:t>(3)</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6160 Warren Parkway</w:t>
            </w: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($36,456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Frisco, TX 75034</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35,952</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($718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6/2029)</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Thomson Place</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3,180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2nd Floor</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+ 5.75%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02210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3,004)</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80" w:right="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8"/>
                <w:szCs w:val="8"/>
                <w:color w:val="auto"/>
              </w:rPr>
              <w:t>(3)(5)</w:t>
            </w:r>
          </w:p>
        </w:tc>
        <w:tc>
          <w:tcPr>
            <w:tcW w:w="1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Boulevard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($76,220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10/8/2020</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75,271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77,172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Wrangler TopCo, LLC </w:t>
            </w: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555 California Street</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($4,153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12.88%</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4,041</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4,095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445,788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(EUR 9,625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10,257</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1528 Luxembourg</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E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9,514</w:t>
            </w: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(EUR 9,688)</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loan (GBP 10,217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11,276</w:t>
            </w:r>
          </w:p>
        </w:tc>
        <w:tc>
          <w:tcPr>
            <w:tcW w:w="10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12,533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10,269)</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revolving loan (GBP</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382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312 par, 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(GBP 313)</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21,190</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23,172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Banyan Software Holdings, LLC </w:t>
            </w: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303 Perimeter Center North</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450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($19,850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Atlanta, GA 30346</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18,803</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545 Boylston Street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($34,256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33,521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33,742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($33,925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13.79%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33,899</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xml:space="preserve">12/2024) </w:t>
            </w:r>
            <w:r>
              <w:rPr>
                <w:rFonts w:ascii="Times New Roman" w:cs="Times New Roman" w:eastAsia="Times New Roman" w:hAnsi="Times New Roman"/>
                <w:sz w:val="10"/>
                <w:szCs w:val="10"/>
                <w:color w:val="auto"/>
              </w:rPr>
              <w:t>(3)</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Convertible note ($4,619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4,590</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90,813</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91,782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0"/>
                <w:szCs w:val="10"/>
                <w:color w:val="auto"/>
              </w:rPr>
              <w:t>(3)</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Second-lien loan ($43,479 par,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10/25/2021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+ 8.99%</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42,796</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34,566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1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10/2029)</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0"/>
                <w:szCs w:val="10"/>
                <w:color w:val="auto"/>
              </w:rPr>
              <w:t>(3)(5)</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($59,700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+ 5.85%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58,941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59,103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Camarillo, CA 93012</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80" w:right="4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(3)</w:t>
            </w:r>
          </w:p>
        </w:tc>
        <w:tc>
          <w:tcPr>
            <w:tcW w:w="2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($56,216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11.67%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4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156,977</w:t>
            </w:r>
          </w:p>
        </w:tc>
        <w:tc>
          <w:tcPr>
            <w:tcW w:w="1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148,585</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Alaska Bidco Oy </w:t>
            </w:r>
            <w:r>
              <w:rPr>
                <w:rFonts w:ascii="Times New Roman" w:cs="Times New Roman" w:eastAsia="Times New Roman" w:hAnsi="Times New Roman"/>
                <w:sz w:val="10"/>
                <w:szCs w:val="10"/>
                <w:color w:val="auto"/>
              </w:rPr>
              <w:t>(3)(4)</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727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Linnoitustie 6</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10.39%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02600, Norway</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720)</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Bluebill Buyer,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($28,164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6100 W. 96th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27,122</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27,319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1009 Lenox</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($46,580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Drive, Suite 101</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+ 8.00%</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13.41%</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45,277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46,323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Lawrenceville, NJ 08648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($21,082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5435 Corporate Drive, Suite 300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20,953</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21,345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Troy, MI 48098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0"/>
                <w:szCs w:val="10"/>
                <w:color w:val="auto"/>
              </w:rPr>
              <w:t>(3)(5)</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South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($42,000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640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10/25/2019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12.54%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41,786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42,223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02453</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($1,514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485 Lexington Ave, 20th Floor</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+ 4.65%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10.07%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485 Lexington</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($15,419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13.82%</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Ave, 20th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15,196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color w:val="auto"/>
                <w:w w:val="97"/>
              </w:rPr>
              <w:t>PIK</w:t>
            </w:r>
          </w:p>
        </w:tc>
        <w:tc>
          <w:tcPr>
            <w:tcW w:w="7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($20,382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4435 Eastgate Mall, Suite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+ 9.25%</w:t>
            </w:r>
          </w:p>
        </w:tc>
        <w:tc>
          <w:tcPr>
            <w:tcW w:w="134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20,255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20,433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10,617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+ 9.00%</w:t>
            </w:r>
          </w:p>
        </w:tc>
        <w:tc>
          <w:tcPr>
            <w:tcW w:w="1340" w:type="dxa"/>
            <w:vAlign w:val="bottom"/>
            <w:gridSpan w:val="2"/>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13.14%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11,782</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11,269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4/2025)</w:t>
            </w: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10,644)</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4/2025)</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+ 7.25%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11.39%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336 par, due 4/2025)</w:t>
            </w: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336)</w:t>
            </w: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80"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4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Passport Labs, Inc.</w:t>
            </w:r>
          </w:p>
        </w:tc>
        <w:tc>
          <w:tcPr>
            <w:tcW w:w="20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($24,349 par, due</w:t>
            </w: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0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4/28/2021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24,174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24,294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4/2026)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Convertible Promissory Note A</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($694 par, due 9/2024)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Ping Identity Holding Corp. </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($22,727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+ 7.00%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23,040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0"/>
                <w:szCs w:val="10"/>
                <w:color w:val="auto"/>
              </w:rPr>
              <w:t>(3)</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($15,007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Peachtree St NE, Suite 4400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12/31/2018</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14,997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Atlanta, GA 30308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($47,318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46,421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47,081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($2,500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185 Hudson Street, #1605</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2,438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2,438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297,146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301,290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0"/>
                <w:szCs w:val="10"/>
                <w:color w:val="auto"/>
              </w:rPr>
              <w:t>(3)</w:t>
            </w: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3675 Mt. Diablo Boulevard, Suite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($69,231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100B</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11/23/2020</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68,271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69,577</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Lafayette, CA 94549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11/2027) </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Second-lien loan ($5,401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+ 10.70%</w:t>
            </w: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16.05%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5,374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Edge Bidco B.V </w:t>
            </w:r>
            <w:r>
              <w:rPr>
                <w:rFonts w:ascii="Times New Roman" w:cs="Times New Roman" w:eastAsia="Times New Roman" w:hAnsi="Times New Roman"/>
                <w:sz w:val="10"/>
                <w:szCs w:val="10"/>
                <w:color w:val="auto"/>
              </w:rPr>
              <w:t>(3)(4)(5)</w:t>
            </w:r>
            <w:r>
              <w:rPr>
                <w:rFonts w:ascii="Times New Roman" w:cs="Times New Roman" w:eastAsia="Times New Roman" w:hAnsi="Times New Roman"/>
                <w:sz w:val="14"/>
                <w:szCs w:val="14"/>
                <w:color w:val="auto"/>
              </w:rPr>
              <w:t xml:space="preserve"> De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3,520 par,</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10.97%</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3,727</w:t>
            </w: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Lairessestraat 145</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2/24/2023</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+ 7.00%</w:t>
            </w:r>
          </w:p>
        </w:tc>
        <w:tc>
          <w:tcPr>
            <w:tcW w:w="13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vMerge w:val="continue"/>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1075 HJ Amsterdam</w:t>
            </w: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2/2029)</w:t>
            </w:r>
          </w:p>
        </w:tc>
        <w:tc>
          <w:tcPr>
            <w:tcW w:w="84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3.25% PIK)</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3,520)</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Homecare Software Solutions, LLC</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130 West 42nd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2nd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+ 5.70%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63,942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64,675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10036</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10/2026)</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80"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(3)(5)</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20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($70,103 par, due</w:t>
            </w:r>
          </w:p>
        </w:tc>
        <w:tc>
          <w:tcPr>
            <w:tcW w:w="18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120" w:type="dxa"/>
            <w:vAlign w:val="bottom"/>
            <w:vMerge w:val="continue"/>
            <w:shd w:val="clear" w:color="auto" w:fill="CCEEFF"/>
          </w:tcPr>
          <w:p>
            <w:pPr>
              <w:spacing w:after="0"/>
              <w:rPr>
                <w:sz w:val="12"/>
                <w:szCs w:val="12"/>
                <w:color w:val="auto"/>
              </w:rPr>
            </w:pPr>
          </w:p>
        </w:tc>
        <w:tc>
          <w:tcPr>
            <w:tcW w:w="20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69,052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205</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($15,609 par, due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Wacker Drive, Suite 1800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15,083</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15,413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SL Buyer Corp. </w:t>
            </w:r>
            <w:r>
              <w:rPr>
                <w:rFonts w:ascii="Times New Roman" w:cs="Times New Roman" w:eastAsia="Times New Roman" w:hAnsi="Times New Roman"/>
                <w:sz w:val="10"/>
                <w:szCs w:val="10"/>
                <w:color w:val="auto"/>
              </w:rPr>
              <w:t>(3)(5)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($31,475 par, due</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 Iselin,</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+ 7.00%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30,096</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NJ 08830</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254,375</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258,338</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ASG II, LLC </w:t>
            </w:r>
            <w:r>
              <w:rPr>
                <w:rFonts w:ascii="Times New Roman" w:cs="Times New Roman" w:eastAsia="Times New Roman" w:hAnsi="Times New Roman"/>
                <w:sz w:val="10"/>
                <w:szCs w:val="10"/>
                <w:color w:val="auto"/>
              </w:rPr>
              <w:t>(3)(5)</w:t>
            </w: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($60,693 par, due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59,414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60,693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 CA 94596 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(3)(6)</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28,594</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30,034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6/2024)</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revolving loan ($24,752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24,752</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24,564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6/2024)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112,760</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Human Resource Support</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($40,920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(3)(5)</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($44,470 par, due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+ 6.63%</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43,287</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44,582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11/2028)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Elysian Finco Ltd.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27-28 Clements Lane</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($18,955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EC4N 7AE</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18,528</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19,356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Employment Hero Holdings Pty</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Ltd.</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(AUD 32,270 par,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32,067</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B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34,791</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120" w:type="dxa"/>
            <w:vAlign w:val="bottom"/>
          </w:tcPr>
          <w:p>
            <w:pPr>
              <w:spacing w:after="0"/>
              <w:rPr>
                <w:sz w:val="15"/>
                <w:szCs w:val="15"/>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(AUD 49,685)</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Parkway</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($54,113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53,350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80" w:right="4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8"/>
                <w:szCs w:val="8"/>
                <w:color w:val="auto"/>
              </w:rPr>
              <w:t>(3)(4)(5)</w:t>
            </w:r>
          </w:p>
        </w:tc>
        <w:tc>
          <w:tcPr>
            <w:tcW w:w="19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S5051, Level 5, 447 Collins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(AUD 13,916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8,982</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Melbourne, Victoria 3000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B + 5.25%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9.36%</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12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(AUD 13,916)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3,258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+ 5.28%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4,487</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3,976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3,258)</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($11,441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+ 5.35%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11,431</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11,441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0"/>
                <w:szCs w:val="10"/>
                <w:color w:val="auto"/>
              </w:rPr>
              <w:t>(3)(5)</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 King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800</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($71,379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Seattle, WA 98104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70,985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71,379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0"/>
                <w:szCs w:val="10"/>
                <w:color w:val="auto"/>
              </w:rPr>
              <w:t>(3)(5)</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($34,462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1487 Dunwoody Drive West</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33,697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34,290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 PA 19380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320,440</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320,343</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Disco Parent,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 Boston,</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($4,545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 02210</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Arrow Buyer,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($33,125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32,225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32,514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(3)</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($35,464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1400 Liberty Ridge Drive</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+ 7.60%</w:t>
            </w: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35,198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($480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10/2027)</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($43,191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42,092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43,066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 xml:space="preserve"> (3)(5)</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129 Portland Street</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($59,651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58,579</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EDB Parent, LLC </w:t>
            </w:r>
            <w:r>
              <w:rPr>
                <w:rFonts w:ascii="Times New Roman" w:cs="Times New Roman" w:eastAsia="Times New Roman" w:hAnsi="Times New Roman"/>
                <w:sz w:val="10"/>
                <w:szCs w:val="10"/>
                <w:color w:val="auto"/>
              </w:rPr>
              <w:t>(3)(5)</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 Crosby Drive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201, CORPORATION</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TRUST CENTER 1209</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ORANGE ST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($61,858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Bedford, MA 01730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61,394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80" w:right="4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8"/>
                <w:szCs w:val="8"/>
                <w:color w:val="auto"/>
              </w:rPr>
              <w:t>(3)(5)</w:t>
            </w:r>
          </w:p>
        </w:tc>
        <w:tc>
          <w:tcPr>
            <w:tcW w:w="2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1919 North Lynn Street</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($53,658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Arlington, VA 22209</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6/18/2018</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53,464</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LeanTaaS Holdings,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471 El Camino Real Suite 230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($35,413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 Clara, CA 95050</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34,602</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0"/>
                <w:szCs w:val="10"/>
                <w:color w:val="auto"/>
              </w:rPr>
              <w:t>(3)</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($57,009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10/3/2017</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+ 9.00%</w:t>
            </w:r>
          </w:p>
        </w:tc>
        <w:tc>
          <w:tcPr>
            <w:tcW w:w="13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56,996</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55,726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4.50% PIK)</w:t>
            </w: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($8,764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San Francisco, CA 94104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8,717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3.50% PIK)</w:t>
            </w: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(3)(5)</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($51,218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50,545</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50,706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(5)</w:t>
            </w: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($36,833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35,406</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36,649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Houston, TX 77044 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468,675</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473,430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ASP Unifrax Holdings, Inc. </w:t>
            </w:r>
            <w:r>
              <w:rPr>
                <w:rFonts w:ascii="Times New Roman" w:cs="Times New Roman" w:eastAsia="Times New Roman" w:hAnsi="Times New Roman"/>
                <w:sz w:val="10"/>
                <w:szCs w:val="10"/>
                <w:color w:val="auto"/>
              </w:rPr>
              <w:t>(9)</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($1,133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8/25/2023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+ 3.90%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1,051</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364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+ 3.75%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 335)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($227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8/31/2023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80"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4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8"/>
                <w:szCs w:val="8"/>
                <w:color w:val="auto"/>
              </w:rPr>
              <w:t>(3)</w:t>
            </w: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($38,636 par, due</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 #1200</w:t>
            </w:r>
          </w:p>
        </w:tc>
        <w:tc>
          <w:tcPr>
            <w:tcW w:w="19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37,701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Skylark UK DebtCo Limited </w:t>
            </w:r>
            <w:r>
              <w:rPr>
                <w:rFonts w:ascii="Times New Roman" w:cs="Times New Roman" w:eastAsia="Times New Roman" w:hAnsi="Times New Roman"/>
                <w:sz w:val="10"/>
                <w:szCs w:val="10"/>
                <w:color w:val="auto"/>
              </w:rPr>
              <w:t>(3)(4)</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100 Pall Mall</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($16,340 par,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 United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15,697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Kingdom</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4,851 par,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10.08%</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5,051</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5,021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(EUR 4,742)</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16,640 par,</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40" w:type="dxa"/>
            <w:vAlign w:val="bottom"/>
            <w:vMerge w:val="restart"/>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19,852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(GBP 16,265)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0"/>
                <w:szCs w:val="10"/>
                <w:color w:val="auto"/>
              </w:rPr>
              <w:t>(3)(5)</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ABL FILO term loan ($17,500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Staples Drive MS: E5A</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+ 6.50%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11.83%</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17,185</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17,369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Framingham, MA 01702</w:t>
            </w: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4/2027)</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Laramie Energy,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($27,317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($29,478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6/30/2022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28,986</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29,887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+ 7.76%</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w:t>
            </w:r>
          </w:p>
        </w:tc>
        <w:tc>
          <w:tcPr>
            <w:tcW w:w="14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120,009</w:t>
            </w:r>
          </w:p>
        </w:tc>
        <w:tc>
          <w:tcPr>
            <w:tcW w:w="1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124,252</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0"/>
                <w:szCs w:val="10"/>
                <w:color w:val="auto"/>
              </w:rPr>
              <w:t>(3)(5)</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($40,045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10430 Baur Boulevard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3/31/2021</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+ 6.60%</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39,492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Saint Louis, MO 63132</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ABL FILO term loan ($25,000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4000 Union Pacific Avenue</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9/6/2017</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24,845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Commerce, CA 90023</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5/2025)</w:t>
            </w: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(3)(14)</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($27,089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11.68%</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1550 W Mockingbird Lane</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9/30/2015</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4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26,260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20,452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9/2026)</w:t>
            </w: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(incl. 11.19% PIK)</w:t>
            </w: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80" w:right="4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($1,355 par, due</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+ 14.10%</w:t>
            </w:r>
          </w:p>
        </w:tc>
        <w:tc>
          <w:tcPr>
            <w:tcW w:w="14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19.43%</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18.93%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Subordinated note ($4,740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3/16/2021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+ 1.15%</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6.40%</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9/2026)</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Bed Bath and Beyond Inc. </w:t>
            </w:r>
            <w:r>
              <w:rPr>
                <w:rFonts w:ascii="Times New Roman" w:cs="Times New Roman" w:eastAsia="Times New Roman" w:hAnsi="Times New Roman"/>
                <w:sz w:val="10"/>
                <w:szCs w:val="10"/>
                <w:color w:val="auto"/>
              </w:rPr>
              <w:t>(3)(15)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ABL FILO term loan ($15,375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9/2/2022</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+ 9.90%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8/2027)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Roll Up DIP term loan ($25,914</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25,914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25,331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9/2024)</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13.22% 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Super-Priority DIP term loan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4,946</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4,835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($4,946 par, due 9/2024)</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Cordance Operations,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($47,006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 W. Martin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7/25/2022</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+ 9.25%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14.62%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46,095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47,006</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Raleigh, NC 27601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(3)(5)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($57,701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+ 7.65%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56,869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57,990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ABL FILO term loan ($71,250</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461 Nott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11/8/2021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+ 8.10%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70,344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72,141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Schenectady, NY 12308</w:t>
            </w:r>
          </w:p>
        </w:tc>
        <w:tc>
          <w:tcPr>
            <w:tcW w:w="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5/2026)</w:t>
            </w: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Unternehmensberatung </w:t>
            </w:r>
            <w:r>
              <w:rPr>
                <w:rFonts w:ascii="Times New Roman" w:cs="Times New Roman" w:eastAsia="Times New Roman" w:hAnsi="Times New Roman"/>
                <w:sz w:val="10"/>
                <w:szCs w:val="10"/>
                <w:color w:val="auto"/>
              </w:rPr>
              <w:t>(3)(4)</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(EUR 4,495 par,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4,625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Agricolastr. 54 30952</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 + 6.50%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10.15%</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4,666</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Ronnenberg, Germany</w:t>
            </w:r>
          </w:p>
        </w:tc>
        <w:tc>
          <w:tcPr>
            <w:tcW w:w="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7/2029)</w:t>
            </w: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4,368)</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Tango Management Consulting, LLC</w:t>
            </w: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(3)(5)</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9797 Rombauer Road Suite #450</w:t>
            </w:r>
          </w:p>
        </w:tc>
        <w:tc>
          <w:tcPr>
            <w:tcW w:w="2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First-lien loan ($54,052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+ 6.85%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12.18%</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53,318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53,512</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Dallas, TX 75019</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First-lien revolving loan ($9 par,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 + 6.85%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330,156</w:t>
            </w:r>
          </w:p>
        </w:tc>
        <w:tc>
          <w:tcPr>
            <w:tcW w:w="18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326,065</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0"/>
                <w:szCs w:val="10"/>
                <w:color w:val="auto"/>
              </w:rPr>
              <w:t>(3)(5)</w:t>
            </w:r>
          </w:p>
        </w:tc>
        <w:tc>
          <w:tcPr>
            <w:tcW w:w="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222 W Merchandise Mart Plaza</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($35,139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1744</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11/12/2021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+ 6.40%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34,210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34,864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60654</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Marcura Equities LTD </w:t>
            </w:r>
            <w:r>
              <w:rPr>
                <w:rFonts w:ascii="Times New Roman" w:cs="Times New Roman" w:eastAsia="Times New Roman" w:hAnsi="Times New Roman"/>
                <w:sz w:val="10"/>
                <w:szCs w:val="10"/>
                <w:color w:val="auto"/>
              </w:rPr>
              <w:t>(3)(4)</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Highdown House Yeoman Way</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($31,667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Worthing, West Sussex</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+ 7.75%</w:t>
            </w:r>
          </w:p>
        </w:tc>
        <w:tc>
          <w:tcPr>
            <w:tcW w:w="1420" w:type="dxa"/>
            <w:vAlign w:val="bottom"/>
            <w:gridSpan w:val="2"/>
            <w:vMerge w:val="continue"/>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30,641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BN99 3HH United Kingdom</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8/2029)</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4.25%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80" w:right="4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4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($1,667 par,</w:t>
            </w:r>
          </w:p>
        </w:tc>
        <w:tc>
          <w:tcPr>
            <w:tcW w:w="80" w:type="dxa"/>
            <w:vAlign w:val="bottom"/>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8/11/2023</w:t>
            </w:r>
          </w:p>
        </w:tc>
        <w:tc>
          <w:tcPr>
            <w:tcW w:w="10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SOFR + 7.00%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8/2029)</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66,436</w:t>
            </w:r>
          </w:p>
        </w:tc>
        <w:tc>
          <w:tcPr>
            <w:tcW w:w="12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67,635</w:t>
            </w:r>
          </w:p>
        </w:tc>
        <w:tc>
          <w:tcPr>
            <w:tcW w:w="20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2,890,369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2,909,102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Ltd. (4)(10) 25 York</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(126,968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6"/>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(CAD 1,688)</w:t>
            </w: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TA Aggregator, LP </w:t>
            </w:r>
            <w:r>
              <w:rPr>
                <w:rFonts w:ascii="Times New Roman" w:cs="Times New Roman" w:eastAsia="Times New Roman" w:hAnsi="Times New Roman"/>
                <w:sz w:val="10"/>
                <w:szCs w:val="10"/>
                <w:color w:val="auto"/>
              </w:rPr>
              <w:t>(11)(13)</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(0.43%</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5,243</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0"/>
                <w:szCs w:val="10"/>
                <w:color w:val="auto"/>
              </w:rPr>
              <w:t>(11)(13)</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 Boulevard</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A-2 Units (2,580 units)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Sprinklr, Inc. </w:t>
            </w:r>
            <w:r>
              <w:rPr>
                <w:rFonts w:ascii="Times New Roman" w:cs="Times New Roman" w:eastAsia="Times New Roman" w:hAnsi="Times New Roman"/>
                <w:sz w:val="10"/>
                <w:szCs w:val="10"/>
                <w:color w:val="auto"/>
              </w:rPr>
              <w:t>(10)(11)</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29 West 35th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7th Floor</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(315,005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6/24/2021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2,716</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4,360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10001</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Warrior TopCo LP </w:t>
            </w:r>
            <w:r>
              <w:rPr>
                <w:rFonts w:ascii="Times New Roman" w:cs="Times New Roman" w:eastAsia="Times New Roman" w:hAnsi="Times New Roman"/>
                <w:sz w:val="10"/>
                <w:szCs w:val="10"/>
                <w:color w:val="auto"/>
              </w:rPr>
              <w:t>(11)(12)</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 Suite 200</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(423,728 units)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7/7/2023</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3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13,418</w:t>
            </w:r>
          </w:p>
        </w:tc>
        <w:tc>
          <w:tcPr>
            <w:tcW w:w="12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545</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Boylston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10"/>
                <w:szCs w:val="10"/>
                <w:color w:val="auto"/>
              </w:rPr>
              <w:t>(11)</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 Preferred Shares (1,816,295</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(1,598,874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2,925</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280,000 Warrants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106,592 Warrants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2L Holdings II LLC </w:t>
            </w:r>
            <w:r>
              <w:rPr>
                <w:rFonts w:ascii="Times New Roman" w:cs="Times New Roman" w:eastAsia="Times New Roman" w:hAnsi="Times New Roman"/>
                <w:sz w:val="10"/>
                <w:szCs w:val="10"/>
                <w:color w:val="auto"/>
              </w:rPr>
              <w:t>(11)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(10.17%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80"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800" w:type="dxa"/>
            <w:vAlign w:val="bottom"/>
            <w:vMerge w:val="restart"/>
          </w:tcPr>
          <w:p>
            <w:pPr>
              <w:spacing w:after="0"/>
              <w:rPr>
                <w:sz w:val="11"/>
                <w:szCs w:val="11"/>
                <w:color w:val="auto"/>
              </w:rPr>
            </w:pPr>
          </w:p>
        </w:tc>
        <w:tc>
          <w:tcPr>
            <w:tcW w:w="2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5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(11)</w:t>
            </w:r>
          </w:p>
        </w:tc>
        <w:tc>
          <w:tcPr>
            <w:tcW w:w="2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 STE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0" w:type="dxa"/>
            <w:vAlign w:val="bottom"/>
            <w:shd w:val="clear" w:color="auto" w:fill="CCEEFF"/>
          </w:tcPr>
          <w:p>
            <w:pPr>
              <w:spacing w:after="0"/>
              <w:rPr>
                <w:sz w:val="12"/>
                <w:szCs w:val="12"/>
                <w:color w:val="auto"/>
              </w:rPr>
            </w:pP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0"/>
                <w:szCs w:val="10"/>
                <w:color w:val="auto"/>
              </w:rPr>
              <w:t>(11)</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 (11.94%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 Camarillo,</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 93012</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0"/>
                <w:szCs w:val="10"/>
                <w:color w:val="auto"/>
              </w:rPr>
              <w:t>(10)(11)</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1210 AvidXchange Lane</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(50,179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58</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Durham Road</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12/10/2020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4,177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9,607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DH3 2QJ</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0"/>
                <w:szCs w:val="10"/>
                <w:color w:val="auto"/>
              </w:rPr>
              <w:t>(4)(10)</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 Sound Shore Drive Suite 255</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255</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8/5/2015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Greenwich, CT 06830</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17,534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(11)(13)</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5/14/2021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10,690</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750 W John Carpenter Fwy</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C Preferred Shares (1,915,114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800</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10/13/2020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6,703</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Irving, TX 75039</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(1,240,740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633,376 Warrants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569,991 Warrants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Merative L.P. </w:t>
            </w:r>
            <w:r>
              <w:rPr>
                <w:rFonts w:ascii="Times New Roman" w:cs="Times New Roman" w:eastAsia="Times New Roman" w:hAnsi="Times New Roman"/>
                <w:sz w:val="10"/>
                <w:szCs w:val="10"/>
                <w:color w:val="auto"/>
              </w:rPr>
              <w:t>(11)(13)</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989,691 Class A-1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9,897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9,897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(11)(12)</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Ordinary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A</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B</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C</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F</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G</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H</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I</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30,292</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80" w:right="4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80" w:type="dxa"/>
            <w:vAlign w:val="bottom"/>
            <w:vMerge w:val="restart"/>
          </w:tcPr>
          <w:p>
            <w:pPr>
              <w:spacing w:after="0"/>
              <w:rPr>
                <w:sz w:val="11"/>
                <w:szCs w:val="11"/>
                <w:color w:val="auto"/>
              </w:rPr>
            </w:pPr>
          </w:p>
        </w:tc>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(7)(11)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6,336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12/21/2018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21,942</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6,379</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(4)(11)(13)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3,780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3,837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(11)(12)</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A-1 Units (2,393,509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0"/>
                <w:szCs w:val="10"/>
                <w:color w:val="auto"/>
              </w:rPr>
              <w:t>(11)(13)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312 Soutg State Street Fl 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48104</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Employment Hero Holdings Pty Ltd.</w:t>
            </w:r>
          </w:p>
        </w:tc>
        <w:tc>
          <w:tcPr>
            <w:tcW w:w="2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(4)(11)</w:t>
            </w:r>
          </w:p>
        </w:tc>
        <w:tc>
          <w:tcPr>
            <w:tcW w:w="168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Preferred Shares (113,250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2,493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2,134</w:t>
            </w:r>
          </w:p>
        </w:tc>
        <w:tc>
          <w:tcPr>
            <w:tcW w:w="102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 3,862)</w:t>
            </w: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9,655</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10,754</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(11)(13)</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Co-Invest Common Units (8,837,008</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1400 Liberty Ridge Drive</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8,837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8,152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Co-Invest 2 Common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(3,493,701 units)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 Suite 500</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F Preferred Shares (199,054</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(11)</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 Suite 46D</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C-1 Preferred Shares (418,527</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80"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3280" w:type="dxa"/>
            <w:vAlign w:val="bottom"/>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6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00" w:type="dxa"/>
            <w:vAlign w:val="bottom"/>
          </w:tcPr>
          <w:p>
            <w:pPr>
              <w:spacing w:after="0"/>
              <w:rPr>
                <w:sz w:val="11"/>
                <w:szCs w:val="11"/>
                <w:color w:val="auto"/>
              </w:rPr>
            </w:pPr>
          </w:p>
        </w:tc>
        <w:tc>
          <w:tcPr>
            <w:tcW w:w="84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7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260" w:type="dxa"/>
            <w:vAlign w:val="bottom"/>
          </w:tcPr>
          <w:p>
            <w:pPr>
              <w:jc w:val="center"/>
              <w:ind w:left="2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1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40" w:type="dxa"/>
            <w:vAlign w:val="bottom"/>
          </w:tcPr>
          <w:p>
            <w:pPr>
              <w:jc w:val="center"/>
              <w:ind w:lef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tcPr>
          <w:p>
            <w:pPr>
              <w:ind w:left="1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740" w:type="dxa"/>
            <w:vAlign w:val="bottom"/>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230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Series C-2 Preferred Shares</w:t>
            </w:r>
          </w:p>
        </w:tc>
        <w:tc>
          <w:tcPr>
            <w:tcW w:w="160" w:type="dxa"/>
            <w:vAlign w:val="bottom"/>
            <w:vMerge w:val="continue"/>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11/18/2022</w:t>
            </w: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(27,588 shares)</w:t>
            </w:r>
            <w:r>
              <w:rPr>
                <w:rFonts w:ascii="Times New Roman" w:cs="Times New Roman" w:eastAsia="Times New Roman" w:hAnsi="Times New Roman"/>
                <w:sz w:val="10"/>
                <w:szCs w:val="10"/>
                <w:color w:val="auto"/>
              </w:rPr>
              <w:t>(12)</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(11)(12)</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Pawkway 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(1,300 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11/21/2022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Units (923,250 shares)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11/21/2022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17,629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16,673</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Summer St</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10,944</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(3,840,000 shares)</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(13)</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13,355 Preferred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13,355</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14,891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(11)(13)</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 (1.89%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8,732</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11,811</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22,087</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26,702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0"/>
                <w:szCs w:val="10"/>
                <w:color w:val="auto"/>
              </w:rPr>
              <w:t>(4)(11)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Second Street, Suite 206</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14,256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8/5/2020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Jersey City, NJ</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1550 W Mockingbird Lane</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(687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3/16/2021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Copper Bidco, LLC</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951 Yamato Road</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Certificates (132,928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220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12/7/2020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33431</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Certificates)</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Trust Certificates (996,958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1/30/2021</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2,589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Certificates) </w:t>
            </w:r>
            <w:r>
              <w:rPr>
                <w:rFonts w:ascii="Times New Roman" w:cs="Times New Roman" w:eastAsia="Times New Roman" w:hAnsi="Times New Roman"/>
                <w:sz w:val="10"/>
                <w:szCs w:val="10"/>
                <w:color w:val="auto"/>
              </w:rPr>
              <w:t>(9)</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(11)(13)</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12/21/2021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2,468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1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Credit</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Allegro CLO Ltd, Series 2018-1A,</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West Putnam Ave, Third</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SOFR + 3.11%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973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953</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Greenwich, CT 06830</w:t>
            </w: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6/2031)</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80"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2016-18A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301 East Fourth Street, 38 Th</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+ 3.31%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Cincinnati, OH 45202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Ares CLO Ltd, Series 2021-59A </w:t>
            </w:r>
            <w:r>
              <w:rPr>
                <w:rFonts w:ascii="Times New Roman" w:cs="Times New Roman" w:eastAsia="Times New Roman" w:hAnsi="Times New Roman"/>
                <w:sz w:val="10"/>
                <w:szCs w:val="10"/>
                <w:color w:val="auto"/>
              </w:rPr>
              <w:t>(3)(4)</w:t>
            </w: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Ares Loan Funding I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2021-ALFA, Class E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+ 6.96%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 Clarendon St, Boston, MA</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10/15/2020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+ 5.61%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02116</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Battalion CLO Ltd, Series 2021-21A</w:t>
            </w: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($1,300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 Park Avenue, 16th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+ 3.56%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2015-BR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2,190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($1,425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+ 3.01%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2014-4RA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2016-1, Ltd </w:t>
            </w:r>
            <w:r>
              <w:rPr>
                <w:rFonts w:ascii="Times New Roman" w:cs="Times New Roman" w:eastAsia="Times New Roman" w:hAnsi="Times New Roman"/>
                <w:sz w:val="10"/>
                <w:szCs w:val="10"/>
                <w:color w:val="auto"/>
              </w:rPr>
              <w:t>(3)(4)</w:t>
            </w:r>
          </w:p>
        </w:tc>
        <w:tc>
          <w:tcPr>
            <w:tcW w:w="2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($1,600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2/15/2023</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($1,550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8/11/2020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80"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2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CarVal CLO III Ltd, Series 2019-2A</w:t>
            </w:r>
          </w:p>
        </w:tc>
        <w:tc>
          <w:tcPr>
            <w:tcW w:w="10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1601 Utica Avenue South, Suite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12.03%</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1000. Minneapolis, MN 55416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7/2032)</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Cedar Funding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1201 Wills Street, Suite 800.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+ 4.81%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Baltimore, MD 21231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2018-3A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2021-4A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11.57%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7/2033)</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Crown Point CLO Ltd, Series</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2021-10A</w:t>
            </w:r>
            <w:r>
              <w:rPr>
                <w:rFonts w:ascii="Times New Roman" w:cs="Times New Roman" w:eastAsia="Times New Roman" w:hAnsi="Times New Roman"/>
                <w:sz w:val="8"/>
                <w:szCs w:val="8"/>
                <w:color w:val="auto"/>
              </w:rPr>
              <w:t xml:space="preserve"> (3)(4)(9)</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+ 7.11%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810 7th Ave, New York, NY 10019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2018-55A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2020-86A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2015-1A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2,252</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1/2030)</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2020-1A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934</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GoldenTree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300 Park Avenue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10022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2021-4A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($1,015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+ 6.61%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11.98%</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2021-6A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1,849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1/2037)</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80" w:right="4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Jefferson Mill CLO Ltd, Series</w:t>
            </w:r>
          </w:p>
        </w:tc>
        <w:tc>
          <w:tcPr>
            <w:tcW w:w="10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151 W 42nd St 29th Floor,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+ 3.81%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10036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KKR CLO Ltd, 49A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+ 8.26%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Madison Park CLO, Series 2018-28A</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 Madison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10010</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Magnetite CLO Ltd, Series 2021-30A</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+ 6.46%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2016-6A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($3,500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+ 3.78%</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3,165</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2018-9A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($1,100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+ 6.31%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Octagon 57 LLC, Series 2021-1A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18 Ltd,</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+ 2.96%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38 Ltd,</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2018-1A </w:t>
            </w:r>
            <w:r>
              <w:rPr>
                <w:rFonts w:ascii="Times New Roman" w:cs="Times New Roman" w:eastAsia="Times New Roman" w:hAnsi="Times New Roman"/>
                <w:sz w:val="10"/>
                <w:szCs w:val="10"/>
                <w:color w:val="auto"/>
              </w:rPr>
              <w:t>(3)(4)(9)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($2,800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+ 3.21%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Park Avenue Institutional Advisers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 Hanover Square,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+ 3.59%</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10004</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Pikes Peak CLO, Series 2021-9A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1114 6th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10036</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RR Ltd, Series 2020-8A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126 East 56th Street, New York,</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10022</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80" w:right="439" w:bottom="1440" w:gutter="0" w:footer="0" w:header="0"/>
        </w:sectPr>
      </w:pPr>
    </w:p>
    <w:bookmarkStart w:id="99" w:name="page100"/>
    <w:bookmarkEnd w:id="99"/>
    <w:tbl>
      <w:tblPr>
        <w:tblLayout w:type="fixed"/>
        <w:tblInd w:w="4"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0" w:type="dxa"/>
            <w:vAlign w:val="bottom"/>
          </w:tcPr>
          <w:p>
            <w:pPr>
              <w:spacing w:after="0"/>
              <w:rPr>
                <w:sz w:val="14"/>
                <w:szCs w:val="14"/>
                <w:color w:val="auto"/>
              </w:rPr>
            </w:pPr>
          </w:p>
        </w:tc>
        <w:tc>
          <w:tcPr>
            <w:tcW w:w="8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Signal Peak CLO LLC, Series</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($333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280 Park Avenue, 40 West</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11.26%</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Southwick Park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2019-4A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11.84%</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10154</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7/2032)</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Stewart Park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+ 2.86%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10154</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Voya CLO Ltd, Series 2018-3A </w:t>
            </w:r>
            <w:r>
              <w:rPr>
                <w:rFonts w:ascii="Times New Roman" w:cs="Times New Roman" w:eastAsia="Times New Roman" w:hAnsi="Times New Roman"/>
                <w:sz w:val="10"/>
                <w:szCs w:val="10"/>
                <w:color w:val="auto"/>
              </w:rPr>
              <w:t>(3)</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($2,750 par, due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11.32%</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230 Park Ave, United States</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2014-2A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2017-1A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($3,000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+ 3.98%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2018-3A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20" w:type="dxa"/>
            <w:vAlign w:val="bottom"/>
            <w:vMerge w:val="restart"/>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52,718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53,995</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195,009</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204,175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3,085,378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3,113,277</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209.5%</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67"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94"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80" w:right="439" w:bottom="1440" w:gutter="0" w:footer="0" w:header="0"/>
        </w:sectPr>
      </w:pPr>
    </w:p>
    <w:bookmarkStart w:id="100" w:name="page101"/>
    <w:bookmarkEnd w:id="100"/>
    <w:p>
      <w:pPr>
        <w:ind w:left="42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asset unless, at the time such acquisition is made, qualifying assets represent at least 70% of total assets. Non-qualifying assets represented 11.0% of total assets as of September 30, 2023.</w:t>
      </w:r>
    </w:p>
    <w:p>
      <w:pPr>
        <w:spacing w:after="0" w:line="67" w:lineRule="exact"/>
        <w:rPr>
          <w:sz w:val="20"/>
          <w:szCs w:val="20"/>
          <w:color w:val="auto"/>
        </w:rPr>
      </w:pPr>
    </w:p>
    <w:p>
      <w:pPr>
        <w:ind w:left="424" w:right="180" w:hanging="424"/>
        <w:spacing w:after="0" w:line="261"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5" w:lineRule="exact"/>
        <w:rPr>
          <w:rFonts w:ascii="Times New Roman" w:cs="Times New Roman" w:eastAsia="Times New Roman" w:hAnsi="Times New Roman"/>
          <w:sz w:val="18"/>
          <w:szCs w:val="18"/>
          <w:color w:val="auto"/>
        </w:rPr>
      </w:pPr>
    </w:p>
    <w:p>
      <w:pPr>
        <w:ind w:left="424" w:right="260" w:hanging="424"/>
        <w:spacing w:after="0" w:line="258"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460" w:hanging="424"/>
        <w:spacing w:after="0" w:line="282"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sz w:val="20"/>
          <w:szCs w:val="20"/>
          <w:color w:val="auto"/>
        </w:rPr>
      </w:pPr>
    </w:p>
    <w:p>
      <w:pPr>
        <w:ind w:left="424" w:right="460" w:hanging="424"/>
        <w:spacing w:after="0" w:line="282"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the estimated cost basis of investments for U.S. federal tax purposes was $3,096,469, resulting in estimated gross unrealized gains and losses of $147,820 and $125,469, respectively.</w:t>
      </w:r>
    </w:p>
    <w:p>
      <w:pPr>
        <w:spacing w:after="0" w:line="65" w:lineRule="exact"/>
        <w:rPr>
          <w:rFonts w:ascii="Times New Roman" w:cs="Times New Roman" w:eastAsia="Times New Roman" w:hAnsi="Times New Roman"/>
          <w:sz w:val="18"/>
          <w:szCs w:val="18"/>
          <w:color w:val="auto"/>
        </w:rPr>
      </w:pPr>
    </w:p>
    <w:p>
      <w:pPr>
        <w:ind w:left="424" w:right="100" w:hanging="424"/>
        <w:spacing w:after="0" w:line="267"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80"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2023.</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97" w:right="439" w:bottom="1440" w:gutter="0" w:footer="0" w:header="0"/>
        </w:sectPr>
      </w:pPr>
    </w:p>
    <w:bookmarkStart w:id="101" w:name="page102"/>
    <w:bookmarkEnd w:id="101"/>
    <w:p>
      <w:pPr>
        <w:ind w:left="424" w:hanging="424"/>
        <w:spacing w:after="0" w:line="258"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97" w:right="459" w:bottom="1440" w:gutter="0" w:footer="0" w:header="0"/>
        </w:sectPr>
      </w:pPr>
    </w:p>
    <w:bookmarkStart w:id="102" w:name="page103"/>
    <w:bookmarkEnd w:id="102"/>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MANAGEMENT</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20, 2023:</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December 31, 2022, Joshua Easterly managed, or was a member of the management team for, the following client accounts: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64.47 billion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 billion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424" w:right="720" w:hanging="5424"/>
        <w:spacing w:after="0" w:line="454" w:lineRule="auto"/>
        <w:tabs>
          <w:tab w:leader="none" w:pos="4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54</w:t>
      </w:r>
    </w:p>
    <w:p>
      <w:pPr>
        <w:sectPr>
          <w:pgSz w:w="11900" w:h="16838" w:orient="portrait"/>
          <w:cols w:equalWidth="0" w:num="1">
            <w:col w:w="10864"/>
          </w:cols>
          <w:pgMar w:left="436" w:top="293" w:right="5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DETERMINATION OF NET ASSET VALUE</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at a price below our then-current net asset value per share, subject to the approval of our Board and certain other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 approval expires on May 25, 2026. We intend to propose the extension of this approval in future years.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93" w:right="439" w:bottom="1440" w:gutter="0" w:footer="0" w:header="0"/>
        </w:sectPr>
      </w:pPr>
    </w:p>
    <w:bookmarkStart w:id="104" w:name="page105"/>
    <w:bookmarkEnd w:id="104"/>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1" w:lineRule="exact"/>
        <w:rPr>
          <w:sz w:val="20"/>
          <w:szCs w:val="20"/>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960" w:right="12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7" w:right="459" w:bottom="1440" w:gutter="0" w:footer="0" w:header="0"/>
        </w:sectPr>
      </w:pPr>
    </w:p>
    <w:bookmarkStart w:id="105" w:name="page106"/>
    <w:bookmarkEnd w:id="105"/>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11.07 million shares of common stock at net proceeds to us of $8.50 per share, which would produce dilution of 6.67%, before we would reach the aggregate 15% limit.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net asset value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at a price less than net asset value on two different types of investors:</w:t>
      </w:r>
    </w:p>
    <w:p>
      <w:pPr>
        <w:spacing w:after="0" w:line="112" w:lineRule="exact"/>
        <w:rPr>
          <w:sz w:val="20"/>
          <w:szCs w:val="20"/>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97" w:right="459" w:bottom="1440" w:gutter="0" w:footer="0" w:header="0"/>
        </w:sectPr>
      </w:pPr>
    </w:p>
    <w:bookmarkStart w:id="106" w:name="page107"/>
    <w:bookmarkEnd w:id="106"/>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 Below</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4,069,464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8,138,929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16,277,857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20,347,322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85,458,751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89,528,216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97,667,144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9"/>
              </w:rPr>
              <w:t>101,736,609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Dilution to Nonparticipating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1,338,359</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1,329,347</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1,296,810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1,274,446</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$16.48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(3,211)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(12,223)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(44,760)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(67,124)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(Assumed to be $16.48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16.44</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16.33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15.66</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97" w:right="439" w:bottom="1440" w:gutter="0" w:footer="0" w:header="0"/>
        </w:sectPr>
      </w:pPr>
    </w:p>
    <w:bookmarkStart w:id="107" w:name="page108"/>
    <w:bookmarkEnd w:id="10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Below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97,667,144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97,667,144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89,528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1,426,491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1,685,854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1,454,521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(28,030)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Impact on New Investors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7"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93" w:right="459" w:bottom="1440" w:gutter="0" w:footer="0" w:header="0"/>
        </w:sectPr>
      </w:pPr>
    </w:p>
    <w:bookmarkStart w:id="109" w:name="page110"/>
    <w:bookmarkEnd w:id="109"/>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25% Discount</w:t>
            </w: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Sale</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14.83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12.36</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Decrease/Increase to Net Asset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81,389,287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85,458,751</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89,528,216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97,667,144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101,736,609</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Offered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4,069,464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8,138,929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16,277,857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20,347,322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Asset Value per Share</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7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(0.22)%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16.33</w:t>
            </w:r>
          </w:p>
        </w:tc>
        <w:tc>
          <w:tcPr>
            <w:tcW w:w="7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(4.98)%</w:t>
            </w: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Dilution/Accretion to New Investor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16,278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Net Asset Value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66,918</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132,935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259,363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318,613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Price to Public)</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67,065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127,070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225,902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264,729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Dilution/Accretion to Investor</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A (Total Net Asset Value Less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(147)</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5,865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33,460</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53,883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Asset Value per Share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16.44</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16.33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15.93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Dilution/Accretion per Share Held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by Investor A (Net Asset Value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per Share Less Investment per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2.06</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Percentage Dilution/Accretion to</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Investor A (Dilution per Share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20.35%</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97" w:right="4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DIVIDEND REINVESTMENT PLAN</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2022 Annual Report is incorporated by reference in this prospectus.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Equiniti Trust Company, LLC, Transfer Agency-Sixth Street Specialty Lending, 6201 15th Avenue, Brooklyn, NY 11219.</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93" w:right="4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“controlled foreign corporations;”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93" w:right="459" w:bottom="1440" w:gutter="0" w:footer="0" w:header="0"/>
        </w:sectPr>
      </w:pPr>
    </w:p>
    <w:bookmarkStart w:id="112" w:name="page113"/>
    <w:bookmarkEnd w:id="11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income tax purposes, an individual who is a citizen or resident of the United States or a domestic corporation or otherwise subject to U.S. federal income tax on a net income basis in respect of our stock.</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420" w:right="80" w:hanging="439"/>
        <w:spacing w:after="0" w:line="261" w:lineRule="auto"/>
        <w:tabs>
          <w:tab w:leader="none" w:pos="1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420" w:right="20" w:hanging="439"/>
        <w:spacing w:after="0" w:line="266" w:lineRule="auto"/>
        <w:tabs>
          <w:tab w:leader="none" w:pos="1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97" w:right="459" w:bottom="1440" w:gutter="0" w:footer="0" w:header="0"/>
        </w:sectPr>
      </w:pPr>
    </w:p>
    <w:bookmarkStart w:id="113" w:name="page114"/>
    <w:bookmarkEnd w:id="11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960" w:right="20" w:hanging="532"/>
        <w:spacing w:after="0" w:line="256"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92"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97" w:right="479" w:bottom="1440" w:gutter="0" w:footer="0" w:header="0"/>
        </w:sectPr>
      </w:pPr>
    </w:p>
    <w:bookmarkStart w:id="114" w:name="page115"/>
    <w:bookmarkEnd w:id="114"/>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88"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76"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960" w:right="440" w:hanging="532"/>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7" w:right="459" w:bottom="1440" w:gutter="0" w:footer="0" w:header="0"/>
        </w:sectPr>
      </w:pPr>
    </w:p>
    <w:bookmarkStart w:id="115" w:name="page116"/>
    <w:bookmarkEnd w:id="1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8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97" w:right="459" w:bottom="1440" w:gutter="0" w:footer="0" w:header="0"/>
        </w:sectPr>
      </w:pPr>
    </w:p>
    <w:bookmarkStart w:id="116" w:name="page117"/>
    <w:bookmarkEnd w:id="116"/>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reporting requirement. U.S. stockholders should consult their own tax advisers to determine the applicability of these U.S. Treasury regulations in light of their individual circumstances.</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97" w:right="499" w:bottom="1440" w:gutter="0" w:footer="0" w:header="0"/>
        </w:sectPr>
      </w:pPr>
    </w:p>
    <w:bookmarkStart w:id="117" w:name="page118"/>
    <w:bookmarkEnd w:id="117"/>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97" w:right="479" w:bottom="1440" w:gutter="0" w:footer="0" w:header="0"/>
        </w:sectPr>
      </w:pPr>
    </w:p>
    <w:bookmarkStart w:id="118" w:name="page119"/>
    <w:bookmarkEnd w:id="118"/>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97" w:right="47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SECURITIES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December 20, 2023:</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212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900" w:type="dxa"/>
            <w:vAlign w:val="bottom"/>
            <w:vMerge w:val="restart"/>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Us or for</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Held by Us or for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664,250</w:t>
            </w:r>
          </w:p>
        </w:tc>
        <w:tc>
          <w:tcPr>
            <w:tcW w:w="7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87,578,655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93" w:right="459" w:bottom="1440" w:gutter="0" w:footer="0" w:header="0"/>
        </w:sectPr>
      </w:pPr>
    </w:p>
    <w:bookmarkStart w:id="120" w:name="page121"/>
    <w:bookmarkEnd w:id="12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97" w:right="459" w:bottom="1440" w:gutter="0" w:footer="0" w:header="0"/>
        </w:sectPr>
      </w:pPr>
    </w:p>
    <w:bookmarkStart w:id="121" w:name="page122"/>
    <w:bookmarkEnd w:id="121"/>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960" w:right="26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96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97" w:right="479" w:bottom="1440" w:gutter="0" w:footer="0" w:header="0"/>
        </w:sectPr>
      </w:pPr>
    </w:p>
    <w:bookmarkStart w:id="122" w:name="page123"/>
    <w:bookmarkEnd w:id="122"/>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meetings of the stockholders may only be called by our Board, Chairman, or a Chief Executive Officer.</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97" w:right="439" w:bottom="1440" w:gutter="0" w:footer="0" w:header="0"/>
        </w:sectPr>
      </w:pPr>
    </w:p>
    <w:bookmarkStart w:id="123" w:name="page124"/>
    <w:bookmarkEnd w:id="123"/>
    <w:p>
      <w:pPr>
        <w:ind w:left="960" w:hanging="532"/>
        <w:spacing w:after="0" w:line="266"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960" w:right="40" w:hanging="532"/>
        <w:spacing w:after="0" w:line="282"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97" w:right="49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PREFERRED STOCK</w:t>
      </w:r>
    </w:p>
    <w:p>
      <w:pPr>
        <w:spacing w:after="0" w:line="229"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960" w:hanging="532"/>
        <w:spacing w:after="0" w:line="28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312" w:lineRule="auto"/>
        <w:tabs>
          <w:tab w:leader="none" w:pos="9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93" w:right="45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SUBSCRIPTION RIGHTS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960" w:right="14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93"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Dilutive Effects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93" w:right="47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WARRANTS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93" w:right="459" w:bottom="1440" w:gutter="0" w:footer="0" w:header="0"/>
        </w:sectPr>
      </w:pPr>
    </w:p>
    <w:bookmarkStart w:id="128" w:name="page129"/>
    <w:bookmarkEnd w:id="128"/>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40" w:top="297" w:right="49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DEBT SECURITIES</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6" w:lineRule="exact"/>
        <w:rPr>
          <w:sz w:val="20"/>
          <w:szCs w:val="20"/>
          <w:color w:val="auto"/>
        </w:rPr>
      </w:pPr>
    </w:p>
    <w:p>
      <w:pPr>
        <w:ind w:right="28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93" w:right="459" w:bottom="1440" w:gutter="0" w:footer="0" w:header="0"/>
        </w:sectPr>
      </w:pPr>
    </w:p>
    <w:bookmarkStart w:id="130" w:name="page131"/>
    <w:bookmarkEnd w:id="130"/>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97" w:right="459" w:bottom="1440" w:gutter="0" w:footer="0" w:header="0"/>
        </w:sectPr>
      </w:pPr>
    </w:p>
    <w:bookmarkStart w:id="131" w:name="page132"/>
    <w:bookmarkEnd w:id="13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right="40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97"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Payments on Certificated Securities</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960" w:right="34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93" w:right="479" w:bottom="1440" w:gutter="0" w:footer="0" w:header="0"/>
        </w:sectPr>
      </w:pPr>
    </w:p>
    <w:bookmarkStart w:id="133" w:name="page134"/>
    <w:bookmarkEnd w:id="133"/>
    <w:p>
      <w:pPr>
        <w:ind w:left="960" w:hanging="532"/>
        <w:spacing w:after="0" w:line="254"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60" w:hanging="532"/>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97" w:right="459" w:bottom="1440" w:gutter="0" w:footer="0" w:header="0"/>
        </w:sectPr>
      </w:pPr>
    </w:p>
    <w:bookmarkStart w:id="134" w:name="page135"/>
    <w:bookmarkEnd w:id="134"/>
    <w:p>
      <w:pPr>
        <w:ind w:left="960" w:right="60" w:hanging="532"/>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60" w:hanging="532"/>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3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960" w:right="80" w:hanging="532"/>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960" w:hanging="532"/>
        <w:spacing w:after="0" w:line="266"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97"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Modification or Waiver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60" w:hanging="532"/>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93"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Further Details Concerning Voting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60" w:right="10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960" w:right="160" w:hanging="532"/>
        <w:spacing w:after="0" w:line="266"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93" w:right="459" w:bottom="1440" w:gutter="0" w:footer="0" w:header="0"/>
        </w:sectPr>
      </w:pPr>
    </w:p>
    <w:bookmarkStart w:id="137" w:name="page138"/>
    <w:bookmarkEnd w:id="13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960" w:right="160" w:hanging="532"/>
        <w:spacing w:after="0" w:line="266"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97" w:right="459" w:bottom="1440" w:gutter="0" w:footer="0" w:header="0"/>
        </w:sectPr>
      </w:pPr>
    </w:p>
    <w:bookmarkStart w:id="138" w:name="page139"/>
    <w:bookmarkEnd w:id="13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60" w:right="360" w:hanging="532"/>
        <w:spacing w:after="0" w:line="261"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97"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Secured Indebtedness and Ranking</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93" w:right="459" w:bottom="1440" w:gutter="0" w:footer="0" w:header="0"/>
        </w:sectPr>
      </w:pPr>
    </w:p>
    <w:bookmarkStart w:id="140" w:name="page141"/>
    <w:bookmarkEnd w:id="140"/>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7"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97" w:right="459" w:bottom="1440" w:gutter="0" w:footer="0" w:header="0"/>
        </w:sectPr>
      </w:pPr>
    </w:p>
    <w:bookmarkStart w:id="141" w:name="page142"/>
    <w:bookmarkEnd w:id="141"/>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7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jc w:val="both"/>
        <w:ind w:right="460" w:firstLine="440"/>
        <w:spacing w:after="0" w:line="261"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260"/>
        <w:spacing w:after="0" w:line="454" w:lineRule="auto"/>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completed fiscal years is less than $0.4 million. 93</w:t>
      </w:r>
    </w:p>
    <w:p>
      <w:pPr>
        <w:sectPr>
          <w:pgSz w:w="11900" w:h="16838" w:orient="portrait"/>
          <w:cols w:equalWidth="0" w:num="1">
            <w:col w:w="11000"/>
          </w:cols>
          <w:pgMar w:left="440" w:top="297" w:right="45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PLAN OF DISTRIBUTION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4"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93" w:right="479" w:bottom="1440" w:gutter="0" w:footer="0" w:header="0"/>
        </w:sectPr>
      </w:pPr>
    </w:p>
    <w:bookmarkStart w:id="143" w:name="page144"/>
    <w:bookmarkEnd w:id="143"/>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97" w:right="4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EXPERTS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93" w:right="45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AVAILABLE INFORMATION</w:t>
      </w:r>
    </w:p>
    <w:p>
      <w:pPr>
        <w:spacing w:after="0" w:line="22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960" w:right="200" w:hanging="532"/>
        <w:spacing w:after="0" w:line="266"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including the information specifically incorporated by reference into the Form 10-K from our </w:t>
      </w:r>
      <w:hyperlink r:id="rId17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2023 Annual Meeting of Stockholders, filed with the SEC on April 13, 2023;</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9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three months ended March 31, 2023, filed with the SEC on </w:t>
      </w:r>
      <w:hyperlink r:id="rId177">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for the three months ended June 30, 2023, filed with the SEC on </w:t>
      </w:r>
      <w:hyperlink r:id="rId178">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and for the three months ended September 30, 2023, filed with the SEC on </w:t>
      </w:r>
      <w:hyperlink r:id="rId179">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93" w:right="479" w:bottom="1440" w:gutter="0" w:footer="0" w:header="0"/>
        </w:sectPr>
      </w:pPr>
    </w:p>
    <w:bookmarkStart w:id="146" w:name="page147"/>
    <w:bookmarkEnd w:id="146"/>
    <w:p>
      <w:pPr>
        <w:ind w:left="960" w:right="460" w:hanging="532"/>
        <w:spacing w:after="0" w:line="282" w:lineRule="auto"/>
        <w:tabs>
          <w:tab w:leader="none" w:pos="960" w:val="left"/>
        </w:tabs>
        <w:numPr>
          <w:ilvl w:val="0"/>
          <w:numId w:val="9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Our Current Reports on Form 8-K, filed with the SEC on </w:t>
      </w:r>
      <w:hyperlink r:id="rId181">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87">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88">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960" w:right="60" w:hanging="532"/>
        <w:spacing w:after="0" w:line="266"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8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0000EE"/>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0000EE"/>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31"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23"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IRTSLX@sixthstreet.com.</w:t>
      </w:r>
    </w:p>
    <w:p>
      <w:pPr>
        <w:spacing w:after="0" w:line="220" w:lineRule="exact"/>
        <w:rPr>
          <w:rFonts w:ascii="Times New Roman" w:cs="Times New Roman" w:eastAsia="Times New Roman" w:hAnsi="Times New Roman"/>
          <w:sz w:val="18"/>
          <w:szCs w:val="18"/>
          <w:color w:val="0000EE"/>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0000EE"/>
        </w:rPr>
      </w:pPr>
    </w:p>
    <w:p>
      <w:pPr>
        <w:spacing w:after="0" w:line="280"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97" w:right="479" w:bottom="1440" w:gutter="0" w:footer="0" w:header="0"/>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344170</wp:posOffset>
            </wp:positionV>
            <wp:extent cx="1457325" cy="43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14573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5.625%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1421765</wp:posOffset>
            </wp:positionV>
            <wp:extent cx="1474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2880" w:type="dxa"/>
            <w:vAlign w:val="bottom"/>
          </w:tcPr>
          <w:p>
            <w:pPr>
              <w:jc w:val="center"/>
              <w:ind w:right="535"/>
              <w:spacing w:after="0"/>
              <w:rPr>
                <w:sz w:val="20"/>
                <w:szCs w:val="20"/>
                <w:color w:val="auto"/>
              </w:rPr>
            </w:pPr>
            <w:r>
              <w:rPr>
                <w:rFonts w:ascii="Times New Roman" w:cs="Times New Roman" w:eastAsia="Times New Roman" w:hAnsi="Times New Roman"/>
                <w:sz w:val="18"/>
                <w:szCs w:val="18"/>
                <w:b w:val="1"/>
                <w:bCs w:val="1"/>
                <w:color w:val="auto"/>
                <w:w w:val="98"/>
              </w:rPr>
              <w:t>J.P. Morgan</w:t>
            </w:r>
          </w:p>
        </w:tc>
        <w:tc>
          <w:tcPr>
            <w:tcW w:w="336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rPr>
              <w:t>SMBC Nikko</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Wells Fargo Securities</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MUFG</w:t>
            </w:r>
          </w:p>
        </w:tc>
        <w:tc>
          <w:tcPr>
            <w:tcW w:w="2880" w:type="dxa"/>
            <w:vAlign w:val="bottom"/>
          </w:tcPr>
          <w:p>
            <w:pPr>
              <w:jc w:val="center"/>
              <w:ind w:right="535"/>
              <w:spacing w:after="0"/>
              <w:rPr>
                <w:sz w:val="20"/>
                <w:szCs w:val="20"/>
                <w:color w:val="auto"/>
              </w:rPr>
            </w:pPr>
            <w:r>
              <w:rPr>
                <w:rFonts w:ascii="Times New Roman" w:cs="Times New Roman" w:eastAsia="Times New Roman" w:hAnsi="Times New Roman"/>
                <w:sz w:val="18"/>
                <w:szCs w:val="18"/>
                <w:b w:val="1"/>
                <w:bCs w:val="1"/>
                <w:color w:val="auto"/>
                <w:w w:val="98"/>
              </w:rPr>
              <w:t>Truist Securities</w:t>
            </w:r>
          </w:p>
        </w:tc>
        <w:tc>
          <w:tcPr>
            <w:tcW w:w="336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7"/>
              </w:rPr>
              <w:t>HSBC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Mizuho</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Morgan Stanley</w:t>
            </w:r>
          </w:p>
        </w:tc>
        <w:tc>
          <w:tcPr>
            <w:tcW w:w="2880" w:type="dxa"/>
            <w:vAlign w:val="bottom"/>
          </w:tcPr>
          <w:p>
            <w:pPr>
              <w:jc w:val="center"/>
              <w:ind w:right="555"/>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336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Goldman Sachs &amp; Co. LLC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RBC Capital Markets</w:t>
            </w:r>
          </w:p>
        </w:tc>
      </w:tr>
      <w:tr>
        <w:trPr>
          <w:trHeight w:val="382"/>
        </w:trPr>
        <w:tc>
          <w:tcPr>
            <w:tcW w:w="2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tc>
        <w:tc>
          <w:tcPr>
            <w:tcW w:w="2640" w:type="dxa"/>
            <w:vAlign w:val="bottom"/>
          </w:tcPr>
          <w:p>
            <w:pPr>
              <w:spacing w:after="0"/>
              <w:rPr>
                <w:sz w:val="24"/>
                <w:szCs w:val="24"/>
                <w:color w:val="auto"/>
              </w:rPr>
            </w:pPr>
          </w:p>
        </w:tc>
      </w:tr>
      <w:tr>
        <w:trPr>
          <w:trHeight w:val="4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ICBC Standard Bank</w:t>
            </w:r>
          </w:p>
        </w:tc>
        <w:tc>
          <w:tcPr>
            <w:tcW w:w="2880" w:type="dxa"/>
            <w:vAlign w:val="bottom"/>
          </w:tcPr>
          <w:p>
            <w:pPr>
              <w:jc w:val="center"/>
              <w:ind w:left="715"/>
              <w:spacing w:after="0"/>
              <w:rPr>
                <w:sz w:val="20"/>
                <w:szCs w:val="20"/>
                <w:color w:val="auto"/>
              </w:rPr>
            </w:pPr>
            <w:r>
              <w:rPr>
                <w:rFonts w:ascii="Times New Roman" w:cs="Times New Roman" w:eastAsia="Times New Roman" w:hAnsi="Times New Roman"/>
                <w:sz w:val="18"/>
                <w:szCs w:val="18"/>
                <w:b w:val="1"/>
                <w:bCs w:val="1"/>
                <w:color w:val="auto"/>
                <w:w w:val="99"/>
              </w:rPr>
              <w:t>Keefe, Bruyette &amp; Woods</w:t>
            </w:r>
          </w:p>
        </w:tc>
        <w:tc>
          <w:tcPr>
            <w:tcW w:w="33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Oppenheimer &amp; Co.</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Citizens Capital Markets</w:t>
            </w:r>
          </w:p>
        </w:tc>
      </w:tr>
      <w:tr>
        <w:trPr>
          <w:trHeight w:val="152"/>
        </w:trPr>
        <w:tc>
          <w:tcPr>
            <w:tcW w:w="2140" w:type="dxa"/>
            <w:vAlign w:val="bottom"/>
          </w:tcPr>
          <w:p>
            <w:pPr>
              <w:spacing w:after="0"/>
              <w:rPr>
                <w:sz w:val="13"/>
                <w:szCs w:val="13"/>
                <w:color w:val="auto"/>
              </w:rPr>
            </w:pPr>
          </w:p>
        </w:tc>
        <w:tc>
          <w:tcPr>
            <w:tcW w:w="2880" w:type="dxa"/>
            <w:vAlign w:val="bottom"/>
          </w:tcPr>
          <w:p>
            <w:pPr>
              <w:jc w:val="center"/>
              <w:ind w:left="715"/>
              <w:spacing w:after="0"/>
              <w:rPr>
                <w:sz w:val="20"/>
                <w:szCs w:val="20"/>
                <w:color w:val="auto"/>
              </w:rPr>
            </w:pPr>
            <w:r>
              <w:rPr>
                <w:rFonts w:ascii="Times New Roman" w:cs="Times New Roman" w:eastAsia="Times New Roman" w:hAnsi="Times New Roman"/>
                <w:sz w:val="12"/>
                <w:szCs w:val="12"/>
                <w:i w:val="1"/>
                <w:iCs w:val="1"/>
                <w:color w:val="auto"/>
              </w:rPr>
              <w:t>                            A Stifel Company</w:t>
            </w:r>
          </w:p>
        </w:tc>
        <w:tc>
          <w:tcPr>
            <w:tcW w:w="33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33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Raymond James</w:t>
            </w:r>
          </w:p>
        </w:tc>
        <w:tc>
          <w:tcPr>
            <w:tcW w:w="2880" w:type="dxa"/>
            <w:vAlign w:val="bottom"/>
          </w:tcPr>
          <w:p>
            <w:pPr>
              <w:jc w:val="center"/>
              <w:ind w:left="715"/>
              <w:spacing w:after="0"/>
              <w:rPr>
                <w:sz w:val="20"/>
                <w:szCs w:val="20"/>
                <w:color w:val="auto"/>
              </w:rPr>
            </w:pPr>
            <w:r>
              <w:rPr>
                <w:rFonts w:ascii="Times New Roman" w:cs="Times New Roman" w:eastAsia="Times New Roman" w:hAnsi="Times New Roman"/>
                <w:sz w:val="18"/>
                <w:szCs w:val="18"/>
                <w:b w:val="1"/>
                <w:bCs w:val="1"/>
                <w:color w:val="auto"/>
              </w:rPr>
              <w:t>Ladenburg Thalmann</w:t>
            </w:r>
          </w:p>
        </w:tc>
        <w:tc>
          <w:tcPr>
            <w:tcW w:w="33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Comerica Securities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 Seelaus &amp; Co.,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394335</wp:posOffset>
            </wp:positionV>
            <wp:extent cx="1474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431165</wp:posOffset>
            </wp:positionV>
            <wp:extent cx="6995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499745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844" w:right="4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b w:val="1"/>
          <w:bCs w:val="1"/>
          <w:color w:val="auto"/>
        </w:rPr>
        <w:t>Form 424B2</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51"/>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300" w:type="dxa"/>
            <w:vAlign w:val="bottom"/>
            <w:tcBorders>
              <w:top w:val="single" w:sz="8" w:color="auto"/>
              <w:right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jc w:val="center"/>
              <w:ind w:left="5"/>
              <w:spacing w:after="0" w:line="151"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30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6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3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300" w:type="dxa"/>
            <w:vAlign w:val="bottom"/>
            <w:tcBorders>
              <w:right w:val="single" w:sz="8" w:color="auto"/>
            </w:tcBorders>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right w:val="single" w:sz="8" w:color="auto"/>
            </w:tcBorders>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6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3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tcBorders>
              <w:right w:val="single" w:sz="8" w:color="auto"/>
            </w:tcBorders>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Type </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 Rule</w:t>
            </w:r>
          </w:p>
        </w:tc>
        <w:tc>
          <w:tcPr>
            <w:tcW w:w="13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Fee(1)</w:t>
            </w:r>
          </w:p>
        </w:tc>
        <w:tc>
          <w:tcPr>
            <w:tcW w:w="0" w:type="dxa"/>
            <w:vAlign w:val="bottom"/>
          </w:tcPr>
          <w:p>
            <w:pPr>
              <w:spacing w:after="0"/>
              <w:rPr>
                <w:sz w:val="1"/>
                <w:szCs w:val="1"/>
                <w:color w:val="auto"/>
              </w:rPr>
            </w:pPr>
          </w:p>
        </w:tc>
      </w:tr>
      <w:tr>
        <w:trPr>
          <w:trHeight w:val="205"/>
        </w:trPr>
        <w:tc>
          <w:tcPr>
            <w:tcW w:w="198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Fees to</w:t>
            </w:r>
          </w:p>
        </w:tc>
        <w:tc>
          <w:tcPr>
            <w:tcW w:w="8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5.625% Notes</w:t>
            </w:r>
          </w:p>
        </w:tc>
        <w:tc>
          <w:tcPr>
            <w:tcW w:w="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 Paid</w:t>
            </w:r>
          </w:p>
        </w:tc>
        <w:tc>
          <w:tcPr>
            <w:tcW w:w="8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Debt </w:t>
            </w:r>
          </w:p>
        </w:tc>
        <w:tc>
          <w:tcPr>
            <w:tcW w:w="13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due 2030 </w:t>
            </w: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 Rule 457(o) </w:t>
            </w:r>
          </w:p>
        </w:tc>
        <w:tc>
          <w:tcPr>
            <w:tcW w:w="130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rPr>
              <w:t>$300,000,000 </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98.805% </w:t>
            </w:r>
          </w:p>
        </w:tc>
        <w:tc>
          <w:tcPr>
            <w:tcW w:w="130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8"/>
                <w:szCs w:val="18"/>
                <w:color w:val="auto"/>
              </w:rPr>
              <w:t>$296,415,000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$45,381.14</w:t>
            </w:r>
          </w:p>
        </w:tc>
        <w:tc>
          <w:tcPr>
            <w:tcW w:w="0" w:type="dxa"/>
            <w:vAlign w:val="bottom"/>
          </w:tcPr>
          <w:p>
            <w:pPr>
              <w:spacing w:after="0"/>
              <w:rPr>
                <w:sz w:val="1"/>
                <w:szCs w:val="1"/>
                <w:color w:val="auto"/>
              </w:rPr>
            </w:pPr>
          </w:p>
        </w:tc>
      </w:tr>
      <w:tr>
        <w:trPr>
          <w:trHeight w:val="211"/>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8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8"/>
                <w:szCs w:val="18"/>
                <w:color w:val="auto"/>
              </w:rPr>
              <w:t>$296,415,000 </w:t>
            </w: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$45,381.14</w:t>
            </w:r>
          </w:p>
        </w:tc>
        <w:tc>
          <w:tcPr>
            <w:tcW w:w="0" w:type="dxa"/>
            <w:vAlign w:val="bottom"/>
          </w:tcPr>
          <w:p>
            <w:pPr>
              <w:spacing w:after="0"/>
              <w:rPr>
                <w:sz w:val="1"/>
                <w:szCs w:val="1"/>
                <w:color w:val="auto"/>
              </w:rPr>
            </w:pPr>
          </w:p>
        </w:tc>
      </w:tr>
      <w:tr>
        <w:trPr>
          <w:trHeight w:val="236"/>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$45,381.14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4" w:right="60" w:hanging="424"/>
        <w:spacing w:after="0" w:line="282" w:lineRule="auto"/>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457(o), based on the proposed maximum aggregate offering price, and Rule 457(r) under the Securities Act of 1933, as amended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3"/>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lowerRoman"/>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1)"/>
      <w:numFmt w:val="lowerRoman"/>
      <w:start w:val="10"/>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1)"/>
      <w:numFmt w:val="lowerLetter"/>
      <w:start w:val="2"/>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6"/>
    </w:lvl>
  </w:abstractNum>
  <w:abstractNum w:abstractNumId="46">
    <w:nsid w:val="661E3F1E"/>
    <w:multiLevelType w:val="hybridMultilevel"/>
    <w:lvl w:ilvl="0">
      <w:lvlJc w:val="left"/>
      <w:lvlText w:val="(%1)"/>
      <w:numFmt w:val="lowerRoman"/>
      <w:start w:val="2"/>
    </w:lvl>
  </w:abstractNum>
  <w:abstractNum w:abstractNumId="47">
    <w:nsid w:val="5DC79EA8"/>
    <w:multiLevelType w:val="hybridMultilevel"/>
    <w:lvl w:ilvl="0">
      <w:lvlJc w:val="left"/>
      <w:lvlText w:val="(%1)"/>
      <w:numFmt w:val="decimal"/>
      <w:start w:val="7"/>
    </w:lvl>
  </w:abstractNum>
  <w:abstractNum w:abstractNumId="48">
    <w:nsid w:val="540A471C"/>
    <w:multiLevelType w:val="hybridMultilevel"/>
    <w:lvl w:ilvl="0">
      <w:lvlJc w:val="left"/>
      <w:lvlText w:val="(%1)"/>
      <w:numFmt w:val="decimal"/>
      <w:start w:val="8"/>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5"/>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decimal"/>
      <w:start w:val="7"/>
    </w:lvl>
  </w:abstractNum>
  <w:abstractNum w:abstractNumId="59">
    <w:nsid w:val="68EB2F63"/>
    <w:multiLevelType w:val="hybridMultilevel"/>
    <w:lvl w:ilvl="0">
      <w:lvlJc w:val="left"/>
      <w:lvlText w:val="(%1)"/>
      <w:numFmt w:val="decimal"/>
      <w:start w:val="15"/>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lvl w:ilvl="1">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1)"/>
      <w:numFmt w:val="lowerRoman"/>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jpe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80"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jpe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66" Type="http://schemas.openxmlformats.org/officeDocument/2006/relationships/hyperlink" Target="http://www.sec.gov/ix?doc=/Archives/edgar/data/1508655/000095017025019845/tslx-20241231.htm" TargetMode="External"/><Relationship Id="rId67" Type="http://schemas.openxmlformats.org/officeDocument/2006/relationships/hyperlink" Target="http://www.sec.gov/ix?doc=/Archives/edgar/data/1508655/000095017025019865/tslx-20250213.htm" TargetMode="External"/><Relationship Id="rId68" Type="http://schemas.openxmlformats.org/officeDocument/2006/relationships/hyperlink" Target="http://www.sec.gov/ix?doc=/Archives/edgar/data/1508655/000095017024015845/tslx-20231231.htm" TargetMode="External"/><Relationship Id="rId69" Type="http://schemas.openxmlformats.org/officeDocument/2006/relationships/hyperlink" Target="http://www.sec.gov/Archives/edgar/data/1508655/000119312524093310/d866866ddef14a.htm" TargetMode="External"/><Relationship Id="rId175" Type="http://schemas.openxmlformats.org/officeDocument/2006/relationships/hyperlink" Target="http://www.sec.gov/ix?doc=/Archives/edgar/data/1508655/000095017023003042/tslx-20221231.htm" TargetMode="External"/><Relationship Id="rId176" Type="http://schemas.openxmlformats.org/officeDocument/2006/relationships/hyperlink" Target="http://www.sec.gov/Archives/edgar/data/1508655/000119312523100535/d393322ddef14a.htm" TargetMode="External"/><Relationship Id="rId177" Type="http://schemas.openxmlformats.org/officeDocument/2006/relationships/hyperlink" Target="http://www.sec.gov/ix?doc=/Archives/edgar/data/1508655/000095017023018777/tslx-20230331.htm" TargetMode="External"/><Relationship Id="rId178" Type="http://schemas.openxmlformats.org/officeDocument/2006/relationships/hyperlink" Target="http://www.sec.gov/ix?doc=/Archives/edgar/data/1508655/000095017023038066/tslx-20230630.htm" TargetMode="External"/><Relationship Id="rId179" Type="http://schemas.openxmlformats.org/officeDocument/2006/relationships/hyperlink" Target="http://www.sec.gov/ix?doc=/Archives/edgar/data/1508655/000095017023058321/tslx-20230930.htm" TargetMode="External"/><Relationship Id="rId181" Type="http://schemas.openxmlformats.org/officeDocument/2006/relationships/hyperlink" Target="http://www.sec.gov/ix?doc=/Archives/edgar/data/1508655/000119312523144982/d509627d8k.htm" TargetMode="External"/><Relationship Id="rId182" Type="http://schemas.openxmlformats.org/officeDocument/2006/relationships/hyperlink" Target="http://www.sec.gov/ix?doc=/Archives/edgar/data/1508655/000119312523155431/d495066d8k.htm" TargetMode="External"/><Relationship Id="rId183" Type="http://schemas.openxmlformats.org/officeDocument/2006/relationships/hyperlink" Target="http://www.sec.gov/ix?doc=/Archives/edgar/data/1508655/000119312523165276/d509708d8k.htm" TargetMode="External"/><Relationship Id="rId184" Type="http://schemas.openxmlformats.org/officeDocument/2006/relationships/hyperlink" Target="http://www.sec.gov/ix?doc=/Archives/edgar/data/1508655/000119312523165451/d509555d8k.htm" TargetMode="External"/><Relationship Id="rId185" Type="http://schemas.openxmlformats.org/officeDocument/2006/relationships/hyperlink" Target="http://www.sec.gov/ix?doc=/Archives/edgar/data/1508655/000119312523187256/d513136d8k.htm" TargetMode="External"/><Relationship Id="rId186" Type="http://schemas.openxmlformats.org/officeDocument/2006/relationships/hyperlink" Target="http://www.sec.gov/ix?doc=/Archives/edgar/data/1508655/000119312523188221/d534568d8ka.htm" TargetMode="External"/><Relationship Id="rId187" Type="http://schemas.openxmlformats.org/officeDocument/2006/relationships/hyperlink" Target="http://www.sec.gov/ix?doc=/Archives/edgar/data/1508655/000119312523209093/d513738d8k.htm" TargetMode="External"/><Relationship Id="rId188" Type="http://schemas.openxmlformats.org/officeDocument/2006/relationships/hyperlink" Target="http://www.sec.gov/ix?doc=/Archives/edgar/data/1508655/000119312523212327/d480136d8k.htm" TargetMode="External"/><Relationship Id="rId189"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2025-02-20T15:58:57Z</dcterms:created>
  <dcterms:modified xsi:type="dcterms:W3CDTF">2025-02-20T15:58:57Z</dcterms:modified>
</cp:coreProperties>
</file>