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0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880" w:right="4880" w:firstLine="289"/>
        <w:spacing w:after="0" w:line="554" w:lineRule="auto"/>
        <w:tabs>
          <w:tab w:leader="none" w:pos="529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240.13d-2(a) (Amendment No. 5) *</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Christopher McDonough</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(609) 292-5106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87265K102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March 20,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4"/>
        </w:trPr>
        <w:tc>
          <w:tcPr>
            <w:tcW w:w="6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1</w:t>
            </w:r>
          </w:p>
        </w:tc>
        <w:tc>
          <w:tcPr>
            <w:tcW w:w="140" w:type="dxa"/>
            <w:vAlign w:val="bottom"/>
            <w:tcBorders>
              <w:top w:val="single" w:sz="8" w:color="auto"/>
            </w:tcBorders>
          </w:tcPr>
          <w:p>
            <w:pPr>
              <w:spacing w:after="0"/>
              <w:rPr>
                <w:sz w:val="24"/>
                <w:szCs w:val="24"/>
                <w:color w:val="auto"/>
              </w:rPr>
            </w:pPr>
          </w:p>
        </w:tc>
        <w:tc>
          <w:tcPr>
            <w:tcW w:w="106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State of New Jersey Common Pension Fund B</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right w:val="single" w:sz="8" w:color="auto"/>
            </w:tcBorders>
          </w:tcPr>
          <w:p>
            <w:pPr>
              <w:ind w:left="260"/>
              <w:spacing w:after="0" w:line="205" w:lineRule="exact"/>
              <w:rPr>
                <w:sz w:val="20"/>
                <w:szCs w:val="20"/>
                <w:color w:val="auto"/>
              </w:rPr>
            </w:pPr>
            <w:r>
              <w:rPr>
                <w:rFonts w:ascii="Arial" w:cs="Arial" w:eastAsia="Arial" w:hAnsi="Arial"/>
                <w:sz w:val="22"/>
                <w:szCs w:val="22"/>
                <w:b w:val="1"/>
                <w:bCs w:val="1"/>
                <w:color w:val="auto"/>
              </w:rPr>
              <w:t>2</w:t>
            </w:r>
          </w:p>
        </w:tc>
        <w:tc>
          <w:tcPr>
            <w:tcW w:w="140" w:type="dxa"/>
            <w:vAlign w:val="bottom"/>
          </w:tcPr>
          <w:p>
            <w:pPr>
              <w:spacing w:after="0"/>
              <w:rPr>
                <w:sz w:val="17"/>
                <w:szCs w:val="17"/>
                <w:color w:val="auto"/>
              </w:rPr>
            </w:pPr>
          </w:p>
        </w:tc>
        <w:tc>
          <w:tcPr>
            <w:tcW w:w="10680" w:type="dxa"/>
            <w:vAlign w:val="bottom"/>
            <w:tcBorders>
              <w:right w:val="single" w:sz="8" w:color="auto"/>
            </w:tcBorders>
            <w:gridSpan w:val="4"/>
          </w:tcPr>
          <w:p>
            <w:pPr>
              <w:spacing w:after="0" w:line="205"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74"/>
        </w:trPr>
        <w:tc>
          <w:tcPr>
            <w:tcW w:w="6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0" w:type="dxa"/>
            <w:vAlign w:val="bottom"/>
            <w:tcBorders>
              <w:right w:val="single" w:sz="8" w:color="auto"/>
            </w:tcBorders>
          </w:tcPr>
          <w:p>
            <w:pPr>
              <w:ind w:left="7660"/>
              <w:spacing w:after="0" w:line="17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0" w:type="dxa"/>
            <w:vAlign w:val="bottom"/>
            <w:tcBorders>
              <w:right w:val="single" w:sz="8" w:color="auto"/>
            </w:tcBorders>
          </w:tcPr>
          <w:p>
            <w:pPr>
              <w:ind w:left="7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3</w:t>
            </w:r>
          </w:p>
        </w:tc>
        <w:tc>
          <w:tcPr>
            <w:tcW w:w="1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6"/>
              </w:rPr>
              <w:t>SEC USE ONLY</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4</w:t>
            </w:r>
          </w:p>
        </w:tc>
        <w:tc>
          <w:tcPr>
            <w:tcW w:w="14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8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right w:val="single" w:sz="8" w:color="auto"/>
            </w:tcBorders>
          </w:tcPr>
          <w:p>
            <w:pPr>
              <w:ind w:left="260"/>
              <w:spacing w:after="0" w:line="205" w:lineRule="exact"/>
              <w:rPr>
                <w:sz w:val="20"/>
                <w:szCs w:val="20"/>
                <w:color w:val="auto"/>
              </w:rPr>
            </w:pPr>
            <w:r>
              <w:rPr>
                <w:rFonts w:ascii="Arial" w:cs="Arial" w:eastAsia="Arial" w:hAnsi="Arial"/>
                <w:sz w:val="22"/>
                <w:szCs w:val="22"/>
                <w:b w:val="1"/>
                <w:bCs w:val="1"/>
                <w:color w:val="auto"/>
              </w:rPr>
              <w:t>5</w:t>
            </w:r>
          </w:p>
        </w:tc>
        <w:tc>
          <w:tcPr>
            <w:tcW w:w="140" w:type="dxa"/>
            <w:vAlign w:val="bottom"/>
          </w:tcPr>
          <w:p>
            <w:pPr>
              <w:spacing w:after="0"/>
              <w:rPr>
                <w:sz w:val="17"/>
                <w:szCs w:val="17"/>
                <w:color w:val="auto"/>
              </w:rPr>
            </w:pPr>
          </w:p>
        </w:tc>
        <w:tc>
          <w:tcPr>
            <w:tcW w:w="10680" w:type="dxa"/>
            <w:vAlign w:val="bottom"/>
            <w:tcBorders>
              <w:right w:val="single" w:sz="8" w:color="auto"/>
            </w:tcBorders>
            <w:gridSpan w:val="4"/>
          </w:tcPr>
          <w:p>
            <w:pPr>
              <w:spacing w:after="0" w:line="205" w:lineRule="exact"/>
              <w:rPr>
                <w:sz w:val="20"/>
                <w:szCs w:val="20"/>
                <w:color w:val="auto"/>
              </w:rPr>
            </w:pPr>
            <w:r>
              <w:rPr>
                <w:rFonts w:ascii="Arial" w:cs="Arial" w:eastAsia="Arial" w:hAnsi="Arial"/>
                <w:sz w:val="18"/>
                <w:szCs w:val="18"/>
                <w:color w:val="auto"/>
              </w:rPr>
              <w:t>CHECK IF DISCLOSURE OF LEGAL PROCEEDINGS IS REQUIRED</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80" w:type="dxa"/>
            <w:vAlign w:val="bottom"/>
            <w:tcBorders>
              <w:bottom w:val="single" w:sz="8" w:color="auto"/>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6</w:t>
            </w:r>
          </w:p>
        </w:tc>
        <w:tc>
          <w:tcPr>
            <w:tcW w:w="140" w:type="dxa"/>
            <w:vAlign w:val="bottom"/>
          </w:tcPr>
          <w:p>
            <w:pPr>
              <w:spacing w:after="0"/>
              <w:rPr>
                <w:sz w:val="23"/>
                <w:szCs w:val="23"/>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USA</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7</w:t>
            </w: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8"/>
                <w:szCs w:val="18"/>
                <w:color w:val="auto"/>
                <w:w w:val="96"/>
              </w:rPr>
              <w:t>NUMBER OF</w:t>
            </w:r>
          </w:p>
        </w:tc>
        <w:tc>
          <w:tcPr>
            <w:tcW w:w="2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280" w:type="dxa"/>
            <w:vAlign w:val="bottom"/>
            <w:tcBorders>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8</w:t>
            </w: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8"/>
        </w:trPr>
        <w:tc>
          <w:tcPr>
            <w:tcW w:w="2040" w:type="dxa"/>
            <w:vAlign w:val="bottom"/>
            <w:tcBorders>
              <w:left w:val="single" w:sz="8" w:color="auto"/>
            </w:tcBorders>
            <w:gridSpan w:val="3"/>
          </w:tcPr>
          <w:p>
            <w:pPr>
              <w:jc w:val="center"/>
              <w:ind w:left="174"/>
              <w:spacing w:after="0"/>
              <w:rPr>
                <w:sz w:val="20"/>
                <w:szCs w:val="20"/>
                <w:color w:val="auto"/>
              </w:rPr>
            </w:pPr>
            <w:r>
              <w:rPr>
                <w:rFonts w:ascii="Arial" w:cs="Arial" w:eastAsia="Arial" w:hAnsi="Arial"/>
                <w:sz w:val="18"/>
                <w:szCs w:val="18"/>
                <w:color w:val="auto"/>
              </w:rPr>
              <w:t>BENEFICIALLY</w:t>
            </w:r>
          </w:p>
        </w:tc>
        <w:tc>
          <w:tcPr>
            <w:tcW w:w="2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spacing w:after="0"/>
              <w:rPr>
                <w:sz w:val="24"/>
                <w:szCs w:val="24"/>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8"/>
                <w:szCs w:val="18"/>
                <w:color w:val="auto"/>
                <w:w w:val="97"/>
              </w:rPr>
              <w:t>OWNED BY</w:t>
            </w:r>
          </w:p>
        </w:tc>
        <w:tc>
          <w:tcPr>
            <w:tcW w:w="28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center"/>
              <w:ind w:right="370"/>
              <w:spacing w:after="0"/>
              <w:rPr>
                <w:sz w:val="20"/>
                <w:szCs w:val="20"/>
                <w:color w:val="auto"/>
              </w:rPr>
            </w:pPr>
            <w:r>
              <w:rPr>
                <w:rFonts w:ascii="Arial" w:cs="Arial" w:eastAsia="Arial" w:hAnsi="Arial"/>
                <w:sz w:val="18"/>
                <w:szCs w:val="18"/>
                <w:color w:val="auto"/>
                <w:w w:val="95"/>
              </w:rPr>
              <w:t>EACH</w:t>
            </w:r>
          </w:p>
        </w:tc>
        <w:tc>
          <w:tcPr>
            <w:tcW w:w="2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5"/>
        </w:trPr>
        <w:tc>
          <w:tcPr>
            <w:tcW w:w="60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14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2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restart"/>
          </w:tcPr>
          <w:p>
            <w:pPr>
              <w:jc w:val="center"/>
              <w:ind w:right="370"/>
              <w:spacing w:after="0"/>
              <w:rPr>
                <w:sz w:val="20"/>
                <w:szCs w:val="20"/>
                <w:color w:val="auto"/>
              </w:rPr>
            </w:pPr>
            <w:r>
              <w:rPr>
                <w:rFonts w:ascii="Arial" w:cs="Arial" w:eastAsia="Arial" w:hAnsi="Arial"/>
                <w:sz w:val="18"/>
                <w:szCs w:val="18"/>
                <w:color w:val="auto"/>
                <w:w w:val="89"/>
              </w:rPr>
              <w:t>PERSON</w:t>
            </w:r>
          </w:p>
        </w:tc>
        <w:tc>
          <w:tcPr>
            <w:tcW w:w="280" w:type="dxa"/>
            <w:vAlign w:val="bottom"/>
            <w:tcBorders>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2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gridSpan w:val="2"/>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11</w:t>
            </w:r>
          </w:p>
        </w:tc>
        <w:tc>
          <w:tcPr>
            <w:tcW w:w="140" w:type="dxa"/>
            <w:vAlign w:val="bottom"/>
            <w:tcBorders>
              <w:right w:val="single" w:sz="8" w:color="auto"/>
            </w:tcBorders>
          </w:tcPr>
          <w:p>
            <w:pPr>
              <w:spacing w:after="0"/>
              <w:rPr>
                <w:sz w:val="23"/>
                <w:szCs w:val="23"/>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0 shares</w:t>
            </w:r>
          </w:p>
        </w:tc>
        <w:tc>
          <w:tcPr>
            <w:tcW w:w="8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tcBorders>
          </w:tcPr>
          <w:p>
            <w:pPr>
              <w:ind w:left="320"/>
              <w:spacing w:after="0" w:line="205" w:lineRule="exact"/>
              <w:rPr>
                <w:sz w:val="20"/>
                <w:szCs w:val="20"/>
                <w:color w:val="auto"/>
              </w:rPr>
            </w:pPr>
            <w:r>
              <w:rPr>
                <w:rFonts w:ascii="Arial" w:cs="Arial" w:eastAsia="Arial" w:hAnsi="Arial"/>
                <w:sz w:val="22"/>
                <w:szCs w:val="22"/>
                <w:b w:val="1"/>
                <w:bCs w:val="1"/>
                <w:color w:val="auto"/>
                <w:w w:val="97"/>
              </w:rPr>
              <w:t>12</w:t>
            </w:r>
          </w:p>
        </w:tc>
        <w:tc>
          <w:tcPr>
            <w:tcW w:w="140" w:type="dxa"/>
            <w:vAlign w:val="bottom"/>
            <w:tcBorders>
              <w:right w:val="single" w:sz="8" w:color="auto"/>
            </w:tcBorders>
          </w:tcPr>
          <w:p>
            <w:pPr>
              <w:spacing w:after="0"/>
              <w:rPr>
                <w:sz w:val="17"/>
                <w:szCs w:val="17"/>
                <w:color w:val="auto"/>
              </w:rPr>
            </w:pPr>
          </w:p>
        </w:tc>
        <w:tc>
          <w:tcPr>
            <w:tcW w:w="10680" w:type="dxa"/>
            <w:vAlign w:val="bottom"/>
            <w:tcBorders>
              <w:right w:val="single" w:sz="8" w:color="auto"/>
            </w:tcBorders>
            <w:gridSpan w:val="4"/>
          </w:tcPr>
          <w:p>
            <w:pPr>
              <w:ind w:left="100"/>
              <w:spacing w:after="0" w:line="205" w:lineRule="exact"/>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ind w:left="320"/>
              <w:spacing w:after="0"/>
              <w:rPr>
                <w:sz w:val="20"/>
                <w:szCs w:val="20"/>
                <w:color w:val="auto"/>
              </w:rPr>
            </w:pPr>
            <w:r>
              <w:rPr>
                <w:rFonts w:ascii="Arial" w:cs="Arial" w:eastAsia="Arial" w:hAnsi="Arial"/>
                <w:sz w:val="22"/>
                <w:szCs w:val="22"/>
                <w:b w:val="1"/>
                <w:bCs w:val="1"/>
                <w:color w:val="auto"/>
                <w:w w:val="97"/>
              </w:rPr>
              <w:t>13</w:t>
            </w:r>
          </w:p>
        </w:tc>
        <w:tc>
          <w:tcPr>
            <w:tcW w:w="140" w:type="dxa"/>
            <w:vAlign w:val="bottom"/>
            <w:tcBorders>
              <w:right w:val="single" w:sz="8" w:color="auto"/>
            </w:tcBorders>
          </w:tcPr>
          <w:p>
            <w:pPr>
              <w:spacing w:after="0"/>
              <w:rPr>
                <w:sz w:val="23"/>
                <w:szCs w:val="23"/>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tcBorders>
          </w:tcPr>
          <w:p>
            <w:pPr>
              <w:ind w:left="320"/>
              <w:spacing w:after="0"/>
              <w:rPr>
                <w:sz w:val="20"/>
                <w:szCs w:val="20"/>
                <w:color w:val="auto"/>
              </w:rPr>
            </w:pPr>
            <w:r>
              <w:rPr>
                <w:rFonts w:ascii="Arial" w:cs="Arial" w:eastAsia="Arial" w:hAnsi="Arial"/>
                <w:sz w:val="22"/>
                <w:szCs w:val="22"/>
                <w:b w:val="1"/>
                <w:bCs w:val="1"/>
                <w:color w:val="auto"/>
                <w:w w:val="97"/>
              </w:rPr>
              <w:t>14</w:t>
            </w:r>
          </w:p>
        </w:tc>
        <w:tc>
          <w:tcPr>
            <w:tcW w:w="140" w:type="dxa"/>
            <w:vAlign w:val="bottom"/>
            <w:tcBorders>
              <w:right w:val="single" w:sz="8" w:color="auto"/>
            </w:tcBorders>
          </w:tcPr>
          <w:p>
            <w:pPr>
              <w:spacing w:after="0"/>
              <w:rPr>
                <w:sz w:val="23"/>
                <w:szCs w:val="23"/>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8"/>
        </w:trPr>
        <w:tc>
          <w:tcPr>
            <w:tcW w:w="60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EP</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Page 2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300"/>
        <w:spacing w:after="0" w:line="269" w:lineRule="auto"/>
        <w:rPr>
          <w:sz w:val="20"/>
          <w:szCs w:val="20"/>
          <w:color w:val="auto"/>
        </w:rPr>
      </w:pPr>
      <w:r>
        <w:rPr>
          <w:rFonts w:ascii="Arial" w:cs="Arial" w:eastAsia="Arial" w:hAnsi="Arial"/>
          <w:sz w:val="17"/>
          <w:szCs w:val="17"/>
          <w:color w:val="auto"/>
        </w:rPr>
        <w:t>This Amendment No. 5 amends the Schedule 13D originally filed with the United States Securities and Exchange Commission (the “Commission”) by the Reporting Person on June 24, 2011, as amended by Amendment No. 1 filed with the Commission on August 5, 2011, Amendment No. 2 filed with the Commission on December 7, 2011, Amendment No. 3 filed with the Commission on May 24, 2012 and Amendment No. 4 filed with the Commission on February 11, 2014 (the “Statement”), relating to the common stock, $0.01 par value (the “Common Stock”), of TPG Specialty Lending, Inc., a Delaware corporation (the “Issuer”). The Reporting Person is one of several common trust funds (the “Funds”) managed by the State of New Jersey Division of Investment (the “Division”) for the benefit of State of New Jersey state pension plans. The Division exercises sole voting and dispositive power with respect to all of the shares of Common Stock held by each of the Funds and is deemed to be the beneficial owner thereof. In connection with an initial public offering and concurrent private placement of Common Stock by the Issuer on March 20, 2014, one of the Funds other than the Reporting Person acquired certain shares of Common Stock from the Issuer. The shares of Common Stock previously reported as beneficially owned by the Reporting Person pursuant to this Statement are included in the Schedule 13G filed by the Division on the date hereof, which Schedule 13G reports the Division’s aggregate beneficial ownership of Common Stock held by all of the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11" w:lineRule="exact"/>
        <w:rPr>
          <w:sz w:val="20"/>
          <w:szCs w:val="20"/>
          <w:color w:val="auto"/>
        </w:rPr>
      </w:pPr>
    </w:p>
    <w:p>
      <w:pPr>
        <w:ind w:left="1300" w:right="1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information provided by the Issuer, there are 51,887,708 shares of Common Stock outstanding. The Reporting Person does not have or share voting or dispositive power with respect to any of the outstanding shares of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as to which the Reporting Person has: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0 shares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 shares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March 28, 2014</w:t>
      </w:r>
      <w:r>
        <w:rPr>
          <w:sz w:val="20"/>
          <w:szCs w:val="20"/>
          <w:color w:val="auto"/>
        </w:rPr>
        <w:tab/>
      </w:r>
      <w:r>
        <w:rPr>
          <w:rFonts w:ascii="Arial" w:cs="Arial" w:eastAsia="Arial" w:hAnsi="Arial"/>
          <w:sz w:val="16"/>
          <w:szCs w:val="16"/>
          <w:color w:val="auto"/>
        </w:rPr>
        <w:t>State of New Jersey Common Pension Fund B</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Division of Investment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Christopher McDonough</w:t>
      </w:r>
    </w:p>
    <w:p>
      <w:pPr>
        <w:spacing w:after="0" w:line="3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Christopher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2019-12-07T23:32:50Z</dcterms:created>
  <dcterms:modified xsi:type="dcterms:W3CDTF">2019-12-07T23:32:50Z</dcterms:modified>
</cp:coreProperties>
</file>