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2" w:lineRule="exact"/>
        <w:rPr>
          <w:sz w:val="24"/>
          <w:szCs w:val="24"/>
          <w:color w:val="auto"/>
        </w:rPr>
      </w:pPr>
    </w:p>
    <w:p>
      <w:pPr>
        <w:ind w:left="4260" w:right="1940" w:hanging="4252"/>
        <w:spacing w:after="0" w:line="303" w:lineRule="auto"/>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2021</w:t>
      </w:r>
    </w:p>
    <w:p>
      <w:pPr>
        <w:ind w:left="5540"/>
        <w:spacing w:after="0"/>
        <w:rPr>
          <w:rFonts w:ascii="MS PGothic" w:cs="MS PGothic" w:eastAsia="MS PGothic" w:hAnsi="MS PGothic"/>
          <w:sz w:val="18"/>
          <w:szCs w:val="18"/>
          <w:color w:val="auto"/>
          <w:highlight w:val="black"/>
        </w:rPr>
      </w:pPr>
      <w:r>
        <w:rPr>
          <w:rFonts w:ascii="Arial" w:cs="Arial" w:eastAsia="Arial" w:hAnsi="Arial"/>
          <w:sz w:val="17"/>
          <w:szCs w:val="17"/>
          <w:b w:val="1"/>
          <w:bCs w:val="1"/>
          <w:color w:val="auto"/>
        </w:rPr>
        <w:t>or</w:t>
      </w:r>
    </w:p>
    <w:p>
      <w:pPr>
        <w:spacing w:after="0" w:line="64" w:lineRule="exact"/>
        <w:rPr>
          <w:sz w:val="24"/>
          <w:szCs w:val="24"/>
          <w:color w:val="auto"/>
        </w:rPr>
      </w:pPr>
    </w:p>
    <w:p>
      <w:pPr>
        <w:ind w:left="4340" w:right="1580" w:hanging="4332"/>
        <w:spacing w:after="0" w:line="324" w:lineRule="auto"/>
        <w:tabs>
          <w:tab w:leader="none" w:pos="51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Sixth Street Specialty Lending, Inc.</w:t>
      </w:r>
    </w:p>
    <w:p>
      <w:pPr>
        <w:spacing w:after="0" w:line="8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7800" w:type="dxa"/>
            <w:vAlign w:val="bottom"/>
            <w:gridSpan w:val="5"/>
          </w:tcPr>
          <w:p>
            <w:pPr>
              <w:jc w:val="center"/>
              <w:ind w:left="3380"/>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gridSpan w:val="2"/>
          </w:tcPr>
          <w:p>
            <w:pPr>
              <w:jc w:val="center"/>
              <w:ind w:left="1060"/>
              <w:spacing w:after="0"/>
              <w:rPr>
                <w:sz w:val="20"/>
                <w:szCs w:val="20"/>
                <w:color w:val="auto"/>
              </w:rPr>
            </w:pPr>
            <w:r>
              <w:rPr>
                <w:rFonts w:ascii="Arial" w:cs="Arial" w:eastAsia="Arial" w:hAnsi="Arial"/>
                <w:sz w:val="17"/>
                <w:szCs w:val="17"/>
                <w:b w:val="1"/>
                <w:bCs w:val="1"/>
                <w:color w:val="auto"/>
                <w:w w:val="91"/>
              </w:rPr>
              <w:t>Delaware</w:t>
            </w:r>
          </w:p>
        </w:tc>
        <w:tc>
          <w:tcPr>
            <w:tcW w:w="2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rPr>
              <w:t>27-3380000</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60"/>
              <w:spacing w:after="0"/>
              <w:rPr>
                <w:sz w:val="20"/>
                <w:szCs w:val="20"/>
                <w:color w:val="auto"/>
              </w:rPr>
            </w:pPr>
            <w:r>
              <w:rPr>
                <w:rFonts w:ascii="Arial" w:cs="Arial" w:eastAsia="Arial" w:hAnsi="Arial"/>
                <w:sz w:val="13"/>
                <w:szCs w:val="13"/>
                <w:b w:val="1"/>
                <w:bCs w:val="1"/>
                <w:color w:val="auto"/>
                <w:w w:val="94"/>
              </w:rPr>
              <w:t>(State or other jurisdiction of</w:t>
            </w:r>
          </w:p>
        </w:tc>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left="69"/>
              <w:spacing w:after="0"/>
              <w:rPr>
                <w:sz w:val="20"/>
                <w:szCs w:val="20"/>
                <w:color w:val="auto"/>
              </w:rPr>
            </w:pPr>
            <w:r>
              <w:rPr>
                <w:rFonts w:ascii="Arial" w:cs="Arial" w:eastAsia="Arial" w:hAnsi="Arial"/>
                <w:sz w:val="13"/>
                <w:szCs w:val="13"/>
                <w:b w:val="1"/>
                <w:bCs w:val="1"/>
                <w:color w:val="auto"/>
                <w:w w:val="98"/>
              </w:rPr>
              <w:t>(I.R.S. Employer</w:t>
            </w: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00" w:type="dxa"/>
            <w:vAlign w:val="bottom"/>
            <w:gridSpan w:val="2"/>
          </w:tcPr>
          <w:p>
            <w:pPr>
              <w:jc w:val="center"/>
              <w:ind w:left="1060"/>
              <w:spacing w:after="0"/>
              <w:rPr>
                <w:sz w:val="20"/>
                <w:szCs w:val="20"/>
                <w:color w:val="auto"/>
              </w:rPr>
            </w:pPr>
            <w:r>
              <w:rPr>
                <w:rFonts w:ascii="Arial" w:cs="Arial" w:eastAsia="Arial" w:hAnsi="Arial"/>
                <w:sz w:val="13"/>
                <w:szCs w:val="13"/>
                <w:b w:val="1"/>
                <w:bCs w:val="1"/>
                <w:color w:val="auto"/>
                <w:w w:val="94"/>
              </w:rPr>
              <w:t>incorporation or organization)</w:t>
            </w:r>
          </w:p>
        </w:tc>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gridSpan w:val="3"/>
          </w:tcPr>
          <w:p>
            <w:pPr>
              <w:jc w:val="center"/>
              <w:ind w:right="209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235"/>
        </w:trPr>
        <w:tc>
          <w:tcPr>
            <w:tcW w:w="4500" w:type="dxa"/>
            <w:vAlign w:val="bottom"/>
            <w:gridSpan w:val="2"/>
          </w:tcPr>
          <w:p>
            <w:pPr>
              <w:jc w:val="center"/>
              <w:ind w:left="1040"/>
              <w:spacing w:after="0"/>
              <w:rPr>
                <w:sz w:val="20"/>
                <w:szCs w:val="20"/>
                <w:color w:val="auto"/>
              </w:rPr>
            </w:pPr>
            <w:r>
              <w:rPr>
                <w:rFonts w:ascii="Arial" w:cs="Arial" w:eastAsia="Arial" w:hAnsi="Arial"/>
                <w:sz w:val="17"/>
                <w:szCs w:val="17"/>
                <w:b w:val="1"/>
                <w:bCs w:val="1"/>
                <w:color w:val="auto"/>
                <w:w w:val="91"/>
              </w:rPr>
              <w:t>2100 McKinney Avenue, Suite 1500,</w:t>
            </w:r>
          </w:p>
        </w:tc>
        <w:tc>
          <w:tcPr>
            <w:tcW w:w="2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jc w:val="center"/>
              <w:ind w:left="1040"/>
              <w:spacing w:after="0"/>
              <w:rPr>
                <w:sz w:val="20"/>
                <w:szCs w:val="20"/>
                <w:color w:val="auto"/>
              </w:rPr>
            </w:pPr>
            <w:r>
              <w:rPr>
                <w:rFonts w:ascii="Arial" w:cs="Arial" w:eastAsia="Arial" w:hAnsi="Arial"/>
                <w:sz w:val="17"/>
                <w:szCs w:val="17"/>
                <w:b w:val="1"/>
                <w:bCs w:val="1"/>
                <w:color w:val="auto"/>
                <w:w w:val="95"/>
              </w:rPr>
              <w:t>Dallas, TX</w:t>
            </w:r>
          </w:p>
        </w:tc>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95"/>
              <w:spacing w:after="0"/>
              <w:rPr>
                <w:sz w:val="20"/>
                <w:szCs w:val="20"/>
                <w:color w:val="auto"/>
              </w:rPr>
            </w:pPr>
            <w:r>
              <w:rPr>
                <w:rFonts w:ascii="Arial" w:cs="Arial" w:eastAsia="Arial" w:hAnsi="Arial"/>
                <w:sz w:val="17"/>
                <w:szCs w:val="17"/>
                <w:b w:val="1"/>
                <w:bCs w:val="1"/>
                <w:color w:val="auto"/>
                <w:w w:val="92"/>
              </w:rPr>
              <w:t>75201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00" w:type="dxa"/>
            <w:vAlign w:val="bottom"/>
            <w:gridSpan w:val="2"/>
          </w:tcPr>
          <w:p>
            <w:pPr>
              <w:jc w:val="center"/>
              <w:ind w:left="10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left="69"/>
              <w:spacing w:after="0"/>
              <w:rPr>
                <w:sz w:val="20"/>
                <w:szCs w:val="20"/>
                <w:color w:val="auto"/>
              </w:rPr>
            </w:pPr>
            <w:r>
              <w:rPr>
                <w:rFonts w:ascii="Arial" w:cs="Arial" w:eastAsia="Arial" w:hAnsi="Arial"/>
                <w:sz w:val="13"/>
                <w:szCs w:val="13"/>
                <w:b w:val="1"/>
                <w:bCs w:val="1"/>
                <w:color w:val="auto"/>
                <w:w w:val="96"/>
              </w:rPr>
              <w:t>(Zip Code)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180" w:type="dxa"/>
            <w:vAlign w:val="bottom"/>
            <w:gridSpan w:val="6"/>
          </w:tcPr>
          <w:p>
            <w:pPr>
              <w:jc w:val="center"/>
              <w:ind w:left="2980"/>
              <w:spacing w:after="0"/>
              <w:rPr>
                <w:sz w:val="20"/>
                <w:szCs w:val="20"/>
                <w:color w:val="auto"/>
              </w:rPr>
            </w:pPr>
            <w:r>
              <w:rPr>
                <w:rFonts w:ascii="Arial" w:cs="Arial" w:eastAsia="Arial" w:hAnsi="Arial"/>
                <w:sz w:val="17"/>
                <w:szCs w:val="17"/>
                <w:b w:val="1"/>
                <w:bCs w:val="1"/>
                <w:color w:val="auto"/>
                <w:w w:val="90"/>
              </w:rPr>
              <w:t>Registrant’s Telephone Number, Including Area Code: (469) 621-3001</w:t>
            </w:r>
          </w:p>
        </w:tc>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800" w:type="dxa"/>
            <w:vAlign w:val="bottom"/>
            <w:gridSpan w:val="5"/>
          </w:tcPr>
          <w:p>
            <w:pPr>
              <w:jc w:val="center"/>
              <w:ind w:left="338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7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1"/>
              </w:rPr>
              <w:t>Title of each class</w:t>
            </w:r>
          </w:p>
        </w:tc>
        <w:tc>
          <w:tcPr>
            <w:tcW w:w="720" w:type="dxa"/>
            <w:vAlign w:val="bottom"/>
            <w:tcBorders>
              <w:bottom w:val="single" w:sz="8" w:color="auto"/>
            </w:tcBorders>
          </w:tcPr>
          <w:p>
            <w:pPr>
              <w:spacing w:after="0"/>
              <w:rPr>
                <w:sz w:val="12"/>
                <w:szCs w:val="12"/>
                <w:color w:val="auto"/>
              </w:rPr>
            </w:pPr>
          </w:p>
        </w:tc>
        <w:tc>
          <w:tcPr>
            <w:tcW w:w="3020" w:type="dxa"/>
            <w:vAlign w:val="bottom"/>
            <w:tcBorders>
              <w:bottom w:val="single" w:sz="8" w:color="auto"/>
              <w:right w:val="single" w:sz="8" w:color="auto"/>
            </w:tcBorders>
            <w:gridSpan w:val="2"/>
          </w:tcPr>
          <w:p>
            <w:pPr>
              <w:jc w:val="center"/>
              <w:ind w:right="740"/>
              <w:spacing w:after="0" w:line="142" w:lineRule="exact"/>
              <w:rPr>
                <w:sz w:val="20"/>
                <w:szCs w:val="20"/>
                <w:color w:val="auto"/>
              </w:rPr>
            </w:pPr>
            <w:r>
              <w:rPr>
                <w:rFonts w:ascii="Arial" w:cs="Arial" w:eastAsia="Arial" w:hAnsi="Arial"/>
                <w:sz w:val="13"/>
                <w:szCs w:val="13"/>
                <w:b w:val="1"/>
                <w:bCs w:val="1"/>
                <w:color w:val="auto"/>
                <w:w w:val="94"/>
              </w:rPr>
              <w:t>Trading Symbol(s)</w:t>
            </w:r>
          </w:p>
        </w:tc>
        <w:tc>
          <w:tcPr>
            <w:tcW w:w="280" w:type="dxa"/>
            <w:vAlign w:val="bottom"/>
            <w:tcBorders>
              <w:bottom w:val="single" w:sz="8" w:color="auto"/>
            </w:tcBorders>
          </w:tcPr>
          <w:p>
            <w:pPr>
              <w:spacing w:after="0"/>
              <w:rPr>
                <w:sz w:val="12"/>
                <w:szCs w:val="12"/>
                <w:color w:val="auto"/>
              </w:rPr>
            </w:pPr>
          </w:p>
        </w:tc>
        <w:tc>
          <w:tcPr>
            <w:tcW w:w="3440" w:type="dxa"/>
            <w:vAlign w:val="bottom"/>
            <w:tcBorders>
              <w:bottom w:val="single" w:sz="8" w:color="auto"/>
              <w:right w:val="single" w:sz="8" w:color="auto"/>
            </w:tcBorders>
            <w:gridSpan w:val="3"/>
          </w:tcPr>
          <w:p>
            <w:pPr>
              <w:jc w:val="center"/>
              <w:ind w:right="215"/>
              <w:spacing w:after="0" w:line="142" w:lineRule="exact"/>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24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720" w:type="dxa"/>
            <w:vAlign w:val="bottom"/>
            <w:tcBorders>
              <w:bottom w:val="single" w:sz="8" w:color="auto"/>
            </w:tcBorders>
          </w:tcPr>
          <w:p>
            <w:pPr>
              <w:spacing w:after="0"/>
              <w:rPr>
                <w:sz w:val="21"/>
                <w:szCs w:val="21"/>
                <w:color w:val="auto"/>
              </w:rPr>
            </w:pPr>
          </w:p>
        </w:tc>
        <w:tc>
          <w:tcPr>
            <w:tcW w:w="302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7"/>
                <w:szCs w:val="17"/>
                <w:b w:val="1"/>
                <w:bCs w:val="1"/>
                <w:color w:val="auto"/>
              </w:rPr>
              <w:t>TSLX</w:t>
            </w: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60" w:type="dxa"/>
            <w:vAlign w:val="bottom"/>
            <w:tcBorders>
              <w:bottom w:val="single" w:sz="8" w:color="auto"/>
              <w:right w:val="single" w:sz="8" w:color="auto"/>
            </w:tcBorders>
            <w:gridSpan w:val="2"/>
          </w:tcPr>
          <w:p>
            <w:pPr>
              <w:jc w:val="center"/>
              <w:ind w:right="595"/>
              <w:spacing w:after="0"/>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r>
        <w:trPr>
          <w:trHeight w:val="248"/>
        </w:trPr>
        <w:tc>
          <w:tcPr>
            <w:tcW w:w="7800" w:type="dxa"/>
            <w:vAlign w:val="bottom"/>
            <w:gridSpan w:val="5"/>
          </w:tcPr>
          <w:p>
            <w:pPr>
              <w:jc w:val="center"/>
              <w:ind w:left="336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300" w:type="dxa"/>
            <w:vAlign w:val="bottom"/>
            <w:gridSpan w:val="3"/>
          </w:tcPr>
          <w:p>
            <w:pPr>
              <w:jc w:val="center"/>
              <w:ind w:right="1040"/>
              <w:spacing w:after="0"/>
              <w:rPr>
                <w:sz w:val="20"/>
                <w:szCs w:val="20"/>
                <w:color w:val="auto"/>
              </w:rPr>
            </w:pPr>
            <w:r>
              <w:rPr>
                <w:rFonts w:ascii="Arial" w:cs="Arial" w:eastAsia="Arial" w:hAnsi="Arial"/>
                <w:sz w:val="17"/>
                <w:szCs w:val="17"/>
                <w:b w:val="1"/>
                <w:bCs w:val="1"/>
                <w:color w:val="auto"/>
                <w:w w:val="89"/>
              </w:rPr>
              <w:t>None</w:t>
            </w: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300" w:type="dxa"/>
            <w:vAlign w:val="bottom"/>
            <w:gridSpan w:val="3"/>
          </w:tcPr>
          <w:p>
            <w:pPr>
              <w:jc w:val="center"/>
              <w:ind w:right="1040"/>
              <w:spacing w:after="0"/>
              <w:rPr>
                <w:sz w:val="20"/>
                <w:szCs w:val="20"/>
                <w:color w:val="auto"/>
              </w:rPr>
            </w:pPr>
            <w:r>
              <w:rPr>
                <w:rFonts w:ascii="Arial" w:cs="Arial" w:eastAsia="Arial" w:hAnsi="Arial"/>
                <w:sz w:val="17"/>
                <w:szCs w:val="17"/>
                <w:b w:val="1"/>
                <w:bCs w:val="1"/>
                <w:color w:val="auto"/>
                <w:w w:val="89"/>
              </w:rPr>
              <w:t>(Title of class)</w:t>
            </w: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4500" w:type="dxa"/>
            <w:vAlign w:val="bottom"/>
            <w:gridSpan w:val="2"/>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440" w:type="dxa"/>
            <w:vAlign w:val="bottom"/>
            <w:gridSpan w:val="3"/>
          </w:tcPr>
          <w:p>
            <w:pPr>
              <w:spacing w:after="0"/>
              <w:rPr>
                <w:sz w:val="7"/>
                <w:szCs w:val="7"/>
                <w:color w:val="auto"/>
              </w:rPr>
            </w:pPr>
          </w:p>
        </w:tc>
        <w:tc>
          <w:tcPr>
            <w:tcW w:w="740" w:type="dxa"/>
            <w:vAlign w:val="bottom"/>
            <w:vMerge w:val="restart"/>
          </w:tcPr>
          <w:p>
            <w:pPr>
              <w:ind w:left="2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23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180" w:type="dxa"/>
            <w:vAlign w:val="bottom"/>
            <w:gridSpan w:val="6"/>
          </w:tcPr>
          <w:p>
            <w:pPr>
              <w:spacing w:after="0"/>
              <w:rPr>
                <w:sz w:val="20"/>
                <w:szCs w:val="20"/>
                <w:color w:val="auto"/>
              </w:rPr>
            </w:pPr>
            <w:r>
              <w:rPr>
                <w:rFonts w:ascii="Arial" w:cs="Arial" w:eastAsia="Arial" w:hAnsi="Arial"/>
                <w:sz w:val="17"/>
                <w:szCs w:val="17"/>
                <w:color w:val="auto"/>
                <w:w w:val="92"/>
              </w:rPr>
              <w:t>Indicate by check mark if the registrant is a well-known seasoned issuer, as defined in Rule 405 of the Securities Act.</w:t>
            </w:r>
          </w:p>
        </w:tc>
        <w:tc>
          <w:tcPr>
            <w:tcW w:w="740" w:type="dxa"/>
            <w:vAlign w:val="bottom"/>
            <w:vMerge w:val="continue"/>
          </w:tcPr>
          <w:p>
            <w:pPr>
              <w:spacing w:after="0"/>
              <w:rPr>
                <w:sz w:val="22"/>
                <w:szCs w:val="22"/>
                <w:color w:val="auto"/>
              </w:rPr>
            </w:pPr>
          </w:p>
        </w:tc>
        <w:tc>
          <w:tcPr>
            <w:tcW w:w="2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80" w:type="dxa"/>
            <w:vAlign w:val="bottom"/>
            <w:gridSpan w:val="6"/>
          </w:tcPr>
          <w:p>
            <w:pPr>
              <w:spacing w:after="0"/>
              <w:rPr>
                <w:sz w:val="20"/>
                <w:szCs w:val="20"/>
                <w:color w:val="auto"/>
              </w:rPr>
            </w:pPr>
            <w:r>
              <w:rPr>
                <w:rFonts w:ascii="Arial" w:cs="Arial" w:eastAsia="Arial" w:hAnsi="Arial"/>
                <w:sz w:val="17"/>
                <w:szCs w:val="17"/>
                <w:color w:val="auto"/>
                <w:w w:val="91"/>
              </w:rPr>
              <w:t>Indicate by check mark if the registrant is not required to file reports pursuant to Section 13 or Section 15(d) of the Act.</w:t>
            </w:r>
          </w:p>
        </w:tc>
        <w:tc>
          <w:tcPr>
            <w:tcW w:w="74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232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60"/>
        <w:spacing w:after="0" w:line="23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50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Emerging growth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ind w:right="40"/>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 w:lineRule="exact"/>
        <w:rPr>
          <w:sz w:val="24"/>
          <w:szCs w:val="24"/>
          <w:color w:val="auto"/>
        </w:rPr>
      </w:pPr>
    </w:p>
    <w:p>
      <w:pPr>
        <w:spacing w:after="0" w:line="196" w:lineRule="exact"/>
        <w:tabs>
          <w:tab w:leader="none" w:pos="7200" w:val="left"/>
          <w:tab w:leader="none" w:pos="79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7"/>
          <w:szCs w:val="17"/>
          <w:color w:val="auto"/>
        </w:rPr>
        <w:tab/>
        <w:t xml:space="preserve">NO </w:t>
      </w:r>
      <w:r>
        <w:rPr>
          <w:rFonts w:ascii="MS PGothic" w:cs="MS PGothic" w:eastAsia="MS PGothic" w:hAnsi="MS PGothic"/>
          <w:sz w:val="16"/>
          <w:szCs w:val="16"/>
          <w:color w:val="auto"/>
        </w:rPr>
        <w:t>☒</w:t>
      </w:r>
    </w:p>
    <w:p>
      <w:pPr>
        <w:spacing w:after="0" w:line="83" w:lineRule="exact"/>
        <w:rPr>
          <w:sz w:val="24"/>
          <w:szCs w:val="24"/>
          <w:color w:val="auto"/>
        </w:rPr>
      </w:pPr>
    </w:p>
    <w:p>
      <w:pPr>
        <w:jc w:val="both"/>
        <w:ind w:right="260"/>
        <w:spacing w:after="0" w:line="261"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2021, based on the closing price on that date of $22.19 on The New York Stock Exchange, was approximately $1,546,301,637. The number of shares of the registrant’s common stock, $.01 par value per share, outstanding at February 17, 2022 was 76,005,084.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43815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p>
      <w:pPr>
        <w:ind w:left="36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65"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for the 2022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440055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gridSpan w:val="12"/>
          </w:tcPr>
          <w:p>
            <w:pPr>
              <w:jc w:val="center"/>
              <w:ind w:right="2260"/>
              <w:spacing w:after="0"/>
              <w:rPr>
                <w:sz w:val="20"/>
                <w:szCs w:val="20"/>
                <w:color w:val="auto"/>
              </w:rPr>
            </w:pPr>
            <w:r>
              <w:rPr>
                <w:rFonts w:ascii="Arial" w:cs="Arial" w:eastAsia="Arial" w:hAnsi="Arial"/>
                <w:sz w:val="18"/>
                <w:szCs w:val="18"/>
                <w:b w:val="1"/>
                <w:bCs w:val="1"/>
                <w:color w:val="auto"/>
              </w:rPr>
              <w:t>SIXTH STREET SPECIALTY LENDING, INC.</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gridSpan w:val="12"/>
          </w:tcPr>
          <w:p>
            <w:pPr>
              <w:jc w:val="center"/>
              <w:ind w:right="2260"/>
              <w:spacing w:after="0"/>
              <w:rPr>
                <w:sz w:val="20"/>
                <w:szCs w:val="20"/>
                <w:color w:val="auto"/>
              </w:rPr>
            </w:pPr>
            <w:r>
              <w:rPr>
                <w:rFonts w:ascii="Arial" w:cs="Arial" w:eastAsia="Arial" w:hAnsi="Arial"/>
                <w:sz w:val="18"/>
                <w:szCs w:val="18"/>
                <w:b w:val="1"/>
                <w:bCs w:val="1"/>
                <w:color w:val="auto"/>
                <w:w w:val="93"/>
              </w:rPr>
              <w:t>Index to Annual Report on Form 10-K for</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00" w:type="dxa"/>
            <w:vAlign w:val="bottom"/>
            <w:gridSpan w:val="10"/>
          </w:tcPr>
          <w:p>
            <w:pPr>
              <w:jc w:val="center"/>
              <w:ind w:right="3380"/>
              <w:spacing w:after="0"/>
              <w:rPr>
                <w:sz w:val="20"/>
                <w:szCs w:val="20"/>
                <w:color w:val="auto"/>
              </w:rPr>
            </w:pPr>
            <w:r>
              <w:rPr>
                <w:rFonts w:ascii="Arial" w:cs="Arial" w:eastAsia="Arial" w:hAnsi="Arial"/>
                <w:sz w:val="18"/>
                <w:szCs w:val="18"/>
                <w:b w:val="1"/>
                <w:bCs w:val="1"/>
                <w:color w:val="auto"/>
                <w:w w:val="90"/>
              </w:rPr>
              <w:t>Year Ended December 31, 2021</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60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600" w:type="dxa"/>
            <w:vAlign w:val="bottom"/>
            <w:tcBorders>
              <w:bottom w:val="single" w:sz="8" w:color="0000EE"/>
            </w:tcBorders>
            <w:vMerge w:val="continue"/>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420" w:type="dxa"/>
            <w:vAlign w:val="bottom"/>
            <w:gridSpan w:val="21"/>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06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Unresolved Staff Comments</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Properties</w:t>
              </w:r>
            </w:hyperlink>
          </w:p>
        </w:tc>
        <w:tc>
          <w:tcPr>
            <w:tcW w:w="7020" w:type="dxa"/>
            <w:vAlign w:val="bottom"/>
            <w:gridSpan w:val="12"/>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Legal Proceedings</w:t>
              </w:r>
            </w:hyperlink>
          </w:p>
        </w:tc>
        <w:tc>
          <w:tcPr>
            <w:tcW w:w="7720" w:type="dxa"/>
            <w:vAlign w:val="bottom"/>
            <w:gridSpan w:val="17"/>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7"/>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9">
              <w:r>
                <w:rPr>
                  <w:rFonts w:ascii="Arial" w:cs="Arial" w:eastAsia="Arial" w:hAnsi="Arial"/>
                  <w:sz w:val="18"/>
                  <w:szCs w:val="18"/>
                  <w:b w:val="1"/>
                  <w:bCs w:val="1"/>
                  <w:color w:val="0000EE"/>
                  <w:w w:val="99"/>
                </w:rPr>
                <w:t>PART II</w:t>
              </w:r>
            </w:hyperlink>
          </w:p>
        </w:tc>
        <w:tc>
          <w:tcPr>
            <w:tcW w:w="54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906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Market for Registrant’s Common Equity, Related Stockholder Matters and Issuer Purchases of Equity Securities</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Selected Financial Data</w:t>
              </w:r>
            </w:hyperlink>
          </w:p>
        </w:tc>
        <w:tc>
          <w:tcPr>
            <w:tcW w:w="1000" w:type="dxa"/>
            <w:vAlign w:val="bottom"/>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4"/>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Quantitative and Qualitative Disclosures About Market Risk</w:t>
              </w:r>
            </w:hyperlink>
          </w:p>
        </w:tc>
        <w:tc>
          <w:tcPr>
            <w:tcW w:w="4700" w:type="dxa"/>
            <w:vAlign w:val="bottom"/>
            <w:gridSpan w:val="7"/>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Financial Statements and Supplementary Data</w:t>
              </w:r>
            </w:hyperlink>
          </w:p>
        </w:tc>
        <w:tc>
          <w:tcPr>
            <w:tcW w:w="4740" w:type="dxa"/>
            <w:vAlign w:val="bottom"/>
            <w:gridSpan w:val="8"/>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Changes in and Disagreements with Accountants on Accounting and Financial Disclosure</w:t>
              </w:r>
            </w:hyperlink>
          </w:p>
        </w:tc>
        <w:tc>
          <w:tcPr>
            <w:tcW w:w="2580" w:type="dxa"/>
            <w:vAlign w:val="bottom"/>
            <w:gridSpan w:val="3"/>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060" w:type="dxa"/>
            <w:vAlign w:val="bottom"/>
            <w:gridSpan w:val="22"/>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Controls and Procedures</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17"/>
                <w:szCs w:val="17"/>
                <w:color w:val="auto"/>
              </w:rPr>
            </w:pPr>
          </w:p>
        </w:tc>
        <w:tc>
          <w:tcPr>
            <w:tcW w:w="7300" w:type="dxa"/>
            <w:vAlign w:val="bottom"/>
            <w:gridSpan w:val="14"/>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9C.</w:t>
            </w:r>
          </w:p>
        </w:tc>
        <w:tc>
          <w:tcPr>
            <w:tcW w:w="9060" w:type="dxa"/>
            <w:vAlign w:val="bottom"/>
            <w:gridSpan w:val="22"/>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Disclosure Regarding Foreign Jurisdictions that Prevent Inspections</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PART III</w:t>
              </w:r>
            </w:hyperlink>
          </w:p>
        </w:tc>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060" w:type="dxa"/>
            <w:vAlign w:val="bottom"/>
            <w:gridSpan w:val="22"/>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Directors, Executive Officers and Corporate Governance</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4"/>
          </w:tcPr>
          <w:p>
            <w:pPr>
              <w:spacing w:after="0"/>
              <w:rPr>
                <w:sz w:val="17"/>
                <w:szCs w:val="17"/>
                <w:color w:val="auto"/>
              </w:rPr>
            </w:pPr>
          </w:p>
        </w:tc>
        <w:tc>
          <w:tcPr>
            <w:tcW w:w="4980" w:type="dxa"/>
            <w:vAlign w:val="bottom"/>
            <w:gridSpan w:val="9"/>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060" w:type="dxa"/>
            <w:vAlign w:val="bottom"/>
            <w:gridSpan w:val="22"/>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Security Ownership of Certain Beneficial Owners and Management and Related Stockholder Matters</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Principal Accountant Fees and Services</w:t>
              </w:r>
            </w:hyperlink>
          </w:p>
        </w:tc>
        <w:tc>
          <w:tcPr>
            <w:tcW w:w="3620" w:type="dxa"/>
            <w:vAlign w:val="bottom"/>
            <w:gridSpan w:val="5"/>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200" w:type="dxa"/>
            <w:vAlign w:val="bottom"/>
            <w:gridSpan w:val="5"/>
          </w:tcPr>
          <w:p>
            <w:pPr>
              <w:spacing w:after="0"/>
              <w:rPr>
                <w:rFonts w:ascii="Arial" w:cs="Arial" w:eastAsia="Arial" w:hAnsi="Arial"/>
                <w:sz w:val="18"/>
                <w:szCs w:val="18"/>
                <w:b w:val="1"/>
                <w:bCs w:val="1"/>
                <w:color w:val="0000EE"/>
              </w:rPr>
            </w:pPr>
            <w:hyperlink w:anchor="page141">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15.</w:t>
            </w:r>
          </w:p>
        </w:tc>
        <w:tc>
          <w:tcPr>
            <w:tcW w:w="480" w:type="dxa"/>
            <w:vAlign w:val="bottom"/>
            <w:gridSpan w:val="2"/>
          </w:tcPr>
          <w:p>
            <w:pPr>
              <w:spacing w:after="0"/>
              <w:rPr>
                <w:sz w:val="17"/>
                <w:szCs w:val="17"/>
                <w:color w:val="auto"/>
              </w:rPr>
            </w:pP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Exhibits and Financial Statement Schedules</w:t>
              </w:r>
            </w:hyperlink>
          </w:p>
        </w:tc>
        <w:tc>
          <w:tcPr>
            <w:tcW w:w="5900" w:type="dxa"/>
            <w:vAlign w:val="bottom"/>
            <w:gridSpan w:val="10"/>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20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9060" w:type="dxa"/>
            <w:vAlign w:val="bottom"/>
            <w:gridSpan w:val="22"/>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Form 10-K Summary</w:t>
              </w:r>
            </w:hyperlink>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88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Borders>
              <w:top w:val="single" w:sz="8" w:color="0000EE"/>
            </w:tcBorders>
            <w:gridSpan w:val="6"/>
          </w:tcPr>
          <w:p>
            <w:pPr>
              <w:spacing w:after="0"/>
              <w:rPr>
                <w:sz w:val="24"/>
                <w:szCs w:val="24"/>
                <w:color w:val="auto"/>
              </w:rPr>
            </w:pPr>
          </w:p>
        </w:tc>
        <w:tc>
          <w:tcPr>
            <w:tcW w:w="3360" w:type="dxa"/>
            <w:vAlign w:val="bottom"/>
            <w:gridSpan w:val="10"/>
          </w:tcPr>
          <w:p>
            <w:pPr>
              <w:jc w:val="center"/>
              <w:ind w:left="2310"/>
              <w:spacing w:after="0"/>
              <w:rPr>
                <w:sz w:val="20"/>
                <w:szCs w:val="20"/>
                <w:color w:val="auto"/>
              </w:rPr>
            </w:pPr>
            <w:r>
              <w:rPr>
                <w:rFonts w:ascii="Arial" w:cs="Arial" w:eastAsia="Arial" w:hAnsi="Arial"/>
                <w:sz w:val="18"/>
                <w:szCs w:val="18"/>
                <w:color w:val="auto"/>
                <w:w w:val="79"/>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00" w:right="52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8" w:lineRule="exact"/>
        <w:rPr>
          <w:rFonts w:ascii="Arial" w:cs="Arial" w:eastAsia="Arial" w:hAnsi="Arial"/>
          <w:sz w:val="17"/>
          <w:szCs w:val="17"/>
          <w:color w:val="auto"/>
        </w:rPr>
      </w:pPr>
    </w:p>
    <w:p>
      <w:pPr>
        <w:ind w:left="500" w:right="220" w:hanging="249"/>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44" w:lineRule="exact"/>
        <w:rPr>
          <w:rFonts w:ascii="Arial" w:cs="Arial" w:eastAsia="Arial" w:hAnsi="Arial"/>
          <w:sz w:val="18"/>
          <w:szCs w:val="18"/>
          <w:color w:val="auto"/>
        </w:rPr>
      </w:pPr>
    </w:p>
    <w:p>
      <w:pPr>
        <w:ind w:left="500" w:right="200" w:hanging="249"/>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report and elsewhere in our filings with the SEC.</w:t>
      </w:r>
    </w:p>
    <w:p>
      <w:pPr>
        <w:spacing w:after="0" w:line="275"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“TSLX” and “TAO” marks are marks of Sixth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 (formerly known as “TSSP” or “TPG Sixth Street Partners”). The term “TPG” refers to TPG Global, LLC and its affiliates.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2021, we have originated approximately $20.1 billion aggregate principal amount of investments and retained approximately $8.4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2021, our core portfolio companies, which exclude certain investments that fall outside of our typical borrower profile and represent 88.8% of our total investments based on fair value, had weighted average annual revenue of $114.4 million and weighted average annual EBITDA of $32.3 million.</w:t>
      </w:r>
    </w:p>
    <w:p>
      <w:pPr>
        <w:spacing w:after="0" w:line="181"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70"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70" w:lineRule="exact"/>
        <w:rPr>
          <w:sz w:val="20"/>
          <w:szCs w:val="20"/>
          <w:color w:val="auto"/>
        </w:rPr>
      </w:pPr>
    </w:p>
    <w:p>
      <w:pPr>
        <w:ind w:right="60" w:firstLine="255"/>
        <w:spacing w:after="0" w:line="284"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2021, based on fair value our portfolio consisted of 91.2% first-lien debt investments, 1.7% second-lien debt investments, 0.7% mezzanine investments, and 6.4% equity and other investments. As of December 31, 2021,</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98.9% of our debt investments based on fair value bore interest at floating rates (when including investment specific hedges), with 99.4% of these subject to interest rate floors, which we believe helps act as a portfolio-wide hedge against inflation. As of December 31, 2021 we had investments in 72 portfolio companies, with an average investment size of approximately $35.0 million based on fair value. As of December 31, 2021, the largest single investment based on fair value represented 3.4% of our total investment portfolio.</w:t>
      </w:r>
    </w:p>
    <w:p>
      <w:pPr>
        <w:spacing w:after="0" w:line="193" w:lineRule="exact"/>
        <w:rPr>
          <w:sz w:val="20"/>
          <w:szCs w:val="20"/>
          <w:color w:val="auto"/>
        </w:rPr>
      </w:pPr>
    </w:p>
    <w:p>
      <w:pPr>
        <w:jc w:val="both"/>
        <w:ind w:firstLine="255"/>
        <w:spacing w:after="0" w:line="342" w:lineRule="auto"/>
        <w:rPr>
          <w:sz w:val="20"/>
          <w:szCs w:val="20"/>
          <w:color w:val="auto"/>
        </w:rPr>
      </w:pPr>
      <w:r>
        <w:rPr>
          <w:rFonts w:ascii="Arial" w:cs="Arial" w:eastAsia="Arial" w:hAnsi="Arial"/>
          <w:sz w:val="16"/>
          <w:szCs w:val="16"/>
          <w:color w:val="auto"/>
        </w:rPr>
        <w:t>As of December 31, 2021, our portfolio was invested across 15 different industries. The largest industries in our portfolio as of December 31, 2021 were business services and retail and consumer products, which represented, as a percentage of our portfolio, 16.8%, and 12.3% respectively, based on fair value.</w:t>
      </w:r>
    </w:p>
    <w:p>
      <w:pPr>
        <w:spacing w:after="0" w:line="124"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8"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our ratio of total assets (less total liabilities other than indebtedness) to total indebtedness plus preferred stock is at least 150%. In determining whether to borrow money, we analyze the maturity, covenant package and rate structure of the proposed borrowings, as well as the risks of those borrowings compared to our investment outlook. The use of borrowed funds or the proceeds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both"/>
        <w:ind w:right="200"/>
        <w:spacing w:after="0" w:line="259" w:lineRule="auto"/>
        <w:rPr>
          <w:sz w:val="20"/>
          <w:szCs w:val="20"/>
          <w:color w:val="auto"/>
        </w:rPr>
      </w:pPr>
      <w:r>
        <w:rPr>
          <w:rFonts w:ascii="Arial" w:cs="Arial" w:eastAsia="Arial" w:hAnsi="Arial"/>
          <w:sz w:val="18"/>
          <w:szCs w:val="18"/>
          <w:color w:val="auto"/>
        </w:rPr>
        <w:t>of preferred stock offerings to make investments has its own specific set of benefits and risks, and all of the costs of borrowing funds or issuing preferred stock are borne by us, and ultimately the holders of our common stock. See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r>
        <w:rPr>
          <w:rFonts w:ascii="Arial" w:cs="Arial" w:eastAsia="Arial" w:hAnsi="Arial"/>
          <w:sz w:val="18"/>
          <w:szCs w:val="18"/>
          <w:i w:val="1"/>
          <w:iCs w:val="1"/>
          <w:color w:val="auto"/>
        </w:rPr>
        <w:t>Risks Related to Our Business and Structure—We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 money, which magnifies the potential for gain or loss and increases the risk of investing in us.” </w:t>
      </w:r>
      <w:r>
        <w:rPr>
          <w:rFonts w:ascii="Arial" w:cs="Arial" w:eastAsia="Arial" w:hAnsi="Arial"/>
          <w:sz w:val="18"/>
          <w:szCs w:val="18"/>
          <w:color w:val="auto"/>
        </w:rPr>
        <w:t>See also “</w:t>
      </w:r>
      <w:r>
        <w:rPr>
          <w:rFonts w:ascii="Arial" w:cs="Arial" w:eastAsia="Arial" w:hAnsi="Arial"/>
          <w:sz w:val="18"/>
          <w:szCs w:val="18"/>
          <w:i w:val="1"/>
          <w:iCs w:val="1"/>
          <w:color w:val="auto"/>
        </w:rPr>
        <w:t>Regulation as a Business Development Company—Senior Securities.</w:t>
      </w:r>
      <w:r>
        <w:rPr>
          <w:rFonts w:ascii="Arial" w:cs="Arial" w:eastAsia="Arial" w:hAnsi="Arial"/>
          <w:sz w:val="18"/>
          <w:szCs w:val="18"/>
          <w:color w:val="auto"/>
        </w:rPr>
        <w: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Adviser, and Sixth Street</w:t>
      </w:r>
    </w:p>
    <w:p>
      <w:pPr>
        <w:spacing w:after="0" w:line="121"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64" w:lineRule="exact"/>
        <w:rPr>
          <w:sz w:val="20"/>
          <w:szCs w:val="20"/>
          <w:color w:val="auto"/>
        </w:rPr>
      </w:pPr>
    </w:p>
    <w:p>
      <w:pPr>
        <w:ind w:right="40" w:firstLine="255"/>
        <w:spacing w:after="0" w:line="288" w:lineRule="auto"/>
        <w:rPr>
          <w:sz w:val="20"/>
          <w:szCs w:val="20"/>
          <w:color w:val="auto"/>
        </w:rPr>
      </w:pPr>
      <w:r>
        <w:rPr>
          <w:rFonts w:ascii="Arial" w:cs="Arial" w:eastAsia="Arial" w:hAnsi="Arial"/>
          <w:sz w:val="16"/>
          <w:szCs w:val="16"/>
          <w:color w:val="auto"/>
        </w:rPr>
        <w:t>Sixth Street is a global investment business with approximately $60 billion of assets under management.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370 investment and operating professionals. As of December 31, 2021, thirty three (33) of these personnel are dedicated to our business, including twenty five (25) investment professionals.</w:t>
      </w:r>
    </w:p>
    <w:p>
      <w:pPr>
        <w:spacing w:after="0" w:line="168" w:lineRule="exact"/>
        <w:rPr>
          <w:sz w:val="20"/>
          <w:szCs w:val="20"/>
          <w:color w:val="auto"/>
        </w:rPr>
      </w:pPr>
    </w:p>
    <w:p>
      <w:pPr>
        <w:ind w:right="380" w:firstLine="255"/>
        <w:spacing w:after="0" w:line="293" w:lineRule="auto"/>
        <w:rPr>
          <w:sz w:val="20"/>
          <w:szCs w:val="20"/>
          <w:color w:val="auto"/>
        </w:rPr>
      </w:pPr>
      <w:r>
        <w:rPr>
          <w:rFonts w:ascii="Arial" w:cs="Arial" w:eastAsia="Arial" w:hAnsi="Arial"/>
          <w:sz w:val="16"/>
          <w:szCs w:val="16"/>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64"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December 28, 2021,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Arial" w:cs="Arial" w:eastAsia="Arial" w:hAnsi="Arial"/>
          <w:sz w:val="18"/>
          <w:szCs w:val="18"/>
          <w:i w:val="1"/>
          <w:iCs w:val="1"/>
          <w:color w:val="auto"/>
        </w:rPr>
        <w:t>Regulation as a Business Development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with our affiliates.”</w:t>
      </w:r>
    </w:p>
    <w:p>
      <w:pPr>
        <w:spacing w:after="0" w:line="188"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ind w:right="460" w:firstLine="255"/>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ind w:right="40" w:firstLine="255"/>
        <w:spacing w:after="0" w:line="296" w:lineRule="auto"/>
        <w:rPr>
          <w:sz w:val="20"/>
          <w:szCs w:val="20"/>
          <w:color w:val="auto"/>
        </w:rPr>
      </w:pPr>
      <w:r>
        <w:rPr>
          <w:rFonts w:ascii="Arial" w:cs="Arial" w:eastAsia="Arial" w:hAnsi="Arial"/>
          <w:sz w:val="16"/>
          <w:szCs w:val="16"/>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Arial" w:cs="Arial" w:eastAsia="Arial" w:hAnsi="Arial"/>
          <w:sz w:val="16"/>
          <w:szCs w:val="16"/>
          <w:i w:val="1"/>
          <w:iCs w:val="1"/>
          <w:color w:val="auto"/>
        </w:rPr>
        <w:t>Management Agreements—Investment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Advisory Agreement; Administration Agreement; License Agreement</w:t>
      </w:r>
      <w:r>
        <w:rPr>
          <w:rFonts w:ascii="Arial" w:cs="Arial" w:eastAsia="Arial" w:hAnsi="Arial"/>
          <w:sz w:val="16"/>
          <w:szCs w:val="16"/>
          <w:color w:val="auto"/>
        </w:rPr>
        <w:t>.” Our Board monitors the mix and performance of our investments over time and</w:t>
      </w:r>
      <w:r>
        <w:rPr>
          <w:rFonts w:ascii="Arial" w:cs="Arial" w:eastAsia="Arial" w:hAnsi="Arial"/>
          <w:sz w:val="16"/>
          <w:szCs w:val="16"/>
          <w:i w:val="1"/>
          <w:iCs w:val="1"/>
          <w:color w:val="auto"/>
        </w:rPr>
        <w:t xml:space="preserve"> </w:t>
      </w:r>
      <w:r>
        <w:rPr>
          <w:rFonts w:ascii="Arial" w:cs="Arial" w:eastAsia="Arial" w:hAnsi="Arial"/>
          <w:sz w:val="16"/>
          <w:szCs w:val="16"/>
          <w:color w:val="auto"/>
        </w:rPr>
        <w:t>seeks to satisfy itself that the Adviser is acting in our interests and that our fee structure appropriately incentivizes the Adviser to do so.</w:t>
      </w:r>
    </w:p>
    <w:p>
      <w:pPr>
        <w:spacing w:after="0" w:line="161"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In November 2021, our Board renewed the Investment Advisory Agreement. Unless earlier terminated, the Investment Advisory Agreement will remain in effect until November 2022, and may be extended subject to required approvals.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investment approach involves, among other things:</w:t>
      </w:r>
    </w:p>
    <w:p>
      <w:pPr>
        <w:spacing w:after="0" w:line="117" w:lineRule="exact"/>
        <w:rPr>
          <w:sz w:val="20"/>
          <w:szCs w:val="20"/>
          <w:color w:val="auto"/>
        </w:rPr>
      </w:pPr>
    </w:p>
    <w:p>
      <w:pPr>
        <w:ind w:left="500" w:hanging="249"/>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assessment of the markets, overall macroeconomic environment and how the assessment may impact industry and investment selection;</w:t>
      </w:r>
    </w:p>
    <w:p>
      <w:pPr>
        <w:spacing w:after="0" w:line="155" w:lineRule="exact"/>
        <w:rPr>
          <w:rFonts w:ascii="Arial" w:cs="Arial" w:eastAsia="Arial" w:hAnsi="Arial"/>
          <w:sz w:val="17"/>
          <w:szCs w:val="17"/>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52" w:lineRule="exact"/>
        <w:rPr>
          <w:sz w:val="20"/>
          <w:szCs w:val="20"/>
          <w:color w:val="auto"/>
        </w:rPr>
      </w:pPr>
    </w:p>
    <w:p>
      <w:pPr>
        <w:ind w:right="740" w:firstLine="255"/>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16" w:lineRule="exact"/>
        <w:rPr>
          <w:sz w:val="20"/>
          <w:szCs w:val="20"/>
          <w:color w:val="auto"/>
        </w:rPr>
      </w:pPr>
    </w:p>
    <w:p>
      <w:pPr>
        <w:ind w:left="500" w:hanging="249"/>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52"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Process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9" w:lineRule="exact"/>
        <w:rPr>
          <w:sz w:val="20"/>
          <w:szCs w:val="20"/>
          <w:color w:val="auto"/>
        </w:rPr>
      </w:pPr>
    </w:p>
    <w:p>
      <w:pPr>
        <w:ind w:left="500" w:hanging="249"/>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understanding the purpose of the capital requirement, the key personnel and variables, as well as the sources and uses of the proceeds;</w:t>
      </w:r>
    </w:p>
    <w:p>
      <w:pPr>
        <w:spacing w:after="0" w:line="155" w:lineRule="exact"/>
        <w:rPr>
          <w:rFonts w:ascii="Arial" w:cs="Arial" w:eastAsia="Arial" w:hAnsi="Arial"/>
          <w:sz w:val="17"/>
          <w:szCs w:val="17"/>
          <w:color w:val="auto"/>
        </w:rPr>
      </w:pPr>
    </w:p>
    <w:p>
      <w:pPr>
        <w:ind w:left="500" w:right="200" w:hanging="249"/>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44" w:lineRule="exact"/>
        <w:rPr>
          <w:rFonts w:ascii="Arial" w:cs="Arial" w:eastAsia="Arial" w:hAnsi="Arial"/>
          <w:sz w:val="18"/>
          <w:szCs w:val="18"/>
          <w:color w:val="auto"/>
        </w:rPr>
      </w:pPr>
    </w:p>
    <w:p>
      <w:pPr>
        <w:ind w:left="500" w:right="580" w:hanging="249"/>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67" w:lineRule="exact"/>
        <w:rPr>
          <w:rFonts w:ascii="Arial" w:cs="Arial" w:eastAsia="Arial" w:hAnsi="Arial"/>
          <w:sz w:val="16"/>
          <w:szCs w:val="16"/>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Sixth Street internal resources with institutional knowledge of the company’s business;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117"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117" w:lineRule="exact"/>
        <w:rPr>
          <w:sz w:val="20"/>
          <w:szCs w:val="20"/>
          <w:color w:val="auto"/>
        </w:rPr>
      </w:pPr>
    </w:p>
    <w:p>
      <w:pPr>
        <w:jc w:val="both"/>
        <w:ind w:right="40" w:firstLine="255"/>
        <w:spacing w:after="0" w:line="263" w:lineRule="auto"/>
        <w:rPr>
          <w:sz w:val="20"/>
          <w:szCs w:val="20"/>
          <w:color w:val="auto"/>
        </w:rPr>
      </w:pPr>
      <w:r>
        <w:rPr>
          <w:rFonts w:ascii="Arial" w:cs="Arial" w:eastAsia="Arial" w:hAnsi="Arial"/>
          <w:sz w:val="18"/>
          <w:szCs w:val="18"/>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11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44"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5" w:lineRule="exact"/>
        <w:rPr>
          <w:rFonts w:ascii="Arial" w:cs="Arial" w:eastAsia="Arial" w:hAnsi="Arial"/>
          <w:sz w:val="18"/>
          <w:szCs w:val="18"/>
          <w:color w:val="auto"/>
        </w:rPr>
      </w:pPr>
    </w:p>
    <w:p>
      <w:pPr>
        <w:ind w:left="500" w:right="100" w:hanging="249"/>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 w:name="page8"/>
    <w:bookmarkEnd w:id="7"/>
    <w:p>
      <w:pPr>
        <w:ind w:left="500" w:right="120" w:hanging="249"/>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20" w:hanging="249"/>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200" w:hanging="249"/>
        <w:spacing w:after="0" w:line="279"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 xml:space="preserve">For more information on the investment performance ratings of our portfolio, see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OPERATIONS—Portfolio and Investment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2" w:lineRule="exact"/>
        <w:rPr>
          <w:sz w:val="20"/>
          <w:szCs w:val="20"/>
          <w:color w:val="auto"/>
        </w:rPr>
      </w:pPr>
    </w:p>
    <w:p>
      <w:pPr>
        <w:ind w:left="500" w:right="40" w:hanging="249"/>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71" w:lineRule="exact"/>
        <w:rPr>
          <w:rFonts w:ascii="Arial" w:cs="Arial" w:eastAsia="Arial" w:hAnsi="Arial"/>
          <w:sz w:val="18"/>
          <w:szCs w:val="18"/>
          <w:color w:val="auto"/>
        </w:rPr>
      </w:pPr>
    </w:p>
    <w:p>
      <w:pPr>
        <w:ind w:left="500" w:right="80" w:hanging="249"/>
        <w:spacing w:after="0" w:line="28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subject to the first-priority security interest.</w:t>
      </w:r>
    </w:p>
    <w:p>
      <w:pPr>
        <w:spacing w:after="0" w:line="53" w:lineRule="exact"/>
        <w:rPr>
          <w:rFonts w:ascii="Arial" w:cs="Arial" w:eastAsia="Arial" w:hAnsi="Arial"/>
          <w:sz w:val="18"/>
          <w:szCs w:val="18"/>
          <w:color w:val="auto"/>
        </w:rPr>
      </w:pPr>
    </w:p>
    <w:p>
      <w:pPr>
        <w:ind w:left="500" w:hanging="249"/>
        <w:spacing w:after="0" w:line="25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3" w:lineRule="exact"/>
        <w:rPr>
          <w:rFonts w:ascii="Arial" w:cs="Arial" w:eastAsia="Arial" w:hAnsi="Arial"/>
          <w:sz w:val="18"/>
          <w:szCs w:val="18"/>
          <w:color w:val="auto"/>
        </w:rPr>
      </w:pPr>
    </w:p>
    <w:p>
      <w:pPr>
        <w:ind w:left="500" w:right="20" w:hanging="249"/>
        <w:spacing w:after="0" w:line="289"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“Unitranche” loans. </w:t>
      </w:r>
      <w:r>
        <w:rPr>
          <w:rFonts w:ascii="Arial" w:cs="Arial" w:eastAsia="Arial" w:hAnsi="Arial"/>
          <w:sz w:val="17"/>
          <w:szCs w:val="17"/>
          <w:color w:val="auto"/>
        </w:rPr>
        <w:t>Unitranche loans combine features of first-lien, second-lien and mezzanine debt, generally in a first-lien position. In many</w:t>
      </w:r>
      <w:r>
        <w:rPr>
          <w:rFonts w:ascii="Arial" w:cs="Arial" w:eastAsia="Arial" w:hAnsi="Arial"/>
          <w:sz w:val="17"/>
          <w:szCs w:val="17"/>
          <w:b w:val="1"/>
          <w:bCs w:val="1"/>
          <w:color w:val="auto"/>
        </w:rPr>
        <w:t xml:space="preserve"> </w:t>
      </w:r>
      <w:r>
        <w:rPr>
          <w:rFonts w:ascii="Arial" w:cs="Arial" w:eastAsia="Arial" w:hAnsi="Arial"/>
          <w:sz w:val="17"/>
          <w:szCs w:val="17"/>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8" w:name="page9"/>
    <w:bookmarkEnd w:id="8"/>
    <w:p>
      <w:pPr>
        <w:ind w:left="500" w:right="40" w:hanging="249"/>
        <w:spacing w:after="0" w:line="258"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5" w:lineRule="exact"/>
        <w:rPr>
          <w:rFonts w:ascii="Arial" w:cs="Arial" w:eastAsia="Arial" w:hAnsi="Arial"/>
          <w:sz w:val="18"/>
          <w:szCs w:val="18"/>
          <w:color w:val="auto"/>
        </w:rPr>
      </w:pPr>
    </w:p>
    <w:p>
      <w:pPr>
        <w:ind w:left="500" w:right="100" w:hanging="249"/>
        <w:spacing w:after="0" w:line="25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“Mezzanine” and “Unsecured” debt. </w:t>
      </w:r>
      <w:r>
        <w:rPr>
          <w:rFonts w:ascii="Arial" w:cs="Arial" w:eastAsia="Arial" w:hAnsi="Arial"/>
          <w:sz w:val="18"/>
          <w:szCs w:val="18"/>
          <w:color w:val="auto"/>
        </w:rPr>
        <w:t>Structurally, mezzanine debt usually ranks subordinate in priority of payment to first-lien and second-lien</w:t>
      </w:r>
      <w:r>
        <w:rPr>
          <w:rFonts w:ascii="Arial" w:cs="Arial" w:eastAsia="Arial" w:hAnsi="Arial"/>
          <w:sz w:val="18"/>
          <w:szCs w:val="18"/>
          <w:b w:val="1"/>
          <w:bCs w:val="1"/>
          <w:color w:val="auto"/>
        </w:rPr>
        <w:t xml:space="preserve"> </w:t>
      </w:r>
      <w:r>
        <w:rPr>
          <w:rFonts w:ascii="Arial" w:cs="Arial" w:eastAsia="Arial" w:hAnsi="Arial"/>
          <w:sz w:val="18"/>
          <w:szCs w:val="18"/>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2" w:lineRule="exact"/>
        <w:rPr>
          <w:sz w:val="20"/>
          <w:szCs w:val="20"/>
          <w:color w:val="auto"/>
        </w:rPr>
      </w:pPr>
    </w:p>
    <w:p>
      <w:pPr>
        <w:ind w:left="500" w:hanging="249"/>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55" w:lineRule="exact"/>
        <w:rPr>
          <w:rFonts w:ascii="Arial" w:cs="Arial" w:eastAsia="Arial" w:hAnsi="Arial"/>
          <w:sz w:val="17"/>
          <w:szCs w:val="17"/>
          <w:color w:val="auto"/>
        </w:rPr>
      </w:pPr>
    </w:p>
    <w:p>
      <w:pPr>
        <w:ind w:left="500" w:right="320" w:hanging="249"/>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Other Investments</w:t>
      </w:r>
    </w:p>
    <w:p>
      <w:pPr>
        <w:spacing w:after="0" w:line="117" w:lineRule="exact"/>
        <w:rPr>
          <w:sz w:val="20"/>
          <w:szCs w:val="20"/>
          <w:color w:val="auto"/>
        </w:rPr>
      </w:pPr>
    </w:p>
    <w:p>
      <w:pPr>
        <w:jc w:val="both"/>
        <w:ind w:right="460" w:firstLine="255"/>
        <w:spacing w:after="0" w:line="263"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As of December 31, 2021 and 2020, we had made investments with an aggregate fair value of $2,521.6 million and $2,298.9 million, respectively, in 72 and 70 portfolio companies,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consisted of the following at December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20" w:type="dxa"/>
            <w:vAlign w:val="bottom"/>
            <w:gridSpan w:val="2"/>
          </w:tcPr>
          <w:p>
            <w:pPr>
              <w:ind w:left="1140"/>
              <w:spacing w:after="0"/>
              <w:rPr>
                <w:sz w:val="20"/>
                <w:szCs w:val="20"/>
                <w:color w:val="auto"/>
              </w:rPr>
            </w:pPr>
            <w:r>
              <w:rPr>
                <w:rFonts w:ascii="Arial" w:cs="Arial" w:eastAsia="Arial" w:hAnsi="Arial"/>
                <w:sz w:val="14"/>
                <w:szCs w:val="14"/>
                <w:color w:val="auto"/>
              </w:rPr>
              <w:t>($ in millions)</w:t>
            </w:r>
          </w:p>
        </w:tc>
        <w:tc>
          <w:tcPr>
            <w:tcW w:w="3080" w:type="dxa"/>
            <w:vAlign w:val="bottom"/>
            <w:gridSpan w:val="3"/>
          </w:tcPr>
          <w:p>
            <w:pPr>
              <w:ind w:left="19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00" w:type="dxa"/>
            <w:vAlign w:val="bottom"/>
            <w:vMerge w:val="restart"/>
          </w:tcPr>
          <w:p>
            <w:pPr>
              <w:jc w:val="right"/>
              <w:ind w:right="579"/>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r>
      <w:tr>
        <w:trPr>
          <w:trHeight w:val="219"/>
        </w:trPr>
        <w:tc>
          <w:tcPr>
            <w:tcW w:w="3640" w:type="dxa"/>
            <w:vAlign w:val="bottom"/>
          </w:tcPr>
          <w:p>
            <w:pPr>
              <w:spacing w:after="0"/>
              <w:rPr>
                <w:sz w:val="20"/>
                <w:szCs w:val="20"/>
                <w:color w:val="auto"/>
              </w:rPr>
            </w:pPr>
            <w:r>
              <w:rPr>
                <w:rFonts w:ascii="Arial" w:cs="Arial" w:eastAsia="Arial" w:hAnsi="Arial"/>
                <w:sz w:val="14"/>
                <w:szCs w:val="14"/>
                <w:color w:val="auto"/>
              </w:rPr>
              <w:t>($ in millions)</w:t>
            </w:r>
          </w:p>
        </w:tc>
        <w:tc>
          <w:tcPr>
            <w:tcW w:w="2720" w:type="dxa"/>
            <w:vAlign w:val="bottom"/>
            <w:gridSpan w:val="3"/>
          </w:tcPr>
          <w:p>
            <w:pPr>
              <w:ind w:left="154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r>
      <w:tr>
        <w:trPr>
          <w:trHeight w:val="229"/>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FF0FC"/>
            </w:tcBorders>
          </w:tcPr>
          <w:p>
            <w:pPr>
              <w:spacing w:after="0"/>
              <w:rPr>
                <w:sz w:val="19"/>
                <w:szCs w:val="19"/>
                <w:color w:val="auto"/>
              </w:rPr>
            </w:pPr>
          </w:p>
        </w:tc>
      </w:tr>
      <w:tr>
        <w:trPr>
          <w:trHeight w:val="223"/>
        </w:trPr>
        <w:tc>
          <w:tcPr>
            <w:tcW w:w="3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5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4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2021 and 2020 was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9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3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Communications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Financial Services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Insurance</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Marketing Services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Pharmaceuticals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6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2021 and 2020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December 31, 2021</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2020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3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Midwest</w:t>
            </w:r>
          </w:p>
        </w:tc>
        <w:tc>
          <w:tcPr>
            <w:tcW w:w="4900" w:type="dxa"/>
            <w:vAlign w:val="bottom"/>
            <w:gridSpan w:val="3"/>
          </w:tcPr>
          <w:p>
            <w:pPr>
              <w:jc w:val="right"/>
              <w:ind w:right="180"/>
              <w:spacing w:after="0"/>
              <w:rPr>
                <w:sz w:val="20"/>
                <w:szCs w:val="20"/>
                <w:color w:val="auto"/>
              </w:rPr>
            </w:pPr>
            <w:r>
              <w:rPr>
                <w:rFonts w:ascii="Arial" w:cs="Arial" w:eastAsia="Arial" w:hAnsi="Arial"/>
                <w:sz w:val="18"/>
                <w:szCs w:val="18"/>
                <w:color w:val="auto"/>
              </w:rPr>
              <w:t>12.5%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4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24.2%</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South</w:t>
            </w:r>
          </w:p>
        </w:tc>
        <w:tc>
          <w:tcPr>
            <w:tcW w:w="4900" w:type="dxa"/>
            <w:vAlign w:val="bottom"/>
            <w:gridSpan w:val="3"/>
          </w:tcPr>
          <w:p>
            <w:pPr>
              <w:jc w:val="right"/>
              <w:ind w:right="180"/>
              <w:spacing w:after="0"/>
              <w:rPr>
                <w:sz w:val="20"/>
                <w:szCs w:val="20"/>
                <w:color w:val="auto"/>
              </w:rPr>
            </w:pPr>
            <w:r>
              <w:rPr>
                <w:rFonts w:ascii="Arial" w:cs="Arial" w:eastAsia="Arial" w:hAnsi="Arial"/>
                <w:sz w:val="18"/>
                <w:szCs w:val="18"/>
                <w:color w:val="auto"/>
              </w:rPr>
              <w:t>23.4%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4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31.8%</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Australia</w:t>
            </w:r>
          </w:p>
        </w:tc>
        <w:tc>
          <w:tcPr>
            <w:tcW w:w="4900" w:type="dxa"/>
            <w:vAlign w:val="bottom"/>
            <w:gridSpan w:val="3"/>
          </w:tcPr>
          <w:p>
            <w:pPr>
              <w:jc w:val="right"/>
              <w:ind w:right="18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3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Canada</w:t>
            </w:r>
          </w:p>
        </w:tc>
        <w:tc>
          <w:tcPr>
            <w:tcW w:w="33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3340" w:type="dxa"/>
            <w:vAlign w:val="bottom"/>
            <w:vMerge w:val="restart"/>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vMerge w:val="continue"/>
            <w:shd w:val="clear" w:color="auto" w:fill="CFF0FC"/>
          </w:tcPr>
          <w:p>
            <w:pPr>
              <w:spacing w:after="0"/>
              <w:rPr>
                <w:sz w:val="19"/>
                <w:szCs w:val="19"/>
                <w:color w:val="auto"/>
              </w:rPr>
            </w:pPr>
          </w:p>
        </w:tc>
        <w:tc>
          <w:tcPr>
            <w:tcW w:w="3340" w:type="dxa"/>
            <w:vAlign w:val="bottom"/>
            <w:vMerge w:val="continue"/>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bottom w:val="single" w:sz="8" w:color="CFF0FC"/>
            </w:tcBorders>
            <w:vMerge w:val="restart"/>
          </w:tcPr>
          <w:p>
            <w:pPr>
              <w:jc w:val="right"/>
              <w:ind w:right="1350"/>
              <w:spacing w:after="0"/>
              <w:rPr>
                <w:sz w:val="20"/>
                <w:szCs w:val="20"/>
                <w:color w:val="auto"/>
              </w:rPr>
            </w:pPr>
            <w:r>
              <w:rPr>
                <w:rFonts w:ascii="Arial" w:cs="Arial" w:eastAsia="Arial" w:hAnsi="Arial"/>
                <w:sz w:val="18"/>
                <w:szCs w:val="18"/>
                <w:color w:val="auto"/>
              </w:rPr>
              <w:t>10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46"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Investment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2021 and 2020, we had the following commitments to fund investments in current portfolio companies: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880" w:type="dxa"/>
            <w:vAlign w:val="bottom"/>
          </w:tcPr>
          <w:p>
            <w:pPr>
              <w:spacing w:after="0"/>
              <w:rPr>
                <w:sz w:val="20"/>
                <w:szCs w:val="20"/>
                <w:color w:val="auto"/>
              </w:rPr>
            </w:pPr>
            <w:r>
              <w:rPr>
                <w:rFonts w:ascii="Arial" w:cs="Arial" w:eastAsia="Arial" w:hAnsi="Arial"/>
                <w:sz w:val="14"/>
                <w:szCs w:val="14"/>
                <w:color w:val="auto"/>
              </w:rPr>
              <w:t>($ in millions)</w:t>
            </w:r>
          </w:p>
        </w:tc>
        <w:tc>
          <w:tcPr>
            <w:tcW w:w="80" w:type="dxa"/>
            <w:vAlign w:val="bottom"/>
          </w:tcPr>
          <w:p>
            <w:pPr>
              <w:spacing w:after="0"/>
              <w:rPr>
                <w:sz w:val="14"/>
                <w:szCs w:val="14"/>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b w:val="1"/>
                <w:bCs w:val="1"/>
                <w:color w:val="auto"/>
                <w:w w:val="90"/>
              </w:rPr>
              <w:t>December 31, 2021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American Achievement, Corp.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Axonify,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Bayshore Intermediate #2, L.P.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Biohaven Pharmaceuticals,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BlueSnap, Inc.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Destiny Solutions Parent Holding Company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Dye &amp; Durham Corp.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Employment Hero Holdings Pty Ltd. - Delayed Draw &amp;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EMS Linq,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ExtraHop Networks,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Factor Systems, Inc.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ForeScout Technologies, Inc.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Ibis Intermediate Co.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IntelePeer Holdings,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InvMetrics Holdings,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Kyriba Corp.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Lexipol, LLC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Lucidworks, Inc.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Netwrix Corp.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Neuintel, LLC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Nintex Global, Ltd.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PageUp People, Ltd. - Delayed Draw &amp;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Passport Labs, Inc.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PrimePay Intermediate, LLC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PrimeRevenue, Inc. - Delayed Draw &amp;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Project44, Inc.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ReliaQuest Holdings, LLC - Delayed Draw &amp;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ResMan, LLC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Sprinklr, Inc. - Delayed Draw Convertible Note</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Tango Management Consulting, LLC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TRP Assets, LLC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 &amp;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WideOrbit,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Workwell Acquisition Co. - Delayed Draw</w:t>
            </w: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(1)(2)</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Arial" w:cs="Arial" w:eastAsia="Arial" w:hAnsi="Arial"/>
          <w:sz w:val="18"/>
          <w:szCs w:val="18"/>
          <w:color w:val="auto"/>
        </w:rPr>
      </w:pPr>
    </w:p>
    <w:p>
      <w:pPr>
        <w:ind w:left="500" w:right="420" w:hanging="492"/>
        <w:spacing w:after="0" w:line="26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as analysis of the fair value of any unfunded commitments.</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320" w:top="706"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As of December 31, 2021 and 2020, we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400" w:firstLine="255"/>
        <w:spacing w:after="0" w:line="342" w:lineRule="auto"/>
        <w:rPr>
          <w:sz w:val="20"/>
          <w:szCs w:val="20"/>
          <w:color w:val="auto"/>
        </w:rPr>
      </w:pPr>
      <w:r>
        <w:rPr>
          <w:rFonts w:ascii="Arial" w:cs="Arial" w:eastAsia="Arial" w:hAnsi="Arial"/>
          <w:sz w:val="16"/>
          <w:szCs w:val="16"/>
          <w:color w:val="auto"/>
        </w:rPr>
        <w:t>From time to time, we may become a party to certain legal proceedings incidental to the normal course of our business. As of December 31, 2021, management is not aware of any material pending or threatened litigation that would require accounting recognition or financial statement disclosure.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Arial" w:cs="Arial" w:eastAsia="Arial" w:hAnsi="Arial"/>
          <w:sz w:val="18"/>
          <w:szCs w:val="18"/>
          <w:i w:val="1"/>
          <w:iCs w:val="1"/>
          <w:color w:val="auto"/>
        </w:rPr>
        <w:t>ITEM 1A. RISK FACTORS—Risks Related to Our Business and Structure—We operate in a highly</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competitive market for investment opportunities.</w:t>
      </w:r>
      <w:r>
        <w:rPr>
          <w:rFonts w:ascii="Arial" w:cs="Arial" w:eastAsia="Arial" w:hAnsi="Arial"/>
          <w:sz w:val="18"/>
          <w:szCs w:val="18"/>
          <w:color w:val="auto"/>
        </w:rPr>
        <w: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anticipate generating cash in the future from cash flows from operations, including interest received on our cash and cash equivalents,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securities and other high-quality debt investments that mature in one year or less, and through issuances of common stock.</w:t>
      </w:r>
    </w:p>
    <w:p>
      <w:pPr>
        <w:spacing w:after="0" w:line="211"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2021 and 2020, our asset coverage was 205.4% and 204.5%, respectively. See “</w:t>
      </w:r>
      <w:r>
        <w:rPr>
          <w:rFonts w:ascii="Arial" w:cs="Arial" w:eastAsia="Arial" w:hAnsi="Arial"/>
          <w:sz w:val="16"/>
          <w:szCs w:val="16"/>
          <w:i w:val="1"/>
          <w:iCs w:val="1"/>
          <w:color w:val="auto"/>
        </w:rPr>
        <w:t>Regulation as a Business Development Company—Senior Securities</w:t>
      </w:r>
      <w:r>
        <w:rPr>
          <w:rFonts w:ascii="Arial" w:cs="Arial" w:eastAsia="Arial" w:hAnsi="Arial"/>
          <w:sz w:val="16"/>
          <w:szCs w:val="16"/>
          <w:color w:val="auto"/>
        </w:rPr>
        <w:t>” below.</w:t>
      </w:r>
    </w:p>
    <w:p>
      <w:pPr>
        <w:spacing w:after="0" w:line="149"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debt obligations consisted of the following as of December 31,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Aggregate Principal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5"/>
                <w:szCs w:val="15"/>
                <w:color w:val="auto"/>
              </w:rPr>
            </w:pPr>
          </w:p>
        </w:tc>
      </w:tr>
      <w:tr>
        <w:trPr>
          <w:trHeight w:val="219"/>
        </w:trPr>
        <w:tc>
          <w:tcPr>
            <w:tcW w:w="28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60" w:type="dxa"/>
            <w:vAlign w:val="bottom"/>
            <w:gridSpan w:val="3"/>
          </w:tcPr>
          <w:p>
            <w:pPr>
              <w:ind w:left="1000"/>
              <w:spacing w:after="0"/>
              <w:rPr>
                <w:sz w:val="20"/>
                <w:szCs w:val="20"/>
                <w:color w:val="auto"/>
              </w:rPr>
            </w:pPr>
            <w:r>
              <w:rPr>
                <w:rFonts w:ascii="Arial" w:cs="Arial" w:eastAsia="Arial" w:hAnsi="Arial"/>
                <w:sz w:val="14"/>
                <w:szCs w:val="14"/>
                <w:b w:val="1"/>
                <w:bCs w:val="1"/>
                <w:color w:val="auto"/>
                <w:w w:val="95"/>
              </w:rPr>
              <w:t>Amount Committed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96"/>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(2)(3)</w:t>
            </w:r>
          </w:p>
        </w:tc>
      </w:tr>
      <w:tr>
        <w:trPr>
          <w:trHeight w:val="223"/>
        </w:trPr>
        <w:tc>
          <w:tcPr>
            <w:tcW w:w="2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24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2460" w:type="dxa"/>
            <w:vAlign w:val="bottom"/>
          </w:tcPr>
          <w:p>
            <w:pPr>
              <w:ind w:left="20"/>
              <w:spacing w:after="0"/>
              <w:rPr>
                <w:sz w:val="20"/>
                <w:szCs w:val="20"/>
                <w:color w:val="auto"/>
              </w:rPr>
            </w:pPr>
            <w:r>
              <w:rPr>
                <w:rFonts w:ascii="Arial" w:cs="Arial" w:eastAsia="Arial" w:hAnsi="Arial"/>
                <w:sz w:val="18"/>
                <w:szCs w:val="18"/>
                <w:color w:val="auto"/>
              </w:rPr>
              <w:t>Notes</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80" w:type="dxa"/>
            <w:vAlign w:val="bottom"/>
            <w:shd w:val="clear" w:color="auto" w:fill="CFF0FC"/>
          </w:tcPr>
          <w:p>
            <w:pPr>
              <w:spacing w:after="0"/>
              <w:rPr>
                <w:sz w:val="19"/>
                <w:szCs w:val="19"/>
                <w:color w:val="auto"/>
              </w:rPr>
            </w:pPr>
          </w:p>
        </w:tc>
      </w:tr>
      <w:tr>
        <w:trPr>
          <w:trHeight w:val="223"/>
        </w:trPr>
        <w:tc>
          <w:tcPr>
            <w:tcW w:w="28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10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2,407.5</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8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860" w:hanging="492"/>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0" w:hanging="492"/>
        <w:spacing w:after="0" w:line="265"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totaling $11.8 million, $0.3 million, $0.7 million, $4.0 million and $5.3 million, respectively.</w:t>
      </w:r>
    </w:p>
    <w:p>
      <w:pPr>
        <w:ind w:left="500" w:right="100" w:hanging="492"/>
        <w:spacing w:after="0" w:line="323"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carrying value of the 2024 Notes and 2026 Notes is presented inclusive of an incremental $4.4 million and $(10.2) million, respectively, which represents an adjustment in the carrying values of the 2024 Notes and 2026 Notes, each resulting from a hedge accounting relationship.</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2"/>
              </w:rPr>
              <w:t>Aggregate Principal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5"/>
                <w:szCs w:val="15"/>
                <w:color w:val="auto"/>
              </w:rPr>
            </w:pPr>
          </w:p>
        </w:tc>
      </w:tr>
      <w:tr>
        <w:trPr>
          <w:trHeight w:val="219"/>
        </w:trPr>
        <w:tc>
          <w:tcPr>
            <w:tcW w:w="27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140" w:type="dxa"/>
            <w:vAlign w:val="bottom"/>
            <w:gridSpan w:val="3"/>
          </w:tcPr>
          <w:p>
            <w:pPr>
              <w:ind w:left="900"/>
              <w:spacing w:after="0"/>
              <w:rPr>
                <w:sz w:val="20"/>
                <w:szCs w:val="20"/>
                <w:color w:val="auto"/>
              </w:rPr>
            </w:pPr>
            <w:r>
              <w:rPr>
                <w:rFonts w:ascii="Arial" w:cs="Arial" w:eastAsia="Arial" w:hAnsi="Arial"/>
                <w:sz w:val="14"/>
                <w:szCs w:val="14"/>
                <w:b w:val="1"/>
                <w:bCs w:val="1"/>
                <w:color w:val="auto"/>
                <w:w w:val="93"/>
              </w:rPr>
              <w:t>Amount Committed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 xml:space="preserve">Available </w:t>
            </w:r>
            <w:r>
              <w:rPr>
                <w:rFonts w:ascii="Arial" w:cs="Arial" w:eastAsia="Arial" w:hAnsi="Arial"/>
                <w:sz w:val="12"/>
                <w:szCs w:val="12"/>
                <w:b w:val="1"/>
                <w:bCs w:val="1"/>
                <w:color w:val="auto"/>
                <w:w w:val="97"/>
              </w:rPr>
              <w:t>(1)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9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23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2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80" w:type="dxa"/>
            <w:vAlign w:val="bottom"/>
            <w:shd w:val="clear" w:color="auto" w:fill="CFF0FC"/>
          </w:tcPr>
          <w:p>
            <w:pPr>
              <w:spacing w:after="0"/>
              <w:rPr>
                <w:sz w:val="19"/>
                <w:szCs w:val="19"/>
                <w:color w:val="auto"/>
              </w:rPr>
            </w:pPr>
          </w:p>
        </w:tc>
      </w:tr>
      <w:tr>
        <w:trPr>
          <w:trHeight w:val="229"/>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2024</w:t>
            </w:r>
          </w:p>
        </w:tc>
        <w:tc>
          <w:tcPr>
            <w:tcW w:w="23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9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80" w:type="dxa"/>
            <w:vAlign w:val="bottom"/>
            <w:tcBorders>
              <w:bottom w:val="single" w:sz="8" w:color="CFF0FC"/>
            </w:tcBorders>
          </w:tcPr>
          <w:p>
            <w:pPr>
              <w:spacing w:after="0"/>
              <w:rPr>
                <w:sz w:val="19"/>
                <w:szCs w:val="19"/>
                <w:color w:val="auto"/>
              </w:rPr>
            </w:pPr>
          </w:p>
        </w:tc>
      </w:tr>
      <w:tr>
        <w:trPr>
          <w:trHeight w:val="223"/>
        </w:trPr>
        <w:tc>
          <w:tcPr>
            <w:tcW w:w="27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9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880" w:hanging="492"/>
        <w:spacing w:after="0" w:line="25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totaling $10.8 million, $1.5 million, $1.3 million and $5.3 million, respectively.</w:t>
      </w:r>
    </w:p>
    <w:p>
      <w:pPr>
        <w:ind w:left="500" w:right="40" w:hanging="492"/>
        <w:spacing w:after="0" w:line="26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years ended December 31, 2021, 2020 and 2019, the components of interest expense were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200" w:type="dxa"/>
            <w:vAlign w:val="bottom"/>
          </w:tcPr>
          <w:p>
            <w:pPr>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Commitment fees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63"/>
        </w:trPr>
        <w:tc>
          <w:tcPr>
            <w:tcW w:w="3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CFF0FC"/>
            </w:tcBorders>
          </w:tcPr>
          <w:p>
            <w:pPr>
              <w:spacing w:after="0"/>
              <w:rPr>
                <w:sz w:val="22"/>
                <w:szCs w:val="22"/>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913.4</w:t>
            </w:r>
          </w:p>
        </w:tc>
        <w:tc>
          <w:tcPr>
            <w:tcW w:w="180" w:type="dxa"/>
            <w:vAlign w:val="bottom"/>
            <w:shd w:val="clear" w:color="auto" w:fill="CFF0FC"/>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OPERATIONS——Financial Condition, Liquidity and Capital Resources.</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56" w:lineRule="exact"/>
        <w:rPr>
          <w:sz w:val="20"/>
          <w:szCs w:val="20"/>
          <w:color w:val="auto"/>
        </w:rPr>
      </w:pPr>
    </w:p>
    <w:p>
      <w:pPr>
        <w:ind w:left="500" w:hanging="24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44" w:lineRule="exact"/>
        <w:rPr>
          <w:rFonts w:ascii="Arial" w:cs="Arial" w:eastAsia="Arial" w:hAnsi="Arial"/>
          <w:sz w:val="18"/>
          <w:szCs w:val="18"/>
          <w:color w:val="auto"/>
        </w:rPr>
      </w:pPr>
    </w:p>
    <w:p>
      <w:pPr>
        <w:ind w:left="500" w:right="16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52"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Arial" w:cs="Arial" w:eastAsia="Arial" w:hAnsi="Arial"/>
          <w:sz w:val="17"/>
          <w:szCs w:val="17"/>
          <w:i w:val="1"/>
          <w:iCs w:val="1"/>
          <w:color w:val="auto"/>
        </w:rPr>
        <w:t>See “ITEM 1A. RISK FACTORS—Risks Related to Our Business and Structure—We will be subject to corporate-level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if we are unable to maintain our qualification as a RIC under Subchapter M of the Code.”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79"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No action is required on the part of a registered stockholder to have its cash dividend or other distribution reinvested in our common stock. A registered stockholder is able to elect to receive an entire cash dividend or distribution in cash by notifying American Stock Transfer &amp;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61" w:lineRule="exact"/>
        <w:rPr>
          <w:sz w:val="20"/>
          <w:szCs w:val="20"/>
          <w:color w:val="auto"/>
        </w:rPr>
      </w:pPr>
    </w:p>
    <w:p>
      <w:pPr>
        <w:ind w:right="100" w:firstLine="255"/>
        <w:spacing w:after="0" w:line="289" w:lineRule="auto"/>
        <w:rPr>
          <w:sz w:val="20"/>
          <w:szCs w:val="20"/>
          <w:color w:val="auto"/>
        </w:rPr>
      </w:pPr>
      <w:r>
        <w:rPr>
          <w:rFonts w:ascii="Arial" w:cs="Arial" w:eastAsia="Arial" w:hAnsi="Arial"/>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6"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6"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6"/>
          <w:szCs w:val="16"/>
          <w:i w:val="1"/>
          <w:iCs w:val="1"/>
          <w:color w:val="auto"/>
        </w:rPr>
        <w:t>Investment Advisory Agreement; Administration Agreement; License Agreement</w:t>
      </w:r>
      <w:r>
        <w:rPr>
          <w:rFonts w:ascii="Arial" w:cs="Arial" w:eastAsia="Arial" w:hAnsi="Arial"/>
          <w:sz w:val="16"/>
          <w:szCs w:val="16"/>
          <w:color w:val="auto"/>
        </w:rPr>
        <w:t>” below.</w:t>
      </w:r>
    </w:p>
    <w:p>
      <w:pPr>
        <w:spacing w:after="0" w:line="5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In addition to our Adviser, Sixth Street has a team of over 370 investment and operating professionals. As of December 31, 2021, thirty three (33) of these personnel are dedicated to our business, including twenty five (25) investment professionals.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 the Investment Advisory Agreement, the Adviser:</w:t>
      </w:r>
    </w:p>
    <w:p>
      <w:pPr>
        <w:spacing w:after="0" w:line="117" w:lineRule="exact"/>
        <w:rPr>
          <w:sz w:val="20"/>
          <w:szCs w:val="20"/>
          <w:color w:val="auto"/>
        </w:rPr>
      </w:pPr>
    </w:p>
    <w:p>
      <w:pPr>
        <w:ind w:left="500" w:hanging="249"/>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67" w:lineRule="exact"/>
        <w:rPr>
          <w:rFonts w:ascii="Arial" w:cs="Arial" w:eastAsia="Arial" w:hAnsi="Arial"/>
          <w:sz w:val="16"/>
          <w:szCs w:val="16"/>
          <w:color w:val="auto"/>
        </w:rPr>
      </w:pPr>
    </w:p>
    <w:p>
      <w:pPr>
        <w:ind w:left="500" w:right="52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67" w:lineRule="exact"/>
        <w:rPr>
          <w:rFonts w:ascii="Arial" w:cs="Arial" w:eastAsia="Arial" w:hAnsi="Arial"/>
          <w:sz w:val="16"/>
          <w:szCs w:val="16"/>
          <w:color w:val="auto"/>
        </w:rPr>
      </w:pPr>
    </w:p>
    <w:p>
      <w:pPr>
        <w:ind w:left="500" w:right="44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For each of the years ended December 31, 2021, 2020, and 2019, Management Fees (gross of waivers) were $37.1 million, $32.1 million and $30.1 million, respectively.</w:t>
      </w:r>
    </w:p>
    <w:p>
      <w:pPr>
        <w:spacing w:after="0" w:line="170"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For the year ended December 31, 2021, Management Fees of $0.2 million were waived consisting solely of Management Fees pursuant to the Leverage Waiver. The Adviser did not waive any Management Fees for the years ended December 31, 2020 and 2019.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 ended December 30, 2021, Management Fees of $0.2 million, have been waived pursuant to the Leverage Waiver. The Adviser did not waive any Management Fees for the years ended December 31, 2020 and 2019 pursuant to the Leverage Waiver.</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40" w:hanging="249"/>
        <w:spacing w:after="0" w:line="291"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p>
      <w:pPr>
        <w:ind w:left="520" w:right="160"/>
        <w:spacing w:after="0" w:line="301" w:lineRule="auto"/>
        <w:rPr>
          <w:sz w:val="20"/>
          <w:szCs w:val="20"/>
          <w:color w:val="auto"/>
        </w:rPr>
      </w:pPr>
      <w:r>
        <w:rPr>
          <w:rFonts w:ascii="Arial" w:cs="Arial" w:eastAsia="Arial" w:hAnsi="Arial"/>
          <w:sz w:val="16"/>
          <w:szCs w:val="16"/>
          <w:color w:val="auto"/>
        </w:rPr>
        <w:t>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(ii)The second component, payable at the end of each fiscal year in arrears, equaled 15% through March 31, 2014 and, beginning April 1, 2014, equals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weighted percentage of cumulative realized capital gains from our inception to the end of that fiscal year, less cumulative realized capital losses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and unrealized capital losses. This component of the Incentive Fee is referred to as the Capital Gains Fee. Each year, the fee paid for this component</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of the Incentive Fee is net of the aggregate amount of any previously paid Capital Gains Fee for prior periods. For capital gains that accrue following</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March 31, 2014, the Incentive Fee rate is 17.5%. We accrue, but do not pay, a capital gains Incentive Fee with respect to unrealized capital gains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because a capital gains Incentive Fee would be owed to the Adviser if we were to sell the relevant investment and realize a capital gain. The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weighted percentage is intended to ensure that for each fiscal year following the completion of the IPO, the portion of our realized capital gains that</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accrued prior to March 31, 2014, is subject to an Incentive Fee rate of 15% and the portion of our realized capital gains that accrued beginning</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April 1, 2014 is subject to an Incentive Fee rate of 17.5%. As of March 31, 2020, there are no remaining investments that were made prior to April 1,</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2014, and as a result, the Incentive Fee rate of 17.5% is applicable to any future realized capital gains.</w:t>
      </w:r>
    </w:p>
    <w:p>
      <w:pPr>
        <w:spacing w:after="0" w:line="211" w:lineRule="exact"/>
        <w:rPr>
          <w:sz w:val="20"/>
          <w:szCs w:val="20"/>
          <w:color w:val="auto"/>
        </w:rPr>
      </w:pPr>
    </w:p>
    <w:p>
      <w:pPr>
        <w:ind w:right="44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6" w:lineRule="exact"/>
        <w:rPr>
          <w:sz w:val="20"/>
          <w:szCs w:val="20"/>
          <w:color w:val="auto"/>
        </w:rPr>
      </w:pPr>
    </w:p>
    <w:p>
      <w:pPr>
        <w:ind w:right="120" w:firstLine="255"/>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8"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years ended December 31, 2021, 2020 and 2019, Incentive Fees were $46.6 million, $32.9 million and $27.2 million, respectively, of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$33.1 million, $31.5 million, and $27.2 million, respectively, were realized and payable to the Adviser. For the years ended December 31, 2021 and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$13.5 million and $1.4 million, respectively, of Incentive Fees were accrued related to cumulative unrealized capital gains in excess of cumulative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realized capital gains less any cumulative unrealized losses and capital gains Incentive Fees paid inception to date. As of December 31, 2021, these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Fees are not contractually payable to the Adviser. For the year ended December 31, 2019, no Incentive Fees were accrued related to capital gains.</w:t>
      </w:r>
    </w:p>
    <w:p>
      <w:pPr>
        <w:spacing w:after="0" w:line="234"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The Adviser did not waive any Incentive Fees for the years ended December 31, 2021, 2020 and 2019. Any waived Incentive Fees are not subject to recoupment by the Adviser.</w:t>
      </w:r>
    </w:p>
    <w:p>
      <w:pPr>
        <w:spacing w:after="0" w:line="170" w:lineRule="exact"/>
        <w:rPr>
          <w:sz w:val="20"/>
          <w:szCs w:val="20"/>
          <w:color w:val="auto"/>
        </w:rPr>
      </w:pPr>
    </w:p>
    <w:p>
      <w:pPr>
        <w:jc w:val="both"/>
        <w:ind w:right="40" w:firstLine="255"/>
        <w:spacing w:after="0" w:line="263"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right="200" w:firstLine="255"/>
        <w:spacing w:after="0" w:line="311" w:lineRule="auto"/>
        <w:rPr>
          <w:sz w:val="20"/>
          <w:szCs w:val="20"/>
          <w:color w:val="auto"/>
        </w:rPr>
      </w:pPr>
      <w:r>
        <w:rPr>
          <w:rFonts w:ascii="Arial" w:cs="Arial" w:eastAsia="Arial" w:hAnsi="Arial"/>
          <w:sz w:val="16"/>
          <w:szCs w:val="16"/>
          <w:color w:val="auto"/>
        </w:rPr>
        <w:t>In November 2021, the Board renewed the Investment Advisory Agreement. Unless earlier terminated as described below, the Investment Advisory Agreement will remain in effect until November 2022,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9"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20"/>
        <w:spacing w:after="0" w:line="254" w:lineRule="auto"/>
        <w:rPr>
          <w:sz w:val="20"/>
          <w:szCs w:val="20"/>
          <w:color w:val="auto"/>
        </w:rPr>
      </w:pPr>
      <w:r>
        <w:rPr>
          <w:rFonts w:ascii="Arial" w:cs="Arial" w:eastAsia="Arial" w:hAnsi="Arial"/>
          <w:sz w:val="18"/>
          <w:szCs w:val="18"/>
          <w:color w:val="auto"/>
        </w:rPr>
        <w:t>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Arial" w:cs="Arial" w:eastAsia="Arial" w:hAnsi="Arial"/>
          <w:sz w:val="18"/>
          <w:szCs w:val="18"/>
          <w:i w:val="1"/>
          <w:iCs w:val="1"/>
          <w:color w:val="auto"/>
        </w:rPr>
        <w:t>Payment of Our Expenses</w:t>
      </w:r>
      <w:r>
        <w:rPr>
          <w:rFonts w:ascii="Arial" w:cs="Arial" w:eastAsia="Arial" w:hAnsi="Arial"/>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2021, 2020, and 2019, we incurred expenses of $4.8 million, $3.8 million, and $4.2 million, respectively, for administrative services payable under the terms of the Administration Agreement, which are included in Other general and administrative expenses.</w:t>
      </w:r>
    </w:p>
    <w:p>
      <w:pPr>
        <w:spacing w:after="0" w:line="195" w:lineRule="exact"/>
        <w:rPr>
          <w:sz w:val="20"/>
          <w:szCs w:val="20"/>
          <w:color w:val="auto"/>
        </w:rPr>
      </w:pPr>
    </w:p>
    <w:p>
      <w:pPr>
        <w:ind w:right="440" w:firstLine="255"/>
        <w:spacing w:after="0" w:line="263"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November 2021, the Board renewed the Administration Agreement. Unless earlier terminated as described below, the Administration Agreement will remain in effect until November 2022,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right="140" w:firstLine="255"/>
        <w:spacing w:after="0" w:line="28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72"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79" w:lineRule="exact"/>
        <w:rPr>
          <w:sz w:val="20"/>
          <w:szCs w:val="20"/>
          <w:color w:val="auto"/>
        </w:rPr>
      </w:pPr>
    </w:p>
    <w:p>
      <w:pPr>
        <w:ind w:right="140" w:firstLine="255"/>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left="260"/>
        <w:spacing w:after="0"/>
        <w:rPr>
          <w:sz w:val="20"/>
          <w:szCs w:val="20"/>
          <w:color w:val="auto"/>
        </w:rPr>
      </w:pPr>
      <w:r>
        <w:rPr>
          <w:rFonts w:ascii="Arial" w:cs="Arial" w:eastAsia="Arial" w:hAnsi="Arial"/>
          <w:sz w:val="16"/>
          <w:szCs w:val="16"/>
          <w:color w:val="auto"/>
        </w:rPr>
        <w:t>The following is a graphical representation of the calculation of the income-related portion of the Incentive Fee:</w:t>
      </w:r>
    </w:p>
    <w:p>
      <w:pPr>
        <w:spacing w:after="0" w:line="24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151765</wp:posOffset>
            </wp:positionV>
            <wp:extent cx="4568825" cy="891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6882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Percentage of pre-Incentive Fee net investment income allocated to income-related portion of Incentive Fee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right="425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Pre-Incentive Fee net investment income does not exceed hurdle rate, therefore there is no Incentive Fee.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right="4259"/>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920" w:hanging="14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20" w:hanging="14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0.3%</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right="5340"/>
        <w:spacing w:after="0" w:line="250" w:lineRule="auto"/>
        <w:rPr>
          <w:sz w:val="20"/>
          <w:szCs w:val="20"/>
          <w:color w:val="auto"/>
        </w:rPr>
      </w:pPr>
      <w:r>
        <w:rPr>
          <w:rFonts w:ascii="Arial" w:cs="Arial" w:eastAsia="Arial" w:hAnsi="Arial"/>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260" w:right="37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20" w:hanging="148"/>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20" w:hanging="148"/>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20" w:hanging="148"/>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0.513%</w:t>
      </w:r>
    </w:p>
    <w:p>
      <w:pPr>
        <w:spacing w:after="0" w:line="102" w:lineRule="exact"/>
        <w:rPr>
          <w:rFonts w:ascii="Arial" w:cs="Arial" w:eastAsia="Arial" w:hAnsi="Arial"/>
          <w:sz w:val="18"/>
          <w:szCs w:val="18"/>
          <w:color w:val="auto"/>
        </w:rPr>
      </w:pPr>
    </w:p>
    <w:p>
      <w:pPr>
        <w:ind w:left="500" w:hanging="249"/>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17" w:lineRule="exact"/>
        <w:rPr>
          <w:rFonts w:ascii="Arial" w:cs="Arial" w:eastAsia="Arial" w:hAnsi="Arial"/>
          <w:sz w:val="18"/>
          <w:szCs w:val="18"/>
          <w:color w:val="auto"/>
        </w:rPr>
      </w:pPr>
    </w:p>
    <w:p>
      <w:pPr>
        <w:ind w:left="500" w:right="80" w:hanging="249"/>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17" w:lineRule="exact"/>
        <w:rPr>
          <w:rFonts w:ascii="Arial" w:cs="Arial" w:eastAsia="Arial" w:hAnsi="Arial"/>
          <w:sz w:val="18"/>
          <w:szCs w:val="18"/>
          <w:color w:val="auto"/>
        </w:rPr>
      </w:pPr>
    </w:p>
    <w:p>
      <w:pPr>
        <w:ind w:left="500" w:hanging="249"/>
        <w:spacing w:after="0" w:line="30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00" w:right="60" w:hanging="249"/>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75" w:lineRule="exact"/>
        <w:rPr>
          <w:rFonts w:ascii="Arial" w:cs="Arial" w:eastAsia="Arial" w:hAnsi="Arial"/>
          <w:sz w:val="18"/>
          <w:szCs w:val="18"/>
          <w:color w:val="auto"/>
        </w:rPr>
      </w:pPr>
    </w:p>
    <w:p>
      <w:pPr>
        <w:ind w:left="500" w:right="740" w:hanging="249"/>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2" w:lineRule="exact"/>
        <w:rPr>
          <w:rFonts w:ascii="Arial" w:cs="Arial" w:eastAsia="Arial" w:hAnsi="Arial"/>
          <w:sz w:val="18"/>
          <w:szCs w:val="18"/>
          <w:color w:val="auto"/>
        </w:rPr>
      </w:pPr>
    </w:p>
    <w:p>
      <w:pPr>
        <w:ind w:left="500" w:right="380" w:hanging="249"/>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38" w:lineRule="exact"/>
        <w:rPr>
          <w:rFonts w:ascii="Arial" w:cs="Arial" w:eastAsia="Arial" w:hAnsi="Arial"/>
          <w:sz w:val="17"/>
          <w:szCs w:val="17"/>
          <w:color w:val="auto"/>
        </w:rPr>
      </w:pPr>
    </w:p>
    <w:p>
      <w:pPr>
        <w:ind w:left="500" w:right="240" w:hanging="249"/>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38" w:lineRule="exact"/>
        <w:rPr>
          <w:rFonts w:ascii="Arial" w:cs="Arial" w:eastAsia="Arial" w:hAnsi="Arial"/>
          <w:sz w:val="17"/>
          <w:szCs w:val="17"/>
          <w:color w:val="auto"/>
        </w:rPr>
      </w:pPr>
    </w:p>
    <w:p>
      <w:pPr>
        <w:ind w:left="500" w:right="100" w:hanging="249"/>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62" w:lineRule="exact"/>
        <w:rPr>
          <w:rFonts w:ascii="Arial" w:cs="Arial" w:eastAsia="Arial" w:hAnsi="Arial"/>
          <w:sz w:val="18"/>
          <w:szCs w:val="18"/>
          <w:color w:val="auto"/>
        </w:rPr>
      </w:pPr>
    </w:p>
    <w:p>
      <w:pPr>
        <w:ind w:left="500" w:right="500" w:hanging="249"/>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Realized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1"/>
        </w:trPr>
        <w:tc>
          <w:tcPr>
            <w:tcW w:w="9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w:t>
            </w:r>
          </w:p>
        </w:tc>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B</w:t>
            </w:r>
          </w:p>
        </w:tc>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w:t>
            </w:r>
          </w:p>
        </w:tc>
        <w:tc>
          <w:tcPr>
            <w:tcW w:w="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w:t>
            </w:r>
          </w:p>
        </w:tc>
        <w:tc>
          <w:tcPr>
            <w:tcW w:w="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E</w:t>
            </w:r>
          </w:p>
        </w:tc>
        <w:tc>
          <w:tcPr>
            <w:tcW w:w="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F</w:t>
            </w:r>
          </w:p>
        </w:tc>
        <w:tc>
          <w:tcPr>
            <w:tcW w:w="2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200"/>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1</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2</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$20 million</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$8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$12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 million</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3 (IPO)</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 million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$2 million</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4</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$16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$12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(cost basis)</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5</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 million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 million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6</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$16 million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$15 million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 million</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7</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 million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$2 million</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8</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$18 million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 million</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$36 million</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2:</w:t>
      </w:r>
    </w:p>
    <w:p>
      <w:pPr>
        <w:spacing w:after="0" w:line="144"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62" w:lineRule="exact"/>
        <w:rPr>
          <w:sz w:val="20"/>
          <w:szCs w:val="20"/>
          <w:color w:val="auto"/>
        </w:rPr>
      </w:pPr>
    </w:p>
    <w:p>
      <w:pPr>
        <w:ind w:left="500" w:hanging="249"/>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3:</w:t>
      </w:r>
    </w:p>
    <w:p>
      <w:pPr>
        <w:spacing w:after="0" w:line="144" w:lineRule="exact"/>
        <w:rPr>
          <w:sz w:val="20"/>
          <w:szCs w:val="20"/>
          <w:color w:val="auto"/>
        </w:rPr>
      </w:pPr>
    </w:p>
    <w:p>
      <w:pPr>
        <w:ind w:left="520" w:right="84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62" w:lineRule="exact"/>
        <w:rPr>
          <w:sz w:val="20"/>
          <w:szCs w:val="20"/>
          <w:color w:val="auto"/>
        </w:rPr>
      </w:pPr>
    </w:p>
    <w:p>
      <w:pPr>
        <w:ind w:left="500" w:hanging="249"/>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4:</w:t>
      </w:r>
    </w:p>
    <w:p>
      <w:pPr>
        <w:spacing w:after="0" w:line="144"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$12 million Total Gain Amount)) = </w:t>
      </w:r>
      <w:r>
        <w:rPr>
          <w:rFonts w:ascii="Arial" w:cs="Arial" w:eastAsia="Arial" w:hAnsi="Arial"/>
          <w:sz w:val="18"/>
          <w:szCs w:val="18"/>
          <w:b w:val="1"/>
          <w:bCs w:val="1"/>
          <w:color w:val="auto"/>
        </w:rPr>
        <w:t>15%</w:t>
      </w:r>
    </w:p>
    <w:p>
      <w:pPr>
        <w:spacing w:after="0" w:line="62" w:lineRule="exact"/>
        <w:rPr>
          <w:sz w:val="20"/>
          <w:szCs w:val="20"/>
          <w:color w:val="auto"/>
        </w:rPr>
      </w:pPr>
    </w:p>
    <w:p>
      <w:pPr>
        <w:ind w:left="500" w:hanging="249"/>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5:</w:t>
      </w:r>
    </w:p>
    <w:p>
      <w:pPr>
        <w:spacing w:after="0" w:line="144"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62" w:lineRule="exact"/>
        <w:rPr>
          <w:sz w:val="20"/>
          <w:szCs w:val="20"/>
          <w:color w:val="auto"/>
        </w:rPr>
      </w:pPr>
    </w:p>
    <w:p>
      <w:pPr>
        <w:ind w:left="500" w:hanging="249"/>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6:</w:t>
      </w:r>
    </w:p>
    <w:p>
      <w:pPr>
        <w:spacing w:after="0" w:line="144" w:lineRule="exact"/>
        <w:rPr>
          <w:sz w:val="20"/>
          <w:szCs w:val="20"/>
          <w:color w:val="auto"/>
        </w:rPr>
      </w:pPr>
    </w:p>
    <w:p>
      <w:pPr>
        <w:ind w:left="520" w:right="84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500" w:hanging="24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7:</w:t>
      </w:r>
    </w:p>
    <w:p>
      <w:pPr>
        <w:spacing w:after="0" w:line="144"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6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sz w:val="20"/>
          <w:szCs w:val="20"/>
          <w:color w:val="auto"/>
        </w:rPr>
      </w:pPr>
    </w:p>
    <w:p>
      <w:pPr>
        <w:ind w:left="500" w:hanging="249"/>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Year 8:</w:t>
      </w:r>
    </w:p>
    <w:p>
      <w:pPr>
        <w:spacing w:after="0" w:line="144" w:lineRule="exact"/>
        <w:rPr>
          <w:sz w:val="20"/>
          <w:szCs w:val="20"/>
          <w:color w:val="auto"/>
        </w:rPr>
      </w:pPr>
    </w:p>
    <w:p>
      <w:pPr>
        <w:ind w:left="520" w:right="160"/>
        <w:spacing w:after="0" w:line="308" w:lineRule="auto"/>
        <w:rPr>
          <w:sz w:val="20"/>
          <w:szCs w:val="20"/>
          <w:color w:val="auto"/>
        </w:rPr>
      </w:pPr>
      <w:r>
        <w:rPr>
          <w:rFonts w:ascii="Arial" w:cs="Arial" w:eastAsia="Arial" w:hAnsi="Arial"/>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7"/>
          <w:szCs w:val="17"/>
          <w:b w:val="1"/>
          <w:bCs w:val="1"/>
          <w:color w:val="auto"/>
        </w:rPr>
        <w:t>$1.39 million</w:t>
      </w:r>
    </w:p>
    <w:p>
      <w:pPr>
        <w:spacing w:after="0" w:line="3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($20 million Post-IPO Gain Amount divided by $36 million Total Gain Amount)) = </w:t>
      </w:r>
      <w:r>
        <w:rPr>
          <w:rFonts w:ascii="Arial" w:cs="Arial" w:eastAsia="Arial" w:hAnsi="Arial"/>
          <w:sz w:val="18"/>
          <w:szCs w:val="18"/>
          <w:b w:val="1"/>
          <w:bCs w:val="1"/>
          <w:color w:val="auto"/>
        </w:rPr>
        <w:t>16.39%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00" w:right="260" w:hanging="249"/>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00" w:hanging="249"/>
        <w:spacing w:after="0" w:line="301"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49" w:lineRule="exact"/>
        <w:rPr>
          <w:rFonts w:ascii="Arial" w:cs="Arial" w:eastAsia="Arial" w:hAnsi="Arial"/>
          <w:sz w:val="16"/>
          <w:szCs w:val="16"/>
          <w:color w:val="auto"/>
        </w:rPr>
      </w:pPr>
    </w:p>
    <w:p>
      <w:pPr>
        <w:ind w:left="500" w:right="120" w:hanging="249"/>
        <w:spacing w:after="0" w:line="34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1" w:name="page22"/>
    <w:bookmarkEnd w:id="21"/>
    <w:p>
      <w:pPr>
        <w:ind w:left="500" w:hanging="249"/>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firstLine="255"/>
        <w:spacing w:after="0" w:line="253" w:lineRule="auto"/>
        <w:rPr>
          <w:sz w:val="20"/>
          <w:szCs w:val="20"/>
          <w:color w:val="auto"/>
        </w:rPr>
      </w:pPr>
      <w:r>
        <w:rPr>
          <w:rFonts w:ascii="Arial" w:cs="Arial" w:eastAsia="Arial" w:hAnsi="Arial"/>
          <w:sz w:val="18"/>
          <w:szCs w:val="18"/>
          <w:color w:val="auto"/>
        </w:rPr>
        <w:t>Unless earlier terminated as described below, both the Investment Advisory Agreement and the Administration Agreement will remain in effect until November 2022,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Arial" w:cs="Arial" w:eastAsia="Arial" w:hAnsi="Arial"/>
          <w:sz w:val="18"/>
          <w:szCs w:val="18"/>
          <w:i w:val="1"/>
          <w:iCs w:val="1"/>
          <w:color w:val="auto"/>
        </w:rPr>
        <w:t>ITEM 1A. 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 and Structure—We are dependent upon management personnel of the Adviser, Sixth Street, and their affiliates for our future success</w:t>
      </w:r>
      <w:r>
        <w:rPr>
          <w:rFonts w:ascii="Arial" w:cs="Arial" w:eastAsia="Arial" w:hAnsi="Arial"/>
          <w:sz w:val="18"/>
          <w:szCs w:val="18"/>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20" w:firstLine="255"/>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2021. In its consideration of the Investment Advisory Agreement at the time of approval and renewal, the Board focused on information it had received relating to, among other things:</w:t>
      </w:r>
    </w:p>
    <w:p>
      <w:pPr>
        <w:spacing w:after="0" w:line="79" w:lineRule="exact"/>
        <w:rPr>
          <w:sz w:val="20"/>
          <w:szCs w:val="20"/>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 and financial performance on a standalone basis and against a comparative universe of peers;</w:t>
      </w:r>
    </w:p>
    <w:p>
      <w:pPr>
        <w:spacing w:after="0" w:line="144" w:lineRule="exact"/>
        <w:rPr>
          <w:rFonts w:ascii="Arial" w:cs="Arial" w:eastAsia="Arial" w:hAnsi="Arial"/>
          <w:sz w:val="18"/>
          <w:szCs w:val="18"/>
          <w:color w:val="auto"/>
        </w:rPr>
      </w:pPr>
    </w:p>
    <w:p>
      <w:pPr>
        <w:ind w:left="500" w:right="480" w:hanging="249"/>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expense ratio compared to BDCs with similar investment objectives;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ind w:left="500" w:hanging="249"/>
        <w:spacing w:after="0"/>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relationships with us and the profitability of those income sources;</w:t>
      </w:r>
    </w:p>
    <w:p>
      <w:pPr>
        <w:spacing w:after="0" w:line="155" w:lineRule="exact"/>
        <w:rPr>
          <w:rFonts w:ascii="Arial" w:cs="Arial" w:eastAsia="Arial" w:hAnsi="Arial"/>
          <w:sz w:val="17"/>
          <w:szCs w:val="17"/>
          <w:color w:val="auto"/>
        </w:rPr>
      </w:pPr>
    </w:p>
    <w:p>
      <w:pPr>
        <w:ind w:left="500" w:hanging="249"/>
        <w:spacing w:after="0"/>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55" w:lineRule="exact"/>
        <w:rPr>
          <w:rFonts w:ascii="Arial" w:cs="Arial" w:eastAsia="Arial" w:hAnsi="Arial"/>
          <w:sz w:val="17"/>
          <w:szCs w:val="17"/>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organizational and functional capabilities and financial condition of the Adviser and its respective affiliates;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52"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84" w:lineRule="exact"/>
        <w:rPr>
          <w:sz w:val="20"/>
          <w:szCs w:val="20"/>
          <w:color w:val="auto"/>
        </w:rPr>
      </w:pPr>
    </w:p>
    <w:p>
      <w:pPr>
        <w:ind w:right="640" w:firstLine="255"/>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21"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4"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As a BDC, we are permitted, under specified conditions, to issue multiple classes of indebtedness and one class of shares senior to our common stock if our asset coverage, as defined in the 1940 Act, is at least equal to 150% immediately after any borrowing or issuance. See “</w:t>
      </w:r>
      <w:r>
        <w:rPr>
          <w:rFonts w:ascii="Arial" w:cs="Arial" w:eastAsia="Arial" w:hAnsi="Arial"/>
          <w:sz w:val="18"/>
          <w:szCs w:val="18"/>
          <w:i w:val="1"/>
          <w:iCs w:val="1"/>
          <w:color w:val="auto"/>
        </w:rPr>
        <w:t>—Senior Securities</w:t>
      </w:r>
      <w:r>
        <w:rPr>
          <w:rFonts w:ascii="Arial" w:cs="Arial" w:eastAsia="Arial" w:hAnsi="Arial"/>
          <w:sz w:val="18"/>
          <w:szCs w:val="18"/>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8"/>
          <w:szCs w:val="18"/>
          <w:i w:val="1"/>
          <w:iCs w:val="1"/>
          <w:color w:val="auto"/>
        </w:rPr>
        <w:t>ITEM 1A. RISK FACTORS—Risks Related to Our Business and Structure—We borrow money, which magnifies</w:t>
      </w:r>
      <w:r>
        <w:rPr>
          <w:rFonts w:ascii="Arial" w:cs="Arial" w:eastAsia="Arial" w:hAnsi="Arial"/>
          <w:sz w:val="18"/>
          <w:szCs w:val="18"/>
          <w:color w:val="auto"/>
        </w:rPr>
        <w:t xml:space="preserve"> </w:t>
      </w:r>
      <w:r>
        <w:rPr>
          <w:rFonts w:ascii="Arial" w:cs="Arial" w:eastAsia="Arial" w:hAnsi="Arial"/>
          <w:sz w:val="18"/>
          <w:szCs w:val="18"/>
          <w:i w:val="1"/>
          <w:iCs w:val="1"/>
          <w:color w:val="auto"/>
        </w:rPr>
        <w:t>the potential for gain or loss and increases the risk of investing in us</w:t>
      </w:r>
      <w:r>
        <w:rPr>
          <w:rFonts w:ascii="Arial" w:cs="Arial" w:eastAsia="Arial" w:hAnsi="Arial"/>
          <w:sz w:val="18"/>
          <w:szCs w:val="18"/>
          <w:color w:val="auto"/>
        </w:rPr>
        <w:t>.” As of December 31, 2021 and 2020, our asset coverage was 205.4% and 204.5%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92" w:lineRule="exact"/>
        <w:rPr>
          <w:sz w:val="20"/>
          <w:szCs w:val="20"/>
          <w:color w:val="auto"/>
        </w:rPr>
      </w:pPr>
    </w:p>
    <w:p>
      <w:pPr>
        <w:ind w:right="220" w:firstLine="255"/>
        <w:spacing w:after="0" w:line="301"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anticipate any substantial change in the nature of our business.</w:t>
      </w:r>
    </w:p>
    <w:p>
      <w:pPr>
        <w:spacing w:after="0" w:line="225"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8"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3" w:name="page24"/>
    <w:bookmarkEnd w:id="23"/>
    <w:p>
      <w:pPr>
        <w:ind w:right="20" w:firstLine="255"/>
        <w:spacing w:after="0" w:line="269"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2021, we are currently permitted to sell or otherwise issue shares of our common stock at a price below our then-current net asset value per share, subject to the approval of our Board and certain other conditions. Such stockholder approval expires on May 26, 2022.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Compliance with regulations has not had a material effect on our capital expenditure, earnings or competitive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a BDC, we are subject to certain risks and uncertainties.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our Affiliates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December 28, 2021,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ind w:right="300" w:firstLine="255"/>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16" w:lineRule="exact"/>
        <w:rPr>
          <w:sz w:val="20"/>
          <w:szCs w:val="20"/>
          <w:color w:val="auto"/>
        </w:rPr>
      </w:pPr>
    </w:p>
    <w:p>
      <w:pPr>
        <w:ind w:left="500" w:right="200" w:hanging="249"/>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44" w:lineRule="exact"/>
        <w:rPr>
          <w:rFonts w:ascii="Arial" w:cs="Arial" w:eastAsia="Arial" w:hAnsi="Arial"/>
          <w:sz w:val="18"/>
          <w:szCs w:val="18"/>
          <w:color w:val="auto"/>
        </w:rPr>
      </w:pPr>
    </w:p>
    <w:p>
      <w:pPr>
        <w:ind w:left="500" w:right="100" w:hanging="249"/>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13. CERTAIN RELATIONSHIPS AND RELATED TRANSACTIONS, AND DIRECTOR INDEPENDENCE.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6" w:lineRule="exact"/>
        <w:rPr>
          <w:sz w:val="20"/>
          <w:szCs w:val="20"/>
          <w:color w:val="auto"/>
        </w:rPr>
      </w:pPr>
    </w:p>
    <w:p>
      <w:pPr>
        <w:ind w:left="500" w:right="440" w:hanging="249"/>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8" w:lineRule="exact"/>
        <w:rPr>
          <w:rFonts w:ascii="Arial" w:cs="Arial" w:eastAsia="Arial" w:hAnsi="Arial"/>
          <w:sz w:val="18"/>
          <w:szCs w:val="18"/>
          <w:color w:val="auto"/>
        </w:rPr>
      </w:pPr>
    </w:p>
    <w:p>
      <w:pPr>
        <w:ind w:left="760" w:hanging="253"/>
        <w:spacing w:after="0"/>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44" w:lineRule="exact"/>
        <w:rPr>
          <w:rFonts w:ascii="Arial" w:cs="Arial" w:eastAsia="Arial" w:hAnsi="Arial"/>
          <w:sz w:val="18"/>
          <w:szCs w:val="18"/>
          <w:color w:val="auto"/>
        </w:rPr>
      </w:pPr>
    </w:p>
    <w:p>
      <w:pPr>
        <w:ind w:left="760" w:right="100" w:hanging="253"/>
        <w:spacing w:after="0" w:line="277" w:lineRule="auto"/>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44" w:lineRule="exact"/>
        <w:rPr>
          <w:rFonts w:ascii="Arial" w:cs="Arial" w:eastAsia="Arial" w:hAnsi="Arial"/>
          <w:sz w:val="18"/>
          <w:szCs w:val="18"/>
          <w:color w:val="auto"/>
        </w:rPr>
      </w:pPr>
    </w:p>
    <w:p>
      <w:pPr>
        <w:ind w:left="1260" w:right="660" w:hanging="240"/>
        <w:spacing w:after="0" w:line="277" w:lineRule="auto"/>
        <w:tabs>
          <w:tab w:leader="none" w:pos="12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62" w:lineRule="exact"/>
        <w:rPr>
          <w:rFonts w:ascii="Arial" w:cs="Arial" w:eastAsia="Arial" w:hAnsi="Arial"/>
          <w:sz w:val="18"/>
          <w:szCs w:val="18"/>
          <w:color w:val="auto"/>
        </w:rPr>
      </w:pPr>
    </w:p>
    <w:p>
      <w:pPr>
        <w:ind w:left="1260" w:right="240" w:hanging="240"/>
        <w:spacing w:after="0" w:line="263" w:lineRule="auto"/>
        <w:tabs>
          <w:tab w:leader="none" w:pos="12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75" w:lineRule="exact"/>
        <w:rPr>
          <w:rFonts w:ascii="Arial" w:cs="Arial" w:eastAsia="Arial" w:hAnsi="Arial"/>
          <w:sz w:val="18"/>
          <w:szCs w:val="18"/>
          <w:color w:val="auto"/>
        </w:rPr>
      </w:pPr>
    </w:p>
    <w:p>
      <w:pPr>
        <w:ind w:left="1260" w:hanging="240"/>
        <w:spacing w:after="0"/>
        <w:tabs>
          <w:tab w:leader="none" w:pos="1260" w:val="left"/>
        </w:tabs>
        <w:numPr>
          <w:ilvl w:val="2"/>
          <w:numId w:val="36"/>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55" w:lineRule="exact"/>
        <w:rPr>
          <w:rFonts w:ascii="Arial" w:cs="Arial" w:eastAsia="Arial" w:hAnsi="Arial"/>
          <w:sz w:val="17"/>
          <w:szCs w:val="17"/>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44" w:lineRule="exact"/>
        <w:rPr>
          <w:rFonts w:ascii="Arial" w:cs="Arial" w:eastAsia="Arial" w:hAnsi="Arial"/>
          <w:sz w:val="18"/>
          <w:szCs w:val="18"/>
          <w:color w:val="auto"/>
        </w:rPr>
      </w:pPr>
    </w:p>
    <w:p>
      <w:pPr>
        <w:ind w:left="500" w:right="360" w:hanging="249"/>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8" w:lineRule="exact"/>
        <w:rPr>
          <w:rFonts w:ascii="Arial" w:cs="Arial" w:eastAsia="Arial" w:hAnsi="Arial"/>
          <w:sz w:val="18"/>
          <w:szCs w:val="18"/>
          <w:color w:val="auto"/>
        </w:rPr>
      </w:pPr>
    </w:p>
    <w:p>
      <w:pPr>
        <w:ind w:left="500" w:right="120" w:hanging="249"/>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00" w:right="260" w:hanging="249"/>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6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right="100" w:firstLine="255"/>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right="280" w:firstLine="255"/>
        <w:spacing w:after="0" w:line="342"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124"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as defined in the 1940 Act, is at least equal to 150% immediately after any borrowing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right="160"/>
        <w:spacing w:after="0" w:line="311" w:lineRule="auto"/>
        <w:rPr>
          <w:sz w:val="20"/>
          <w:szCs w:val="20"/>
          <w:color w:val="auto"/>
        </w:rPr>
      </w:pPr>
      <w:r>
        <w:rPr>
          <w:rFonts w:ascii="Arial" w:cs="Arial" w:eastAsia="Arial" w:hAnsi="Arial"/>
          <w:sz w:val="16"/>
          <w:szCs w:val="16"/>
          <w:color w:val="auto"/>
        </w:rPr>
        <w:t>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49"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1940 Act imposes limitations on a BDC’s issuance of preferred stock, which is considered a “senior security” and thus is subject to the 150% asset coverage requirement described above.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2021 and 2020, our asset coverage was 205.4% and 204.5%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160" w:firstLine="255"/>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500" w:right="740" w:hanging="249"/>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certify the accuracy of the financial statements contained in our periodic reports;</w:t>
      </w:r>
    </w:p>
    <w:p>
      <w:pPr>
        <w:spacing w:after="0" w:line="62" w:lineRule="exact"/>
        <w:rPr>
          <w:rFonts w:ascii="Arial" w:cs="Arial" w:eastAsia="Arial" w:hAnsi="Arial"/>
          <w:sz w:val="18"/>
          <w:szCs w:val="18"/>
          <w:color w:val="auto"/>
        </w:rPr>
      </w:pPr>
    </w:p>
    <w:p>
      <w:pPr>
        <w:ind w:left="500" w:right="660" w:hanging="249"/>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500" w:hanging="249"/>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5" w:lineRule="exact"/>
        <w:rPr>
          <w:rFonts w:ascii="Arial" w:cs="Arial" w:eastAsia="Arial" w:hAnsi="Arial"/>
          <w:sz w:val="16"/>
          <w:szCs w:val="16"/>
          <w:color w:val="auto"/>
        </w:rPr>
      </w:pPr>
    </w:p>
    <w:p>
      <w:pPr>
        <w:ind w:left="500" w:right="100" w:hanging="249"/>
        <w:spacing w:after="0" w:line="286"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5"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NYSE Corporate Governance Rules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740" w:firstLine="255"/>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ind w:firstLine="255"/>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4" w:lineRule="exact"/>
        <w:rPr>
          <w:sz w:val="20"/>
          <w:szCs w:val="20"/>
          <w:color w:val="auto"/>
        </w:rPr>
      </w:pPr>
    </w:p>
    <w:p>
      <w:pPr>
        <w:ind w:right="60" w:firstLine="255"/>
        <w:spacing w:after="0" w:line="290"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65"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4"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make available on our website (www.sixthstreetspecialtylending.com) our proxy statements, our annual reports on Form 10-K, quarterly reports on Form 10-Q and our current reports on Form 8-K that we file with the SEC.</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SEC also maintains a website (www.sec.gov) that contains this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 BDC, we have elected to be treated as a RIC for U.S. federal income tax purposes.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17" w:lineRule="exact"/>
        <w:rPr>
          <w:sz w:val="20"/>
          <w:szCs w:val="20"/>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44" w:lineRule="exact"/>
        <w:rPr>
          <w:rFonts w:ascii="Arial" w:cs="Arial" w:eastAsia="Arial" w:hAnsi="Arial"/>
          <w:sz w:val="18"/>
          <w:szCs w:val="18"/>
          <w:color w:val="auto"/>
        </w:rPr>
      </w:pPr>
    </w:p>
    <w:p>
      <w:pPr>
        <w:ind w:left="500" w:right="200" w:hanging="249"/>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left="500" w:hanging="249"/>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44" w:lineRule="exact"/>
        <w:rPr>
          <w:rFonts w:ascii="Arial" w:cs="Arial" w:eastAsia="Arial" w:hAnsi="Arial"/>
          <w:sz w:val="18"/>
          <w:szCs w:val="18"/>
          <w:color w:val="auto"/>
        </w:rPr>
      </w:pPr>
    </w:p>
    <w:p>
      <w:pPr>
        <w:ind w:left="760" w:right="140" w:hanging="253"/>
        <w:spacing w:after="0" w:line="286" w:lineRule="auto"/>
        <w:tabs>
          <w:tab w:leader="none" w:pos="7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7" w:lineRule="exact"/>
        <w:rPr>
          <w:rFonts w:ascii="Arial" w:cs="Arial" w:eastAsia="Arial" w:hAnsi="Arial"/>
          <w:sz w:val="17"/>
          <w:szCs w:val="17"/>
          <w:color w:val="auto"/>
        </w:rPr>
      </w:pPr>
    </w:p>
    <w:p>
      <w:pPr>
        <w:ind w:left="760" w:right="260" w:hanging="253"/>
        <w:spacing w:after="0" w:line="263" w:lineRule="auto"/>
        <w:tabs>
          <w:tab w:leader="none" w:pos="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4"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56" w:lineRule="exact"/>
        <w:rPr>
          <w:sz w:val="20"/>
          <w:szCs w:val="20"/>
          <w:color w:val="auto"/>
        </w:rPr>
      </w:pPr>
    </w:p>
    <w:p>
      <w:pPr>
        <w:ind w:left="760" w:hanging="253"/>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44" w:lineRule="exact"/>
        <w:rPr>
          <w:rFonts w:ascii="Arial" w:cs="Arial" w:eastAsia="Arial" w:hAnsi="Arial"/>
          <w:sz w:val="18"/>
          <w:szCs w:val="18"/>
          <w:color w:val="auto"/>
        </w:rPr>
      </w:pPr>
    </w:p>
    <w:p>
      <w:pPr>
        <w:ind w:left="760" w:right="760" w:hanging="253"/>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52"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240" w:firstLine="255"/>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w:t>
      </w:r>
      <w:r>
        <w:rPr>
          <w:rFonts w:ascii="Arial" w:cs="Arial" w:eastAsia="Arial" w:hAnsi="Arial"/>
          <w:sz w:val="18"/>
          <w:szCs w:val="18"/>
          <w:i w:val="1"/>
          <w:iCs w:val="1"/>
          <w:color w:val="auto"/>
        </w:rPr>
        <w:t>Dividend Policy</w:t>
      </w:r>
      <w:r>
        <w:rPr>
          <w:rFonts w:ascii="Arial" w:cs="Arial" w:eastAsia="Arial" w:hAnsi="Arial"/>
          <w:sz w:val="18"/>
          <w:szCs w:val="18"/>
          <w:color w:val="auto"/>
        </w:rPr>
        <w:t>” and “—</w:t>
      </w:r>
      <w:r>
        <w:rPr>
          <w:rFonts w:ascii="Arial" w:cs="Arial" w:eastAsia="Arial" w:hAnsi="Arial"/>
          <w:sz w:val="18"/>
          <w:szCs w:val="18"/>
          <w:i w:val="1"/>
          <w:iCs w:val="1"/>
          <w:color w:val="auto"/>
        </w:rPr>
        <w:t>Dividend Reinvestment Plan</w:t>
      </w:r>
      <w:r>
        <w:rPr>
          <w:rFonts w:ascii="Arial" w:cs="Arial" w:eastAsia="Arial" w:hAnsi="Arial"/>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9" w:lineRule="exact"/>
        <w:rPr>
          <w:sz w:val="20"/>
          <w:szCs w:val="20"/>
          <w:color w:val="auto"/>
        </w:rPr>
      </w:pPr>
    </w:p>
    <w:p>
      <w:pPr>
        <w:ind w:left="500" w:right="20" w:hanging="249"/>
        <w:spacing w:after="0" w:line="311"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40" w:lineRule="exact"/>
        <w:rPr>
          <w:rFonts w:ascii="Arial" w:cs="Arial" w:eastAsia="Arial" w:hAnsi="Arial"/>
          <w:sz w:val="16"/>
          <w:szCs w:val="16"/>
          <w:color w:val="auto"/>
        </w:rPr>
      </w:pPr>
    </w:p>
    <w:p>
      <w:pPr>
        <w:ind w:left="500" w:right="100" w:hanging="249"/>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6" w:lineRule="exact"/>
        <w:rPr>
          <w:sz w:val="20"/>
          <w:szCs w:val="20"/>
          <w:color w:val="auto"/>
        </w:rPr>
      </w:pPr>
    </w:p>
    <w:p>
      <w:pPr>
        <w:ind w:firstLine="255"/>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100" w:firstLine="255"/>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4" w:lineRule="exact"/>
        <w:rPr>
          <w:sz w:val="20"/>
          <w:szCs w:val="20"/>
          <w:color w:val="auto"/>
        </w:rPr>
      </w:pPr>
    </w:p>
    <w:p>
      <w:pPr>
        <w:ind w:firstLine="255"/>
        <w:spacing w:after="0" w:line="235" w:lineRule="auto"/>
        <w:rPr>
          <w:sz w:val="20"/>
          <w:szCs w:val="20"/>
          <w:color w:val="auto"/>
        </w:rPr>
      </w:pPr>
      <w:r>
        <w:rPr>
          <w:rFonts w:ascii="Arial" w:cs="Arial" w:eastAsia="Arial" w:hAnsi="Arial"/>
          <w:sz w:val="22"/>
          <w:szCs w:val="22"/>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Structure</w:t>
      </w:r>
    </w:p>
    <w:p>
      <w:pPr>
        <w:spacing w:after="0" w:line="117" w:lineRule="exact"/>
        <w:rPr>
          <w:sz w:val="20"/>
          <w:szCs w:val="20"/>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Sixth Street and their affiliates for our future success.</w:t>
      </w:r>
    </w:p>
    <w:p>
      <w:pPr>
        <w:spacing w:after="0" w:line="23" w:lineRule="exact"/>
        <w:rPr>
          <w:rFonts w:ascii="Arial" w:cs="Arial" w:eastAsia="Arial" w:hAnsi="Arial"/>
          <w:sz w:val="18"/>
          <w:szCs w:val="18"/>
          <w:color w:val="auto"/>
        </w:rPr>
      </w:pPr>
    </w:p>
    <w:p>
      <w:pPr>
        <w:ind w:left="740" w:right="6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subject to significant regulations governing our operation as a BDC, which affect our ability to, and the way in which we, raise additional capital. Changes in regulation could adversely affect our business.</w:t>
      </w: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 w:lineRule="exact"/>
        <w:rPr>
          <w:rFonts w:ascii="Arial" w:cs="Arial" w:eastAsia="Arial" w:hAnsi="Arial"/>
          <w:sz w:val="18"/>
          <w:szCs w:val="18"/>
          <w:color w:val="auto"/>
        </w:rPr>
      </w:pPr>
    </w:p>
    <w:p>
      <w:pPr>
        <w:ind w:left="740" w:right="54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ind w:left="740" w:right="60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ind w:left="740" w:right="18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ind w:left="740" w:right="16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ind w:left="740" w:right="28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can be expected to retain some income and capital gains in excess of what is permissible for excise tax purposes and such amounts will be subject to 4% U.S. federal excise tax.</w:t>
      </w: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 w:lineRule="exact"/>
        <w:rPr>
          <w:rFonts w:ascii="Arial" w:cs="Arial" w:eastAsia="Arial" w:hAnsi="Arial"/>
          <w:sz w:val="18"/>
          <w:szCs w:val="18"/>
          <w:color w:val="auto"/>
        </w:rPr>
      </w:pPr>
    </w:p>
    <w:p>
      <w:pPr>
        <w:ind w:left="740" w:right="12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1" w:lineRule="exact"/>
        <w:rPr>
          <w:rFonts w:ascii="Arial" w:cs="Arial" w:eastAsia="Arial" w:hAnsi="Arial"/>
          <w:sz w:val="18"/>
          <w:szCs w:val="18"/>
          <w:color w:val="auto"/>
        </w:rPr>
      </w:pPr>
    </w:p>
    <w:p>
      <w:pPr>
        <w:ind w:left="740" w:right="580" w:hanging="368"/>
        <w:spacing w:after="0" w:line="265"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of the General Corporation Law of the State of Delaware and our certificate of incorporation and bylaws could deter takeover attempts and have an adverse effect on the price of our common stock.</w:t>
      </w: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investors are limited in their ability to make significant investments in us.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or those of our portfolio companies.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 w:lineRule="exact"/>
        <w:rPr>
          <w:rFonts w:ascii="Arial" w:cs="Arial" w:eastAsia="Arial" w:hAnsi="Arial"/>
          <w:sz w:val="18"/>
          <w:szCs w:val="18"/>
          <w:color w:val="auto"/>
        </w:rPr>
      </w:pPr>
    </w:p>
    <w:p>
      <w:pPr>
        <w:ind w:left="740" w:right="200" w:hanging="368"/>
        <w:spacing w:after="0" w:line="260"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interest rates of our debt investments to our portfolio companies and our indebtedness that extend beyond 2023 might be subject to change based on recent regulatory changes.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Economic Conditions</w:t>
      </w:r>
    </w:p>
    <w:p>
      <w:pPr>
        <w:spacing w:after="0" w:line="117" w:lineRule="exact"/>
        <w:rPr>
          <w:sz w:val="20"/>
          <w:szCs w:val="20"/>
          <w:color w:val="auto"/>
        </w:rPr>
      </w:pPr>
    </w:p>
    <w:p>
      <w:pPr>
        <w:ind w:left="740" w:right="640" w:hanging="368"/>
        <w:spacing w:after="0" w:line="258"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1" w:lineRule="exact"/>
        <w:rPr>
          <w:rFonts w:ascii="Arial" w:cs="Arial" w:eastAsia="Arial" w:hAnsi="Arial"/>
          <w:sz w:val="18"/>
          <w:szCs w:val="18"/>
          <w:color w:val="auto"/>
        </w:rPr>
      </w:pPr>
    </w:p>
    <w:p>
      <w:pPr>
        <w:ind w:left="740" w:right="660" w:hanging="368"/>
        <w:spacing w:after="0" w:line="250"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current state of the economy and financial markets increases the likelihood of adverse effects on our financial position and results of operations.</w:t>
      </w:r>
    </w:p>
    <w:p>
      <w:pPr>
        <w:ind w:left="740" w:hanging="368"/>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Uncertainty about financial stability could have a significant adverse effect on our business, results of operations and financial condition.</w:t>
      </w:r>
    </w:p>
    <w:p>
      <w:pPr>
        <w:spacing w:after="0" w:line="20" w:lineRule="exact"/>
        <w:rPr>
          <w:rFonts w:ascii="Arial" w:cs="Arial" w:eastAsia="Arial" w:hAnsi="Arial"/>
          <w:sz w:val="17"/>
          <w:szCs w:val="17"/>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Risks Related to Our Portfolio Company Investments</w:t>
      </w:r>
    </w:p>
    <w:p>
      <w:pPr>
        <w:spacing w:after="0" w:line="117" w:lineRule="exact"/>
        <w:rPr>
          <w:sz w:val="20"/>
          <w:szCs w:val="20"/>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23" w:lineRule="exact"/>
        <w:rPr>
          <w:rFonts w:ascii="Arial" w:cs="Arial" w:eastAsia="Arial" w:hAnsi="Arial"/>
          <w:sz w:val="18"/>
          <w:szCs w:val="18"/>
          <w:color w:val="auto"/>
        </w:rPr>
      </w:pPr>
    </w:p>
    <w:p>
      <w:pPr>
        <w:ind w:left="740" w:right="140" w:hanging="368"/>
        <w:spacing w:after="0" w:line="250"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portfolio may be focused on a limited number of portfolio companies or industries, which will subject us to a risk of</w:t>
      </w:r>
    </w:p>
    <w:p>
      <w:pPr>
        <w:spacing w:after="0" w:line="9" w:lineRule="exact"/>
        <w:rPr>
          <w:rFonts w:ascii="Arial" w:cs="Arial" w:eastAsia="Arial" w:hAnsi="Arial"/>
          <w:sz w:val="18"/>
          <w:szCs w:val="18"/>
          <w:color w:val="auto"/>
        </w:rPr>
      </w:pPr>
    </w:p>
    <w:p>
      <w:pPr>
        <w:ind w:left="760" w:right="360"/>
        <w:spacing w:after="0" w:line="250" w:lineRule="auto"/>
        <w:rPr>
          <w:rFonts w:ascii="Arial" w:cs="Arial" w:eastAsia="Arial" w:hAnsi="Arial"/>
          <w:sz w:val="18"/>
          <w:szCs w:val="18"/>
          <w:color w:val="auto"/>
        </w:rPr>
      </w:pPr>
      <w:r>
        <w:rPr>
          <w:rFonts w:ascii="Arial" w:cs="Arial" w:eastAsia="Arial" w:hAnsi="Arial"/>
          <w:sz w:val="18"/>
          <w:szCs w:val="18"/>
          <w:color w:val="auto"/>
        </w:rPr>
        <w:t>significant loss if any of these companies defaults on its obligations under any of its debt instruments or if there is a downturn in a particular industry.</w:t>
      </w: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securitize certain of our investments, which may subject us to certain structured financing risks.</w:t>
      </w:r>
    </w:p>
    <w:p>
      <w:pPr>
        <w:spacing w:after="0" w:line="9" w:lineRule="exact"/>
        <w:rPr>
          <w:rFonts w:ascii="Arial" w:cs="Arial" w:eastAsia="Arial" w:hAnsi="Arial"/>
          <w:sz w:val="18"/>
          <w:szCs w:val="18"/>
          <w:color w:val="auto"/>
        </w:rPr>
      </w:pPr>
    </w:p>
    <w:p>
      <w:pPr>
        <w:ind w:left="740" w:right="360" w:hanging="368"/>
        <w:spacing w:after="0" w:line="281" w:lineRule="auto"/>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be able to realize expected returns on our invested capital.</w:t>
      </w:r>
    </w:p>
    <w:p>
      <w:pPr>
        <w:spacing w:after="0" w:line="9" w:lineRule="exact"/>
        <w:rPr>
          <w:rFonts w:ascii="Arial" w:cs="Arial" w:eastAsia="Arial" w:hAnsi="Arial"/>
          <w:sz w:val="18"/>
          <w:szCs w:val="18"/>
          <w:color w:val="auto"/>
        </w:rPr>
      </w:pPr>
    </w:p>
    <w:p>
      <w:pPr>
        <w:ind w:left="740" w:right="280" w:hanging="368"/>
        <w:spacing w:after="0" w:line="250"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ind w:left="740" w:right="360" w:hanging="368"/>
        <w:spacing w:after="0" w:line="250"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be exposed to special risks associated with bankruptcy cases.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make follow-on investments in our portfolio companies could impair the value of our investments.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cannot guarantee that we will be able to obtain various required licenses in U.S. states or in any other jurisdiction where they may be required in the future.</w:t>
      </w: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expose ourselves to risks when we engage in hedging transactions.</w:t>
      </w:r>
    </w:p>
    <w:p>
      <w:pPr>
        <w:spacing w:after="0" w:line="9" w:lineRule="exact"/>
        <w:rPr>
          <w:rFonts w:ascii="Arial" w:cs="Arial" w:eastAsia="Arial" w:hAnsi="Arial"/>
          <w:sz w:val="18"/>
          <w:szCs w:val="18"/>
          <w:color w:val="auto"/>
        </w:rPr>
      </w:pPr>
    </w:p>
    <w:p>
      <w:pPr>
        <w:ind w:left="740" w:right="480" w:hanging="368"/>
        <w:spacing w:after="0" w:line="250"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new market structure applicable to derivatives imposed by the Dodd-Frank Act may affect our ability to use over-the-counter (“OTC”) derivatives for hedging purposes.</w:t>
      </w:r>
    </w:p>
    <w:p>
      <w:pPr>
        <w:ind w:left="740" w:hanging="368"/>
        <w:spacing w:after="0"/>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we cease to be eligible for an exemption from regulation as a commodity pool operator, our compliance expenses could increase substantially.</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portfolio investments may present special tax issues.</w:t>
      </w:r>
    </w:p>
    <w:p>
      <w:pPr>
        <w:spacing w:after="0" w:line="9" w:lineRule="exact"/>
        <w:rPr>
          <w:rFonts w:ascii="Arial" w:cs="Arial" w:eastAsia="Arial" w:hAnsi="Arial"/>
          <w:sz w:val="18"/>
          <w:szCs w:val="18"/>
          <w:color w:val="auto"/>
        </w:rPr>
      </w:pPr>
    </w:p>
    <w:p>
      <w:pPr>
        <w:ind w:left="740" w:right="120" w:hanging="368"/>
        <w:spacing w:after="0" w:line="281" w:lineRule="auto"/>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are certain risks associated with holding debt obligations that have original issue discount or payment-in-kind interest.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Securities</w:t>
      </w:r>
    </w:p>
    <w:p>
      <w:pPr>
        <w:spacing w:after="0" w:line="117" w:lineRule="exact"/>
        <w:rPr>
          <w:sz w:val="20"/>
          <w:szCs w:val="20"/>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Investing in our securities may involve a high degree of risk.</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 could decline.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stockholders may experience dilution upon the conversion of the 2022 Convertible Notes.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stockholders will experience dilution in their ownership percentage if they opt out of our dividend reinvestment plan.</w:t>
      </w:r>
    </w:p>
    <w:p>
      <w:pPr>
        <w:spacing w:after="0" w:line="9" w:lineRule="exact"/>
        <w:rPr>
          <w:rFonts w:ascii="Arial" w:cs="Arial" w:eastAsia="Arial" w:hAnsi="Arial"/>
          <w:sz w:val="18"/>
          <w:szCs w:val="18"/>
          <w:color w:val="auto"/>
        </w:rPr>
      </w:pPr>
    </w:p>
    <w:p>
      <w:pPr>
        <w:ind w:left="740" w:right="60" w:hanging="368"/>
        <w:spacing w:after="0" w:line="260"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117" w:lineRule="exact"/>
        <w:rPr>
          <w:sz w:val="20"/>
          <w:szCs w:val="20"/>
          <w:color w:val="auto"/>
        </w:rPr>
      </w:pPr>
    </w:p>
    <w:p>
      <w:pPr>
        <w:ind w:left="740" w:right="300" w:hanging="368"/>
        <w:spacing w:after="0" w:line="256"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1" w:lineRule="exact"/>
        <w:rPr>
          <w:rFonts w:ascii="Arial" w:cs="Arial" w:eastAsia="Arial" w:hAnsi="Arial"/>
          <w:sz w:val="18"/>
          <w:szCs w:val="18"/>
          <w:color w:val="auto"/>
        </w:rPr>
      </w:pPr>
    </w:p>
    <w:p>
      <w:pPr>
        <w:ind w:left="740" w:hanging="368"/>
        <w:spacing w:after="0" w:line="230"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22"/>
          <w:szCs w:val="22"/>
          <w:color w:val="auto"/>
        </w:rPr>
        <w:t>Changes in laws or regulations governing our operations may adversely affect our business.</w:t>
      </w: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22"/>
          <w:szCs w:val="22"/>
          <w:color w:val="auto"/>
        </w:rPr>
        <w:t>The effect of global climate change may impact the operations of our portfolio companies.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Risks Related to Our Business and Structure</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dependent upon management personnel of the Adviser, Sixth Street and their affiliates for our future success.</w:t>
      </w:r>
    </w:p>
    <w:p>
      <w:pPr>
        <w:spacing w:after="0" w:line="133" w:lineRule="exact"/>
        <w:rPr>
          <w:sz w:val="20"/>
          <w:szCs w:val="20"/>
          <w:color w:val="auto"/>
        </w:rPr>
      </w:pPr>
    </w:p>
    <w:p>
      <w:pPr>
        <w:ind w:right="280" w:firstLine="255"/>
        <w:spacing w:after="0" w:line="279" w:lineRule="auto"/>
        <w:rPr>
          <w:sz w:val="20"/>
          <w:szCs w:val="20"/>
          <w:color w:val="auto"/>
        </w:rPr>
      </w:pPr>
      <w:r>
        <w:rPr>
          <w:rFonts w:ascii="Arial" w:cs="Arial" w:eastAsia="Arial" w:hAnsi="Arial"/>
          <w:sz w:val="19"/>
          <w:szCs w:val="19"/>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50" w:lineRule="exact"/>
        <w:rPr>
          <w:sz w:val="20"/>
          <w:szCs w:val="20"/>
          <w:color w:val="auto"/>
        </w:rPr>
      </w:pPr>
    </w:p>
    <w:p>
      <w:pPr>
        <w:ind w:right="140" w:firstLine="255"/>
        <w:spacing w:after="0" w:line="252" w:lineRule="auto"/>
        <w:rPr>
          <w:sz w:val="20"/>
          <w:szCs w:val="20"/>
          <w:color w:val="auto"/>
        </w:rPr>
      </w:pPr>
      <w:r>
        <w:rPr>
          <w:rFonts w:ascii="Arial" w:cs="Arial" w:eastAsia="Arial" w:hAnsi="Arial"/>
          <w:sz w:val="21"/>
          <w:szCs w:val="21"/>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Regulations governing our operation as a BDC affect our ability to, and the way in which we, raise additional capital.</w:t>
      </w:r>
    </w:p>
    <w:p>
      <w:pPr>
        <w:spacing w:after="0" w:line="133" w:lineRule="exact"/>
        <w:rPr>
          <w:sz w:val="20"/>
          <w:szCs w:val="20"/>
          <w:color w:val="auto"/>
        </w:rPr>
      </w:pPr>
    </w:p>
    <w:p>
      <w:pPr>
        <w:ind w:firstLine="255"/>
        <w:spacing w:after="0" w:line="282" w:lineRule="auto"/>
        <w:rPr>
          <w:sz w:val="20"/>
          <w:szCs w:val="20"/>
          <w:color w:val="auto"/>
        </w:rPr>
      </w:pPr>
      <w:r>
        <w:rPr>
          <w:rFonts w:ascii="Arial" w:cs="Arial" w:eastAsia="Arial" w:hAnsi="Arial"/>
          <w:sz w:val="19"/>
          <w:szCs w:val="19"/>
          <w:color w:val="auto"/>
        </w:rPr>
        <w:t>The 1940 Act imposes numerous constraints on the operations of BDCs. See “</w:t>
      </w:r>
      <w:r>
        <w:rPr>
          <w:rFonts w:ascii="Arial" w:cs="Arial" w:eastAsia="Arial" w:hAnsi="Arial"/>
          <w:sz w:val="19"/>
          <w:szCs w:val="19"/>
          <w:i w:val="1"/>
          <w:iCs w:val="1"/>
          <w:color w:val="auto"/>
        </w:rPr>
        <w:t>ITEM 1. BUSINESS—Regulation as a Business</w:t>
      </w:r>
      <w:r>
        <w:rPr>
          <w:rFonts w:ascii="Arial" w:cs="Arial" w:eastAsia="Arial" w:hAnsi="Arial"/>
          <w:sz w:val="19"/>
          <w:szCs w:val="19"/>
          <w:color w:val="auto"/>
        </w:rPr>
        <w:t xml:space="preserve"> </w:t>
      </w:r>
      <w:r>
        <w:rPr>
          <w:rFonts w:ascii="Arial" w:cs="Arial" w:eastAsia="Arial" w:hAnsi="Arial"/>
          <w:sz w:val="19"/>
          <w:szCs w:val="19"/>
          <w:i w:val="1"/>
          <w:iCs w:val="1"/>
          <w:color w:val="auto"/>
        </w:rPr>
        <w:t>Development Company</w:t>
      </w:r>
      <w:r>
        <w:rPr>
          <w:rFonts w:ascii="Arial" w:cs="Arial" w:eastAsia="Arial" w:hAnsi="Arial"/>
          <w:sz w:val="19"/>
          <w:szCs w:val="19"/>
          <w:color w:val="auto"/>
        </w:rPr>
        <w:t>” for a discussion of BDC limitations. For example, BDCs are required to invest at least 70% of their total</w:t>
      </w:r>
      <w:r>
        <w:rPr>
          <w:rFonts w:ascii="Arial" w:cs="Arial" w:eastAsia="Arial" w:hAnsi="Arial"/>
          <w:sz w:val="19"/>
          <w:szCs w:val="19"/>
          <w:i w:val="1"/>
          <w:iCs w:val="1"/>
          <w:color w:val="auto"/>
        </w:rPr>
        <w:t xml:space="preserve"> </w:t>
      </w:r>
      <w:r>
        <w:rPr>
          <w:rFonts w:ascii="Arial" w:cs="Arial" w:eastAsia="Arial" w:hAnsi="Arial"/>
          <w:sz w:val="19"/>
          <w:szCs w:val="19"/>
          <w:color w:val="auto"/>
        </w:rPr>
        <w:t>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7"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9"/>
          <w:szCs w:val="19"/>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34" w:lineRule="exact"/>
        <w:rPr>
          <w:sz w:val="20"/>
          <w:szCs w:val="20"/>
          <w:color w:val="auto"/>
        </w:rPr>
      </w:pPr>
    </w:p>
    <w:p>
      <w:pPr>
        <w:ind w:right="200" w:firstLine="255"/>
        <w:spacing w:after="0" w:line="282" w:lineRule="auto"/>
        <w:rPr>
          <w:sz w:val="20"/>
          <w:szCs w:val="20"/>
          <w:color w:val="auto"/>
        </w:rPr>
      </w:pPr>
      <w:r>
        <w:rPr>
          <w:rFonts w:ascii="Arial" w:cs="Arial" w:eastAsia="Arial" w:hAnsi="Arial"/>
          <w:sz w:val="19"/>
          <w:szCs w:val="19"/>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47" w:lineRule="exact"/>
        <w:rPr>
          <w:sz w:val="20"/>
          <w:szCs w:val="20"/>
          <w:color w:val="auto"/>
        </w:rPr>
      </w:pPr>
    </w:p>
    <w:p>
      <w:pPr>
        <w:ind w:firstLine="255"/>
        <w:spacing w:after="0" w:line="245" w:lineRule="auto"/>
        <w:rPr>
          <w:sz w:val="20"/>
          <w:szCs w:val="20"/>
          <w:color w:val="auto"/>
        </w:rPr>
      </w:pPr>
      <w:r>
        <w:rPr>
          <w:rFonts w:ascii="Arial" w:cs="Arial" w:eastAsia="Arial" w:hAnsi="Arial"/>
          <w:sz w:val="21"/>
          <w:szCs w:val="21"/>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1" w:lineRule="exact"/>
        <w:rPr>
          <w:sz w:val="20"/>
          <w:szCs w:val="20"/>
          <w:color w:val="auto"/>
        </w:rPr>
      </w:pPr>
    </w:p>
    <w:p>
      <w:pPr>
        <w:ind w:right="20" w:firstLine="255"/>
        <w:spacing w:after="0" w:line="246" w:lineRule="auto"/>
        <w:rPr>
          <w:sz w:val="20"/>
          <w:szCs w:val="20"/>
          <w:color w:val="auto"/>
        </w:rPr>
      </w:pPr>
      <w:r>
        <w:rPr>
          <w:rFonts w:ascii="Arial" w:cs="Arial" w:eastAsia="Arial" w:hAnsi="Arial"/>
          <w:sz w:val="21"/>
          <w:szCs w:val="21"/>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0" w:lineRule="exact"/>
        <w:rPr>
          <w:sz w:val="20"/>
          <w:szCs w:val="20"/>
          <w:color w:val="auto"/>
        </w:rPr>
      </w:pPr>
    </w:p>
    <w:p>
      <w:pPr>
        <w:ind w:right="140" w:firstLine="255"/>
        <w:spacing w:after="0" w:line="246" w:lineRule="auto"/>
        <w:rPr>
          <w:sz w:val="20"/>
          <w:szCs w:val="20"/>
          <w:color w:val="auto"/>
        </w:rPr>
      </w:pPr>
      <w:r>
        <w:rPr>
          <w:rFonts w:ascii="Arial" w:cs="Arial" w:eastAsia="Arial" w:hAnsi="Arial"/>
          <w:sz w:val="21"/>
          <w:szCs w:val="21"/>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2021, we are currently permitted to sell or otherwise issue shares of our common stock at a price below our then-current net asset value per share, subject to the approval of our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68" w:right="379" w:bottom="389" w:gutter="0" w:footer="0" w:header="0"/>
        </w:sectPr>
      </w:pPr>
    </w:p>
    <w:bookmarkStart w:id="31" w:name="page32"/>
    <w:bookmarkEnd w:id="31"/>
    <w:p>
      <w:pPr>
        <w:spacing w:after="0" w:line="245" w:lineRule="auto"/>
        <w:rPr>
          <w:sz w:val="20"/>
          <w:szCs w:val="20"/>
          <w:color w:val="auto"/>
        </w:rPr>
      </w:pPr>
      <w:r>
        <w:rPr>
          <w:rFonts w:ascii="Arial" w:cs="Arial" w:eastAsia="Arial" w:hAnsi="Arial"/>
          <w:sz w:val="21"/>
          <w:szCs w:val="21"/>
          <w:color w:val="auto"/>
        </w:rPr>
        <w:t>Board and certain other conditions. Such stockholder approval expires on May 26, 2022.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1" w:lineRule="exact"/>
        <w:rPr>
          <w:sz w:val="20"/>
          <w:szCs w:val="20"/>
          <w:color w:val="auto"/>
        </w:rPr>
      </w:pPr>
    </w:p>
    <w:p>
      <w:pPr>
        <w:ind w:right="40" w:firstLine="255"/>
        <w:spacing w:after="0" w:line="244" w:lineRule="auto"/>
        <w:rPr>
          <w:sz w:val="20"/>
          <w:szCs w:val="20"/>
          <w:color w:val="auto"/>
        </w:rPr>
      </w:pPr>
      <w:r>
        <w:rPr>
          <w:rFonts w:ascii="Arial" w:cs="Arial" w:eastAsia="Arial" w:hAnsi="Arial"/>
          <w:sz w:val="21"/>
          <w:szCs w:val="21"/>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color w:val="auto"/>
        </w:rPr>
        <w:t>Risks Related to Our Portfolio Company Investments</w:t>
      </w:r>
      <w:r>
        <w:rPr>
          <w:rFonts w:ascii="Arial" w:cs="Arial" w:eastAsia="Arial" w:hAnsi="Arial"/>
          <w:sz w:val="21"/>
          <w:szCs w:val="21"/>
          <w:b w:val="1"/>
          <w:bCs w:val="1"/>
          <w:color w:val="auto"/>
        </w:rPr>
        <w:t>—</w:t>
      </w:r>
      <w:r>
        <w:rPr>
          <w:rFonts w:ascii="Arial" w:cs="Arial" w:eastAsia="Arial" w:hAnsi="Arial"/>
          <w:sz w:val="21"/>
          <w:szCs w:val="21"/>
          <w:i w:val="1"/>
          <w:iCs w:val="1"/>
          <w:color w:val="auto"/>
        </w:rPr>
        <w:t>We may securitize certain of our investments, which may subject us to certain structured financing risks</w:t>
      </w:r>
      <w:r>
        <w:rPr>
          <w:rFonts w:ascii="Arial" w:cs="Arial" w:eastAsia="Arial" w:hAnsi="Arial"/>
          <w:sz w:val="21"/>
          <w:szCs w:val="21"/>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borrow money, which magnifies the potential for gain or loss and increases the risk of investing in us.</w:t>
      </w:r>
    </w:p>
    <w:p>
      <w:pPr>
        <w:spacing w:after="0" w:line="98" w:lineRule="exact"/>
        <w:rPr>
          <w:sz w:val="20"/>
          <w:szCs w:val="20"/>
          <w:color w:val="auto"/>
        </w:rPr>
      </w:pPr>
    </w:p>
    <w:p>
      <w:pPr>
        <w:ind w:right="20" w:firstLine="255"/>
        <w:spacing w:after="0" w:line="272" w:lineRule="auto"/>
        <w:rPr>
          <w:sz w:val="20"/>
          <w:szCs w:val="20"/>
          <w:color w:val="auto"/>
        </w:rPr>
      </w:pPr>
      <w:r>
        <w:rPr>
          <w:rFonts w:ascii="Arial" w:cs="Arial" w:eastAsia="Arial" w:hAnsi="Arial"/>
          <w:sz w:val="19"/>
          <w:szCs w:val="19"/>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Arial" w:cs="Arial" w:eastAsia="Arial" w:hAnsi="Arial"/>
          <w:sz w:val="19"/>
          <w:szCs w:val="19"/>
          <w:i w:val="1"/>
          <w:iCs w:val="1"/>
          <w:color w:val="auto"/>
        </w:rPr>
        <w:t>—Risks Related to Our Business and Structure—Even in the event</w:t>
      </w:r>
      <w:r>
        <w:rPr>
          <w:rFonts w:ascii="Arial" w:cs="Arial" w:eastAsia="Arial" w:hAnsi="Arial"/>
          <w:sz w:val="19"/>
          <w:szCs w:val="19"/>
          <w:color w:val="auto"/>
        </w:rPr>
        <w:t xml:space="preserve"> </w:t>
      </w:r>
      <w:r>
        <w:rPr>
          <w:rFonts w:ascii="Arial" w:cs="Arial" w:eastAsia="Arial" w:hAnsi="Arial"/>
          <w:sz w:val="19"/>
          <w:szCs w:val="19"/>
          <w:i w:val="1"/>
          <w:iCs w:val="1"/>
          <w:color w:val="auto"/>
        </w:rPr>
        <w:t>the value of your investment declines, the Management Fee and, in certain circumstances, the Incentive Fee will still be payable to the Adviser</w:t>
      </w:r>
      <w:r>
        <w:rPr>
          <w:rFonts w:ascii="Arial" w:cs="Arial" w:eastAsia="Arial" w:hAnsi="Arial"/>
          <w:sz w:val="19"/>
          <w:szCs w:val="19"/>
          <w:color w:val="auto"/>
        </w:rPr>
        <w:t>.” The amount of leverage that we employ will depend on our Adviser’s and our Board’s assessment of market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factors at the time of any proposed borrowing. We cannot assure you that we will be able to obtain credit at all or on terms acceptable to us.</w:t>
      </w:r>
    </w:p>
    <w:p>
      <w:pPr>
        <w:spacing w:after="0" w:line="200" w:lineRule="exact"/>
        <w:rPr>
          <w:sz w:val="20"/>
          <w:szCs w:val="20"/>
          <w:color w:val="auto"/>
        </w:rPr>
      </w:pPr>
    </w:p>
    <w:p>
      <w:pPr>
        <w:spacing w:after="0" w:line="204" w:lineRule="exact"/>
        <w:rPr>
          <w:sz w:val="20"/>
          <w:szCs w:val="20"/>
          <w:color w:val="auto"/>
        </w:rPr>
      </w:pPr>
    </w:p>
    <w:p>
      <w:pPr>
        <w:ind w:right="20" w:firstLine="255"/>
        <w:spacing w:after="0" w:line="274" w:lineRule="auto"/>
        <w:rPr>
          <w:sz w:val="20"/>
          <w:szCs w:val="20"/>
          <w:color w:val="auto"/>
        </w:rPr>
      </w:pPr>
      <w:r>
        <w:rPr>
          <w:rFonts w:ascii="Arial" w:cs="Arial" w:eastAsia="Arial" w:hAnsi="Arial"/>
          <w:sz w:val="19"/>
          <w:szCs w:val="19"/>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58" w:lineRule="exact"/>
        <w:rPr>
          <w:sz w:val="20"/>
          <w:szCs w:val="20"/>
          <w:color w:val="auto"/>
        </w:rPr>
      </w:pPr>
    </w:p>
    <w:p>
      <w:pPr>
        <w:ind w:right="240" w:firstLine="255"/>
        <w:spacing w:after="0" w:line="238" w:lineRule="auto"/>
        <w:rPr>
          <w:sz w:val="20"/>
          <w:szCs w:val="20"/>
          <w:color w:val="auto"/>
        </w:rPr>
      </w:pPr>
      <w:r>
        <w:rPr>
          <w:rFonts w:ascii="Arial" w:cs="Arial" w:eastAsia="Arial" w:hAnsi="Arial"/>
          <w:sz w:val="22"/>
          <w:szCs w:val="22"/>
          <w:color w:val="auto"/>
        </w:rPr>
        <w:t>As of December 31, 2021, we had $1,213.9 million principal amount of outstanding indebtedness, which had an annualized interest cost of 2.3% under the terms of our debt, excluding fees (such as fees on undrawn amounts and amortization of upfront fees) and giving effect to the swap-adjusted interest rates on our 2022 Convertible Notes, 2023 Notes, 2024 Notes and 2026 Notes.</w:t>
      </w:r>
    </w:p>
    <w:p>
      <w:pPr>
        <w:spacing w:after="0" w:line="185" w:lineRule="exact"/>
        <w:rPr>
          <w:sz w:val="20"/>
          <w:szCs w:val="20"/>
          <w:color w:val="auto"/>
        </w:rPr>
      </w:pPr>
    </w:p>
    <w:p>
      <w:pPr>
        <w:ind w:right="160" w:firstLine="255"/>
        <w:spacing w:after="0" w:line="252" w:lineRule="auto"/>
        <w:rPr>
          <w:sz w:val="20"/>
          <w:szCs w:val="20"/>
          <w:color w:val="auto"/>
        </w:rPr>
      </w:pPr>
      <w:r>
        <w:rPr>
          <w:rFonts w:ascii="Arial" w:cs="Arial" w:eastAsia="Arial" w:hAnsi="Arial"/>
          <w:sz w:val="21"/>
          <w:szCs w:val="21"/>
          <w:color w:val="auto"/>
        </w:rPr>
        <w:t>As of December 31, 2021, as adjusted to give effect to the interest rate swaps, the interest rate on the 2022 Convertible Notes was three-month LIBOR plus 2.11% (on a weighted-average basis), the interest rate on the 2023 Notes was three-month LIBOR plus 1.99%, the interest rate on the 2024 Notes was three-month LIBOR plus 2.28% (on a weighted-average basis), and the interest rate on the 2026 Notes was three-month LIBOR plus 1.91%.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875" w:gutter="0" w:footer="0" w:header="0"/>
        </w:sectPr>
      </w:pPr>
    </w:p>
    <w:bookmarkStart w:id="32" w:name="page33"/>
    <w:bookmarkEnd w:id="32"/>
    <w:p>
      <w:pPr>
        <w:ind w:right="200" w:firstLine="255"/>
        <w:spacing w:after="0" w:line="238" w:lineRule="auto"/>
        <w:rPr>
          <w:sz w:val="20"/>
          <w:szCs w:val="20"/>
          <w:color w:val="auto"/>
        </w:rPr>
      </w:pPr>
      <w:r>
        <w:rPr>
          <w:rFonts w:ascii="Arial" w:cs="Arial" w:eastAsia="Arial" w:hAnsi="Arial"/>
          <w:sz w:val="22"/>
          <w:szCs w:val="22"/>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5" w:lineRule="exact"/>
        <w:rPr>
          <w:sz w:val="20"/>
          <w:szCs w:val="20"/>
          <w:color w:val="auto"/>
        </w:rPr>
      </w:pPr>
    </w:p>
    <w:p>
      <w:pPr>
        <w:ind w:right="60" w:firstLine="255"/>
        <w:spacing w:after="0" w:line="249" w:lineRule="auto"/>
        <w:rPr>
          <w:sz w:val="20"/>
          <w:szCs w:val="20"/>
          <w:color w:val="auto"/>
        </w:rPr>
      </w:pPr>
      <w:r>
        <w:rPr>
          <w:rFonts w:ascii="Arial" w:cs="Arial" w:eastAsia="Arial" w:hAnsi="Arial"/>
          <w:sz w:val="21"/>
          <w:szCs w:val="21"/>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Effects of Leverage Based on Actual Amount of Borrowings Incurred by us as of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4"/>
              </w:rPr>
              <w:t>Assumed Return on Our Portfolio</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2"/>
                <w:szCs w:val="12"/>
                <w:color w:val="auto"/>
              </w:rPr>
            </w:pPr>
          </w:p>
        </w:tc>
        <w:tc>
          <w:tcPr>
            <w:tcW w:w="10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2"/>
                <w:szCs w:val="12"/>
                <w:color w:val="auto"/>
              </w:rPr>
            </w:pP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 xml:space="preserve">(net of expenses) </w:t>
            </w:r>
            <w:r>
              <w:rPr>
                <w:rFonts w:ascii="Arial" w:cs="Arial" w:eastAsia="Arial" w:hAnsi="Arial"/>
                <w:sz w:val="12"/>
                <w:szCs w:val="12"/>
                <w:b w:val="1"/>
                <w:bCs w:val="1"/>
                <w:color w:val="auto"/>
                <w:w w:val="88"/>
              </w:rPr>
              <w:t>(1)</w:t>
            </w: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5%</w:t>
            </w:r>
          </w:p>
        </w:tc>
        <w:tc>
          <w:tcPr>
            <w:tcW w:w="340" w:type="dxa"/>
            <w:vAlign w:val="bottom"/>
          </w:tcPr>
          <w:p>
            <w:pPr>
              <w:spacing w:after="0"/>
              <w:rPr>
                <w:sz w:val="12"/>
                <w:szCs w:val="12"/>
                <w:color w:val="auto"/>
              </w:rPr>
            </w:pPr>
          </w:p>
        </w:tc>
        <w:tc>
          <w:tcPr>
            <w:tcW w:w="96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10%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 w:type="dxa"/>
            <w:vAlign w:val="bottom"/>
            <w:tcBorders>
              <w:top w:val="single" w:sz="8" w:color="CCEEFF"/>
            </w:tcBorders>
            <w:shd w:val="clear" w:color="auto" w:fill="CCEEFF"/>
          </w:tcPr>
          <w:p>
            <w:pPr>
              <w:spacing w:after="0"/>
              <w:rPr>
                <w:sz w:val="20"/>
                <w:szCs w:val="20"/>
                <w:color w:val="auto"/>
              </w:rPr>
            </w:pPr>
          </w:p>
        </w:tc>
        <w:tc>
          <w:tcPr>
            <w:tcW w:w="32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w w:val="84"/>
                <w:shd w:val="clear" w:color="auto" w:fill="CCEEFF"/>
              </w:rPr>
              <w:t xml:space="preserve">Corresponding return to stockholder </w:t>
            </w:r>
            <w:r>
              <w:rPr>
                <w:rFonts w:ascii="Arial" w:cs="Arial" w:eastAsia="Arial" w:hAnsi="Arial"/>
                <w:sz w:val="18"/>
                <w:szCs w:val="18"/>
                <w:color w:val="auto"/>
                <w:w w:val="84"/>
                <w:shd w:val="clear" w:color="auto" w:fill="CCEEFF"/>
              </w:rPr>
              <w:t>(2)</w:t>
            </w:r>
          </w:p>
        </w:tc>
        <w:tc>
          <w:tcPr>
            <w:tcW w:w="15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shd w:val="clear" w:color="auto" w:fill="CCEEFF"/>
              </w:rPr>
              <w:t>-22.1%</w:t>
            </w:r>
          </w:p>
        </w:tc>
        <w:tc>
          <w:tcPr>
            <w:tcW w:w="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shd w:val="clear" w:color="auto" w:fill="CCEEFF"/>
              </w:rPr>
              <w:t>-12.1%</w:t>
            </w:r>
          </w:p>
        </w:tc>
        <w:tc>
          <w:tcPr>
            <w:tcW w:w="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12"/>
              <w:spacing w:after="0" w:line="229" w:lineRule="exact"/>
              <w:rPr>
                <w:sz w:val="20"/>
                <w:szCs w:val="20"/>
                <w:color w:val="auto"/>
              </w:rPr>
            </w:pPr>
            <w:r>
              <w:rPr>
                <w:rFonts w:ascii="Arial" w:cs="Arial" w:eastAsia="Arial" w:hAnsi="Arial"/>
                <w:sz w:val="22"/>
                <w:szCs w:val="22"/>
                <w:color w:val="auto"/>
                <w:shd w:val="clear" w:color="auto" w:fill="CCEEFF"/>
              </w:rPr>
              <w:t>-2.1%</w:t>
            </w: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shd w:val="clear" w:color="auto" w:fill="CCEEFF"/>
              </w:rPr>
              <w:t>7.9%</w:t>
            </w:r>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shd w:val="clear" w:color="auto" w:fill="CCEEFF"/>
              </w:rPr>
              <w:t>17.9%</w:t>
            </w:r>
          </w:p>
        </w:tc>
        <w:tc>
          <w:tcPr>
            <w:tcW w:w="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00" w:hanging="492"/>
        <w:spacing w:after="0" w:line="234" w:lineRule="auto"/>
        <w:tabs>
          <w:tab w:leader="none" w:pos="5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2021. As a result, it has not been updated to take into account any changes in assets or leverage since December 31, 2021.</w:t>
      </w:r>
    </w:p>
    <w:p>
      <w:pPr>
        <w:spacing w:after="0" w:line="3" w:lineRule="exact"/>
        <w:rPr>
          <w:rFonts w:ascii="Arial" w:cs="Arial" w:eastAsia="Arial" w:hAnsi="Arial"/>
          <w:sz w:val="22"/>
          <w:szCs w:val="22"/>
          <w:color w:val="auto"/>
        </w:rPr>
      </w:pPr>
    </w:p>
    <w:p>
      <w:pPr>
        <w:ind w:left="500" w:right="60" w:hanging="492"/>
        <w:spacing w:after="0" w:line="232" w:lineRule="auto"/>
        <w:tabs>
          <w:tab w:leader="none" w:pos="5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order to compute the “Corresponding return to stockholder,” the “Assumed Return on Our Portfolio” is multiplied by the total value of our assets at December 31, 2021 to obtain an assumed return to us. From this amount, the interest expense (calculated by multiplying the weighted average stated interest rate of 2.3% by the approximately $1,213.9 million of principal debt outstanding) is subtracted to determine the return available to stockholders. The return available to stockholders is then divided by the total value of our net assets as of December 31, 2021 to determine the “Corresponding return to stockholder.”</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indebtedness could adversely affect our business, financial conditions or results of operations.</w:t>
      </w:r>
    </w:p>
    <w:p>
      <w:pPr>
        <w:spacing w:after="0" w:line="98" w:lineRule="exact"/>
        <w:rPr>
          <w:sz w:val="20"/>
          <w:szCs w:val="20"/>
          <w:color w:val="auto"/>
        </w:rPr>
      </w:pPr>
    </w:p>
    <w:p>
      <w:pPr>
        <w:ind w:firstLine="255"/>
        <w:spacing w:after="0" w:line="246" w:lineRule="auto"/>
        <w:rPr>
          <w:sz w:val="20"/>
          <w:szCs w:val="20"/>
          <w:color w:val="auto"/>
        </w:rPr>
      </w:pPr>
      <w:r>
        <w:rPr>
          <w:rFonts w:ascii="Arial" w:cs="Arial" w:eastAsia="Arial" w:hAnsi="Arial"/>
          <w:sz w:val="21"/>
          <w:szCs w:val="21"/>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Legislation allows us to incur additional leverage.</w:t>
      </w:r>
    </w:p>
    <w:p>
      <w:pPr>
        <w:spacing w:after="0" w:line="98" w:lineRule="exact"/>
        <w:rPr>
          <w:sz w:val="20"/>
          <w:szCs w:val="20"/>
          <w:color w:val="auto"/>
        </w:rPr>
      </w:pPr>
    </w:p>
    <w:p>
      <w:pPr>
        <w:ind w:right="40" w:firstLine="255"/>
        <w:spacing w:after="0" w:line="282" w:lineRule="auto"/>
        <w:rPr>
          <w:sz w:val="20"/>
          <w:szCs w:val="20"/>
          <w:color w:val="auto"/>
        </w:rPr>
      </w:pPr>
      <w:r>
        <w:rPr>
          <w:rFonts w:ascii="Arial" w:cs="Arial" w:eastAsia="Arial" w:hAnsi="Arial"/>
          <w:sz w:val="19"/>
          <w:szCs w:val="19"/>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47" w:lineRule="exact"/>
        <w:rPr>
          <w:sz w:val="20"/>
          <w:szCs w:val="20"/>
          <w:color w:val="auto"/>
        </w:rPr>
      </w:pPr>
    </w:p>
    <w:p>
      <w:pPr>
        <w:ind w:right="20" w:firstLine="255"/>
        <w:spacing w:after="0" w:line="249" w:lineRule="auto"/>
        <w:rPr>
          <w:sz w:val="20"/>
          <w:szCs w:val="20"/>
          <w:color w:val="auto"/>
        </w:rPr>
      </w:pPr>
      <w:r>
        <w:rPr>
          <w:rFonts w:ascii="Arial" w:cs="Arial" w:eastAsia="Arial" w:hAnsi="Arial"/>
          <w:sz w:val="21"/>
          <w:szCs w:val="21"/>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8" w:lineRule="exact"/>
        <w:rPr>
          <w:sz w:val="20"/>
          <w:szCs w:val="20"/>
          <w:color w:val="auto"/>
        </w:rPr>
      </w:pPr>
    </w:p>
    <w:p>
      <w:pPr>
        <w:ind w:right="400" w:firstLine="255"/>
        <w:spacing w:after="0" w:line="287" w:lineRule="auto"/>
        <w:rPr>
          <w:sz w:val="20"/>
          <w:szCs w:val="20"/>
          <w:color w:val="auto"/>
        </w:rPr>
      </w:pPr>
      <w:r>
        <w:rPr>
          <w:rFonts w:ascii="Arial" w:cs="Arial" w:eastAsia="Arial" w:hAnsi="Arial"/>
          <w:sz w:val="19"/>
          <w:szCs w:val="19"/>
          <w:color w:val="auto"/>
        </w:rPr>
        <w:t>As a result, you may face increased investment risk. We may not be able to implement our strategy to utilize additional leverage successfully. See “</w:t>
      </w:r>
      <w:r>
        <w:rPr>
          <w:rFonts w:ascii="Arial" w:cs="Arial" w:eastAsia="Arial" w:hAnsi="Arial"/>
          <w:sz w:val="19"/>
          <w:szCs w:val="19"/>
          <w:b w:val="1"/>
          <w:bCs w:val="1"/>
          <w:color w:val="auto"/>
        </w:rPr>
        <w:t>—</w:t>
      </w:r>
      <w:r>
        <w:rPr>
          <w:rFonts w:ascii="Arial" w:cs="Arial" w:eastAsia="Arial" w:hAnsi="Arial"/>
          <w:sz w:val="19"/>
          <w:szCs w:val="19"/>
          <w:i w:val="1"/>
          <w:iCs w:val="1"/>
          <w:color w:val="auto"/>
        </w:rPr>
        <w:t>We operate in a highly competitive environment for investment opportunities</w:t>
      </w:r>
      <w:r>
        <w:rPr>
          <w:rFonts w:ascii="Arial" w:cs="Arial" w:eastAsia="Arial" w:hAnsi="Arial"/>
          <w:sz w:val="19"/>
          <w:szCs w:val="19"/>
          <w:color w:val="auto"/>
        </w:rPr>
        <w:t>.” Any impact on returns or equity or our business associated with additional leverage may not outweigh the additional risk. See “</w:t>
      </w:r>
      <w:r>
        <w:rPr>
          <w:rFonts w:ascii="Arial" w:cs="Arial" w:eastAsia="Arial" w:hAnsi="Arial"/>
          <w:sz w:val="19"/>
          <w:szCs w:val="19"/>
          <w:b w:val="1"/>
          <w:bCs w:val="1"/>
          <w:color w:val="auto"/>
        </w:rPr>
        <w:t>—</w:t>
      </w:r>
      <w:r>
        <w:rPr>
          <w:rFonts w:ascii="Arial" w:cs="Arial" w:eastAsia="Arial" w:hAnsi="Arial"/>
          <w:sz w:val="19"/>
          <w:szCs w:val="19"/>
          <w:i w:val="1"/>
          <w:iCs w:val="1"/>
          <w:color w:val="auto"/>
        </w:rPr>
        <w:t>We borrow</w:t>
      </w:r>
      <w:r>
        <w:rPr>
          <w:rFonts w:ascii="Arial" w:cs="Arial" w:eastAsia="Arial" w:hAnsi="Arial"/>
          <w:sz w:val="19"/>
          <w:szCs w:val="19"/>
          <w:color w:val="auto"/>
        </w:rPr>
        <w:t xml:space="preserve"> </w:t>
      </w:r>
      <w:r>
        <w:rPr>
          <w:rFonts w:ascii="Arial" w:cs="Arial" w:eastAsia="Arial" w:hAnsi="Arial"/>
          <w:sz w:val="19"/>
          <w:szCs w:val="19"/>
          <w:i w:val="1"/>
          <w:iCs w:val="1"/>
          <w:color w:val="auto"/>
        </w:rPr>
        <w:t>money, which magnifies the potential for gain or loss and increases the risk of investing in us.</w:t>
      </w:r>
      <w:r>
        <w:rPr>
          <w:rFonts w:ascii="Arial" w:cs="Arial" w:eastAsia="Arial" w:hAnsi="Arial"/>
          <w:sz w:val="19"/>
          <w:szCs w:val="19"/>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operate in a highly competitive market for investment opportunities.</w:t>
      </w:r>
    </w:p>
    <w:p>
      <w:pPr>
        <w:spacing w:after="0" w:line="98" w:lineRule="exact"/>
        <w:rPr>
          <w:sz w:val="20"/>
          <w:szCs w:val="20"/>
          <w:color w:val="auto"/>
        </w:rPr>
      </w:pPr>
    </w:p>
    <w:p>
      <w:pPr>
        <w:ind w:right="80" w:firstLine="255"/>
        <w:spacing w:after="0" w:line="238" w:lineRule="auto"/>
        <w:rPr>
          <w:sz w:val="20"/>
          <w:szCs w:val="20"/>
          <w:color w:val="auto"/>
        </w:rPr>
      </w:pPr>
      <w:r>
        <w:rPr>
          <w:rFonts w:ascii="Arial" w:cs="Arial" w:eastAsia="Arial" w:hAnsi="Arial"/>
          <w:sz w:val="22"/>
          <w:szCs w:val="22"/>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52" w:gutter="0" w:footer="0" w:header="0"/>
        </w:sectPr>
      </w:pPr>
    </w:p>
    <w:bookmarkStart w:id="33" w:name="page34"/>
    <w:bookmarkEnd w:id="33"/>
    <w:p>
      <w:pPr>
        <w:ind w:right="100"/>
        <w:spacing w:after="0" w:line="282" w:lineRule="auto"/>
        <w:rPr>
          <w:sz w:val="20"/>
          <w:szCs w:val="20"/>
          <w:color w:val="auto"/>
        </w:rPr>
      </w:pPr>
      <w:r>
        <w:rPr>
          <w:rFonts w:ascii="Arial" w:cs="Arial" w:eastAsia="Arial" w:hAnsi="Arial"/>
          <w:sz w:val="19"/>
          <w:szCs w:val="19"/>
          <w:color w:val="auto"/>
        </w:rPr>
        <w:t>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47" w:lineRule="exact"/>
        <w:rPr>
          <w:sz w:val="20"/>
          <w:szCs w:val="20"/>
          <w:color w:val="auto"/>
        </w:rPr>
      </w:pPr>
    </w:p>
    <w:p>
      <w:pPr>
        <w:ind w:right="80" w:firstLine="255"/>
        <w:spacing w:after="0" w:line="248" w:lineRule="auto"/>
        <w:rPr>
          <w:sz w:val="20"/>
          <w:szCs w:val="20"/>
          <w:color w:val="auto"/>
        </w:rPr>
      </w:pPr>
      <w:r>
        <w:rPr>
          <w:rFonts w:ascii="Arial" w:cs="Arial" w:eastAsia="Arial" w:hAnsi="Arial"/>
          <w:sz w:val="21"/>
          <w:szCs w:val="21"/>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5"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b w:val="1"/>
          <w:bCs w:val="1"/>
          <w:i w:val="1"/>
          <w:iCs w:val="1"/>
          <w:color w:val="auto"/>
        </w:rPr>
        <w:t>If we are unable to source investments, access financing or manage future growth effectively, we may be unable to achieve our investment objective.</w:t>
      </w:r>
    </w:p>
    <w:p>
      <w:pPr>
        <w:spacing w:after="0" w:line="67" w:lineRule="exact"/>
        <w:rPr>
          <w:sz w:val="20"/>
          <w:szCs w:val="20"/>
          <w:color w:val="auto"/>
        </w:rPr>
      </w:pPr>
    </w:p>
    <w:p>
      <w:pPr>
        <w:ind w:right="60" w:firstLine="255"/>
        <w:spacing w:after="0" w:line="246" w:lineRule="auto"/>
        <w:rPr>
          <w:sz w:val="20"/>
          <w:szCs w:val="20"/>
          <w:color w:val="auto"/>
        </w:rPr>
      </w:pPr>
      <w:r>
        <w:rPr>
          <w:rFonts w:ascii="Arial" w:cs="Arial" w:eastAsia="Arial" w:hAnsi="Arial"/>
          <w:sz w:val="21"/>
          <w:szCs w:val="21"/>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0" w:lineRule="exact"/>
        <w:rPr>
          <w:sz w:val="20"/>
          <w:szCs w:val="20"/>
          <w:color w:val="auto"/>
        </w:rPr>
      </w:pPr>
    </w:p>
    <w:p>
      <w:pPr>
        <w:ind w:right="260" w:firstLine="255"/>
        <w:spacing w:after="0" w:line="236" w:lineRule="auto"/>
        <w:rPr>
          <w:sz w:val="20"/>
          <w:szCs w:val="20"/>
          <w:color w:val="auto"/>
        </w:rPr>
      </w:pPr>
      <w:r>
        <w:rPr>
          <w:rFonts w:ascii="Arial" w:cs="Arial" w:eastAsia="Arial" w:hAnsi="Arial"/>
          <w:sz w:val="22"/>
          <w:szCs w:val="22"/>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Even in the event the value of your investment declines, the Management Fee and, in certain circumstances, the Incentive Fee will still be payable to the Adviser.</w:t>
      </w:r>
    </w:p>
    <w:p>
      <w:pPr>
        <w:spacing w:after="0" w:line="67" w:lineRule="exact"/>
        <w:rPr>
          <w:sz w:val="20"/>
          <w:szCs w:val="20"/>
          <w:color w:val="auto"/>
        </w:rPr>
      </w:pPr>
    </w:p>
    <w:p>
      <w:pPr>
        <w:ind w:right="20" w:firstLine="255"/>
        <w:spacing w:after="0" w:line="277" w:lineRule="auto"/>
        <w:rPr>
          <w:sz w:val="20"/>
          <w:szCs w:val="20"/>
          <w:color w:val="auto"/>
        </w:rPr>
      </w:pPr>
      <w:r>
        <w:rPr>
          <w:rFonts w:ascii="Arial" w:cs="Arial" w:eastAsia="Arial" w:hAnsi="Arial"/>
          <w:sz w:val="19"/>
          <w:szCs w:val="19"/>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52" w:lineRule="exact"/>
        <w:rPr>
          <w:sz w:val="20"/>
          <w:szCs w:val="20"/>
          <w:color w:val="auto"/>
        </w:rPr>
      </w:pPr>
    </w:p>
    <w:p>
      <w:pPr>
        <w:ind w:right="80" w:firstLine="255"/>
        <w:spacing w:after="0" w:line="274" w:lineRule="auto"/>
        <w:rPr>
          <w:sz w:val="20"/>
          <w:szCs w:val="20"/>
          <w:color w:val="auto"/>
        </w:rPr>
      </w:pPr>
      <w:r>
        <w:rPr>
          <w:rFonts w:ascii="Arial" w:cs="Arial" w:eastAsia="Arial" w:hAnsi="Arial"/>
          <w:sz w:val="19"/>
          <w:szCs w:val="19"/>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58" w:lineRule="exact"/>
        <w:rPr>
          <w:sz w:val="20"/>
          <w:szCs w:val="20"/>
          <w:color w:val="auto"/>
        </w:rPr>
      </w:pPr>
    </w:p>
    <w:p>
      <w:pPr>
        <w:ind w:right="140" w:firstLine="255"/>
        <w:spacing w:after="0" w:line="249" w:lineRule="auto"/>
        <w:rPr>
          <w:sz w:val="20"/>
          <w:szCs w:val="20"/>
          <w:color w:val="auto"/>
        </w:rPr>
      </w:pPr>
      <w:r>
        <w:rPr>
          <w:rFonts w:ascii="Arial" w:cs="Arial" w:eastAsia="Arial" w:hAnsi="Arial"/>
          <w:sz w:val="21"/>
          <w:szCs w:val="21"/>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8" w:lineRule="exact"/>
        <w:rPr>
          <w:sz w:val="20"/>
          <w:szCs w:val="20"/>
          <w:color w:val="auto"/>
        </w:rPr>
      </w:pPr>
    </w:p>
    <w:p>
      <w:pPr>
        <w:ind w:right="20" w:firstLine="255"/>
        <w:spacing w:after="0" w:line="235" w:lineRule="auto"/>
        <w:rPr>
          <w:sz w:val="20"/>
          <w:szCs w:val="20"/>
          <w:color w:val="auto"/>
        </w:rPr>
      </w:pPr>
      <w:r>
        <w:rPr>
          <w:rFonts w:ascii="Arial" w:cs="Arial" w:eastAsia="Arial" w:hAnsi="Arial"/>
          <w:sz w:val="22"/>
          <w:szCs w:val="22"/>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2" w:right="339" w:bottom="92" w:gutter="0" w:footer="0" w:header="0"/>
        </w:sectPr>
      </w:pPr>
    </w:p>
    <w:bookmarkStart w:id="34" w:name="page35"/>
    <w:bookmarkEnd w:id="34"/>
    <w:p>
      <w:pPr>
        <w:ind w:right="380"/>
        <w:spacing w:after="0" w:line="328" w:lineRule="auto"/>
        <w:rPr>
          <w:sz w:val="20"/>
          <w:szCs w:val="20"/>
          <w:color w:val="auto"/>
        </w:rPr>
      </w:pPr>
      <w:r>
        <w:rPr>
          <w:rFonts w:ascii="Arial" w:cs="Arial" w:eastAsia="Arial" w:hAnsi="Arial"/>
          <w:sz w:val="19"/>
          <w:szCs w:val="19"/>
          <w:color w:val="auto"/>
        </w:rPr>
        <w:t>producing investments. Such a practice could result in our making more speculative investments than would otherwise be the case, which could result in higher investment losses, particularly during cyclical economic downturns.</w:t>
      </w:r>
    </w:p>
    <w:p>
      <w:pPr>
        <w:spacing w:after="0" w:line="21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sz w:val="20"/>
          <w:szCs w:val="20"/>
          <w:color w:val="auto"/>
        </w:rPr>
      </w:pPr>
    </w:p>
    <w:p>
      <w:pPr>
        <w:ind w:right="80" w:firstLine="255"/>
        <w:spacing w:after="0" w:line="245" w:lineRule="auto"/>
        <w:rPr>
          <w:sz w:val="20"/>
          <w:szCs w:val="20"/>
          <w:color w:val="auto"/>
        </w:rPr>
      </w:pPr>
      <w:r>
        <w:rPr>
          <w:rFonts w:ascii="Arial" w:cs="Arial" w:eastAsia="Arial" w:hAnsi="Arial"/>
          <w:sz w:val="21"/>
          <w:szCs w:val="21"/>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2" w:lineRule="exact"/>
        <w:rPr>
          <w:sz w:val="20"/>
          <w:szCs w:val="20"/>
          <w:color w:val="auto"/>
        </w:rPr>
      </w:pPr>
    </w:p>
    <w:p>
      <w:pPr>
        <w:ind w:right="320"/>
        <w:spacing w:after="0" w:line="326" w:lineRule="auto"/>
        <w:rPr>
          <w:sz w:val="20"/>
          <w:szCs w:val="20"/>
          <w:color w:val="auto"/>
        </w:rPr>
      </w:pPr>
      <w:r>
        <w:rPr>
          <w:rFonts w:ascii="Arial" w:cs="Arial" w:eastAsia="Arial" w:hAnsi="Arial"/>
          <w:sz w:val="19"/>
          <w:szCs w:val="19"/>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ind w:right="40" w:firstLine="255"/>
        <w:spacing w:after="0" w:line="282" w:lineRule="auto"/>
        <w:rPr>
          <w:sz w:val="20"/>
          <w:szCs w:val="20"/>
          <w:color w:val="auto"/>
        </w:rPr>
      </w:pPr>
      <w:r>
        <w:rPr>
          <w:rFonts w:ascii="Arial" w:cs="Arial" w:eastAsia="Arial" w:hAnsi="Arial"/>
          <w:sz w:val="19"/>
          <w:szCs w:val="19"/>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9" w:lineRule="exact"/>
        <w:rPr>
          <w:sz w:val="20"/>
          <w:szCs w:val="20"/>
          <w:color w:val="auto"/>
        </w:rPr>
      </w:pPr>
    </w:p>
    <w:p>
      <w:pPr>
        <w:ind w:left="500" w:right="340" w:hanging="249"/>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22"/>
          <w:szCs w:val="22"/>
          <w:color w:val="auto"/>
        </w:rPr>
        <w:t>We must distribute (or be treated as distributing) dividends for tax purposes in each taxable year equal to at least 90% of each of:</w:t>
      </w:r>
    </w:p>
    <w:p>
      <w:pPr>
        <w:spacing w:after="0" w:line="66" w:lineRule="exact"/>
        <w:rPr>
          <w:rFonts w:ascii="Arial" w:cs="Arial" w:eastAsia="Arial" w:hAnsi="Arial"/>
          <w:sz w:val="18"/>
          <w:szCs w:val="18"/>
          <w:color w:val="auto"/>
        </w:rPr>
      </w:pPr>
    </w:p>
    <w:p>
      <w:pPr>
        <w:ind w:left="500" w:right="500" w:hanging="249"/>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22"/>
          <w:szCs w:val="22"/>
          <w:color w:val="auto"/>
        </w:rPr>
        <w:t>the sum of our net ordinary income and realized net short-term capital gains in excess of realized net long-term capital losses or, investment company taxable income, if any, for that taxable year; and</w:t>
      </w:r>
    </w:p>
    <w:p>
      <w:pPr>
        <w:spacing w:after="0" w:line="66" w:lineRule="exact"/>
        <w:rPr>
          <w:rFonts w:ascii="Arial" w:cs="Arial" w:eastAsia="Arial" w:hAnsi="Arial"/>
          <w:sz w:val="18"/>
          <w:szCs w:val="18"/>
          <w:color w:val="auto"/>
        </w:rPr>
      </w:pPr>
    </w:p>
    <w:p>
      <w:pPr>
        <w:ind w:left="500" w:hanging="249"/>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22"/>
          <w:szCs w:val="22"/>
          <w:color w:val="auto"/>
        </w:rPr>
        <w:t>our net tax-exempt income for that taxable year.</w:t>
      </w:r>
    </w:p>
    <w:p>
      <w:pPr>
        <w:spacing w:after="0" w:line="206" w:lineRule="exact"/>
        <w:rPr>
          <w:sz w:val="20"/>
          <w:szCs w:val="20"/>
          <w:color w:val="auto"/>
        </w:rPr>
      </w:pPr>
    </w:p>
    <w:p>
      <w:pPr>
        <w:ind w:firstLine="255"/>
        <w:spacing w:after="0" w:line="249" w:lineRule="auto"/>
        <w:rPr>
          <w:sz w:val="20"/>
          <w:szCs w:val="20"/>
          <w:color w:val="auto"/>
        </w:rPr>
      </w:pPr>
      <w:r>
        <w:rPr>
          <w:rFonts w:ascii="Arial" w:cs="Arial" w:eastAsia="Arial" w:hAnsi="Arial"/>
          <w:sz w:val="21"/>
          <w:szCs w:val="21"/>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0" w:lineRule="exact"/>
        <w:rPr>
          <w:sz w:val="20"/>
          <w:szCs w:val="20"/>
          <w:color w:val="auto"/>
        </w:rPr>
      </w:pPr>
    </w:p>
    <w:p>
      <w:pPr>
        <w:ind w:left="500" w:right="300" w:hanging="249"/>
        <w:spacing w:after="0" w:line="250"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22"/>
          <w:szCs w:val="22"/>
          <w:color w:val="auto"/>
        </w:rPr>
        <w:t>We must derive at least 90% of our gross income for each taxable year from dividends, interest, gains from the sale of or other disposition of stock or securities or similar sources.</w:t>
      </w:r>
    </w:p>
    <w:p>
      <w:pPr>
        <w:spacing w:after="0" w:line="66" w:lineRule="exact"/>
        <w:rPr>
          <w:rFonts w:ascii="Arial" w:cs="Arial" w:eastAsia="Arial" w:hAnsi="Arial"/>
          <w:sz w:val="18"/>
          <w:szCs w:val="18"/>
          <w:color w:val="auto"/>
        </w:rPr>
      </w:pPr>
    </w:p>
    <w:p>
      <w:pPr>
        <w:ind w:left="500" w:right="40" w:hanging="249"/>
        <w:spacing w:after="0" w:line="238"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22"/>
          <w:szCs w:val="22"/>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85" w:lineRule="exact"/>
        <w:rPr>
          <w:sz w:val="20"/>
          <w:szCs w:val="20"/>
          <w:color w:val="auto"/>
        </w:rPr>
      </w:pPr>
    </w:p>
    <w:p>
      <w:pPr>
        <w:ind w:right="60" w:firstLine="255"/>
        <w:spacing w:after="0" w:line="328" w:lineRule="auto"/>
        <w:rPr>
          <w:sz w:val="20"/>
          <w:szCs w:val="20"/>
          <w:color w:val="auto"/>
        </w:rPr>
      </w:pPr>
      <w:r>
        <w:rPr>
          <w:rFonts w:ascii="Arial" w:cs="Arial" w:eastAsia="Arial" w:hAnsi="Arial"/>
          <w:sz w:val="19"/>
          <w:szCs w:val="19"/>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b w:val="1"/>
          <w:bCs w:val="1"/>
          <w:i w:val="1"/>
          <w:iCs w:val="1"/>
          <w:color w:val="auto"/>
        </w:rPr>
        <w:t>We can be expected to retain some income and capital gains in excess of what is permissible for excise tax purposes and such amounts will be subject to 4% U.S. federal excise tax.</w:t>
      </w:r>
    </w:p>
    <w:p>
      <w:pPr>
        <w:spacing w:after="0" w:line="67" w:lineRule="exact"/>
        <w:rPr>
          <w:sz w:val="20"/>
          <w:szCs w:val="20"/>
          <w:color w:val="auto"/>
        </w:rPr>
      </w:pPr>
    </w:p>
    <w:p>
      <w:pPr>
        <w:ind w:right="60" w:firstLine="255"/>
        <w:spacing w:after="0" w:line="234" w:lineRule="auto"/>
        <w:rPr>
          <w:sz w:val="20"/>
          <w:szCs w:val="20"/>
          <w:color w:val="auto"/>
        </w:rPr>
      </w:pPr>
      <w:r>
        <w:rPr>
          <w:rFonts w:ascii="Arial" w:cs="Arial" w:eastAsia="Arial" w:hAnsi="Arial"/>
          <w:sz w:val="22"/>
          <w:szCs w:val="22"/>
          <w:color w:val="auto"/>
        </w:rPr>
        <w:t>As of December 31, 2021 and 2020, we elected to retain approximately $32 million and $121 million of taxable income and capital gains, respectively, in order to provide us with additional liquidity and we recorded an expense of $0.7 million and $5.8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22"/>
          <w:szCs w:val="22"/>
          <w:i w:val="1"/>
          <w:iCs w:val="1"/>
          <w:color w:val="auto"/>
        </w:rPr>
        <w:t>ITEM 1. BUSINESS—Regulation as a Business Development Company—Regulated Investment Company</w:t>
      </w:r>
      <w:r>
        <w:rPr>
          <w:rFonts w:ascii="Arial" w:cs="Arial" w:eastAsia="Arial" w:hAnsi="Arial"/>
          <w:sz w:val="22"/>
          <w:szCs w:val="22"/>
          <w:color w:val="auto"/>
        </w:rPr>
        <w:t xml:space="preserve"> </w:t>
      </w:r>
      <w:r>
        <w:rPr>
          <w:rFonts w:ascii="Arial" w:cs="Arial" w:eastAsia="Arial" w:hAnsi="Arial"/>
          <w:sz w:val="22"/>
          <w:szCs w:val="22"/>
          <w:i w:val="1"/>
          <w:iCs w:val="1"/>
          <w:color w:val="auto"/>
        </w:rPr>
        <w:t>Classification</w:t>
      </w:r>
      <w:r>
        <w:rPr>
          <w:rFonts w:ascii="Arial" w:cs="Arial" w:eastAsia="Arial" w:hAnsi="Arial"/>
          <w:sz w:val="22"/>
          <w:szCs w:val="22"/>
          <w:color w:val="auto"/>
        </w:rPr>
        <w:t>” for more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i w:val="1"/>
          <w:iCs w:val="1"/>
          <w:color w:val="auto"/>
        </w:rPr>
        <w:t>Our Adviser and its affiliates, officers and employees may face certain conflicts of interest.</w:t>
      </w:r>
    </w:p>
    <w:p>
      <w:pPr>
        <w:spacing w:after="0" w:line="98" w:lineRule="exact"/>
        <w:rPr>
          <w:sz w:val="20"/>
          <w:szCs w:val="20"/>
          <w:color w:val="auto"/>
        </w:rPr>
      </w:pPr>
    </w:p>
    <w:p>
      <w:pPr>
        <w:ind w:right="160" w:firstLine="255"/>
        <w:spacing w:after="0" w:line="277" w:lineRule="auto"/>
        <w:rPr>
          <w:sz w:val="20"/>
          <w:szCs w:val="20"/>
          <w:color w:val="auto"/>
        </w:rPr>
      </w:pPr>
      <w:r>
        <w:rPr>
          <w:rFonts w:ascii="Arial" w:cs="Arial" w:eastAsia="Arial" w:hAnsi="Arial"/>
          <w:sz w:val="19"/>
          <w:szCs w:val="19"/>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52" w:lineRule="exact"/>
        <w:rPr>
          <w:sz w:val="20"/>
          <w:szCs w:val="20"/>
          <w:color w:val="auto"/>
        </w:rPr>
      </w:pPr>
    </w:p>
    <w:p>
      <w:pPr>
        <w:ind w:right="140" w:firstLine="255"/>
        <w:spacing w:after="0" w:line="273" w:lineRule="auto"/>
        <w:rPr>
          <w:sz w:val="20"/>
          <w:szCs w:val="20"/>
          <w:color w:val="auto"/>
        </w:rPr>
      </w:pPr>
      <w:r>
        <w:rPr>
          <w:rFonts w:ascii="Arial" w:cs="Arial" w:eastAsia="Arial" w:hAnsi="Arial"/>
          <w:sz w:val="19"/>
          <w:szCs w:val="19"/>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61" w:lineRule="exact"/>
        <w:rPr>
          <w:sz w:val="20"/>
          <w:szCs w:val="20"/>
          <w:color w:val="auto"/>
        </w:rPr>
      </w:pPr>
    </w:p>
    <w:p>
      <w:pPr>
        <w:ind w:firstLine="255"/>
        <w:spacing w:after="0" w:line="257" w:lineRule="auto"/>
        <w:rPr>
          <w:sz w:val="20"/>
          <w:szCs w:val="20"/>
          <w:color w:val="auto"/>
        </w:rPr>
      </w:pPr>
      <w:r>
        <w:rPr>
          <w:rFonts w:ascii="Arial" w:cs="Arial" w:eastAsia="Arial" w:hAnsi="Arial"/>
          <w:sz w:val="20"/>
          <w:szCs w:val="20"/>
          <w:color w:val="auto"/>
        </w:rPr>
        <w:t xml:space="preserve">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 </w:t>
      </w:r>
      <w:r>
        <w:rPr>
          <w:rFonts w:ascii="Arial" w:cs="Arial" w:eastAsia="Arial" w:hAnsi="Arial"/>
          <w:sz w:val="15"/>
          <w:szCs w:val="15"/>
          <w:color w:val="auto"/>
        </w:rPr>
        <w:t>On January 16, 2020, we filed a further application for co-investment exemptive relief with the SEC to better align our existing co-investment</w:t>
      </w:r>
      <w:r>
        <w:rPr>
          <w:rFonts w:ascii="Arial" w:cs="Arial" w:eastAsia="Arial" w:hAnsi="Arial"/>
          <w:sz w:val="20"/>
          <w:szCs w:val="20"/>
          <w:color w:val="auto"/>
        </w:rPr>
        <w:t xml:space="preserve"> </w:t>
      </w:r>
      <w:r>
        <w:rPr>
          <w:rFonts w:ascii="Arial" w:cs="Arial" w:eastAsia="Arial" w:hAnsi="Arial"/>
          <w:sz w:val="15"/>
          <w:szCs w:val="15"/>
          <w:color w:val="auto"/>
        </w:rPr>
        <w:t xml:space="preserve">relief with more recent SEC exemptive orders. There can be no assurance when or if the SEC will grant a further order in response to our application. Until such time a new order is granted, we will continue to operate under the terms of our current exemptive order. </w:t>
      </w:r>
      <w:r>
        <w:rPr>
          <w:rFonts w:ascii="Arial" w:cs="Arial" w:eastAsia="Arial" w:hAnsi="Arial"/>
          <w:sz w:val="19"/>
          <w:szCs w:val="19"/>
          <w:color w:val="auto"/>
        </w:rPr>
        <w:t>We cannot assure you when or</w:t>
      </w:r>
      <w:r>
        <w:rPr>
          <w:rFonts w:ascii="Arial" w:cs="Arial" w:eastAsia="Arial" w:hAnsi="Arial"/>
          <w:sz w:val="15"/>
          <w:szCs w:val="15"/>
          <w:color w:val="auto"/>
        </w:rPr>
        <w:t xml:space="preserve"> </w:t>
      </w:r>
      <w:r>
        <w:rPr>
          <w:rFonts w:ascii="Arial" w:cs="Arial" w:eastAsia="Arial" w:hAnsi="Arial"/>
          <w:sz w:val="19"/>
          <w:szCs w:val="19"/>
          <w:color w:val="auto"/>
        </w:rPr>
        <w:t>whether we will apply for any other exemptive relief in the future and whether such orders will be obtained.</w:t>
      </w:r>
    </w:p>
    <w:p>
      <w:pPr>
        <w:spacing w:after="0" w:line="282" w:lineRule="exact"/>
        <w:rPr>
          <w:sz w:val="20"/>
          <w:szCs w:val="20"/>
          <w:color w:val="auto"/>
        </w:rPr>
      </w:pPr>
    </w:p>
    <w:p>
      <w:pPr>
        <w:jc w:val="both"/>
        <w:ind w:right="200"/>
        <w:spacing w:after="0"/>
        <w:rPr>
          <w:sz w:val="20"/>
          <w:szCs w:val="20"/>
          <w:color w:val="auto"/>
        </w:rPr>
      </w:pPr>
      <w:r>
        <w:rPr>
          <w:rFonts w:ascii="Arial" w:cs="Arial" w:eastAsia="Arial" w:hAnsi="Arial"/>
          <w:sz w:val="22"/>
          <w:szCs w:val="22"/>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78" w:lineRule="exact"/>
        <w:rPr>
          <w:sz w:val="20"/>
          <w:szCs w:val="20"/>
          <w:color w:val="auto"/>
        </w:rPr>
      </w:pPr>
    </w:p>
    <w:p>
      <w:pPr>
        <w:ind w:right="20" w:firstLine="255"/>
        <w:spacing w:after="0" w:line="244" w:lineRule="auto"/>
        <w:rPr>
          <w:sz w:val="20"/>
          <w:szCs w:val="20"/>
          <w:color w:val="auto"/>
        </w:rPr>
      </w:pPr>
      <w:r>
        <w:rPr>
          <w:rFonts w:ascii="Arial" w:cs="Arial" w:eastAsia="Arial" w:hAnsi="Arial"/>
          <w:sz w:val="21"/>
          <w:szCs w:val="21"/>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88" w:lineRule="exact"/>
        <w:rPr>
          <w:sz w:val="20"/>
          <w:szCs w:val="20"/>
          <w:color w:val="auto"/>
        </w:rPr>
      </w:pPr>
    </w:p>
    <w:p>
      <w:pPr>
        <w:ind w:right="100" w:firstLine="255"/>
        <w:spacing w:after="0" w:line="238" w:lineRule="auto"/>
        <w:rPr>
          <w:sz w:val="20"/>
          <w:szCs w:val="20"/>
          <w:color w:val="auto"/>
        </w:rPr>
      </w:pPr>
      <w:r>
        <w:rPr>
          <w:rFonts w:ascii="Arial" w:cs="Arial" w:eastAsia="Arial" w:hAnsi="Arial"/>
          <w:sz w:val="22"/>
          <w:szCs w:val="22"/>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5" w:lineRule="exact"/>
        <w:rPr>
          <w:sz w:val="20"/>
          <w:szCs w:val="20"/>
          <w:color w:val="auto"/>
        </w:rPr>
      </w:pPr>
    </w:p>
    <w:p>
      <w:pPr>
        <w:jc w:val="both"/>
        <w:ind w:right="160" w:firstLine="255"/>
        <w:spacing w:after="0"/>
        <w:rPr>
          <w:sz w:val="20"/>
          <w:szCs w:val="20"/>
          <w:color w:val="auto"/>
        </w:rPr>
      </w:pPr>
      <w:r>
        <w:rPr>
          <w:rFonts w:ascii="Arial" w:cs="Arial" w:eastAsia="Arial" w:hAnsi="Arial"/>
          <w:sz w:val="22"/>
          <w:szCs w:val="22"/>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36" w:name="page37"/>
    <w:bookmarkEnd w:id="36"/>
    <w:p>
      <w:pPr>
        <w:ind w:right="180"/>
        <w:spacing w:after="0"/>
        <w:rPr>
          <w:sz w:val="20"/>
          <w:szCs w:val="20"/>
          <w:color w:val="auto"/>
        </w:rPr>
      </w:pPr>
      <w:r>
        <w:rPr>
          <w:rFonts w:ascii="Arial" w:cs="Arial" w:eastAsia="Arial" w:hAnsi="Arial"/>
          <w:sz w:val="22"/>
          <w:szCs w:val="22"/>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78" w:lineRule="exact"/>
        <w:rPr>
          <w:sz w:val="20"/>
          <w:szCs w:val="20"/>
          <w:color w:val="auto"/>
        </w:rPr>
      </w:pPr>
    </w:p>
    <w:p>
      <w:pPr>
        <w:ind w:right="20" w:firstLine="255"/>
        <w:spacing w:after="0" w:line="246" w:lineRule="auto"/>
        <w:rPr>
          <w:sz w:val="20"/>
          <w:szCs w:val="20"/>
          <w:color w:val="auto"/>
        </w:rPr>
      </w:pPr>
      <w:r>
        <w:rPr>
          <w:rFonts w:ascii="Arial" w:cs="Arial" w:eastAsia="Arial" w:hAnsi="Arial"/>
          <w:sz w:val="21"/>
          <w:szCs w:val="21"/>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0" w:lineRule="exact"/>
        <w:rPr>
          <w:sz w:val="20"/>
          <w:szCs w:val="20"/>
          <w:color w:val="auto"/>
        </w:rPr>
      </w:pPr>
    </w:p>
    <w:p>
      <w:pPr>
        <w:ind w:right="40" w:firstLine="255"/>
        <w:spacing w:after="0" w:line="244" w:lineRule="auto"/>
        <w:rPr>
          <w:sz w:val="20"/>
          <w:szCs w:val="20"/>
          <w:color w:val="auto"/>
        </w:rPr>
      </w:pPr>
      <w:r>
        <w:rPr>
          <w:rFonts w:ascii="Arial" w:cs="Arial" w:eastAsia="Arial" w:hAnsi="Arial"/>
          <w:sz w:val="21"/>
          <w:szCs w:val="21"/>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Any failure to maintain our status as a BDC would reduce our operating flexibility.</w:t>
      </w:r>
    </w:p>
    <w:p>
      <w:pPr>
        <w:spacing w:after="0" w:line="98" w:lineRule="exact"/>
        <w:rPr>
          <w:sz w:val="20"/>
          <w:szCs w:val="20"/>
          <w:color w:val="auto"/>
        </w:rPr>
      </w:pPr>
    </w:p>
    <w:p>
      <w:pPr>
        <w:ind w:right="40" w:firstLine="255"/>
        <w:spacing w:after="0" w:line="238" w:lineRule="auto"/>
        <w:rPr>
          <w:sz w:val="20"/>
          <w:szCs w:val="20"/>
          <w:color w:val="auto"/>
        </w:rPr>
      </w:pPr>
      <w:r>
        <w:rPr>
          <w:rFonts w:ascii="Arial" w:cs="Arial" w:eastAsia="Arial" w:hAnsi="Arial"/>
          <w:sz w:val="22"/>
          <w:szCs w:val="22"/>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incur significant costs as a result of being a publicly traded company.</w:t>
      </w:r>
    </w:p>
    <w:p>
      <w:pPr>
        <w:spacing w:after="0" w:line="98" w:lineRule="exact"/>
        <w:rPr>
          <w:sz w:val="20"/>
          <w:szCs w:val="20"/>
          <w:color w:val="auto"/>
        </w:rPr>
      </w:pPr>
    </w:p>
    <w:p>
      <w:pPr>
        <w:ind w:right="180" w:firstLine="255"/>
        <w:spacing w:after="0" w:line="249" w:lineRule="auto"/>
        <w:rPr>
          <w:sz w:val="20"/>
          <w:szCs w:val="20"/>
          <w:color w:val="auto"/>
        </w:rPr>
      </w:pPr>
      <w:r>
        <w:rPr>
          <w:rFonts w:ascii="Arial" w:cs="Arial" w:eastAsia="Arial" w:hAnsi="Arial"/>
          <w:sz w:val="21"/>
          <w:szCs w:val="21"/>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26" w:lineRule="exact"/>
        <w:rPr>
          <w:sz w:val="20"/>
          <w:szCs w:val="20"/>
          <w:color w:val="auto"/>
        </w:rPr>
      </w:pPr>
    </w:p>
    <w:p>
      <w:pPr>
        <w:ind w:firstLine="255"/>
        <w:spacing w:after="0" w:line="273" w:lineRule="auto"/>
        <w:rPr>
          <w:sz w:val="20"/>
          <w:szCs w:val="20"/>
          <w:color w:val="auto"/>
        </w:rPr>
      </w:pPr>
      <w:r>
        <w:rPr>
          <w:rFonts w:ascii="Arial" w:cs="Arial" w:eastAsia="Arial" w:hAnsi="Arial"/>
          <w:sz w:val="19"/>
          <w:szCs w:val="19"/>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experience fluctuations in our quarterly results.</w:t>
      </w:r>
    </w:p>
    <w:p>
      <w:pPr>
        <w:spacing w:after="0" w:line="98" w:lineRule="exact"/>
        <w:rPr>
          <w:sz w:val="20"/>
          <w:szCs w:val="20"/>
          <w:color w:val="auto"/>
        </w:rPr>
      </w:pPr>
    </w:p>
    <w:p>
      <w:pPr>
        <w:ind w:right="160" w:firstLine="255"/>
        <w:spacing w:after="0"/>
        <w:rPr>
          <w:sz w:val="20"/>
          <w:szCs w:val="20"/>
          <w:color w:val="auto"/>
        </w:rPr>
      </w:pPr>
      <w:r>
        <w:rPr>
          <w:rFonts w:ascii="Arial" w:cs="Arial" w:eastAsia="Arial" w:hAnsi="Arial"/>
          <w:sz w:val="22"/>
          <w:szCs w:val="22"/>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8" w:right="359" w:bottom="497" w:gutter="0" w:footer="0" w:header="0"/>
        </w:sectPr>
      </w:pPr>
    </w:p>
    <w:bookmarkStart w:id="37" w:name="page38"/>
    <w:bookmarkEnd w:id="37"/>
    <w:p>
      <w:pPr>
        <w:ind w:right="140"/>
        <w:spacing w:after="0" w:line="328" w:lineRule="auto"/>
        <w:rPr>
          <w:sz w:val="20"/>
          <w:szCs w:val="20"/>
          <w:color w:val="auto"/>
        </w:rPr>
      </w:pPr>
      <w:r>
        <w:rPr>
          <w:rFonts w:ascii="Arial" w:cs="Arial" w:eastAsia="Arial" w:hAnsi="Arial"/>
          <w:sz w:val="19"/>
          <w:szCs w:val="19"/>
          <w:color w:val="auto"/>
        </w:rPr>
        <w:t>syndication and other fees, the level of our expenses and default rates on our investments. As a result of these and other possible factors, results for any period should not be relied upon as being indicative of performance in future periods.</w:t>
      </w:r>
    </w:p>
    <w:p>
      <w:pPr>
        <w:spacing w:after="0" w:line="213"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43" w:lineRule="exact"/>
        <w:rPr>
          <w:sz w:val="20"/>
          <w:szCs w:val="20"/>
          <w:color w:val="auto"/>
        </w:rPr>
      </w:pPr>
    </w:p>
    <w:p>
      <w:pPr>
        <w:ind w:firstLine="255"/>
        <w:spacing w:after="0" w:line="270" w:lineRule="auto"/>
        <w:rPr>
          <w:sz w:val="20"/>
          <w:szCs w:val="20"/>
          <w:color w:val="auto"/>
        </w:rPr>
      </w:pPr>
      <w:r>
        <w:rPr>
          <w:rFonts w:ascii="Arial" w:cs="Arial" w:eastAsia="Arial" w:hAnsi="Arial"/>
          <w:sz w:val="19"/>
          <w:szCs w:val="19"/>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Certain investors are limited in their ability to make significant investments in us.</w:t>
      </w:r>
    </w:p>
    <w:p>
      <w:pPr>
        <w:spacing w:after="0" w:line="98" w:lineRule="exact"/>
        <w:rPr>
          <w:sz w:val="20"/>
          <w:szCs w:val="20"/>
          <w:color w:val="auto"/>
        </w:rPr>
      </w:pPr>
    </w:p>
    <w:p>
      <w:pPr>
        <w:ind w:right="100" w:firstLine="255"/>
        <w:spacing w:after="0" w:line="248" w:lineRule="auto"/>
        <w:rPr>
          <w:sz w:val="20"/>
          <w:szCs w:val="20"/>
          <w:color w:val="auto"/>
        </w:rPr>
      </w:pPr>
      <w:r>
        <w:rPr>
          <w:rFonts w:ascii="Arial" w:cs="Arial" w:eastAsia="Arial" w:hAnsi="Arial"/>
          <w:sz w:val="21"/>
          <w:szCs w:val="21"/>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77" w:lineRule="exact"/>
        <w:rPr>
          <w:sz w:val="20"/>
          <w:szCs w:val="20"/>
          <w:color w:val="auto"/>
        </w:rPr>
      </w:pPr>
    </w:p>
    <w:p>
      <w:pPr>
        <w:ind w:right="60" w:firstLine="255"/>
        <w:spacing w:after="0" w:line="271" w:lineRule="auto"/>
        <w:rPr>
          <w:sz w:val="20"/>
          <w:szCs w:val="20"/>
          <w:color w:val="auto"/>
        </w:rPr>
      </w:pPr>
      <w:r>
        <w:rPr>
          <w:rFonts w:ascii="Arial" w:cs="Arial" w:eastAsia="Arial" w:hAnsi="Arial"/>
          <w:sz w:val="19"/>
          <w:szCs w:val="19"/>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57" w:lineRule="exact"/>
        <w:rPr>
          <w:sz w:val="20"/>
          <w:szCs w:val="20"/>
          <w:color w:val="auto"/>
        </w:rPr>
      </w:pPr>
    </w:p>
    <w:p>
      <w:pPr>
        <w:ind w:right="460" w:firstLine="255"/>
        <w:spacing w:after="0" w:line="238" w:lineRule="auto"/>
        <w:rPr>
          <w:sz w:val="20"/>
          <w:szCs w:val="20"/>
          <w:color w:val="auto"/>
        </w:rPr>
      </w:pPr>
      <w:r>
        <w:rPr>
          <w:rFonts w:ascii="Arial" w:cs="Arial" w:eastAsia="Arial" w:hAnsi="Arial"/>
          <w:sz w:val="22"/>
          <w:szCs w:val="22"/>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2" w:right="339" w:bottom="524" w:gutter="0" w:footer="0" w:header="0"/>
        </w:sectPr>
      </w:pPr>
    </w:p>
    <w:bookmarkStart w:id="38" w:name="page39"/>
    <w:bookmarkEnd w:id="38"/>
    <w:p>
      <w:pPr>
        <w:spacing w:after="0" w:line="235" w:lineRule="auto"/>
        <w:rPr>
          <w:sz w:val="20"/>
          <w:szCs w:val="20"/>
          <w:color w:val="auto"/>
        </w:rPr>
      </w:pPr>
      <w:r>
        <w:rPr>
          <w:rFonts w:ascii="Arial" w:cs="Arial" w:eastAsia="Arial" w:hAnsi="Arial"/>
          <w:sz w:val="22"/>
          <w:szCs w:val="22"/>
          <w:color w:val="auto"/>
        </w:rPr>
        <w:t>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96" w:lineRule="exact"/>
        <w:rPr>
          <w:sz w:val="20"/>
          <w:szCs w:val="20"/>
          <w:color w:val="auto"/>
        </w:rPr>
      </w:pPr>
    </w:p>
    <w:p>
      <w:pPr>
        <w:ind w:right="800"/>
        <w:spacing w:after="0" w:line="250" w:lineRule="auto"/>
        <w:rPr>
          <w:sz w:val="20"/>
          <w:szCs w:val="20"/>
          <w:color w:val="auto"/>
        </w:rPr>
      </w:pPr>
      <w:r>
        <w:rPr>
          <w:rFonts w:ascii="Arial" w:cs="Arial" w:eastAsia="Arial" w:hAnsi="Arial"/>
          <w:sz w:val="22"/>
          <w:szCs w:val="22"/>
          <w:b w:val="1"/>
          <w:bCs w:val="1"/>
          <w:i w:val="1"/>
          <w:iCs w:val="1"/>
          <w:color w:val="auto"/>
        </w:rPr>
        <w:t>Our Board may change our investment objective, operating policies and strategies without prior notice or stockholder approval.</w:t>
      </w:r>
    </w:p>
    <w:p>
      <w:pPr>
        <w:spacing w:after="0" w:line="67" w:lineRule="exact"/>
        <w:rPr>
          <w:sz w:val="20"/>
          <w:szCs w:val="20"/>
          <w:color w:val="auto"/>
        </w:rPr>
      </w:pPr>
    </w:p>
    <w:p>
      <w:pPr>
        <w:ind w:right="360" w:firstLine="255"/>
        <w:spacing w:after="0" w:line="235" w:lineRule="auto"/>
        <w:rPr>
          <w:sz w:val="20"/>
          <w:szCs w:val="20"/>
          <w:color w:val="auto"/>
        </w:rPr>
      </w:pPr>
      <w:r>
        <w:rPr>
          <w:rFonts w:ascii="Arial" w:cs="Arial" w:eastAsia="Arial" w:hAnsi="Arial"/>
          <w:sz w:val="22"/>
          <w:szCs w:val="22"/>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33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b w:val="1"/>
          <w:bCs w:val="1"/>
          <w:i w:val="1"/>
          <w:iCs w:val="1"/>
          <w:color w:val="auto"/>
        </w:rPr>
        <w:t>The interest rates of our debt investments to our portfolio companies and our indebtedness that extend beyond 2023 might be subject to change based on recent regulatory changes.</w:t>
      </w:r>
    </w:p>
    <w:p>
      <w:pPr>
        <w:spacing w:after="0" w:line="67" w:lineRule="exact"/>
        <w:rPr>
          <w:sz w:val="20"/>
          <w:szCs w:val="20"/>
          <w:color w:val="auto"/>
        </w:rPr>
      </w:pPr>
    </w:p>
    <w:p>
      <w:pPr>
        <w:ind w:right="120" w:firstLine="255"/>
        <w:spacing w:after="0" w:line="270" w:lineRule="auto"/>
        <w:rPr>
          <w:sz w:val="20"/>
          <w:szCs w:val="20"/>
          <w:color w:val="auto"/>
        </w:rPr>
      </w:pPr>
      <w:r>
        <w:rPr>
          <w:rFonts w:ascii="Arial" w:cs="Arial" w:eastAsia="Arial" w:hAnsi="Arial"/>
          <w:sz w:val="19"/>
          <w:szCs w:val="19"/>
          <w:color w:val="auto"/>
        </w:rPr>
        <w:t>LIBOR, the London Interbank Offered Rate, is the basic rate of interest used in lending transactions between banks on the London interbank market and has been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in U.S. dollars also currently bear interest at LIBOR plus a margin, and obligations under interest rate swaps we enter into are referenced to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LIBOR.</w:t>
      </w:r>
    </w:p>
    <w:p>
      <w:pPr>
        <w:spacing w:after="0" w:line="188" w:lineRule="exact"/>
        <w:rPr>
          <w:sz w:val="20"/>
          <w:szCs w:val="20"/>
          <w:color w:val="auto"/>
        </w:rPr>
      </w:pPr>
    </w:p>
    <w:p>
      <w:pPr>
        <w:ind w:right="20" w:firstLine="255"/>
        <w:spacing w:after="0" w:line="272" w:lineRule="auto"/>
        <w:rPr>
          <w:sz w:val="20"/>
          <w:szCs w:val="20"/>
          <w:color w:val="auto"/>
        </w:rPr>
      </w:pPr>
      <w:r>
        <w:rPr>
          <w:rFonts w:ascii="Arial" w:cs="Arial" w:eastAsia="Arial" w:hAnsi="Arial"/>
          <w:sz w:val="19"/>
          <w:szCs w:val="19"/>
          <w:color w:val="auto"/>
        </w:rPr>
        <w:t>On July 27, 2017, the United Kingdom’s Financial Conduct Authority (“FCA”), which regulates LIBOR, announced that it intends to phase out LIBOR by the end of 2021. As of January 1, 2022, consistent with FCA’s prior announcement, British pound, euro, Swiss franc and Japanese yen settings and the one-week and two-month U.S. dollar LIBOR settings are no longer available. Until the end of 2022, one-month, three-month, and six-month British pound and Japanese yen LIBOR settings will continue publication on a changed methodology (i.e., “synthetic”) basis, but these synthetic rates may only be used in legacy LIBOR contracts, other than cleared derivatives, that have not been changed at or ahead of the end of 2021. The remaining U.S. dollar LIBOR settings will permanently cease immediately after June 30, 2023, providing additional time to address the legacy contracts that reference such U.S. dollar LIBOR settings.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Whether or not SOFR attains market traction as a LIBOR replacement remains a question and the future of LIBOR at this time is uncertain. Because of this uncertainty, we cannot reasonably estimate the expected impact of a transition away from LIBOR to our business.</w:t>
      </w:r>
    </w:p>
    <w:p>
      <w:pPr>
        <w:spacing w:after="0" w:line="200" w:lineRule="exact"/>
        <w:rPr>
          <w:sz w:val="20"/>
          <w:szCs w:val="20"/>
          <w:color w:val="auto"/>
        </w:rPr>
      </w:pPr>
    </w:p>
    <w:p>
      <w:pPr>
        <w:spacing w:after="0" w:line="204" w:lineRule="exact"/>
        <w:rPr>
          <w:sz w:val="20"/>
          <w:szCs w:val="20"/>
          <w:color w:val="auto"/>
        </w:rPr>
      </w:pPr>
    </w:p>
    <w:p>
      <w:pPr>
        <w:ind w:right="20" w:firstLine="255"/>
        <w:spacing w:after="0" w:line="282" w:lineRule="auto"/>
        <w:rPr>
          <w:sz w:val="20"/>
          <w:szCs w:val="20"/>
          <w:color w:val="auto"/>
        </w:rPr>
      </w:pPr>
      <w:r>
        <w:rPr>
          <w:rFonts w:ascii="Arial" w:cs="Arial" w:eastAsia="Arial" w:hAnsi="Arial"/>
          <w:sz w:val="19"/>
          <w:szCs w:val="19"/>
          <w:color w:val="auto"/>
        </w:rPr>
        <w:t>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Whether or not SOFR attains market traction as a LIBOR replacement remains a question and the future of LIBOR at this time is uncertain. Because of this uncertainty, we cannot reasonably estimate the expected impact of a transition away from LIBOR to our business.</w:t>
      </w:r>
    </w:p>
    <w:p>
      <w:pPr>
        <w:spacing w:after="0" w:line="14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9"/>
          <w:szCs w:val="19"/>
          <w:color w:val="auto"/>
        </w:rPr>
        <w:t>Further, on October 23, 2020, the International Swap and Derivatives Association (“ISDA”) launched (i) Supplement number 70 to the 2006 ISDA Definitions (“IBOR Supplement”) and (ii) the ISDA 2020 IBOR Fallbacks Protocol (“IBOR Protocol”). The IBOR Supplement is intended to enhance the robustness of derivatives contracts traded on or after January 25, 2021 by addressing the risk that some interbank offered rates (“IBORs”) are permanently discontinued or, in the case of LIBOR, cease to be representative, by applying fallbacks to specified alternative references rates upon such a trigger. The IBOR Protocol permits adhering parties to amend in-scope transactions entered into prior to January 25, 2021 on similar terms. These documents are a critical element to industry efforts to facilitate the derivatives markets’ transition away from LIBOR and other IBORs.</w:t>
      </w:r>
    </w:p>
    <w:p>
      <w:pPr>
        <w:spacing w:after="0" w:line="152" w:lineRule="exact"/>
        <w:rPr>
          <w:sz w:val="20"/>
          <w:szCs w:val="20"/>
          <w:color w:val="auto"/>
        </w:rPr>
      </w:pPr>
    </w:p>
    <w:p>
      <w:pPr>
        <w:ind w:right="180" w:firstLine="255"/>
        <w:spacing w:after="0" w:line="273" w:lineRule="auto"/>
        <w:rPr>
          <w:sz w:val="20"/>
          <w:szCs w:val="20"/>
          <w:color w:val="auto"/>
        </w:rPr>
      </w:pPr>
      <w:r>
        <w:rPr>
          <w:rFonts w:ascii="Arial" w:cs="Arial" w:eastAsia="Arial" w:hAnsi="Arial"/>
          <w:sz w:val="19"/>
          <w:szCs w:val="19"/>
          <w:color w:val="auto"/>
        </w:rPr>
        <w:t>When LIBOR ceases to exist or degrades to the degree that it is no longer representative of the underlying market, we may need to renegotiate the credit agreements extending beyond 2023 with our portfolio companies that utilize LIBOR as a factor in determining the interest rate, in order to replace LIBOR with the new standard that is established, which may have an adverse effect on our ability to receive attractive returns. In addition, when LIBOR ceases to exist or degrades to the degree that it is no longer representative of the underlying market, we may need to renegotiate certain terms of our Revolving Credit Facility to replace LIBOR with new standards that are established in its place. If we are unable to do so, amounts drawn under the Revolving Credit Facility may bear interest at a higher rate, which would increase the cost of our borrowings and, in turn, affect our return on capital. In December 2021, we entered into an amendment to our Revolving Credit Facility to reflect alternative reference rates based on the Sterling Overnight Index Average for Sterling loans, the Swiss Average Rate Overnight for Swiss Franc loans, the Tokyo Interbank Offered Rate for Japanese</w:t>
      </w:r>
    </w:p>
    <w:p>
      <w:pPr>
        <w:sectPr>
          <w:pgSz w:w="11900" w:h="16838" w:orient="portrait"/>
          <w:cols w:equalWidth="0" w:num="1">
            <w:col w:w="11240"/>
          </w:cols>
          <w:pgMar w:left="320" w:top="550" w:right="339" w:bottom="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right="20"/>
        <w:spacing w:after="0" w:line="328" w:lineRule="auto"/>
        <w:rPr>
          <w:sz w:val="20"/>
          <w:szCs w:val="20"/>
          <w:color w:val="auto"/>
        </w:rPr>
      </w:pPr>
      <w:r>
        <w:rPr>
          <w:rFonts w:ascii="Arial" w:cs="Arial" w:eastAsia="Arial" w:hAnsi="Arial"/>
          <w:sz w:val="19"/>
          <w:szCs w:val="19"/>
          <w:color w:val="auto"/>
        </w:rPr>
        <w:t>Yen loans and the Euro Interbank Offered Rate for Euro loans. When LIBOR ceases to exist or degrades to the degree that it is no longer representative of the underlying market, we will also have to renegotiate the terms of any outstanding interest rate swaps.</w:t>
      </w:r>
    </w:p>
    <w:p>
      <w:pPr>
        <w:spacing w:after="0" w:line="105" w:lineRule="exact"/>
        <w:rPr>
          <w:sz w:val="20"/>
          <w:szCs w:val="20"/>
          <w:color w:val="auto"/>
        </w:rPr>
      </w:pPr>
    </w:p>
    <w:p>
      <w:pPr>
        <w:ind w:firstLine="255"/>
        <w:spacing w:after="0" w:line="260" w:lineRule="auto"/>
        <w:rPr>
          <w:sz w:val="20"/>
          <w:szCs w:val="20"/>
          <w:color w:val="auto"/>
        </w:rPr>
      </w:pPr>
      <w:r>
        <w:rPr>
          <w:rFonts w:ascii="Arial" w:cs="Arial" w:eastAsia="Arial" w:hAnsi="Arial"/>
          <w:sz w:val="21"/>
          <w:szCs w:val="21"/>
          <w:color w:val="auto"/>
        </w:rPr>
        <w:t xml:space="preserve">A significant majority of our investments have historically had interest rates with a LIBOR reference. As a result, the transition away from LIBOR could adversely impact us. Even if replacement conventions (e.g., SOFR) are adopted in the lending and bond markets, it is uncertain whether they might affect us as an investor in floating-rate instruments, including by: (a) affecting liquidity of our investments </w:t>
      </w:r>
      <w:r>
        <w:rPr>
          <w:rFonts w:ascii="Arial" w:cs="Arial" w:eastAsia="Arial" w:hAnsi="Arial"/>
          <w:sz w:val="16"/>
          <w:szCs w:val="16"/>
          <w:color w:val="auto"/>
        </w:rPr>
        <w:t>in the secondary market and their market value; (b) reducing the interest rate earned by the Fund as a holder of</w:t>
      </w:r>
      <w:r>
        <w:rPr>
          <w:rFonts w:ascii="Arial" w:cs="Arial" w:eastAsia="Arial" w:hAnsi="Arial"/>
          <w:sz w:val="21"/>
          <w:szCs w:val="21"/>
          <w:color w:val="auto"/>
        </w:rPr>
        <w:t xml:space="preserve"> </w:t>
      </w:r>
      <w:r>
        <w:rPr>
          <w:rFonts w:ascii="Arial" w:cs="Arial" w:eastAsia="Arial" w:hAnsi="Arial"/>
          <w:sz w:val="16"/>
          <w:szCs w:val="16"/>
          <w:color w:val="auto"/>
        </w:rPr>
        <w:t>such Investments (either generally or in certain market cycles) due to the use of a collateralized, overnight rate and credit spread adjustments instead of an unsecured, term rate; or (c) causing us to incur expenses to manage the transition away from LIBOR. Also, while it is common for recently issued instruments to contemplate a scenario where LIBOR is no longer available by providing for an alternative rate setting methodology and mechanisms to amend the applicable reference rate, not all instruments have such provisions and there are significant uncertainties regarding the effectiveness of any such alternative methodologies. As such, we may need to renegotiate the terms of credit agreements with certain issuers of investments that utilize LIBOR in order to replace it with the new standard convention that is established, which could result in increased costs for us.</w:t>
      </w:r>
    </w:p>
    <w:p>
      <w:pPr>
        <w:spacing w:after="0" w:line="187" w:lineRule="exact"/>
        <w:rPr>
          <w:sz w:val="20"/>
          <w:szCs w:val="20"/>
          <w:color w:val="auto"/>
        </w:rPr>
      </w:pPr>
    </w:p>
    <w:p>
      <w:pPr>
        <w:ind w:right="140" w:firstLine="255"/>
        <w:spacing w:after="0" w:line="270" w:lineRule="auto"/>
        <w:rPr>
          <w:sz w:val="20"/>
          <w:szCs w:val="20"/>
          <w:color w:val="auto"/>
        </w:rPr>
      </w:pPr>
      <w:r>
        <w:rPr>
          <w:rFonts w:ascii="Arial" w:cs="Arial" w:eastAsia="Arial" w:hAnsi="Arial"/>
          <w:sz w:val="17"/>
          <w:szCs w:val="17"/>
          <w:color w:val="auto"/>
        </w:rPr>
        <w:t>We may also enter into swaps and similar instruments that reference LIBOR, including swaps used to manage long-term interest rate risk related to assets and/or liabilities. In addition to us potentially needing to renegotiate some of those instruments to address a transition away from LIBOR, there also may be different conventions that arise in different but related market segments, which could result in mismatches between different assets and liabilities and, in turn, in possible unexpected gains and/or losses for us. In addition and as further described above, some of the standard conventions under consideration, including SOFR, are conceptually different than LIBOR, in that they are overnight, secured rates instead of unsecured, term rates, which could behave differently from LIBOR in ways that cause the Fund to owe greater payments or receive less payments under its derivatives, at least during certain market cycles. Some of these replacement rates may also be subject to compounding or similar adjustments that cause the amount of any payment referencing a replacement rate not to be determined until the end of the relevant calculation period, rather than at the beginning, which could lead to administrative challenges for us.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tax laws, including the Tax Cuts and Jobs Act may adversely affect our business.</w:t>
      </w:r>
    </w:p>
    <w:p>
      <w:pPr>
        <w:spacing w:after="0" w:line="98" w:lineRule="exact"/>
        <w:rPr>
          <w:sz w:val="20"/>
          <w:szCs w:val="20"/>
          <w:color w:val="auto"/>
        </w:rPr>
      </w:pPr>
    </w:p>
    <w:p>
      <w:pPr>
        <w:ind w:right="100" w:firstLine="255"/>
        <w:spacing w:after="0" w:line="273" w:lineRule="auto"/>
        <w:rPr>
          <w:sz w:val="20"/>
          <w:szCs w:val="20"/>
          <w:color w:val="auto"/>
        </w:rPr>
      </w:pPr>
      <w:r>
        <w:rPr>
          <w:rFonts w:ascii="Arial" w:cs="Arial" w:eastAsia="Arial" w:hAnsi="Arial"/>
          <w:sz w:val="19"/>
          <w:szCs w:val="19"/>
          <w:color w:val="auto"/>
        </w:rPr>
        <w:t>Recent changes to U.S. tax laws, including the Tax Cuts and Jobs Act enacted on December 22, 2017 (“Tax Reform”) and the Coronavirus Aid, Relief, and Economic Security Act enacted on March 27, 2020 (the “CARES Act”)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Further changes could be made under the new Presidential administration in the United States. Such changes to the tax laws, including changes to interest deductibility, utility of net operating losses and other provisions of Tax Reform or of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and other changes in tax laws on the loan market and about the tax consequences of an investment in us.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Risks Related to Economic Conditions</w:t>
      </w:r>
    </w:p>
    <w:p>
      <w:pPr>
        <w:spacing w:after="0" w:line="104" w:lineRule="exact"/>
        <w:rPr>
          <w:sz w:val="20"/>
          <w:szCs w:val="20"/>
          <w:color w:val="auto"/>
        </w:rPr>
      </w:pPr>
    </w:p>
    <w:p>
      <w:pPr>
        <w:ind w:right="300"/>
        <w:spacing w:after="0" w:line="274" w:lineRule="auto"/>
        <w:rPr>
          <w:sz w:val="20"/>
          <w:szCs w:val="20"/>
          <w:color w:val="auto"/>
        </w:rPr>
      </w:pPr>
      <w:r>
        <w:rPr>
          <w:rFonts w:ascii="Arial" w:cs="Arial" w:eastAsia="Arial" w:hAnsi="Arial"/>
          <w:sz w:val="21"/>
          <w:szCs w:val="21"/>
          <w:b w:val="1"/>
          <w:bCs w:val="1"/>
          <w:i w:val="1"/>
          <w:iCs w:val="1"/>
          <w:color w:val="auto"/>
        </w:rPr>
        <w:t>The COVID-19 pandemic has materially and adversely affected, and is likely to continue to materially and adversely affect, our portfolio companies and the results of our operations, including our financial results.</w:t>
      </w:r>
    </w:p>
    <w:p>
      <w:pPr>
        <w:spacing w:after="0" w:line="43" w:lineRule="exact"/>
        <w:rPr>
          <w:sz w:val="20"/>
          <w:szCs w:val="20"/>
          <w:color w:val="auto"/>
        </w:rPr>
      </w:pPr>
    </w:p>
    <w:p>
      <w:pPr>
        <w:ind w:firstLine="255"/>
        <w:spacing w:after="0" w:line="270" w:lineRule="auto"/>
        <w:rPr>
          <w:sz w:val="20"/>
          <w:szCs w:val="20"/>
          <w:color w:val="auto"/>
        </w:rPr>
      </w:pPr>
      <w:r>
        <w:rPr>
          <w:rFonts w:ascii="Arial" w:cs="Arial" w:eastAsia="Arial" w:hAnsi="Arial"/>
          <w:sz w:val="19"/>
          <w:szCs w:val="19"/>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and liquidity issues. While these effects are hoped to be temporary, some effects could be persistent or even permanent. We cannot predict when, or if, the impacts of the COVID-19 pandemic may lessen, including whether new variants will emerge and how severe they will be.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298" w:lineRule="exact"/>
        <w:rPr>
          <w:sz w:val="20"/>
          <w:szCs w:val="20"/>
          <w:color w:val="auto"/>
        </w:rPr>
      </w:pPr>
    </w:p>
    <w:p>
      <w:pPr>
        <w:jc w:val="both"/>
        <w:ind w:right="600" w:firstLine="255"/>
        <w:spacing w:after="0" w:line="238" w:lineRule="auto"/>
        <w:rPr>
          <w:sz w:val="20"/>
          <w:szCs w:val="20"/>
          <w:color w:val="auto"/>
        </w:rPr>
      </w:pPr>
      <w:r>
        <w:rPr>
          <w:rFonts w:ascii="Arial" w:cs="Arial" w:eastAsia="Arial" w:hAnsi="Arial"/>
          <w:sz w:val="22"/>
          <w:szCs w:val="22"/>
          <w:color w:val="auto"/>
        </w:rPr>
        <w:t>Fro</w:t>
      </w:r>
      <w:r>
        <w:rPr>
          <w:rFonts w:ascii="Arial" w:cs="Arial" w:eastAsia="Arial" w:hAnsi="Arial"/>
          <w:sz w:val="17"/>
          <w:szCs w:val="17"/>
          <w:color w:val="auto"/>
        </w:rPr>
        <w:t>m an operational perspective, the effects of the COVID-19 pandemic could materially and adversely disrupt our business operations and the</w:t>
      </w:r>
      <w:r>
        <w:rPr>
          <w:rFonts w:ascii="Arial" w:cs="Arial" w:eastAsia="Arial" w:hAnsi="Arial"/>
          <w:sz w:val="22"/>
          <w:szCs w:val="22"/>
          <w:color w:val="auto"/>
        </w:rPr>
        <w:t xml:space="preserve"> </w:t>
      </w:r>
      <w:r>
        <w:rPr>
          <w:rFonts w:ascii="Arial" w:cs="Arial" w:eastAsia="Arial" w:hAnsi="Arial"/>
          <w:sz w:val="17"/>
          <w:szCs w:val="17"/>
          <w:color w:val="auto"/>
        </w:rPr>
        <w:t>operations of the Adviser, including the guidelines and restrictions put in place by federal, state and local governments that may cause a potentially significant duration of remote working.</w:t>
      </w:r>
    </w:p>
    <w:p>
      <w:pPr>
        <w:spacing w:after="0" w:line="87" w:lineRule="exact"/>
        <w:rPr>
          <w:sz w:val="20"/>
          <w:szCs w:val="20"/>
          <w:color w:val="auto"/>
        </w:rPr>
      </w:pPr>
    </w:p>
    <w:p>
      <w:pPr>
        <w:ind w:right="400" w:firstLine="255"/>
        <w:spacing w:after="0" w:line="282" w:lineRule="auto"/>
        <w:rPr>
          <w:sz w:val="20"/>
          <w:szCs w:val="20"/>
          <w:color w:val="auto"/>
        </w:rPr>
      </w:pPr>
      <w:r>
        <w:rPr>
          <w:rFonts w:ascii="Arial" w:cs="Arial" w:eastAsia="Arial" w:hAnsi="Arial"/>
          <w:sz w:val="17"/>
          <w:szCs w:val="17"/>
          <w:color w:val="auto"/>
        </w:rPr>
        <w:t xml:space="preserve">Moreover, the effects of the COVID-19 pandemic may heighten the other </w:t>
      </w:r>
      <w:r>
        <w:rPr>
          <w:rFonts w:ascii="Arial" w:cs="Arial" w:eastAsia="Arial" w:hAnsi="Arial"/>
          <w:sz w:val="20"/>
          <w:szCs w:val="20"/>
          <w:color w:val="auto"/>
        </w:rPr>
        <w:t>risk factors described in this Annual Report</w:t>
      </w:r>
      <w:r>
        <w:rPr>
          <w:rFonts w:ascii="Arial" w:cs="Arial" w:eastAsia="Arial" w:hAnsi="Arial"/>
          <w:sz w:val="17"/>
          <w:szCs w:val="17"/>
          <w:color w:val="auto"/>
        </w:rPr>
        <w:t>.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269"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b w:val="1"/>
          <w:bCs w:val="1"/>
          <w:i w:val="1"/>
          <w:iCs w:val="1"/>
          <w:color w:val="auto"/>
        </w:rPr>
        <w:t>We are currently operating in a period of disruption, volatility and uncertainty in the capital markets and in the economy generally.</w:t>
      </w:r>
    </w:p>
    <w:p>
      <w:pPr>
        <w:spacing w:after="0" w:line="175" w:lineRule="exact"/>
        <w:rPr>
          <w:sz w:val="20"/>
          <w:szCs w:val="20"/>
          <w:color w:val="auto"/>
        </w:rPr>
      </w:pPr>
    </w:p>
    <w:p>
      <w:pPr>
        <w:ind w:firstLine="255"/>
        <w:spacing w:after="0" w:line="273" w:lineRule="auto"/>
        <w:rPr>
          <w:sz w:val="20"/>
          <w:szCs w:val="20"/>
          <w:color w:val="auto"/>
        </w:rPr>
      </w:pPr>
      <w:r>
        <w:rPr>
          <w:rFonts w:ascii="Arial" w:cs="Arial" w:eastAsia="Arial" w:hAnsi="Arial"/>
          <w:sz w:val="19"/>
          <w:szCs w:val="19"/>
          <w:color w:val="auto"/>
        </w:rPr>
        <w:t>The U.S. capital markets have experienced extreme volatility and disruption following the spread of COVID-19 in the United States and globally. Some economists and major investment banks have expressed concern that the continued spread of the virus could lead to a world-wide economic downturn.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61" w:lineRule="exact"/>
        <w:rPr>
          <w:sz w:val="20"/>
          <w:szCs w:val="20"/>
          <w:color w:val="auto"/>
        </w:rPr>
      </w:pPr>
    </w:p>
    <w:p>
      <w:pPr>
        <w:ind w:right="40" w:firstLine="255"/>
        <w:spacing w:after="0" w:line="282" w:lineRule="auto"/>
        <w:rPr>
          <w:sz w:val="20"/>
          <w:szCs w:val="20"/>
          <w:color w:val="auto"/>
        </w:rPr>
      </w:pPr>
      <w:r>
        <w:rPr>
          <w:rFonts w:ascii="Arial" w:cs="Arial" w:eastAsia="Arial" w:hAnsi="Arial"/>
          <w:sz w:val="19"/>
          <w:szCs w:val="19"/>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2" w:name="page43"/>
    <w:bookmarkEnd w:id="42"/>
    <w:p>
      <w:pPr>
        <w:ind w:right="280"/>
        <w:spacing w:after="0" w:line="250" w:lineRule="auto"/>
        <w:rPr>
          <w:sz w:val="20"/>
          <w:szCs w:val="20"/>
          <w:color w:val="auto"/>
        </w:rPr>
      </w:pPr>
      <w:r>
        <w:rPr>
          <w:rFonts w:ascii="Arial" w:cs="Arial" w:eastAsia="Arial" w:hAnsi="Arial"/>
          <w:sz w:val="22"/>
          <w:szCs w:val="22"/>
          <w:b w:val="1"/>
          <w:bCs w:val="1"/>
          <w:i w:val="1"/>
          <w:iCs w:val="1"/>
          <w:color w:val="auto"/>
        </w:rPr>
        <w:t>The current state of the economy and financial markets increases the likelihood of adverse effects on our financial position and results of operations.</w:t>
      </w:r>
    </w:p>
    <w:p>
      <w:pPr>
        <w:spacing w:after="0" w:line="67" w:lineRule="exact"/>
        <w:rPr>
          <w:sz w:val="20"/>
          <w:szCs w:val="20"/>
          <w:color w:val="auto"/>
        </w:rPr>
      </w:pPr>
    </w:p>
    <w:p>
      <w:pPr>
        <w:ind w:right="140" w:firstLine="255"/>
        <w:spacing w:after="0" w:line="273" w:lineRule="auto"/>
        <w:rPr>
          <w:sz w:val="20"/>
          <w:szCs w:val="20"/>
          <w:color w:val="auto"/>
        </w:rPr>
      </w:pPr>
      <w:r>
        <w:rPr>
          <w:rFonts w:ascii="Arial" w:cs="Arial" w:eastAsia="Arial" w:hAnsi="Arial"/>
          <w:sz w:val="19"/>
          <w:szCs w:val="19"/>
          <w:color w:val="auto"/>
        </w:rPr>
        <w:t>The U.S. and global capital markets experienced extreme volatility and disruption in recent years, leading to periods of recessionary conditions and depressed levels of consumer and commercial spending. For instance,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the transition of presidential power in the United States, has led to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96" w:lineRule="exact"/>
        <w:rPr>
          <w:sz w:val="20"/>
          <w:szCs w:val="20"/>
          <w:color w:val="auto"/>
        </w:rPr>
      </w:pPr>
    </w:p>
    <w:p>
      <w:pPr>
        <w:ind w:firstLine="255"/>
        <w:spacing w:after="0" w:line="235" w:lineRule="auto"/>
        <w:rPr>
          <w:sz w:val="20"/>
          <w:szCs w:val="20"/>
          <w:color w:val="auto"/>
        </w:rPr>
      </w:pPr>
      <w:r>
        <w:rPr>
          <w:rFonts w:ascii="Arial" w:cs="Arial" w:eastAsia="Arial" w:hAnsi="Arial"/>
          <w:sz w:val="22"/>
          <w:szCs w:val="22"/>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0" w:lineRule="exact"/>
        <w:rPr>
          <w:sz w:val="20"/>
          <w:szCs w:val="20"/>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22"/>
          <w:szCs w:val="22"/>
          <w:color w:val="auto"/>
        </w:rPr>
        <w:t>our receipt of a reduced level of interest income from our portfolio companies;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22"/>
          <w:szCs w:val="22"/>
          <w:color w:val="auto"/>
        </w:rPr>
        <w:t>decreases in the value of collateral securing some of our loans and the value of our equity investments; and</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22"/>
          <w:szCs w:val="22"/>
          <w:color w:val="auto"/>
        </w:rPr>
        <w:t>ultimately, losses or charge-offs related to our investments.</w:t>
      </w:r>
    </w:p>
    <w:p>
      <w:pPr>
        <w:spacing w:after="0" w:line="314"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b w:val="1"/>
          <w:bCs w:val="1"/>
          <w:i w:val="1"/>
          <w:iCs w:val="1"/>
          <w:color w:val="auto"/>
        </w:rPr>
        <w:t>Uncertainty about financial stability could have a significant adverse effect on our business, results of operations and financial condition.</w:t>
      </w:r>
    </w:p>
    <w:p>
      <w:pPr>
        <w:spacing w:after="0" w:line="67" w:lineRule="exact"/>
        <w:rPr>
          <w:sz w:val="20"/>
          <w:szCs w:val="20"/>
          <w:color w:val="auto"/>
        </w:rPr>
      </w:pPr>
    </w:p>
    <w:p>
      <w:pPr>
        <w:ind w:right="20" w:firstLine="255"/>
        <w:spacing w:after="0" w:line="245" w:lineRule="auto"/>
        <w:rPr>
          <w:sz w:val="20"/>
          <w:szCs w:val="20"/>
          <w:color w:val="auto"/>
        </w:rPr>
      </w:pPr>
      <w:r>
        <w:rPr>
          <w:rFonts w:ascii="Arial" w:cs="Arial" w:eastAsia="Arial" w:hAnsi="Arial"/>
          <w:sz w:val="21"/>
          <w:szCs w:val="21"/>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4" w:lineRule="exact"/>
        <w:rPr>
          <w:sz w:val="20"/>
          <w:szCs w:val="20"/>
          <w:color w:val="auto"/>
        </w:rPr>
      </w:pPr>
    </w:p>
    <w:p>
      <w:pPr>
        <w:ind w:firstLine="255"/>
        <w:spacing w:after="0" w:line="272" w:lineRule="auto"/>
        <w:rPr>
          <w:sz w:val="20"/>
          <w:szCs w:val="20"/>
          <w:color w:val="auto"/>
        </w:rPr>
      </w:pPr>
      <w:r>
        <w:rPr>
          <w:rFonts w:ascii="Arial" w:cs="Arial" w:eastAsia="Arial" w:hAnsi="Arial"/>
          <w:sz w:val="19"/>
          <w:szCs w:val="19"/>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and two times in 2020. Following recent heightened inflation, the Federal Reserve may raise the target rate more than once in 2022.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200" w:lineRule="exact"/>
        <w:rPr>
          <w:sz w:val="20"/>
          <w:szCs w:val="20"/>
          <w:color w:val="auto"/>
        </w:rPr>
      </w:pPr>
    </w:p>
    <w:p>
      <w:pPr>
        <w:spacing w:after="0" w:line="208" w:lineRule="exact"/>
        <w:rPr>
          <w:sz w:val="20"/>
          <w:szCs w:val="20"/>
          <w:color w:val="auto"/>
        </w:rPr>
      </w:pPr>
    </w:p>
    <w:p>
      <w:pPr>
        <w:ind w:right="20" w:firstLine="255"/>
        <w:spacing w:after="0" w:line="274" w:lineRule="auto"/>
        <w:rPr>
          <w:sz w:val="20"/>
          <w:szCs w:val="20"/>
          <w:color w:val="auto"/>
        </w:rPr>
      </w:pPr>
      <w:r>
        <w:rPr>
          <w:rFonts w:ascii="Arial" w:cs="Arial" w:eastAsia="Arial" w:hAnsi="Arial"/>
          <w:sz w:val="19"/>
          <w:szCs w:val="19"/>
          <w:color w:val="auto"/>
        </w:rPr>
        <w:t>As a result of the 2020 U.S. election, the Democratic Party currently controls the executive branch of government, the Senate, and the House. The Democratic Party’s consolidation of power, while a bare majority in the Senate, makes it more likely that legislation may be adopted that could significantly affect the regulation of U.S. financial markets. Areas subject to potential change or amendment include the Wall Street Reform and Consumer Protection Act, or the Dodd-Frank Act, and the authority of the Federal Reserve and the Financial Stability Oversight Council. These or other regulatory changes could result in greater regulation of nonbank lenders such as us.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8" w:right="339" w:bottom="511"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i w:val="1"/>
          <w:iCs w:val="1"/>
          <w:color w:val="auto"/>
        </w:rPr>
        <w:t>Economic recessions or downturns could impair our portfolio companies and harm our operating results.</w:t>
      </w:r>
    </w:p>
    <w:p>
      <w:pPr>
        <w:spacing w:after="0" w:line="98" w:lineRule="exact"/>
        <w:rPr>
          <w:sz w:val="20"/>
          <w:szCs w:val="20"/>
          <w:color w:val="auto"/>
        </w:rPr>
      </w:pPr>
    </w:p>
    <w:p>
      <w:pPr>
        <w:ind w:firstLine="255"/>
        <w:spacing w:after="0" w:line="275" w:lineRule="auto"/>
        <w:rPr>
          <w:sz w:val="20"/>
          <w:szCs w:val="20"/>
          <w:color w:val="auto"/>
        </w:rPr>
      </w:pPr>
      <w:r>
        <w:rPr>
          <w:rFonts w:ascii="Arial" w:cs="Arial" w:eastAsia="Arial" w:hAnsi="Arial"/>
          <w:sz w:val="19"/>
          <w:szCs w:val="19"/>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57" w:lineRule="exact"/>
        <w:rPr>
          <w:sz w:val="20"/>
          <w:szCs w:val="20"/>
          <w:color w:val="auto"/>
        </w:rPr>
      </w:pPr>
    </w:p>
    <w:p>
      <w:pPr>
        <w:ind w:firstLine="255"/>
        <w:spacing w:after="0" w:line="277" w:lineRule="auto"/>
        <w:rPr>
          <w:sz w:val="20"/>
          <w:szCs w:val="20"/>
          <w:color w:val="auto"/>
        </w:rPr>
      </w:pPr>
      <w:r>
        <w:rPr>
          <w:rFonts w:ascii="Arial" w:cs="Arial" w:eastAsia="Arial" w:hAnsi="Arial"/>
          <w:sz w:val="19"/>
          <w:szCs w:val="19"/>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Portfolio Company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investments are very risky and highly speculative.</w:t>
      </w:r>
    </w:p>
    <w:p>
      <w:pPr>
        <w:spacing w:after="0" w:line="98" w:lineRule="exact"/>
        <w:rPr>
          <w:sz w:val="20"/>
          <w:szCs w:val="20"/>
          <w:color w:val="auto"/>
        </w:rPr>
      </w:pPr>
    </w:p>
    <w:p>
      <w:pPr>
        <w:ind w:right="20" w:firstLine="255"/>
        <w:spacing w:after="0" w:line="235" w:lineRule="auto"/>
        <w:rPr>
          <w:sz w:val="20"/>
          <w:szCs w:val="20"/>
          <w:color w:val="auto"/>
        </w:rPr>
      </w:pPr>
      <w:r>
        <w:rPr>
          <w:rFonts w:ascii="Arial" w:cs="Arial" w:eastAsia="Arial" w:hAnsi="Arial"/>
          <w:sz w:val="22"/>
          <w:szCs w:val="22"/>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right="80" w:firstLine="255"/>
        <w:spacing w:after="0" w:line="273" w:lineRule="auto"/>
        <w:rPr>
          <w:sz w:val="20"/>
          <w:szCs w:val="20"/>
          <w:color w:val="auto"/>
        </w:rPr>
      </w:pPr>
      <w:r>
        <w:rPr>
          <w:rFonts w:ascii="Arial" w:cs="Arial" w:eastAsia="Arial" w:hAnsi="Arial"/>
          <w:sz w:val="19"/>
          <w:szCs w:val="19"/>
          <w:i w:val="1"/>
          <w:iCs w:val="1"/>
          <w:color w:val="auto"/>
        </w:rPr>
        <w:t>First-Lien Debt</w:t>
      </w:r>
      <w:r>
        <w:rPr>
          <w:rFonts w:ascii="Arial" w:cs="Arial" w:eastAsia="Arial" w:hAnsi="Arial"/>
          <w:sz w:val="19"/>
          <w:szCs w:val="19"/>
          <w:color w:val="auto"/>
        </w:rPr>
        <w:t>. When we make a first-lien loan, we generally take a security interest in the available assets of the portfolio</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including 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61" w:lineRule="exact"/>
        <w:rPr>
          <w:sz w:val="20"/>
          <w:szCs w:val="20"/>
          <w:color w:val="auto"/>
        </w:rPr>
      </w:pPr>
    </w:p>
    <w:p>
      <w:pPr>
        <w:ind w:right="100" w:firstLine="255"/>
        <w:spacing w:after="0"/>
        <w:rPr>
          <w:sz w:val="20"/>
          <w:szCs w:val="20"/>
          <w:color w:val="auto"/>
        </w:rPr>
      </w:pPr>
      <w:r>
        <w:rPr>
          <w:rFonts w:ascii="Arial" w:cs="Arial" w:eastAsia="Arial" w:hAnsi="Arial"/>
          <w:sz w:val="22"/>
          <w:szCs w:val="22"/>
          <w:i w:val="1"/>
          <w:iCs w:val="1"/>
          <w:color w:val="auto"/>
        </w:rPr>
        <w:t>Second-Lien and Mezzanine Debt</w:t>
      </w:r>
      <w:r>
        <w:rPr>
          <w:rFonts w:ascii="Arial" w:cs="Arial" w:eastAsia="Arial" w:hAnsi="Arial"/>
          <w:sz w:val="22"/>
          <w:szCs w:val="22"/>
          <w:color w:val="auto"/>
        </w:rPr>
        <w:t>. Our investments in second-lien and mezzanine debt generally are subordinated to senior</w:t>
      </w:r>
      <w:r>
        <w:rPr>
          <w:rFonts w:ascii="Arial" w:cs="Arial" w:eastAsia="Arial" w:hAnsi="Arial"/>
          <w:sz w:val="22"/>
          <w:szCs w:val="22"/>
          <w:i w:val="1"/>
          <w:iCs w:val="1"/>
          <w:color w:val="auto"/>
        </w:rPr>
        <w:t xml:space="preserve"> </w:t>
      </w:r>
      <w:r>
        <w:rPr>
          <w:rFonts w:ascii="Arial" w:cs="Arial" w:eastAsia="Arial" w:hAnsi="Arial"/>
          <w:sz w:val="22"/>
          <w:szCs w:val="22"/>
          <w:color w:val="auto"/>
        </w:rPr>
        <w:t>loans and will either have junior security interests or be unsecured. As such, other creditors may rank senior to us in the event of insolvency. This may result in greater risk and loss of principal.</w:t>
      </w:r>
    </w:p>
    <w:p>
      <w:pPr>
        <w:spacing w:after="0" w:line="186" w:lineRule="exact"/>
        <w:rPr>
          <w:sz w:val="20"/>
          <w:szCs w:val="20"/>
          <w:color w:val="auto"/>
        </w:rPr>
      </w:pPr>
    </w:p>
    <w:p>
      <w:pPr>
        <w:jc w:val="both"/>
        <w:ind w:right="180" w:firstLine="255"/>
        <w:spacing w:after="0" w:line="273" w:lineRule="auto"/>
        <w:rPr>
          <w:sz w:val="20"/>
          <w:szCs w:val="20"/>
          <w:color w:val="auto"/>
        </w:rPr>
      </w:pPr>
      <w:r>
        <w:rPr>
          <w:rFonts w:ascii="Arial" w:cs="Arial" w:eastAsia="Arial" w:hAnsi="Arial"/>
          <w:sz w:val="19"/>
          <w:szCs w:val="19"/>
          <w:i w:val="1"/>
          <w:iCs w:val="1"/>
          <w:color w:val="auto"/>
        </w:rPr>
        <w:t xml:space="preserve">Equity and Other Investments. </w:t>
      </w:r>
      <w:r>
        <w:rPr>
          <w:rFonts w:ascii="Arial" w:cs="Arial" w:eastAsia="Arial" w:hAnsi="Arial"/>
          <w:sz w:val="19"/>
          <w:szCs w:val="19"/>
          <w:color w:val="auto"/>
        </w:rPr>
        <w:t>When we invest in first-lien debt, second-lien debt or mezzanine debt, we may acquire equity</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such as warrants, options and convertible instruments. In addition, we may invest directly in the equity securities of portfolio companies. We seek to dispose of these equity interests and realize gains upon our disposition of these interests.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 xml:space="preserve">Preferred Stock. </w:t>
      </w:r>
      <w:r>
        <w:rPr>
          <w:rFonts w:ascii="Arial" w:cs="Arial" w:eastAsia="Arial" w:hAnsi="Arial"/>
          <w:sz w:val="22"/>
          <w:szCs w:val="22"/>
          <w:color w:val="auto"/>
        </w:rPr>
        <w:t>To the extent we invest in preferred securities, we may incur particular risks, including:</w:t>
      </w:r>
    </w:p>
    <w:p>
      <w:pPr>
        <w:spacing w:after="0" w:line="98" w:lineRule="exact"/>
        <w:rPr>
          <w:sz w:val="20"/>
          <w:szCs w:val="20"/>
          <w:color w:val="auto"/>
        </w:rPr>
      </w:pPr>
    </w:p>
    <w:p>
      <w:pPr>
        <w:ind w:left="500" w:right="60" w:hanging="249"/>
        <w:spacing w:after="0" w:line="297"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9"/>
          <w:szCs w:val="19"/>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25" w:lineRule="exact"/>
        <w:rPr>
          <w:rFonts w:ascii="Arial" w:cs="Arial" w:eastAsia="Arial" w:hAnsi="Arial"/>
          <w:sz w:val="16"/>
          <w:szCs w:val="16"/>
          <w:color w:val="auto"/>
        </w:rPr>
      </w:pPr>
    </w:p>
    <w:p>
      <w:pPr>
        <w:ind w:left="500" w:right="80" w:hanging="249"/>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22"/>
          <w:szCs w:val="22"/>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58" w:right="379" w:bottom="1091" w:gutter="0" w:footer="0" w:header="0"/>
        </w:sectPr>
      </w:pPr>
    </w:p>
    <w:bookmarkStart w:id="44" w:name="page45"/>
    <w:bookmarkEnd w:id="44"/>
    <w:p>
      <w:pPr>
        <w:ind w:left="500" w:right="200" w:hanging="249"/>
        <w:spacing w:after="0" w:line="238"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22"/>
          <w:szCs w:val="22"/>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In addition, our investments generally involve a number of significant risks, including:</w:t>
      </w:r>
    </w:p>
    <w:p>
      <w:pPr>
        <w:spacing w:after="0" w:line="98" w:lineRule="exact"/>
        <w:rPr>
          <w:sz w:val="20"/>
          <w:szCs w:val="20"/>
          <w:color w:val="auto"/>
        </w:rPr>
      </w:pPr>
    </w:p>
    <w:p>
      <w:pPr>
        <w:ind w:left="500" w:right="180" w:hanging="249"/>
        <w:spacing w:after="0" w:line="297"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9"/>
          <w:szCs w:val="19"/>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25" w:lineRule="exact"/>
        <w:rPr>
          <w:rFonts w:ascii="Arial" w:cs="Arial" w:eastAsia="Arial" w:hAnsi="Arial"/>
          <w:sz w:val="16"/>
          <w:szCs w:val="16"/>
          <w:color w:val="auto"/>
        </w:rPr>
      </w:pPr>
    </w:p>
    <w:p>
      <w:pPr>
        <w:ind w:left="500" w:right="100" w:hanging="249"/>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22"/>
          <w:szCs w:val="22"/>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78" w:lineRule="exact"/>
        <w:rPr>
          <w:rFonts w:ascii="Arial" w:cs="Arial" w:eastAsia="Arial" w:hAnsi="Arial"/>
          <w:sz w:val="18"/>
          <w:szCs w:val="18"/>
          <w:color w:val="auto"/>
        </w:rPr>
      </w:pPr>
    </w:p>
    <w:p>
      <w:pPr>
        <w:ind w:left="500" w:right="340" w:hanging="249"/>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22"/>
          <w:szCs w:val="22"/>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8" w:lineRule="exact"/>
        <w:rPr>
          <w:rFonts w:ascii="Arial" w:cs="Arial" w:eastAsia="Arial" w:hAnsi="Arial"/>
          <w:sz w:val="18"/>
          <w:szCs w:val="18"/>
          <w:color w:val="auto"/>
        </w:rPr>
      </w:pPr>
    </w:p>
    <w:p>
      <w:pPr>
        <w:ind w:left="500" w:right="360" w:hanging="249"/>
        <w:spacing w:after="0" w:line="257"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21"/>
          <w:szCs w:val="21"/>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61" w:lineRule="exact"/>
        <w:rPr>
          <w:rFonts w:ascii="Arial" w:cs="Arial" w:eastAsia="Arial" w:hAnsi="Arial"/>
          <w:sz w:val="17"/>
          <w:szCs w:val="17"/>
          <w:color w:val="auto"/>
        </w:rPr>
      </w:pPr>
    </w:p>
    <w:p>
      <w:pPr>
        <w:ind w:left="500" w:right="120" w:hanging="249"/>
        <w:spacing w:after="0" w:line="326"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9"/>
          <w:szCs w:val="19"/>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ind w:left="500" w:right="220" w:hanging="249"/>
        <w:spacing w:after="0" w:line="250"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22"/>
          <w:szCs w:val="22"/>
          <w:color w:val="auto"/>
        </w:rPr>
        <w:t>our executive officers, directors and Adviser may, in the ordinary course of business, be named as defendants in litigation arising from our investments in the portfolio companies;</w:t>
      </w:r>
    </w:p>
    <w:p>
      <w:pPr>
        <w:spacing w:after="0" w:line="66" w:lineRule="exact"/>
        <w:rPr>
          <w:rFonts w:ascii="Arial" w:cs="Arial" w:eastAsia="Arial" w:hAnsi="Arial"/>
          <w:sz w:val="18"/>
          <w:szCs w:val="18"/>
          <w:color w:val="auto"/>
        </w:rPr>
      </w:pPr>
    </w:p>
    <w:p>
      <w:pPr>
        <w:ind w:left="500" w:right="120" w:hanging="249"/>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22"/>
          <w:szCs w:val="22"/>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78" w:lineRule="exact"/>
        <w:rPr>
          <w:rFonts w:ascii="Arial" w:cs="Arial" w:eastAsia="Arial" w:hAnsi="Arial"/>
          <w:sz w:val="18"/>
          <w:szCs w:val="18"/>
          <w:color w:val="auto"/>
        </w:rPr>
      </w:pPr>
    </w:p>
    <w:p>
      <w:pPr>
        <w:ind w:left="500" w:hanging="249"/>
        <w:spacing w:after="0" w:line="250"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22"/>
          <w:szCs w:val="22"/>
          <w:color w:val="auto"/>
        </w:rPr>
        <w:t>the companies in which we invest may have difficulty accessing the capital markets to meet future capital needs, which may limit their ability to grow or to repay their outstanding indebtedness upon maturity.</w:t>
      </w:r>
    </w:p>
    <w:p>
      <w:pPr>
        <w:spacing w:after="0" w:line="28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26" w:lineRule="exact"/>
        <w:rPr>
          <w:sz w:val="20"/>
          <w:szCs w:val="20"/>
          <w:color w:val="auto"/>
        </w:rPr>
      </w:pPr>
    </w:p>
    <w:p>
      <w:pPr>
        <w:ind w:firstLine="255"/>
        <w:spacing w:after="0" w:line="275" w:lineRule="auto"/>
        <w:rPr>
          <w:sz w:val="20"/>
          <w:szCs w:val="20"/>
          <w:color w:val="auto"/>
        </w:rPr>
      </w:pPr>
      <w:r>
        <w:rPr>
          <w:rFonts w:ascii="Arial" w:cs="Arial" w:eastAsia="Arial" w:hAnsi="Arial"/>
          <w:sz w:val="19"/>
          <w:szCs w:val="19"/>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57" w:lineRule="exact"/>
        <w:rPr>
          <w:sz w:val="20"/>
          <w:szCs w:val="20"/>
          <w:color w:val="auto"/>
        </w:rPr>
      </w:pPr>
    </w:p>
    <w:p>
      <w:pPr>
        <w:ind w:right="20" w:firstLine="255"/>
        <w:spacing w:after="0" w:line="274" w:lineRule="auto"/>
        <w:rPr>
          <w:sz w:val="20"/>
          <w:szCs w:val="20"/>
          <w:color w:val="auto"/>
        </w:rPr>
      </w:pPr>
      <w:r>
        <w:rPr>
          <w:rFonts w:ascii="Arial" w:cs="Arial" w:eastAsia="Arial" w:hAnsi="Arial"/>
          <w:sz w:val="19"/>
          <w:szCs w:val="19"/>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58" w:lineRule="exact"/>
        <w:rPr>
          <w:sz w:val="20"/>
          <w:szCs w:val="20"/>
          <w:color w:val="auto"/>
        </w:rPr>
      </w:pPr>
    </w:p>
    <w:p>
      <w:pPr>
        <w:ind w:right="160" w:firstLine="255"/>
        <w:spacing w:after="0" w:line="238" w:lineRule="auto"/>
        <w:rPr>
          <w:sz w:val="20"/>
          <w:szCs w:val="20"/>
          <w:color w:val="auto"/>
        </w:rPr>
      </w:pPr>
      <w:r>
        <w:rPr>
          <w:rFonts w:ascii="Arial" w:cs="Arial" w:eastAsia="Arial" w:hAnsi="Arial"/>
          <w:sz w:val="22"/>
          <w:szCs w:val="22"/>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i w:val="1"/>
          <w:iCs w:val="1"/>
          <w:color w:val="auto"/>
        </w:rPr>
        <w:t>The lack of liquidity in our investments may adversely affect our business.</w:t>
      </w:r>
    </w:p>
    <w:p>
      <w:pPr>
        <w:spacing w:after="0" w:line="98" w:lineRule="exact"/>
        <w:rPr>
          <w:sz w:val="20"/>
          <w:szCs w:val="20"/>
          <w:color w:val="auto"/>
        </w:rPr>
      </w:pPr>
    </w:p>
    <w:p>
      <w:pPr>
        <w:ind w:right="200" w:firstLine="255"/>
        <w:spacing w:after="0" w:line="279" w:lineRule="auto"/>
        <w:rPr>
          <w:sz w:val="20"/>
          <w:szCs w:val="20"/>
          <w:color w:val="auto"/>
        </w:rPr>
      </w:pPr>
      <w:r>
        <w:rPr>
          <w:rFonts w:ascii="Arial" w:cs="Arial" w:eastAsia="Arial" w:hAnsi="Arial"/>
          <w:sz w:val="19"/>
          <w:szCs w:val="19"/>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58" w:lineRule="exact"/>
        <w:rPr>
          <w:sz w:val="20"/>
          <w:szCs w:val="20"/>
          <w:color w:val="auto"/>
        </w:rPr>
      </w:pPr>
    </w:p>
    <w:p>
      <w:pPr>
        <w:ind w:right="40"/>
        <w:spacing w:after="0"/>
        <w:rPr>
          <w:sz w:val="20"/>
          <w:szCs w:val="20"/>
          <w:color w:val="auto"/>
        </w:rPr>
      </w:pPr>
      <w:r>
        <w:rPr>
          <w:rFonts w:ascii="Arial" w:cs="Arial" w:eastAsia="Arial" w:hAnsi="Arial"/>
          <w:sz w:val="22"/>
          <w:szCs w:val="22"/>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78" w:lineRule="exact"/>
        <w:rPr>
          <w:sz w:val="20"/>
          <w:szCs w:val="20"/>
          <w:color w:val="auto"/>
        </w:rPr>
      </w:pPr>
    </w:p>
    <w:p>
      <w:pPr>
        <w:ind w:right="100" w:firstLine="255"/>
        <w:spacing w:after="0" w:line="274" w:lineRule="auto"/>
        <w:rPr>
          <w:sz w:val="20"/>
          <w:szCs w:val="20"/>
          <w:color w:val="auto"/>
        </w:rPr>
      </w:pPr>
      <w:r>
        <w:rPr>
          <w:rFonts w:ascii="Arial" w:cs="Arial" w:eastAsia="Arial" w:hAnsi="Arial"/>
          <w:sz w:val="19"/>
          <w:szCs w:val="19"/>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securitize certain of our investments, which may subject us to certain structured financing risks.</w:t>
      </w:r>
    </w:p>
    <w:p>
      <w:pPr>
        <w:spacing w:after="0" w:line="98" w:lineRule="exact"/>
        <w:rPr>
          <w:sz w:val="20"/>
          <w:szCs w:val="20"/>
          <w:color w:val="auto"/>
        </w:rPr>
      </w:pPr>
    </w:p>
    <w:p>
      <w:pPr>
        <w:ind w:right="40" w:firstLine="255"/>
        <w:spacing w:after="0" w:line="238" w:lineRule="auto"/>
        <w:rPr>
          <w:sz w:val="20"/>
          <w:szCs w:val="20"/>
          <w:color w:val="auto"/>
        </w:rPr>
      </w:pPr>
      <w:r>
        <w:rPr>
          <w:rFonts w:ascii="Arial" w:cs="Arial" w:eastAsia="Arial" w:hAnsi="Arial"/>
          <w:sz w:val="22"/>
          <w:szCs w:val="22"/>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85" w:lineRule="exact"/>
        <w:rPr>
          <w:sz w:val="20"/>
          <w:szCs w:val="20"/>
          <w:color w:val="auto"/>
        </w:rPr>
      </w:pPr>
    </w:p>
    <w:p>
      <w:pPr>
        <w:ind w:right="20" w:firstLine="255"/>
        <w:spacing w:after="0" w:line="273" w:lineRule="auto"/>
        <w:rPr>
          <w:sz w:val="20"/>
          <w:szCs w:val="20"/>
          <w:color w:val="auto"/>
        </w:rPr>
      </w:pPr>
      <w:r>
        <w:rPr>
          <w:rFonts w:ascii="Arial" w:cs="Arial" w:eastAsia="Arial" w:hAnsi="Arial"/>
          <w:sz w:val="19"/>
          <w:szCs w:val="19"/>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61" w:lineRule="exact"/>
        <w:rPr>
          <w:sz w:val="20"/>
          <w:szCs w:val="20"/>
          <w:color w:val="auto"/>
        </w:rPr>
      </w:pPr>
    </w:p>
    <w:p>
      <w:pPr>
        <w:ind w:right="100" w:firstLine="255"/>
        <w:spacing w:after="0" w:line="246" w:lineRule="auto"/>
        <w:rPr>
          <w:sz w:val="20"/>
          <w:szCs w:val="20"/>
          <w:color w:val="auto"/>
        </w:rPr>
      </w:pPr>
      <w:r>
        <w:rPr>
          <w:rFonts w:ascii="Arial" w:cs="Arial" w:eastAsia="Arial" w:hAnsi="Arial"/>
          <w:sz w:val="21"/>
          <w:szCs w:val="21"/>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4" w:lineRule="exact"/>
        <w:rPr>
          <w:sz w:val="20"/>
          <w:szCs w:val="20"/>
          <w:color w:val="auto"/>
        </w:rPr>
      </w:pPr>
    </w:p>
    <w:p>
      <w:pPr>
        <w:ind w:right="100" w:firstLine="255"/>
        <w:spacing w:after="0"/>
        <w:rPr>
          <w:sz w:val="20"/>
          <w:szCs w:val="20"/>
          <w:color w:val="auto"/>
        </w:rPr>
      </w:pPr>
      <w:r>
        <w:rPr>
          <w:rFonts w:ascii="Arial" w:cs="Arial" w:eastAsia="Arial" w:hAnsi="Arial"/>
          <w:sz w:val="22"/>
          <w:szCs w:val="22"/>
          <w:color w:val="auto"/>
        </w:rPr>
        <w:t>A CLO or other securitization vehicle, if created, also would likely be consolidated in our financial statements and consequently affect our asset coverage ratio, which may limit our ability to incur additional leverage. See “</w:t>
      </w:r>
      <w:r>
        <w:rPr>
          <w:rFonts w:ascii="Arial" w:cs="Arial" w:eastAsia="Arial" w:hAnsi="Arial"/>
          <w:sz w:val="22"/>
          <w:szCs w:val="22"/>
          <w:i w:val="1"/>
          <w:iCs w:val="1"/>
          <w:color w:val="auto"/>
        </w:rPr>
        <w:t>ITEM 1. BUSINESS –</w:t>
      </w:r>
      <w:r>
        <w:rPr>
          <w:rFonts w:ascii="Arial" w:cs="Arial" w:eastAsia="Arial" w:hAnsi="Arial"/>
          <w:sz w:val="22"/>
          <w:szCs w:val="22"/>
          <w:color w:val="auto"/>
        </w:rPr>
        <w:t xml:space="preserve"> </w:t>
      </w:r>
      <w:r>
        <w:rPr>
          <w:rFonts w:ascii="Arial" w:cs="Arial" w:eastAsia="Arial" w:hAnsi="Arial"/>
          <w:sz w:val="22"/>
          <w:szCs w:val="22"/>
          <w:i w:val="1"/>
          <w:iCs w:val="1"/>
          <w:color w:val="auto"/>
        </w:rPr>
        <w:t>Regulation as a Business Development Company.”</w:t>
      </w:r>
    </w:p>
    <w:p>
      <w:pPr>
        <w:spacing w:after="0" w:line="294" w:lineRule="exact"/>
        <w:rPr>
          <w:sz w:val="20"/>
          <w:szCs w:val="20"/>
          <w:color w:val="auto"/>
        </w:rPr>
      </w:pPr>
    </w:p>
    <w:p>
      <w:pPr>
        <w:ind w:right="160"/>
        <w:spacing w:after="0"/>
        <w:rPr>
          <w:sz w:val="20"/>
          <w:szCs w:val="20"/>
          <w:color w:val="auto"/>
        </w:rPr>
      </w:pPr>
      <w:r>
        <w:rPr>
          <w:rFonts w:ascii="Arial" w:cs="Arial" w:eastAsia="Arial" w:hAnsi="Arial"/>
          <w:sz w:val="22"/>
          <w:szCs w:val="22"/>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78" w:lineRule="exact"/>
        <w:rPr>
          <w:sz w:val="20"/>
          <w:szCs w:val="20"/>
          <w:color w:val="auto"/>
        </w:rPr>
      </w:pPr>
    </w:p>
    <w:p>
      <w:pPr>
        <w:ind w:firstLine="255"/>
        <w:spacing w:after="0" w:line="236" w:lineRule="auto"/>
        <w:rPr>
          <w:sz w:val="20"/>
          <w:szCs w:val="20"/>
          <w:color w:val="auto"/>
        </w:rPr>
      </w:pPr>
      <w:r>
        <w:rPr>
          <w:rFonts w:ascii="Arial" w:cs="Arial" w:eastAsia="Arial" w:hAnsi="Arial"/>
          <w:sz w:val="22"/>
          <w:szCs w:val="22"/>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8" w:right="339" w:bottom="497" w:gutter="0" w:footer="0" w:header="0"/>
        </w:sectPr>
      </w:pPr>
    </w:p>
    <w:bookmarkStart w:id="46" w:name="page47"/>
    <w:bookmarkEnd w:id="46"/>
    <w:p>
      <w:pPr>
        <w:ind w:right="300"/>
        <w:spacing w:after="0" w:line="257" w:lineRule="auto"/>
        <w:rPr>
          <w:sz w:val="20"/>
          <w:szCs w:val="20"/>
          <w:color w:val="auto"/>
        </w:rPr>
      </w:pPr>
      <w:r>
        <w:rPr>
          <w:rFonts w:ascii="Arial" w:cs="Arial" w:eastAsia="Arial" w:hAnsi="Arial"/>
          <w:sz w:val="21"/>
          <w:szCs w:val="21"/>
          <w:color w:val="auto"/>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are exposed to risks associated with changes in interest rates.</w:t>
      </w:r>
    </w:p>
    <w:p>
      <w:pPr>
        <w:spacing w:after="0" w:line="98" w:lineRule="exact"/>
        <w:rPr>
          <w:sz w:val="20"/>
          <w:szCs w:val="20"/>
          <w:color w:val="auto"/>
        </w:rPr>
      </w:pPr>
    </w:p>
    <w:p>
      <w:pPr>
        <w:ind w:right="100" w:firstLine="255"/>
        <w:spacing w:after="0" w:line="234" w:lineRule="auto"/>
        <w:rPr>
          <w:sz w:val="20"/>
          <w:szCs w:val="20"/>
          <w:color w:val="auto"/>
        </w:rPr>
      </w:pPr>
      <w:r>
        <w:rPr>
          <w:rFonts w:ascii="Arial" w:cs="Arial" w:eastAsia="Arial" w:hAnsi="Arial"/>
          <w:sz w:val="22"/>
          <w:szCs w:val="22"/>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91" w:lineRule="exact"/>
        <w:rPr>
          <w:sz w:val="20"/>
          <w:szCs w:val="20"/>
          <w:color w:val="auto"/>
        </w:rPr>
      </w:pPr>
    </w:p>
    <w:p>
      <w:pPr>
        <w:ind w:right="40" w:firstLine="255"/>
        <w:spacing w:after="0" w:line="274" w:lineRule="auto"/>
        <w:rPr>
          <w:sz w:val="20"/>
          <w:szCs w:val="20"/>
          <w:color w:val="auto"/>
        </w:rPr>
      </w:pPr>
      <w:r>
        <w:rPr>
          <w:rFonts w:ascii="Arial" w:cs="Arial" w:eastAsia="Arial" w:hAnsi="Arial"/>
          <w:sz w:val="19"/>
          <w:szCs w:val="19"/>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Arial" w:cs="Arial" w:eastAsia="Arial" w:hAnsi="Arial"/>
          <w:sz w:val="19"/>
          <w:szCs w:val="19"/>
          <w:i w:val="1"/>
          <w:iCs w:val="1"/>
          <w:color w:val="auto"/>
        </w:rPr>
        <w:t>—Risks Related to Economic Conditions—Uncertainty about financial stability could have a significant adverse effect on our</w:t>
      </w:r>
      <w:r>
        <w:rPr>
          <w:rFonts w:ascii="Arial" w:cs="Arial" w:eastAsia="Arial" w:hAnsi="Arial"/>
          <w:sz w:val="19"/>
          <w:szCs w:val="19"/>
          <w:color w:val="auto"/>
        </w:rPr>
        <w:t xml:space="preserve"> </w:t>
      </w:r>
      <w:r>
        <w:rPr>
          <w:rFonts w:ascii="Arial" w:cs="Arial" w:eastAsia="Arial" w:hAnsi="Arial"/>
          <w:sz w:val="19"/>
          <w:szCs w:val="19"/>
          <w:i w:val="1"/>
          <w:iCs w:val="1"/>
          <w:color w:val="auto"/>
        </w:rPr>
        <w:t>business, results of operations and financial condition.</w:t>
      </w:r>
      <w:r>
        <w:rPr>
          <w:rFonts w:ascii="Arial" w:cs="Arial" w:eastAsia="Arial" w:hAnsi="Arial"/>
          <w:sz w:val="19"/>
          <w:szCs w:val="19"/>
          <w:color w:val="auto"/>
        </w:rPr>
        <w:t>”</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 rise in the general level of interest rates typically leads to higher interest rates applicable to our debt investments.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Accordingly, an increase in interest rates may result in an increase in the amount of the Incentive Fee payable to the Adviser.</w:t>
      </w:r>
    </w:p>
    <w:p>
      <w:pPr>
        <w:spacing w:after="0" w:line="223" w:lineRule="exact"/>
        <w:rPr>
          <w:sz w:val="20"/>
          <w:szCs w:val="20"/>
          <w:color w:val="auto"/>
        </w:rPr>
      </w:pPr>
    </w:p>
    <w:p>
      <w:pPr>
        <w:ind w:right="240" w:firstLine="255"/>
        <w:spacing w:after="0" w:line="297" w:lineRule="auto"/>
        <w:rPr>
          <w:sz w:val="20"/>
          <w:szCs w:val="20"/>
          <w:color w:val="auto"/>
        </w:rPr>
      </w:pPr>
      <w:r>
        <w:rPr>
          <w:rFonts w:ascii="Arial" w:cs="Arial" w:eastAsia="Arial" w:hAnsi="Arial"/>
          <w:sz w:val="19"/>
          <w:szCs w:val="19"/>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Arial" w:cs="Arial" w:eastAsia="Arial" w:hAnsi="Arial"/>
          <w:sz w:val="19"/>
          <w:szCs w:val="19"/>
          <w:i w:val="1"/>
          <w:iCs w:val="1"/>
          <w:color w:val="auto"/>
        </w:rPr>
        <w:t>—Risks Related to</w:t>
      </w:r>
      <w:r>
        <w:rPr>
          <w:rFonts w:ascii="Arial" w:cs="Arial" w:eastAsia="Arial" w:hAnsi="Arial"/>
          <w:sz w:val="19"/>
          <w:szCs w:val="19"/>
          <w:color w:val="auto"/>
        </w:rPr>
        <w:t xml:space="preserve"> </w:t>
      </w:r>
      <w:r>
        <w:rPr>
          <w:rFonts w:ascii="Arial" w:cs="Arial" w:eastAsia="Arial" w:hAnsi="Arial"/>
          <w:sz w:val="19"/>
          <w:szCs w:val="19"/>
          <w:i w:val="1"/>
          <w:iCs w:val="1"/>
          <w:color w:val="auto"/>
        </w:rPr>
        <w:t>Our Portfolio Company Investments—We expose ourselves to risks when we engage in hedging transactions.</w:t>
      </w:r>
      <w:r>
        <w:rPr>
          <w:rFonts w:ascii="Arial" w:cs="Arial" w:eastAsia="Arial" w:hAnsi="Arial"/>
          <w:sz w:val="19"/>
          <w:szCs w:val="19"/>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not be able to realize expected returns on our invested capital.</w:t>
      </w:r>
    </w:p>
    <w:p>
      <w:pPr>
        <w:spacing w:after="0" w:line="98" w:lineRule="exact"/>
        <w:rPr>
          <w:sz w:val="20"/>
          <w:szCs w:val="20"/>
          <w:color w:val="auto"/>
        </w:rPr>
      </w:pPr>
    </w:p>
    <w:p>
      <w:pPr>
        <w:ind w:right="280" w:firstLine="255"/>
        <w:spacing w:after="0" w:line="236" w:lineRule="auto"/>
        <w:rPr>
          <w:sz w:val="20"/>
          <w:szCs w:val="20"/>
          <w:color w:val="auto"/>
        </w:rPr>
      </w:pPr>
      <w:r>
        <w:rPr>
          <w:rFonts w:ascii="Arial" w:cs="Arial" w:eastAsia="Arial" w:hAnsi="Arial"/>
          <w:sz w:val="22"/>
          <w:szCs w:val="22"/>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right="60" w:firstLine="255"/>
        <w:spacing w:after="0" w:line="236" w:lineRule="auto"/>
        <w:rPr>
          <w:sz w:val="20"/>
          <w:szCs w:val="20"/>
          <w:color w:val="auto"/>
        </w:rPr>
      </w:pPr>
      <w:r>
        <w:rPr>
          <w:rFonts w:ascii="Arial" w:cs="Arial" w:eastAsia="Arial" w:hAnsi="Arial"/>
          <w:sz w:val="22"/>
          <w:szCs w:val="22"/>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b w:val="1"/>
          <w:bCs w:val="1"/>
          <w:i w:val="1"/>
          <w:iCs w:val="1"/>
          <w:color w:val="auto"/>
        </w:rPr>
        <w:t>By originating loans to companies that are experiencing significant financial or business difficulties, we may be exposed to distressed lending risks.</w:t>
      </w:r>
    </w:p>
    <w:p>
      <w:pPr>
        <w:spacing w:after="0" w:line="67" w:lineRule="exact"/>
        <w:rPr>
          <w:sz w:val="20"/>
          <w:szCs w:val="20"/>
          <w:color w:val="auto"/>
        </w:rPr>
      </w:pPr>
    </w:p>
    <w:p>
      <w:pPr>
        <w:ind w:firstLine="255"/>
        <w:spacing w:after="0" w:line="275" w:lineRule="auto"/>
        <w:rPr>
          <w:sz w:val="20"/>
          <w:szCs w:val="20"/>
          <w:color w:val="auto"/>
        </w:rPr>
      </w:pPr>
      <w:r>
        <w:rPr>
          <w:rFonts w:ascii="Arial" w:cs="Arial" w:eastAsia="Arial" w:hAnsi="Arial"/>
          <w:sz w:val="19"/>
          <w:szCs w:val="19"/>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47" w:name="page48"/>
    <w:bookmarkEnd w:id="47"/>
    <w:p>
      <w:pPr>
        <w:ind w:right="560"/>
        <w:spacing w:after="0" w:line="250" w:lineRule="auto"/>
        <w:rPr>
          <w:sz w:val="20"/>
          <w:szCs w:val="20"/>
          <w:color w:val="auto"/>
        </w:rPr>
      </w:pPr>
      <w:r>
        <w:rPr>
          <w:rFonts w:ascii="Arial" w:cs="Arial" w:eastAsia="Arial" w:hAnsi="Arial"/>
          <w:sz w:val="22"/>
          <w:szCs w:val="22"/>
          <w:b w:val="1"/>
          <w:bCs w:val="1"/>
          <w:i w:val="1"/>
          <w:iCs w:val="1"/>
          <w:color w:val="auto"/>
        </w:rPr>
        <w:t>Our portfolio companies in some cases may incur debt or issue equity securities that rank equally with, or senior to, our investments in those companies.</w:t>
      </w:r>
    </w:p>
    <w:p>
      <w:pPr>
        <w:spacing w:after="0" w:line="67" w:lineRule="exact"/>
        <w:rPr>
          <w:sz w:val="20"/>
          <w:szCs w:val="20"/>
          <w:color w:val="auto"/>
        </w:rPr>
      </w:pPr>
    </w:p>
    <w:p>
      <w:pPr>
        <w:ind w:right="20" w:firstLine="255"/>
        <w:spacing w:after="0" w:line="244" w:lineRule="auto"/>
        <w:rPr>
          <w:sz w:val="20"/>
          <w:szCs w:val="20"/>
          <w:color w:val="auto"/>
        </w:rPr>
      </w:pPr>
      <w:r>
        <w:rPr>
          <w:rFonts w:ascii="Arial" w:cs="Arial" w:eastAsia="Arial" w:hAnsi="Arial"/>
          <w:sz w:val="21"/>
          <w:szCs w:val="21"/>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right="60" w:firstLine="255"/>
        <w:spacing w:after="0" w:line="234" w:lineRule="auto"/>
        <w:rPr>
          <w:sz w:val="20"/>
          <w:szCs w:val="20"/>
          <w:color w:val="auto"/>
        </w:rPr>
      </w:pPr>
      <w:r>
        <w:rPr>
          <w:rFonts w:ascii="Arial" w:cs="Arial" w:eastAsia="Arial" w:hAnsi="Arial"/>
          <w:sz w:val="22"/>
          <w:szCs w:val="22"/>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exposed to special risks associated with bankruptcy cases.</w:t>
      </w:r>
    </w:p>
    <w:p>
      <w:pPr>
        <w:spacing w:after="0" w:line="98" w:lineRule="exact"/>
        <w:rPr>
          <w:sz w:val="20"/>
          <w:szCs w:val="20"/>
          <w:color w:val="auto"/>
        </w:rPr>
      </w:pPr>
    </w:p>
    <w:p>
      <w:pPr>
        <w:ind w:right="100" w:firstLine="255"/>
        <w:spacing w:after="0" w:line="277" w:lineRule="auto"/>
        <w:rPr>
          <w:sz w:val="20"/>
          <w:szCs w:val="20"/>
          <w:color w:val="auto"/>
        </w:rPr>
      </w:pPr>
      <w:r>
        <w:rPr>
          <w:rFonts w:ascii="Arial" w:cs="Arial" w:eastAsia="Arial" w:hAnsi="Arial"/>
          <w:sz w:val="19"/>
          <w:szCs w:val="19"/>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52" w:lineRule="exact"/>
        <w:rPr>
          <w:sz w:val="20"/>
          <w:szCs w:val="20"/>
          <w:color w:val="auto"/>
        </w:rPr>
      </w:pPr>
    </w:p>
    <w:p>
      <w:pPr>
        <w:ind w:firstLine="255"/>
        <w:spacing w:after="0" w:line="248" w:lineRule="auto"/>
        <w:rPr>
          <w:sz w:val="20"/>
          <w:szCs w:val="20"/>
          <w:color w:val="auto"/>
        </w:rPr>
      </w:pPr>
      <w:r>
        <w:rPr>
          <w:rFonts w:ascii="Arial" w:cs="Arial" w:eastAsia="Arial" w:hAnsi="Arial"/>
          <w:sz w:val="21"/>
          <w:szCs w:val="21"/>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77" w:lineRule="exact"/>
        <w:rPr>
          <w:sz w:val="20"/>
          <w:szCs w:val="20"/>
          <w:color w:val="auto"/>
        </w:rPr>
      </w:pPr>
    </w:p>
    <w:p>
      <w:pPr>
        <w:ind w:right="160" w:firstLine="255"/>
        <w:spacing w:after="0" w:line="252" w:lineRule="auto"/>
        <w:rPr>
          <w:sz w:val="20"/>
          <w:szCs w:val="20"/>
          <w:color w:val="auto"/>
        </w:rPr>
      </w:pPr>
      <w:r>
        <w:rPr>
          <w:rFonts w:ascii="Arial" w:cs="Arial" w:eastAsia="Arial" w:hAnsi="Arial"/>
          <w:sz w:val="21"/>
          <w:szCs w:val="21"/>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failure to make follow-on investments in our portfolio companies could impair the value of our investments.</w:t>
      </w:r>
    </w:p>
    <w:p>
      <w:pPr>
        <w:spacing w:after="0" w:line="110" w:lineRule="exact"/>
        <w:rPr>
          <w:sz w:val="20"/>
          <w:szCs w:val="20"/>
          <w:color w:val="auto"/>
        </w:rPr>
      </w:pPr>
    </w:p>
    <w:p>
      <w:pPr>
        <w:ind w:right="420" w:firstLine="255"/>
        <w:spacing w:after="0" w:line="250" w:lineRule="auto"/>
        <w:rPr>
          <w:sz w:val="20"/>
          <w:szCs w:val="20"/>
          <w:color w:val="auto"/>
        </w:rPr>
      </w:pPr>
      <w:r>
        <w:rPr>
          <w:rFonts w:ascii="Arial" w:cs="Arial" w:eastAsia="Arial" w:hAnsi="Arial"/>
          <w:sz w:val="22"/>
          <w:szCs w:val="22"/>
          <w:color w:val="auto"/>
        </w:rPr>
        <w:t>Following an initial investment in a portfolio company, we may make additional investments in that portfolio company as “follow-on” investments to:</w:t>
      </w:r>
    </w:p>
    <w:p>
      <w:pPr>
        <w:spacing w:after="0" w:line="67" w:lineRule="exact"/>
        <w:rPr>
          <w:sz w:val="20"/>
          <w:szCs w:val="20"/>
          <w:color w:val="auto"/>
        </w:rPr>
      </w:pPr>
    </w:p>
    <w:p>
      <w:pPr>
        <w:ind w:left="500" w:hanging="249"/>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22"/>
          <w:szCs w:val="22"/>
          <w:color w:val="auto"/>
        </w:rPr>
        <w:t>increase or maintain in whole or in part our equity ownership percentage;</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21"/>
          <w:szCs w:val="21"/>
          <w:color w:val="auto"/>
        </w:rPr>
        <w:t>exercise warrants, options or convertible securities that were acquired in the original or subsequent financing; or</w:t>
      </w:r>
    </w:p>
    <w:p>
      <w:pPr>
        <w:spacing w:after="0" w:line="109" w:lineRule="exact"/>
        <w:rPr>
          <w:rFonts w:ascii="Arial" w:cs="Arial" w:eastAsia="Arial" w:hAnsi="Arial"/>
          <w:sz w:val="17"/>
          <w:szCs w:val="17"/>
          <w:color w:val="auto"/>
        </w:rPr>
      </w:pPr>
    </w:p>
    <w:p>
      <w:pPr>
        <w:ind w:left="500" w:hanging="249"/>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22"/>
          <w:szCs w:val="22"/>
          <w:color w:val="auto"/>
        </w:rPr>
        <w:t>attempt to preserve or enhance the value of our investment.</w:t>
      </w:r>
    </w:p>
    <w:p>
      <w:pPr>
        <w:spacing w:after="0" w:line="206" w:lineRule="exact"/>
        <w:rPr>
          <w:sz w:val="20"/>
          <w:szCs w:val="20"/>
          <w:color w:val="auto"/>
        </w:rPr>
      </w:pPr>
    </w:p>
    <w:p>
      <w:pPr>
        <w:jc w:val="both"/>
        <w:ind w:right="220" w:firstLine="255"/>
        <w:spacing w:after="0" w:line="297" w:lineRule="auto"/>
        <w:rPr>
          <w:sz w:val="20"/>
          <w:szCs w:val="20"/>
          <w:color w:val="auto"/>
        </w:rPr>
      </w:pPr>
      <w:r>
        <w:rPr>
          <w:rFonts w:ascii="Arial" w:cs="Arial" w:eastAsia="Arial" w:hAnsi="Arial"/>
          <w:sz w:val="19"/>
          <w:szCs w:val="19"/>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58" w:right="379" w:bottom="1440" w:gutter="0" w:footer="0" w:header="0"/>
        </w:sectPr>
      </w:pPr>
    </w:p>
    <w:bookmarkStart w:id="48" w:name="page49"/>
    <w:bookmarkEnd w:id="48"/>
    <w:p>
      <w:pPr>
        <w:ind w:right="200" w:firstLine="255"/>
        <w:spacing w:after="0" w:line="282" w:lineRule="auto"/>
        <w:rPr>
          <w:sz w:val="20"/>
          <w:szCs w:val="20"/>
          <w:color w:val="auto"/>
        </w:rPr>
      </w:pPr>
      <w:r>
        <w:rPr>
          <w:rFonts w:ascii="Arial" w:cs="Arial" w:eastAsia="Arial" w:hAnsi="Arial"/>
          <w:sz w:val="19"/>
          <w:szCs w:val="19"/>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ability to enter into transactions with our affiliates is restricted.</w:t>
      </w:r>
    </w:p>
    <w:p>
      <w:pPr>
        <w:spacing w:after="0" w:line="98" w:lineRule="exact"/>
        <w:rPr>
          <w:sz w:val="20"/>
          <w:szCs w:val="20"/>
          <w:color w:val="auto"/>
        </w:rPr>
      </w:pPr>
    </w:p>
    <w:p>
      <w:pPr>
        <w:ind w:firstLine="255"/>
        <w:spacing w:after="0" w:line="245" w:lineRule="auto"/>
        <w:rPr>
          <w:sz w:val="20"/>
          <w:szCs w:val="20"/>
          <w:color w:val="auto"/>
        </w:rPr>
      </w:pPr>
      <w:r>
        <w:rPr>
          <w:rFonts w:ascii="Arial" w:cs="Arial" w:eastAsia="Arial" w:hAnsi="Arial"/>
          <w:sz w:val="21"/>
          <w:szCs w:val="21"/>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81" w:lineRule="exact"/>
        <w:rPr>
          <w:sz w:val="20"/>
          <w:szCs w:val="20"/>
          <w:color w:val="auto"/>
        </w:rPr>
      </w:pPr>
    </w:p>
    <w:p>
      <w:pPr>
        <w:ind w:right="120" w:firstLine="255"/>
        <w:spacing w:after="0" w:line="282" w:lineRule="auto"/>
        <w:rPr>
          <w:sz w:val="20"/>
          <w:szCs w:val="20"/>
          <w:color w:val="auto"/>
        </w:rPr>
      </w:pPr>
      <w:r>
        <w:rPr>
          <w:rFonts w:ascii="Arial" w:cs="Arial" w:eastAsia="Arial" w:hAnsi="Arial"/>
          <w:sz w:val="19"/>
          <w:szCs w:val="19"/>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47" w:lineRule="exact"/>
        <w:rPr>
          <w:sz w:val="20"/>
          <w:szCs w:val="20"/>
          <w:color w:val="auto"/>
        </w:rPr>
      </w:pPr>
    </w:p>
    <w:p>
      <w:pPr>
        <w:ind w:right="20" w:firstLine="255"/>
        <w:spacing w:after="0" w:line="273" w:lineRule="auto"/>
        <w:rPr>
          <w:sz w:val="20"/>
          <w:szCs w:val="20"/>
          <w:color w:val="auto"/>
        </w:rPr>
      </w:pPr>
      <w:r>
        <w:rPr>
          <w:rFonts w:ascii="Arial" w:cs="Arial" w:eastAsia="Arial" w:hAnsi="Arial"/>
          <w:sz w:val="19"/>
          <w:szCs w:val="19"/>
          <w:color w:val="auto"/>
        </w:rPr>
        <w:t xml:space="preserve">On December 16, 2014, we were granted an exemptive order from the SEC that allows us to co-invest, subject to certain conditions,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w:t>
      </w:r>
      <w:r>
        <w:rPr>
          <w:rFonts w:ascii="Arial" w:cs="Arial" w:eastAsia="Arial" w:hAnsi="Arial"/>
          <w:sz w:val="15"/>
          <w:szCs w:val="15"/>
          <w:color w:val="auto"/>
        </w:rPr>
        <w:t>On December 28, 2021, we filed a further application for co-investment exemptive relief with the SEC</w:t>
      </w:r>
      <w:r>
        <w:rPr>
          <w:rFonts w:ascii="Arial" w:cs="Arial" w:eastAsia="Arial" w:hAnsi="Arial"/>
          <w:sz w:val="19"/>
          <w:szCs w:val="19"/>
          <w:color w:val="auto"/>
        </w:rPr>
        <w:t xml:space="preserve"> </w:t>
      </w:r>
      <w:r>
        <w:rPr>
          <w:rFonts w:ascii="Arial" w:cs="Arial" w:eastAsia="Arial" w:hAnsi="Arial"/>
          <w:sz w:val="15"/>
          <w:szCs w:val="15"/>
          <w:color w:val="auto"/>
        </w:rPr>
        <w:t>to better align our existing co-investment relief with more recent SEC exemptive orders. There can be no assurance when or if the SEC will grant a further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order in response to our application. Until such time a new order is granted, we will continue to operate under the terms of our current exemptive order</w:t>
      </w:r>
      <w:r>
        <w:rPr>
          <w:rFonts w:ascii="Arial" w:cs="Arial" w:eastAsia="Arial" w:hAnsi="Arial"/>
          <w:sz w:val="19"/>
          <w:szCs w:val="19"/>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Any acquisitions or strategic investments that we pursue are subject to risks and uncertainties.</w:t>
      </w:r>
    </w:p>
    <w:p>
      <w:pPr>
        <w:spacing w:after="0" w:line="98" w:lineRule="exact"/>
        <w:rPr>
          <w:sz w:val="20"/>
          <w:szCs w:val="20"/>
          <w:color w:val="auto"/>
        </w:rPr>
      </w:pPr>
    </w:p>
    <w:p>
      <w:pPr>
        <w:ind w:right="60" w:firstLine="255"/>
        <w:spacing w:after="0" w:line="235" w:lineRule="auto"/>
        <w:rPr>
          <w:sz w:val="20"/>
          <w:szCs w:val="20"/>
          <w:color w:val="auto"/>
        </w:rPr>
      </w:pPr>
      <w:r>
        <w:rPr>
          <w:rFonts w:ascii="Arial" w:cs="Arial" w:eastAsia="Arial" w:hAnsi="Arial"/>
          <w:sz w:val="22"/>
          <w:szCs w:val="22"/>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right="80" w:firstLine="255"/>
        <w:spacing w:after="0" w:line="246" w:lineRule="auto"/>
        <w:rPr>
          <w:sz w:val="20"/>
          <w:szCs w:val="20"/>
          <w:color w:val="auto"/>
        </w:rPr>
      </w:pPr>
      <w:r>
        <w:rPr>
          <w:rFonts w:ascii="Arial" w:cs="Arial" w:eastAsia="Arial" w:hAnsi="Arial"/>
          <w:sz w:val="21"/>
          <w:szCs w:val="21"/>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0" w:lineRule="exact"/>
        <w:rPr>
          <w:sz w:val="20"/>
          <w:szCs w:val="20"/>
          <w:color w:val="auto"/>
        </w:rPr>
      </w:pPr>
    </w:p>
    <w:p>
      <w:pPr>
        <w:ind w:right="700" w:firstLine="255"/>
        <w:spacing w:after="0" w:line="257" w:lineRule="auto"/>
        <w:rPr>
          <w:sz w:val="20"/>
          <w:szCs w:val="20"/>
          <w:color w:val="auto"/>
        </w:rPr>
      </w:pPr>
      <w:r>
        <w:rPr>
          <w:rFonts w:ascii="Arial" w:cs="Arial" w:eastAsia="Arial" w:hAnsi="Arial"/>
          <w:sz w:val="21"/>
          <w:szCs w:val="21"/>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9" w:name="page50"/>
    <w:bookmarkEnd w:id="49"/>
    <w:p>
      <w:pPr>
        <w:ind w:right="200"/>
        <w:spacing w:after="0" w:line="250" w:lineRule="auto"/>
        <w:rPr>
          <w:sz w:val="20"/>
          <w:szCs w:val="20"/>
          <w:color w:val="auto"/>
        </w:rPr>
      </w:pPr>
      <w:r>
        <w:rPr>
          <w:rFonts w:ascii="Arial" w:cs="Arial" w:eastAsia="Arial" w:hAnsi="Arial"/>
          <w:sz w:val="22"/>
          <w:szCs w:val="22"/>
          <w:b w:val="1"/>
          <w:bCs w:val="1"/>
          <w:i w:val="1"/>
          <w:iCs w:val="1"/>
          <w:color w:val="auto"/>
        </w:rPr>
        <w:t>We cannot guarantee that we will be able to obtain various required licenses in U.S. states or in any other jurisdiction where they may be required in the future.</w:t>
      </w:r>
    </w:p>
    <w:p>
      <w:pPr>
        <w:spacing w:after="0" w:line="67" w:lineRule="exact"/>
        <w:rPr>
          <w:sz w:val="20"/>
          <w:szCs w:val="20"/>
          <w:color w:val="auto"/>
        </w:rPr>
      </w:pPr>
    </w:p>
    <w:p>
      <w:pPr>
        <w:ind w:right="40" w:firstLine="255"/>
        <w:spacing w:after="0" w:line="246" w:lineRule="auto"/>
        <w:rPr>
          <w:sz w:val="20"/>
          <w:szCs w:val="20"/>
          <w:color w:val="auto"/>
        </w:rPr>
      </w:pPr>
      <w:r>
        <w:rPr>
          <w:rFonts w:ascii="Arial" w:cs="Arial" w:eastAsia="Arial" w:hAnsi="Arial"/>
          <w:sz w:val="21"/>
          <w:szCs w:val="21"/>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investments in foreign companies may involve significant risks in addition to the risks inherent in U.S. investments.</w:t>
      </w:r>
    </w:p>
    <w:p>
      <w:pPr>
        <w:spacing w:after="0" w:line="133" w:lineRule="exact"/>
        <w:rPr>
          <w:sz w:val="20"/>
          <w:szCs w:val="20"/>
          <w:color w:val="auto"/>
        </w:rPr>
      </w:pPr>
    </w:p>
    <w:p>
      <w:pPr>
        <w:ind w:right="60" w:firstLine="255"/>
        <w:spacing w:after="0" w:line="245" w:lineRule="auto"/>
        <w:rPr>
          <w:sz w:val="20"/>
          <w:szCs w:val="20"/>
          <w:color w:val="auto"/>
        </w:rPr>
      </w:pPr>
      <w:r>
        <w:rPr>
          <w:rFonts w:ascii="Arial" w:cs="Arial" w:eastAsia="Arial" w:hAnsi="Arial"/>
          <w:sz w:val="21"/>
          <w:szCs w:val="21"/>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84" w:lineRule="exact"/>
        <w:rPr>
          <w:sz w:val="20"/>
          <w:szCs w:val="20"/>
          <w:color w:val="auto"/>
        </w:rPr>
      </w:pPr>
    </w:p>
    <w:p>
      <w:pPr>
        <w:ind w:right="100" w:firstLine="255"/>
        <w:spacing w:after="0" w:line="235" w:lineRule="auto"/>
        <w:rPr>
          <w:sz w:val="20"/>
          <w:szCs w:val="20"/>
          <w:color w:val="auto"/>
        </w:rPr>
      </w:pPr>
      <w:r>
        <w:rPr>
          <w:rFonts w:ascii="Arial" w:cs="Arial" w:eastAsia="Arial" w:hAnsi="Arial"/>
          <w:sz w:val="22"/>
          <w:szCs w:val="22"/>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expose ourselves to risks when we engage in hedging transactions.</w:t>
      </w:r>
    </w:p>
    <w:p>
      <w:pPr>
        <w:spacing w:after="0" w:line="98" w:lineRule="exact"/>
        <w:rPr>
          <w:sz w:val="20"/>
          <w:szCs w:val="20"/>
          <w:color w:val="auto"/>
        </w:rPr>
      </w:pPr>
    </w:p>
    <w:p>
      <w:pPr>
        <w:ind w:right="60" w:firstLine="255"/>
        <w:spacing w:after="0" w:line="279" w:lineRule="auto"/>
        <w:rPr>
          <w:sz w:val="20"/>
          <w:szCs w:val="20"/>
          <w:color w:val="auto"/>
        </w:rPr>
      </w:pPr>
      <w:r>
        <w:rPr>
          <w:rFonts w:ascii="Arial" w:cs="Arial" w:eastAsia="Arial" w:hAnsi="Arial"/>
          <w:sz w:val="19"/>
          <w:szCs w:val="19"/>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50" w:lineRule="exact"/>
        <w:rPr>
          <w:sz w:val="20"/>
          <w:szCs w:val="20"/>
          <w:color w:val="auto"/>
        </w:rPr>
      </w:pPr>
    </w:p>
    <w:p>
      <w:pPr>
        <w:ind w:right="20" w:firstLine="255"/>
        <w:spacing w:after="0" w:line="277" w:lineRule="auto"/>
        <w:rPr>
          <w:sz w:val="20"/>
          <w:szCs w:val="20"/>
          <w:color w:val="auto"/>
        </w:rPr>
      </w:pPr>
      <w:r>
        <w:rPr>
          <w:rFonts w:ascii="Arial" w:cs="Arial" w:eastAsia="Arial" w:hAnsi="Arial"/>
          <w:sz w:val="19"/>
          <w:szCs w:val="19"/>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52" w:lineRule="exact"/>
        <w:rPr>
          <w:sz w:val="20"/>
          <w:szCs w:val="20"/>
          <w:color w:val="auto"/>
        </w:rPr>
      </w:pPr>
    </w:p>
    <w:p>
      <w:pPr>
        <w:ind w:right="340" w:firstLine="255"/>
        <w:spacing w:after="0" w:line="279" w:lineRule="auto"/>
        <w:rPr>
          <w:sz w:val="20"/>
          <w:szCs w:val="20"/>
          <w:color w:val="auto"/>
        </w:rPr>
      </w:pPr>
      <w:r>
        <w:rPr>
          <w:rFonts w:ascii="Arial" w:cs="Arial" w:eastAsia="Arial" w:hAnsi="Arial"/>
          <w:sz w:val="19"/>
          <w:szCs w:val="19"/>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50" w:lineRule="exact"/>
        <w:rPr>
          <w:sz w:val="20"/>
          <w:szCs w:val="20"/>
          <w:color w:val="auto"/>
        </w:rPr>
      </w:pPr>
    </w:p>
    <w:p>
      <w:pPr>
        <w:ind w:firstLine="255"/>
        <w:spacing w:after="0" w:line="274" w:lineRule="auto"/>
        <w:rPr>
          <w:sz w:val="20"/>
          <w:szCs w:val="20"/>
          <w:color w:val="auto"/>
        </w:rPr>
      </w:pPr>
      <w:r>
        <w:rPr>
          <w:rFonts w:ascii="Arial" w:cs="Arial" w:eastAsia="Arial" w:hAnsi="Arial"/>
          <w:sz w:val="19"/>
          <w:szCs w:val="19"/>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2022 Convertible Notes, 2023 Notes, and 2024 Notes which bear interest at fixed rates, we entered into fixed-to-floating interest rate swaps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8" w:right="339" w:bottom="227" w:gutter="0" w:footer="0" w:header="0"/>
        </w:sectPr>
      </w:pPr>
    </w:p>
    <w:bookmarkStart w:id="50" w:name="page51"/>
    <w:bookmarkEnd w:id="50"/>
    <w:p>
      <w:pPr>
        <w:ind w:right="20" w:firstLine="255"/>
        <w:spacing w:after="0" w:line="272" w:lineRule="auto"/>
        <w:rPr>
          <w:sz w:val="20"/>
          <w:szCs w:val="20"/>
          <w:color w:val="auto"/>
        </w:rPr>
      </w:pPr>
      <w:r>
        <w:rPr>
          <w:rFonts w:ascii="Arial" w:cs="Arial" w:eastAsia="Arial" w:hAnsi="Arial"/>
          <w:sz w:val="19"/>
          <w:szCs w:val="19"/>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Arial" w:cs="Arial" w:eastAsia="Arial" w:hAnsi="Arial"/>
          <w:sz w:val="19"/>
          <w:szCs w:val="19"/>
          <w:i w:val="1"/>
          <w:iCs w:val="1"/>
          <w:color w:val="auto"/>
        </w:rPr>
        <w:t>—Risks Related to Our Portfolio Company Investments—The new market structure applicable to derivatives imposed by the</w:t>
      </w:r>
      <w:r>
        <w:rPr>
          <w:rFonts w:ascii="Arial" w:cs="Arial" w:eastAsia="Arial" w:hAnsi="Arial"/>
          <w:sz w:val="19"/>
          <w:szCs w:val="19"/>
          <w:color w:val="auto"/>
        </w:rPr>
        <w:t xml:space="preserve"> </w:t>
      </w:r>
      <w:r>
        <w:rPr>
          <w:rFonts w:ascii="Arial" w:cs="Arial" w:eastAsia="Arial" w:hAnsi="Arial"/>
          <w:sz w:val="19"/>
          <w:szCs w:val="19"/>
          <w:i w:val="1"/>
          <w:iCs w:val="1"/>
          <w:color w:val="auto"/>
        </w:rPr>
        <w:t>Dodd-Frank Act may affect our ability to use over-the-counter (“OTC”) derivatives for hedging purposes</w:t>
      </w:r>
      <w:r>
        <w:rPr>
          <w:rFonts w:ascii="Arial" w:cs="Arial" w:eastAsia="Arial" w:hAnsi="Arial"/>
          <w:sz w:val="19"/>
          <w:szCs w:val="19"/>
          <w:color w:val="auto"/>
        </w:rPr>
        <w:t>.” See also “</w:t>
      </w:r>
      <w:r>
        <w:rPr>
          <w:rFonts w:ascii="Arial" w:cs="Arial" w:eastAsia="Arial" w:hAnsi="Arial"/>
          <w:sz w:val="19"/>
          <w:szCs w:val="19"/>
          <w:i w:val="1"/>
          <w:iCs w:val="1"/>
          <w:color w:val="auto"/>
        </w:rPr>
        <w:t>—Risks Related to Our Portfolio Company Investments—We are exposed to risks associated with changes in interest rates</w:t>
      </w:r>
      <w:r>
        <w:rPr>
          <w:rFonts w:ascii="Arial" w:cs="Arial" w:eastAsia="Arial" w:hAnsi="Arial"/>
          <w:sz w:val="19"/>
          <w:szCs w:val="19"/>
          <w:color w:val="auto"/>
        </w:rPr>
        <w:t>” and “</w:t>
      </w:r>
      <w:r>
        <w:rPr>
          <w:rFonts w:ascii="Arial" w:cs="Arial" w:eastAsia="Arial" w:hAnsi="Arial"/>
          <w:sz w:val="19"/>
          <w:szCs w:val="19"/>
          <w:i w:val="1"/>
          <w:iCs w:val="1"/>
          <w:color w:val="auto"/>
        </w:rPr>
        <w:t>ITEM 7. MANAGEMENT’S DISCUSSION AND ANALYSIS OF FINANCIAL CONDITION AND RESULTS OF OPERATIONS—Results of Operations—Hedging</w:t>
      </w:r>
      <w:r>
        <w:rPr>
          <w:rFonts w:ascii="Arial" w:cs="Arial" w:eastAsia="Arial" w:hAnsi="Arial"/>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right="360" w:firstLine="255"/>
        <w:spacing w:after="0" w:line="245" w:lineRule="auto"/>
        <w:rPr>
          <w:sz w:val="20"/>
          <w:szCs w:val="20"/>
          <w:color w:val="auto"/>
        </w:rPr>
      </w:pPr>
      <w:r>
        <w:rPr>
          <w:rFonts w:ascii="Arial" w:cs="Arial" w:eastAsia="Arial" w:hAnsi="Arial"/>
          <w:sz w:val="21"/>
          <w:szCs w:val="21"/>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89"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b w:val="1"/>
          <w:bCs w:val="1"/>
          <w:i w:val="1"/>
          <w:iCs w:val="1"/>
          <w:color w:val="auto"/>
        </w:rPr>
        <w:t>The new market structure applicable to derivatives imposed by the Dodd-Frank Act may affect our ability to use over-the-counter (“OTC”) derivatives for hedging purposes.</w:t>
      </w:r>
    </w:p>
    <w:p>
      <w:pPr>
        <w:spacing w:after="0" w:line="67" w:lineRule="exact"/>
        <w:rPr>
          <w:sz w:val="20"/>
          <w:szCs w:val="20"/>
          <w:color w:val="auto"/>
        </w:rPr>
      </w:pPr>
    </w:p>
    <w:p>
      <w:pPr>
        <w:ind w:firstLine="255"/>
        <w:spacing w:after="0" w:line="238" w:lineRule="auto"/>
        <w:rPr>
          <w:sz w:val="20"/>
          <w:szCs w:val="20"/>
          <w:color w:val="auto"/>
        </w:rPr>
      </w:pPr>
      <w:r>
        <w:rPr>
          <w:rFonts w:ascii="Arial" w:cs="Arial" w:eastAsia="Arial" w:hAnsi="Arial"/>
          <w:sz w:val="22"/>
          <w:szCs w:val="22"/>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32" w:lineRule="exact"/>
        <w:rPr>
          <w:sz w:val="20"/>
          <w:szCs w:val="20"/>
          <w:color w:val="auto"/>
        </w:rPr>
      </w:pPr>
    </w:p>
    <w:p>
      <w:pPr>
        <w:ind w:right="80" w:firstLine="255"/>
        <w:spacing w:after="0" w:line="287" w:lineRule="auto"/>
        <w:rPr>
          <w:sz w:val="20"/>
          <w:szCs w:val="20"/>
          <w:color w:val="auto"/>
        </w:rPr>
      </w:pPr>
      <w:r>
        <w:rPr>
          <w:rFonts w:ascii="Arial" w:cs="Arial" w:eastAsia="Arial" w:hAnsi="Arial"/>
          <w:sz w:val="16"/>
          <w:szCs w:val="16"/>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2022 Convertible Notes, 2023 Notes, 2024 Notes and 2026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72" w:lineRule="exact"/>
        <w:rPr>
          <w:sz w:val="20"/>
          <w:szCs w:val="20"/>
          <w:color w:val="auto"/>
        </w:rPr>
      </w:pPr>
    </w:p>
    <w:p>
      <w:pPr>
        <w:ind w:right="80" w:firstLine="255"/>
        <w:spacing w:after="0" w:line="254" w:lineRule="auto"/>
        <w:rPr>
          <w:sz w:val="20"/>
          <w:szCs w:val="20"/>
          <w:color w:val="auto"/>
        </w:rPr>
      </w:pPr>
      <w:r>
        <w:rPr>
          <w:rFonts w:ascii="Arial" w:cs="Arial" w:eastAsia="Arial" w:hAnsi="Arial"/>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-758190</wp:posOffset>
            </wp:positionV>
            <wp:extent cx="28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5"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b w:val="1"/>
          <w:bCs w:val="1"/>
          <w:i w:val="1"/>
          <w:iCs w:val="1"/>
          <w:color w:val="auto"/>
        </w:rPr>
        <w:t>If we cease to be eligible for an exemption from regulation as a commodity pool operator, our compliance expenses could increase substantially.</w:t>
      </w:r>
    </w:p>
    <w:p>
      <w:pPr>
        <w:spacing w:after="0" w:line="67" w:lineRule="exact"/>
        <w:rPr>
          <w:sz w:val="20"/>
          <w:szCs w:val="20"/>
          <w:color w:val="auto"/>
        </w:rPr>
      </w:pPr>
    </w:p>
    <w:p>
      <w:pPr>
        <w:ind w:right="380" w:firstLine="255"/>
        <w:spacing w:after="0"/>
        <w:rPr>
          <w:sz w:val="20"/>
          <w:szCs w:val="20"/>
          <w:color w:val="auto"/>
        </w:rPr>
      </w:pPr>
      <w:r>
        <w:rPr>
          <w:rFonts w:ascii="Arial" w:cs="Arial" w:eastAsia="Arial" w:hAnsi="Arial"/>
          <w:sz w:val="22"/>
          <w:szCs w:val="22"/>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78" w:lineRule="exact"/>
        <w:rPr>
          <w:sz w:val="20"/>
          <w:szCs w:val="20"/>
          <w:color w:val="auto"/>
        </w:rPr>
      </w:pPr>
    </w:p>
    <w:p>
      <w:pPr>
        <w:ind w:left="500" w:hanging="249"/>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22"/>
          <w:szCs w:val="22"/>
          <w:color w:val="auto"/>
        </w:rPr>
        <w:t>continue to be regulated by the SEC as a BDC;</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1" w:name="page52"/>
    <w:bookmarkEnd w:id="51"/>
    <w:p>
      <w:pPr>
        <w:ind w:left="500" w:hanging="249"/>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22"/>
          <w:szCs w:val="22"/>
          <w:color w:val="auto"/>
        </w:rPr>
        <w:t>confine our trading in CFTC-regulated derivatives within specified thresholds; and</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22"/>
          <w:szCs w:val="22"/>
          <w:color w:val="auto"/>
        </w:rPr>
        <w:t>are not marketed to the public as a commodity pool or as a vehicle for trading in CFTC-regulated derivatives.</w:t>
      </w:r>
    </w:p>
    <w:p>
      <w:pPr>
        <w:spacing w:after="0" w:line="206" w:lineRule="exact"/>
        <w:rPr>
          <w:sz w:val="20"/>
          <w:szCs w:val="20"/>
          <w:color w:val="auto"/>
        </w:rPr>
      </w:pPr>
    </w:p>
    <w:p>
      <w:pPr>
        <w:ind w:right="60" w:firstLine="255"/>
        <w:spacing w:after="0" w:line="249" w:lineRule="auto"/>
        <w:rPr>
          <w:sz w:val="20"/>
          <w:szCs w:val="20"/>
          <w:color w:val="auto"/>
        </w:rPr>
      </w:pPr>
      <w:r>
        <w:rPr>
          <w:rFonts w:ascii="Arial" w:cs="Arial" w:eastAsia="Arial" w:hAnsi="Arial"/>
          <w:sz w:val="21"/>
          <w:szCs w:val="21"/>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portfolio investments may present special tax issues.</w:t>
      </w:r>
    </w:p>
    <w:p>
      <w:pPr>
        <w:spacing w:after="0" w:line="98" w:lineRule="exact"/>
        <w:rPr>
          <w:sz w:val="20"/>
          <w:szCs w:val="20"/>
          <w:color w:val="auto"/>
        </w:rPr>
      </w:pPr>
    </w:p>
    <w:p>
      <w:pPr>
        <w:ind w:firstLine="255"/>
        <w:spacing w:after="0" w:line="272" w:lineRule="auto"/>
        <w:rPr>
          <w:sz w:val="20"/>
          <w:szCs w:val="20"/>
          <w:color w:val="auto"/>
        </w:rPr>
      </w:pPr>
      <w:r>
        <w:rPr>
          <w:rFonts w:ascii="Arial" w:cs="Arial" w:eastAsia="Arial" w:hAnsi="Arial"/>
          <w:sz w:val="19"/>
          <w:szCs w:val="19"/>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9"/>
          <w:szCs w:val="19"/>
          <w:i w:val="1"/>
          <w:iCs w:val="1"/>
          <w:color w:val="auto"/>
        </w:rPr>
        <w:t>ITEM 1. BUSINESS—Regulation as a Business Development</w:t>
      </w:r>
      <w:r>
        <w:rPr>
          <w:rFonts w:ascii="Arial" w:cs="Arial" w:eastAsia="Arial" w:hAnsi="Arial"/>
          <w:sz w:val="19"/>
          <w:szCs w:val="19"/>
          <w:color w:val="auto"/>
        </w:rPr>
        <w:t xml:space="preserve"> </w:t>
      </w:r>
      <w:r>
        <w:rPr>
          <w:rFonts w:ascii="Arial" w:cs="Arial" w:eastAsia="Arial" w:hAnsi="Arial"/>
          <w:sz w:val="19"/>
          <w:szCs w:val="19"/>
          <w:i w:val="1"/>
          <w:iCs w:val="1"/>
          <w:color w:val="auto"/>
        </w:rPr>
        <w:t>Company</w:t>
      </w:r>
      <w:r>
        <w:rPr>
          <w:rFonts w:ascii="Arial" w:cs="Arial" w:eastAsia="Arial" w:hAnsi="Arial"/>
          <w:sz w:val="19"/>
          <w:szCs w:val="19"/>
          <w:color w:val="auto"/>
        </w:rPr>
        <w:t>—</w:t>
      </w:r>
      <w:r>
        <w:rPr>
          <w:rFonts w:ascii="Arial" w:cs="Arial" w:eastAsia="Arial" w:hAnsi="Arial"/>
          <w:sz w:val="19"/>
          <w:szCs w:val="19"/>
          <w:i w:val="1"/>
          <w:iCs w:val="1"/>
          <w:color w:val="auto"/>
        </w:rPr>
        <w:t>Regulated Investment Company Classification</w:t>
      </w:r>
      <w:r>
        <w:rPr>
          <w:rFonts w:ascii="Arial" w:cs="Arial" w:eastAsia="Arial" w:hAnsi="Arial"/>
          <w:sz w:val="19"/>
          <w:szCs w:val="19"/>
          <w:color w:val="auto"/>
        </w:rPr>
        <w:t>” for more information.</w:t>
      </w:r>
    </w:p>
    <w:p>
      <w:pPr>
        <w:spacing w:after="0" w:line="269"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7" w:lineRule="exact"/>
        <w:rPr>
          <w:sz w:val="20"/>
          <w:szCs w:val="20"/>
          <w:color w:val="auto"/>
        </w:rPr>
      </w:pPr>
    </w:p>
    <w:p>
      <w:pPr>
        <w:ind w:right="40" w:firstLine="255"/>
        <w:spacing w:after="0" w:line="273" w:lineRule="auto"/>
        <w:rPr>
          <w:sz w:val="20"/>
          <w:szCs w:val="20"/>
          <w:color w:val="auto"/>
        </w:rPr>
      </w:pPr>
      <w:r>
        <w:rPr>
          <w:rFonts w:ascii="Arial" w:cs="Arial" w:eastAsia="Arial" w:hAnsi="Arial"/>
          <w:sz w:val="19"/>
          <w:szCs w:val="19"/>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not deductible by individuals, trusts or estates for taxable years beginning after December 31, 2017 and before January 1, 2026.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44" w:lineRule="exact"/>
        <w:rPr>
          <w:sz w:val="20"/>
          <w:szCs w:val="20"/>
          <w:color w:val="auto"/>
        </w:rPr>
      </w:pPr>
    </w:p>
    <w:p>
      <w:pPr>
        <w:ind w:right="140" w:firstLine="255"/>
        <w:spacing w:after="0" w:line="238" w:lineRule="auto"/>
        <w:rPr>
          <w:sz w:val="20"/>
          <w:szCs w:val="20"/>
          <w:color w:val="auto"/>
        </w:rPr>
      </w:pPr>
      <w:r>
        <w:rPr>
          <w:rFonts w:ascii="Arial" w:cs="Arial" w:eastAsia="Arial" w:hAnsi="Arial"/>
          <w:sz w:val="22"/>
          <w:szCs w:val="22"/>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5" w:lineRule="exact"/>
        <w:rPr>
          <w:sz w:val="20"/>
          <w:szCs w:val="20"/>
          <w:color w:val="auto"/>
        </w:rPr>
      </w:pPr>
    </w:p>
    <w:p>
      <w:pPr>
        <w:ind w:right="80" w:firstLine="255"/>
        <w:spacing w:after="0" w:line="238" w:lineRule="auto"/>
        <w:rPr>
          <w:sz w:val="20"/>
          <w:szCs w:val="20"/>
          <w:color w:val="auto"/>
        </w:rPr>
      </w:pPr>
      <w:r>
        <w:rPr>
          <w:rFonts w:ascii="Arial" w:cs="Arial" w:eastAsia="Arial" w:hAnsi="Arial"/>
          <w:sz w:val="22"/>
          <w:szCs w:val="22"/>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85" w:lineRule="exact"/>
        <w:rPr>
          <w:sz w:val="20"/>
          <w:szCs w:val="20"/>
          <w:color w:val="auto"/>
        </w:rPr>
      </w:pPr>
    </w:p>
    <w:p>
      <w:pPr>
        <w:ind w:right="140" w:firstLine="255"/>
        <w:spacing w:after="0"/>
        <w:rPr>
          <w:sz w:val="20"/>
          <w:szCs w:val="20"/>
          <w:color w:val="auto"/>
        </w:rPr>
      </w:pPr>
      <w:r>
        <w:rPr>
          <w:rFonts w:ascii="Arial" w:cs="Arial" w:eastAsia="Arial" w:hAnsi="Arial"/>
          <w:sz w:val="22"/>
          <w:szCs w:val="22"/>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86" w:lineRule="exact"/>
        <w:rPr>
          <w:sz w:val="20"/>
          <w:szCs w:val="20"/>
          <w:color w:val="auto"/>
        </w:rPr>
      </w:pPr>
    </w:p>
    <w:p>
      <w:pPr>
        <w:ind w:right="60" w:firstLine="255"/>
        <w:spacing w:after="0" w:line="287" w:lineRule="auto"/>
        <w:rPr>
          <w:sz w:val="20"/>
          <w:szCs w:val="20"/>
          <w:color w:val="auto"/>
        </w:rPr>
      </w:pPr>
      <w:r>
        <w:rPr>
          <w:rFonts w:ascii="Arial" w:cs="Arial" w:eastAsia="Arial" w:hAnsi="Arial"/>
          <w:sz w:val="19"/>
          <w:szCs w:val="19"/>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6" w:right="359" w:bottom="659" w:gutter="0" w:footer="0" w:header="0"/>
        </w:sectPr>
      </w:pPr>
    </w:p>
    <w:bookmarkStart w:id="52" w:name="page53"/>
    <w:bookmarkEnd w:id="52"/>
    <w:p>
      <w:pPr>
        <w:ind w:right="300" w:firstLine="255"/>
        <w:spacing w:after="0"/>
        <w:rPr>
          <w:sz w:val="20"/>
          <w:szCs w:val="20"/>
          <w:color w:val="auto"/>
        </w:rPr>
      </w:pPr>
      <w:r>
        <w:rPr>
          <w:rFonts w:ascii="Arial" w:cs="Arial" w:eastAsia="Arial" w:hAnsi="Arial"/>
          <w:sz w:val="22"/>
          <w:szCs w:val="22"/>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There is a risk that investors in our common stock may not receive dividends or that our dividends may not grow over time.</w:t>
      </w:r>
    </w:p>
    <w:p>
      <w:pPr>
        <w:spacing w:after="0" w:line="133" w:lineRule="exact"/>
        <w:rPr>
          <w:sz w:val="20"/>
          <w:szCs w:val="20"/>
          <w:color w:val="auto"/>
        </w:rPr>
      </w:pPr>
    </w:p>
    <w:p>
      <w:pPr>
        <w:ind w:firstLine="255"/>
        <w:spacing w:after="0" w:line="275" w:lineRule="auto"/>
        <w:rPr>
          <w:sz w:val="20"/>
          <w:szCs w:val="20"/>
          <w:color w:val="auto"/>
        </w:rPr>
      </w:pPr>
      <w:r>
        <w:rPr>
          <w:rFonts w:ascii="Arial" w:cs="Arial" w:eastAsia="Arial" w:hAnsi="Arial"/>
          <w:sz w:val="19"/>
          <w:szCs w:val="19"/>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57" w:lineRule="exact"/>
        <w:rPr>
          <w:sz w:val="20"/>
          <w:szCs w:val="20"/>
          <w:color w:val="auto"/>
        </w:rPr>
      </w:pPr>
    </w:p>
    <w:p>
      <w:pPr>
        <w:ind w:right="40" w:firstLine="255"/>
        <w:spacing w:after="0" w:line="235" w:lineRule="auto"/>
        <w:rPr>
          <w:sz w:val="20"/>
          <w:szCs w:val="20"/>
          <w:color w:val="auto"/>
        </w:rPr>
      </w:pPr>
      <w:r>
        <w:rPr>
          <w:rFonts w:ascii="Arial" w:cs="Arial" w:eastAsia="Arial" w:hAnsi="Arial"/>
          <w:sz w:val="22"/>
          <w:szCs w:val="22"/>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Arial" w:cs="Arial" w:eastAsia="Arial" w:hAnsi="Arial"/>
          <w:sz w:val="22"/>
          <w:szCs w:val="22"/>
          <w:i w:val="1"/>
          <w:iCs w:val="1"/>
          <w:color w:val="auto"/>
        </w:rPr>
        <w:t>—Risks Related to Our Portfolio Company</w:t>
      </w:r>
      <w:r>
        <w:rPr>
          <w:rFonts w:ascii="Arial" w:cs="Arial" w:eastAsia="Arial" w:hAnsi="Arial"/>
          <w:sz w:val="22"/>
          <w:szCs w:val="22"/>
          <w:color w:val="auto"/>
        </w:rPr>
        <w:t xml:space="preserve"> </w:t>
      </w:r>
      <w:r>
        <w:rPr>
          <w:rFonts w:ascii="Arial" w:cs="Arial" w:eastAsia="Arial" w:hAnsi="Arial"/>
          <w:sz w:val="22"/>
          <w:szCs w:val="22"/>
          <w:i w:val="1"/>
          <w:iCs w:val="1"/>
          <w:color w:val="auto"/>
        </w:rPr>
        <w:t>Investments—There are certain risks associated with holding debt obligations that have original issue discount or payment-in-kind interest</w:t>
      </w:r>
      <w:r>
        <w:rPr>
          <w:rFonts w:ascii="Arial" w:cs="Arial" w:eastAsia="Arial" w:hAnsi="Arial"/>
          <w:sz w:val="22"/>
          <w:szCs w:val="22"/>
          <w:color w:val="auto"/>
        </w:rPr>
        <w:t>.”</w:t>
      </w:r>
    </w:p>
    <w:p>
      <w:pPr>
        <w:spacing w:after="0" w:line="188" w:lineRule="exact"/>
        <w:rPr>
          <w:sz w:val="20"/>
          <w:szCs w:val="20"/>
          <w:color w:val="auto"/>
        </w:rPr>
      </w:pPr>
    </w:p>
    <w:p>
      <w:pPr>
        <w:ind w:firstLine="255"/>
        <w:spacing w:after="0" w:line="248" w:lineRule="auto"/>
        <w:rPr>
          <w:sz w:val="20"/>
          <w:szCs w:val="20"/>
          <w:color w:val="auto"/>
        </w:rPr>
      </w:pPr>
      <w:r>
        <w:rPr>
          <w:rFonts w:ascii="Arial" w:cs="Arial" w:eastAsia="Arial" w:hAnsi="Arial"/>
          <w:sz w:val="21"/>
          <w:szCs w:val="21"/>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77" w:lineRule="exact"/>
        <w:rPr>
          <w:sz w:val="20"/>
          <w:szCs w:val="20"/>
          <w:color w:val="auto"/>
        </w:rPr>
      </w:pPr>
    </w:p>
    <w:p>
      <w:pPr>
        <w:ind w:right="400" w:firstLine="255"/>
        <w:spacing w:after="0" w:line="238" w:lineRule="auto"/>
        <w:rPr>
          <w:sz w:val="20"/>
          <w:szCs w:val="20"/>
          <w:color w:val="auto"/>
        </w:rPr>
      </w:pPr>
      <w:r>
        <w:rPr>
          <w:rFonts w:ascii="Arial" w:cs="Arial" w:eastAsia="Arial" w:hAnsi="Arial"/>
          <w:sz w:val="22"/>
          <w:szCs w:val="22"/>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5" w:lineRule="exact"/>
        <w:rPr>
          <w:sz w:val="20"/>
          <w:szCs w:val="20"/>
          <w:color w:val="auto"/>
        </w:rPr>
      </w:pPr>
    </w:p>
    <w:p>
      <w:pPr>
        <w:ind w:firstLine="255"/>
        <w:spacing w:after="0" w:line="279" w:lineRule="auto"/>
        <w:rPr>
          <w:sz w:val="20"/>
          <w:szCs w:val="20"/>
          <w:color w:val="auto"/>
        </w:rPr>
      </w:pPr>
      <w:r>
        <w:rPr>
          <w:rFonts w:ascii="Arial" w:cs="Arial" w:eastAsia="Arial" w:hAnsi="Arial"/>
          <w:sz w:val="19"/>
          <w:szCs w:val="19"/>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50" w:lineRule="exact"/>
        <w:rPr>
          <w:sz w:val="20"/>
          <w:szCs w:val="20"/>
          <w:color w:val="auto"/>
        </w:rPr>
      </w:pPr>
    </w:p>
    <w:p>
      <w:pPr>
        <w:ind w:right="160" w:firstLine="255"/>
        <w:spacing w:after="0" w:line="238" w:lineRule="auto"/>
        <w:rPr>
          <w:sz w:val="20"/>
          <w:szCs w:val="20"/>
          <w:color w:val="auto"/>
        </w:rPr>
      </w:pPr>
      <w:r>
        <w:rPr>
          <w:rFonts w:ascii="Arial" w:cs="Arial" w:eastAsia="Arial" w:hAnsi="Arial"/>
          <w:sz w:val="22"/>
          <w:szCs w:val="22"/>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securities may involve a high degree of risk.</w:t>
      </w:r>
    </w:p>
    <w:p>
      <w:pPr>
        <w:spacing w:after="0" w:line="98" w:lineRule="exact"/>
        <w:rPr>
          <w:sz w:val="20"/>
          <w:szCs w:val="20"/>
          <w:color w:val="auto"/>
        </w:rPr>
      </w:pPr>
    </w:p>
    <w:p>
      <w:pPr>
        <w:ind w:right="200" w:firstLine="255"/>
        <w:spacing w:after="0" w:line="297" w:lineRule="auto"/>
        <w:rPr>
          <w:sz w:val="20"/>
          <w:szCs w:val="20"/>
          <w:color w:val="auto"/>
        </w:rPr>
      </w:pPr>
      <w:r>
        <w:rPr>
          <w:rFonts w:ascii="Arial" w:cs="Arial" w:eastAsia="Arial" w:hAnsi="Arial"/>
          <w:sz w:val="19"/>
          <w:szCs w:val="19"/>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market price of our common stock may fluctuate significantly.</w:t>
      </w:r>
    </w:p>
    <w:p>
      <w:pPr>
        <w:spacing w:after="0" w:line="98" w:lineRule="exact"/>
        <w:rPr>
          <w:sz w:val="20"/>
          <w:szCs w:val="20"/>
          <w:color w:val="auto"/>
        </w:rPr>
      </w:pPr>
    </w:p>
    <w:p>
      <w:pPr>
        <w:jc w:val="both"/>
        <w:ind w:right="620" w:firstLine="255"/>
        <w:spacing w:after="0"/>
        <w:rPr>
          <w:sz w:val="20"/>
          <w:szCs w:val="20"/>
          <w:color w:val="auto"/>
        </w:rPr>
      </w:pPr>
      <w:r>
        <w:rPr>
          <w:rFonts w:ascii="Arial" w:cs="Arial" w:eastAsia="Arial" w:hAnsi="Arial"/>
          <w:sz w:val="22"/>
          <w:szCs w:val="22"/>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8" w:lineRule="exact"/>
        <w:rPr>
          <w:sz w:val="20"/>
          <w:szCs w:val="20"/>
          <w:color w:val="auto"/>
        </w:rPr>
      </w:pPr>
    </w:p>
    <w:p>
      <w:pPr>
        <w:ind w:left="500" w:right="200" w:hanging="249"/>
        <w:spacing w:after="0" w:line="250"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22"/>
          <w:szCs w:val="22"/>
          <w:color w:val="auto"/>
        </w:rPr>
        <w:t>significant volatility in the market price and trading volume of securities of BDCs or other companies in our sector, which is not necessarily related to the operating performance of these companies;</w:t>
      </w:r>
    </w:p>
    <w:p>
      <w:pPr>
        <w:spacing w:after="0" w:line="66" w:lineRule="exact"/>
        <w:rPr>
          <w:rFonts w:ascii="Arial" w:cs="Arial" w:eastAsia="Arial" w:hAnsi="Arial"/>
          <w:sz w:val="18"/>
          <w:szCs w:val="18"/>
          <w:color w:val="auto"/>
        </w:rPr>
      </w:pPr>
    </w:p>
    <w:p>
      <w:pPr>
        <w:ind w:left="500" w:hanging="249"/>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22"/>
          <w:szCs w:val="22"/>
          <w:color w:val="auto"/>
        </w:rPr>
        <w:t>changes in regulatory policies or tax guidelines, particularly with respect to RICs or BDCs;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443" w:gutter="0" w:footer="0" w:header="0"/>
        </w:sectPr>
      </w:pPr>
    </w:p>
    <w:bookmarkStart w:id="53" w:name="page54"/>
    <w:bookmarkEnd w:id="53"/>
    <w:p>
      <w:pPr>
        <w:ind w:left="500" w:right="460" w:hanging="249"/>
        <w:spacing w:after="0" w:line="250"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the exclusion of BDC common stock from certain market indices, which could reduce the ability of certain investment funds to own our common stock and put short term selling pressure on our common stock;</w:t>
      </w:r>
    </w:p>
    <w:p>
      <w:pPr>
        <w:spacing w:after="0" w:line="66"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loss of RIC or BDC status;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changes or perceived changes in earnings or variations in operating results;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changes in our portfolio of investments;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changes or perceived changes in the value of our portfolio of investments;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changes in accounting guidelines governing valuation of our investments;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9"/>
          <w:szCs w:val="19"/>
          <w:color w:val="auto"/>
        </w:rPr>
        <w:t>any shortfall in revenue or net income or any increase in losses from levels expected by investors or securities analysts;</w:t>
      </w:r>
    </w:p>
    <w:p>
      <w:pPr>
        <w:spacing w:after="0" w:line="132" w:lineRule="exact"/>
        <w:rPr>
          <w:rFonts w:ascii="Arial" w:cs="Arial" w:eastAsia="Arial" w:hAnsi="Arial"/>
          <w:sz w:val="16"/>
          <w:szCs w:val="16"/>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any downgrades to our credit rating or placement on a negative watch status by a credit rating agency;</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departure of the Adviser’s or any of its affiliates’ key personnel;</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operating performance of companies comparable to us;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short-selling pressure with respect to shares of our common stock or BDCs generally;</w:t>
      </w:r>
    </w:p>
    <w:p>
      <w:pPr>
        <w:spacing w:after="0" w:line="98" w:lineRule="exact"/>
        <w:rPr>
          <w:rFonts w:ascii="Arial" w:cs="Arial" w:eastAsia="Arial" w:hAnsi="Arial"/>
          <w:sz w:val="18"/>
          <w:szCs w:val="18"/>
          <w:color w:val="auto"/>
        </w:rPr>
      </w:pPr>
    </w:p>
    <w:p>
      <w:pPr>
        <w:ind w:left="500" w:right="360" w:hanging="249"/>
        <w:spacing w:after="0" w:line="250"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future sales of our securities convertible into or exchangeable or exercisable for our common stock or the conversion of such securities, including our 2022 Convertible Notes;</w:t>
      </w:r>
    </w:p>
    <w:p>
      <w:pPr>
        <w:spacing w:after="0" w:line="66"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uncertainty surrounding the strength of the U.S. economy;</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concerns regarding European sovereign debt and Brexit;</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concerns regarding volatility in the Chinese stock market and Chinese currency;</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concerns regarding U.S. and global tariffs and trade policy;</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9"/>
          <w:szCs w:val="19"/>
          <w:color w:val="auto"/>
        </w:rPr>
        <w:t>fluctuations in base interest rates, such as LIBOR, SOFR, EURIBOR, SONIA, the Federal Funds Rate or the Prime Rate;</w:t>
      </w:r>
    </w:p>
    <w:p>
      <w:pPr>
        <w:spacing w:after="0" w:line="132" w:lineRule="exact"/>
        <w:rPr>
          <w:rFonts w:ascii="Arial" w:cs="Arial" w:eastAsia="Arial" w:hAnsi="Arial"/>
          <w:sz w:val="16"/>
          <w:szCs w:val="16"/>
          <w:color w:val="auto"/>
        </w:rPr>
      </w:pPr>
    </w:p>
    <w:p>
      <w:pPr>
        <w:ind w:left="500" w:hanging="249"/>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9"/>
          <w:szCs w:val="19"/>
          <w:color w:val="auto"/>
        </w:rPr>
        <w:t>the impact of public health epidemics on the global economy, such as the COVID-19 pandemic and its worldwide impact;</w:t>
      </w:r>
    </w:p>
    <w:p>
      <w:pPr>
        <w:spacing w:after="0" w:line="132" w:lineRule="exact"/>
        <w:rPr>
          <w:rFonts w:ascii="Arial" w:cs="Arial" w:eastAsia="Arial" w:hAnsi="Arial"/>
          <w:sz w:val="16"/>
          <w:szCs w:val="16"/>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general economic trends and other external factors; and</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22"/>
          <w:szCs w:val="22"/>
          <w:color w:val="auto"/>
        </w:rPr>
        <w:t>loss of a major funding source.</w:t>
      </w:r>
    </w:p>
    <w:p>
      <w:pPr>
        <w:spacing w:after="0" w:line="206" w:lineRule="exact"/>
        <w:rPr>
          <w:sz w:val="20"/>
          <w:szCs w:val="20"/>
          <w:color w:val="auto"/>
        </w:rPr>
      </w:pPr>
    </w:p>
    <w:p>
      <w:pPr>
        <w:ind w:firstLine="255"/>
        <w:spacing w:after="0" w:line="238" w:lineRule="auto"/>
        <w:rPr>
          <w:sz w:val="20"/>
          <w:szCs w:val="20"/>
          <w:color w:val="auto"/>
        </w:rPr>
      </w:pPr>
      <w:r>
        <w:rPr>
          <w:rFonts w:ascii="Arial" w:cs="Arial" w:eastAsia="Arial" w:hAnsi="Arial"/>
          <w:sz w:val="22"/>
          <w:szCs w:val="22"/>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cannot assure you that the market price of shares of our common stock will not decline.</w:t>
      </w:r>
    </w:p>
    <w:p>
      <w:pPr>
        <w:spacing w:after="0" w:line="98" w:lineRule="exact"/>
        <w:rPr>
          <w:sz w:val="20"/>
          <w:szCs w:val="20"/>
          <w:color w:val="auto"/>
        </w:rPr>
      </w:pPr>
    </w:p>
    <w:p>
      <w:pPr>
        <w:ind w:right="20" w:firstLine="255"/>
        <w:spacing w:after="0" w:line="274" w:lineRule="auto"/>
        <w:rPr>
          <w:sz w:val="20"/>
          <w:szCs w:val="20"/>
          <w:color w:val="auto"/>
        </w:rPr>
      </w:pPr>
      <w:r>
        <w:rPr>
          <w:rFonts w:ascii="Arial" w:cs="Arial" w:eastAsia="Arial" w:hAnsi="Arial"/>
          <w:sz w:val="19"/>
          <w:szCs w:val="19"/>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Arial" w:cs="Arial" w:eastAsia="Arial" w:hAnsi="Arial"/>
          <w:sz w:val="19"/>
          <w:szCs w:val="19"/>
          <w:i w:val="1"/>
          <w:iCs w:val="1"/>
          <w:color w:val="auto"/>
        </w:rPr>
        <w:t>“—Risks Related to Our Business and Structure—Regulations governing our</w:t>
      </w:r>
      <w:r>
        <w:rPr>
          <w:rFonts w:ascii="Arial" w:cs="Arial" w:eastAsia="Arial" w:hAnsi="Arial"/>
          <w:sz w:val="19"/>
          <w:szCs w:val="19"/>
          <w:color w:val="auto"/>
        </w:rPr>
        <w:t xml:space="preserve"> </w:t>
      </w:r>
      <w:r>
        <w:rPr>
          <w:rFonts w:ascii="Arial" w:cs="Arial" w:eastAsia="Arial" w:hAnsi="Arial"/>
          <w:sz w:val="19"/>
          <w:szCs w:val="19"/>
          <w:i w:val="1"/>
          <w:iCs w:val="1"/>
          <w:color w:val="auto"/>
        </w:rPr>
        <w:t>operation as a BDC affect our ability to, and the way in which we, raise additional capital.”</w:t>
      </w:r>
    </w:p>
    <w:p>
      <w:pPr>
        <w:spacing w:after="0" w:line="266"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Sales of substantial amounts of our common stock in the public market may have an adverse effect on the market price of our common stock.</w:t>
      </w:r>
    </w:p>
    <w:p>
      <w:pPr>
        <w:spacing w:after="0" w:line="67" w:lineRule="exact"/>
        <w:rPr>
          <w:sz w:val="20"/>
          <w:szCs w:val="20"/>
          <w:color w:val="auto"/>
        </w:rPr>
      </w:pPr>
    </w:p>
    <w:p>
      <w:pPr>
        <w:ind w:right="60" w:firstLine="255"/>
        <w:spacing w:after="0" w:line="282" w:lineRule="auto"/>
        <w:rPr>
          <w:sz w:val="20"/>
          <w:szCs w:val="20"/>
          <w:color w:val="auto"/>
        </w:rPr>
      </w:pPr>
      <w:r>
        <w:rPr>
          <w:rFonts w:ascii="Arial" w:cs="Arial" w:eastAsia="Arial" w:hAnsi="Arial"/>
          <w:sz w:val="19"/>
          <w:szCs w:val="19"/>
          <w:color w:val="auto"/>
        </w:rPr>
        <w:t>Sales of substantial amounts of our common stock, the availability of such common stock for sale (including as a result of the conversion of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i w:val="1"/>
          <w:iCs w:val="1"/>
          <w:color w:val="auto"/>
        </w:rPr>
        <w:t>Our stockholders may experience dilution upon the conversion of the 2022 Convertible Notes.</w:t>
      </w:r>
    </w:p>
    <w:p>
      <w:pPr>
        <w:spacing w:after="0" w:line="98" w:lineRule="exact"/>
        <w:rPr>
          <w:sz w:val="20"/>
          <w:szCs w:val="20"/>
          <w:color w:val="auto"/>
        </w:rPr>
      </w:pPr>
    </w:p>
    <w:p>
      <w:pPr>
        <w:ind w:right="40" w:firstLine="255"/>
        <w:spacing w:after="0" w:line="245" w:lineRule="auto"/>
        <w:rPr>
          <w:sz w:val="20"/>
          <w:szCs w:val="20"/>
          <w:color w:val="auto"/>
        </w:rPr>
      </w:pPr>
      <w:r>
        <w:rPr>
          <w:rFonts w:ascii="Arial" w:cs="Arial" w:eastAsia="Arial" w:hAnsi="Arial"/>
          <w:sz w:val="21"/>
          <w:szCs w:val="21"/>
          <w:color w:val="auto"/>
        </w:rPr>
        <w:t>Our 2022 Convertible Notes are convertible into shares of our common stock beginning on February 1, 2022, or earlier, under certain circumstances. Upon conversion of our 2022 Convertible Notes, we have the choice to pay or deliver, as the case may be, at our election, cash, shares of our common stock or a combination of cash and shares of our common stock. The estimated adjusted conversion price of the 2022 Convertible Notes is $18.07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2022 Convertible Notes and any dividends paid on our common stock will also be paid on shares issued in connection with such conversion after such issuance.</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stockholders will experience dilution in their ownership percentage if they opt out of our dividend reinvestment plan.</w:t>
      </w:r>
    </w:p>
    <w:p>
      <w:pPr>
        <w:spacing w:after="0" w:line="133" w:lineRule="exact"/>
        <w:rPr>
          <w:sz w:val="20"/>
          <w:szCs w:val="20"/>
          <w:color w:val="auto"/>
        </w:rPr>
      </w:pPr>
    </w:p>
    <w:p>
      <w:pPr>
        <w:ind w:right="220" w:firstLine="255"/>
        <w:spacing w:after="0" w:line="279" w:lineRule="auto"/>
        <w:rPr>
          <w:sz w:val="20"/>
          <w:szCs w:val="20"/>
          <w:color w:val="auto"/>
        </w:rPr>
      </w:pPr>
      <w:r>
        <w:rPr>
          <w:rFonts w:ascii="Arial" w:cs="Arial" w:eastAsia="Arial" w:hAnsi="Arial"/>
          <w:sz w:val="19"/>
          <w:szCs w:val="19"/>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9"/>
          <w:szCs w:val="19"/>
          <w:i w:val="1"/>
          <w:iCs w:val="1"/>
          <w:color w:val="auto"/>
        </w:rPr>
        <w:t>“ITEM 1. BUSINESS—Dividend Policy</w:t>
      </w:r>
      <w:r>
        <w:rPr>
          <w:rFonts w:ascii="Arial" w:cs="Arial" w:eastAsia="Arial" w:hAnsi="Arial"/>
          <w:sz w:val="19"/>
          <w:szCs w:val="19"/>
          <w:color w:val="auto"/>
        </w:rPr>
        <w:t>” and “</w:t>
      </w:r>
      <w:r>
        <w:rPr>
          <w:rFonts w:ascii="Arial" w:cs="Arial" w:eastAsia="Arial" w:hAnsi="Arial"/>
          <w:sz w:val="19"/>
          <w:szCs w:val="19"/>
          <w:i w:val="1"/>
          <w:iCs w:val="1"/>
          <w:color w:val="auto"/>
        </w:rPr>
        <w:t>ITEM 1. BUSINESS—Dividend</w:t>
      </w:r>
      <w:r>
        <w:rPr>
          <w:rFonts w:ascii="Arial" w:cs="Arial" w:eastAsia="Arial" w:hAnsi="Arial"/>
          <w:sz w:val="19"/>
          <w:szCs w:val="19"/>
          <w:color w:val="auto"/>
        </w:rPr>
        <w:t xml:space="preserve"> </w:t>
      </w:r>
      <w:r>
        <w:rPr>
          <w:rFonts w:ascii="Arial" w:cs="Arial" w:eastAsia="Arial" w:hAnsi="Arial"/>
          <w:sz w:val="19"/>
          <w:szCs w:val="19"/>
          <w:i w:val="1"/>
          <w:iCs w:val="1"/>
          <w:color w:val="auto"/>
        </w:rPr>
        <w:t>Reinvestment Plan</w:t>
      </w:r>
      <w:r>
        <w:rPr>
          <w:rFonts w:ascii="Arial" w:cs="Arial" w:eastAsia="Arial" w:hAnsi="Arial"/>
          <w:sz w:val="19"/>
          <w:szCs w:val="19"/>
          <w:color w:val="auto"/>
        </w:rPr>
        <w:t>” for a description of our dividend policy and obligations.</w:t>
      </w:r>
    </w:p>
    <w:p>
      <w:pPr>
        <w:spacing w:after="0" w:line="150" w:lineRule="exact"/>
        <w:rPr>
          <w:sz w:val="20"/>
          <w:szCs w:val="20"/>
          <w:color w:val="auto"/>
        </w:rPr>
      </w:pPr>
    </w:p>
    <w:p>
      <w:pPr>
        <w:ind w:right="60" w:firstLine="255"/>
        <w:spacing w:after="0" w:line="275" w:lineRule="auto"/>
        <w:rPr>
          <w:sz w:val="20"/>
          <w:szCs w:val="20"/>
          <w:color w:val="auto"/>
        </w:rPr>
      </w:pPr>
      <w:r>
        <w:rPr>
          <w:rFonts w:ascii="Arial" w:cs="Arial" w:eastAsia="Arial" w:hAnsi="Arial"/>
          <w:sz w:val="19"/>
          <w:szCs w:val="19"/>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65"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7" w:lineRule="exact"/>
        <w:rPr>
          <w:sz w:val="20"/>
          <w:szCs w:val="20"/>
          <w:color w:val="auto"/>
        </w:rPr>
      </w:pPr>
    </w:p>
    <w:p>
      <w:pPr>
        <w:ind w:right="120" w:firstLine="255"/>
        <w:spacing w:after="0" w:line="252" w:lineRule="auto"/>
        <w:rPr>
          <w:sz w:val="20"/>
          <w:szCs w:val="20"/>
          <w:color w:val="auto"/>
        </w:rPr>
      </w:pPr>
      <w:r>
        <w:rPr>
          <w:rFonts w:ascii="Arial" w:cs="Arial" w:eastAsia="Arial" w:hAnsi="Arial"/>
          <w:sz w:val="21"/>
          <w:szCs w:val="21"/>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2022.</w:t>
      </w:r>
    </w:p>
    <w:p>
      <w:pPr>
        <w:spacing w:after="0" w:line="174" w:lineRule="exact"/>
        <w:rPr>
          <w:sz w:val="20"/>
          <w:szCs w:val="20"/>
          <w:color w:val="auto"/>
        </w:rPr>
      </w:pPr>
    </w:p>
    <w:p>
      <w:pPr>
        <w:ind w:right="100" w:firstLine="255"/>
        <w:spacing w:after="0" w:line="287" w:lineRule="auto"/>
        <w:rPr>
          <w:sz w:val="20"/>
          <w:szCs w:val="20"/>
          <w:color w:val="auto"/>
        </w:rPr>
      </w:pPr>
      <w:r>
        <w:rPr>
          <w:rFonts w:ascii="Arial" w:cs="Arial" w:eastAsia="Arial" w:hAnsi="Arial"/>
          <w:sz w:val="19"/>
          <w:szCs w:val="19"/>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44" w:lineRule="exact"/>
        <w:rPr>
          <w:sz w:val="20"/>
          <w:szCs w:val="20"/>
          <w:color w:val="auto"/>
        </w:rPr>
      </w:pPr>
    </w:p>
    <w:p>
      <w:pPr>
        <w:ind w:right="60" w:firstLine="255"/>
        <w:spacing w:after="0" w:line="236" w:lineRule="auto"/>
        <w:rPr>
          <w:sz w:val="20"/>
          <w:szCs w:val="20"/>
          <w:color w:val="auto"/>
        </w:rPr>
      </w:pPr>
      <w:r>
        <w:rPr>
          <w:rFonts w:ascii="Arial" w:cs="Arial" w:eastAsia="Arial" w:hAnsi="Arial"/>
          <w:sz w:val="22"/>
          <w:szCs w:val="22"/>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2, 2021.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jc w:val="both"/>
        <w:ind w:right="180" w:firstLine="255"/>
        <w:spacing w:after="0" w:line="257" w:lineRule="auto"/>
        <w:rPr>
          <w:sz w:val="20"/>
          <w:szCs w:val="20"/>
          <w:color w:val="auto"/>
        </w:rPr>
      </w:pPr>
      <w:r>
        <w:rPr>
          <w:rFonts w:ascii="Arial" w:cs="Arial" w:eastAsia="Arial" w:hAnsi="Arial"/>
          <w:sz w:val="21"/>
          <w:szCs w:val="21"/>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69" w:lineRule="exact"/>
        <w:rPr>
          <w:sz w:val="20"/>
          <w:szCs w:val="20"/>
          <w:color w:val="auto"/>
        </w:rPr>
      </w:pPr>
    </w:p>
    <w:p>
      <w:pPr>
        <w:jc w:val="both"/>
        <w:ind w:right="80" w:firstLine="255"/>
        <w:spacing w:after="0"/>
        <w:rPr>
          <w:sz w:val="20"/>
          <w:szCs w:val="20"/>
          <w:color w:val="auto"/>
        </w:rPr>
      </w:pPr>
      <w:r>
        <w:rPr>
          <w:rFonts w:ascii="Arial" w:cs="Arial" w:eastAsia="Arial" w:hAnsi="Arial"/>
          <w:sz w:val="22"/>
          <w:szCs w:val="22"/>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58" w:right="39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General Risk Factors</w:t>
      </w:r>
    </w:p>
    <w:p>
      <w:pPr>
        <w:spacing w:after="0" w:line="104" w:lineRule="exact"/>
        <w:rPr>
          <w:sz w:val="20"/>
          <w:szCs w:val="20"/>
          <w:color w:val="auto"/>
        </w:rPr>
      </w:pPr>
    </w:p>
    <w:p>
      <w:pPr>
        <w:ind w:right="100"/>
        <w:spacing w:after="0" w:line="326" w:lineRule="auto"/>
        <w:rPr>
          <w:sz w:val="20"/>
          <w:szCs w:val="20"/>
          <w:color w:val="auto"/>
        </w:rPr>
      </w:pPr>
      <w:r>
        <w:rPr>
          <w:rFonts w:ascii="Arial" w:cs="Arial" w:eastAsia="Arial" w:hAnsi="Arial"/>
          <w:sz w:val="19"/>
          <w:szCs w:val="19"/>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ind w:right="60" w:firstLine="255"/>
        <w:spacing w:after="0" w:line="275" w:lineRule="auto"/>
        <w:rPr>
          <w:sz w:val="20"/>
          <w:szCs w:val="20"/>
          <w:color w:val="auto"/>
        </w:rPr>
      </w:pPr>
      <w:r>
        <w:rPr>
          <w:rFonts w:ascii="Arial" w:cs="Arial" w:eastAsia="Arial" w:hAnsi="Arial"/>
          <w:sz w:val="19"/>
          <w:szCs w:val="19"/>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49" w:lineRule="exact"/>
        <w:rPr>
          <w:sz w:val="20"/>
          <w:szCs w:val="20"/>
          <w:color w:val="auto"/>
        </w:rPr>
      </w:pPr>
    </w:p>
    <w:p>
      <w:pPr>
        <w:ind w:left="500" w:hanging="249"/>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sudden electrical or telecommunications outages;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natural disasters such as earthquakes, tornadoes and hurricanes;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disease pandemics;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events arising from local or larger scale political or social matters, including terrorist acts;</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outages due to idiosyncratic issues at specific providers; and</w:t>
      </w:r>
    </w:p>
    <w:p>
      <w:pPr>
        <w:spacing w:after="0" w:line="98" w:lineRule="exact"/>
        <w:rPr>
          <w:rFonts w:ascii="Arial" w:cs="Arial" w:eastAsia="Arial" w:hAnsi="Arial"/>
          <w:sz w:val="18"/>
          <w:szCs w:val="18"/>
          <w:color w:val="auto"/>
        </w:rPr>
      </w:pPr>
    </w:p>
    <w:p>
      <w:pPr>
        <w:ind w:left="500" w:hanging="249"/>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cyber-attacks.</w:t>
      </w:r>
    </w:p>
    <w:p>
      <w:pPr>
        <w:spacing w:after="0" w:line="98" w:lineRule="exact"/>
        <w:rPr>
          <w:sz w:val="20"/>
          <w:szCs w:val="20"/>
          <w:color w:val="auto"/>
        </w:rPr>
      </w:pPr>
    </w:p>
    <w:p>
      <w:pPr>
        <w:ind w:right="260" w:firstLine="255"/>
        <w:spacing w:after="0" w:line="250" w:lineRule="auto"/>
        <w:rPr>
          <w:sz w:val="20"/>
          <w:szCs w:val="20"/>
          <w:color w:val="auto"/>
        </w:rPr>
      </w:pPr>
      <w:r>
        <w:rPr>
          <w:rFonts w:ascii="Arial" w:cs="Arial" w:eastAsia="Arial" w:hAnsi="Arial"/>
          <w:sz w:val="22"/>
          <w:szCs w:val="22"/>
          <w:color w:val="auto"/>
        </w:rPr>
        <w:t>These events, in turn, could have a material adverse effect on our operating results and negatively affect the market price of our common stock and our ability to pay dividends to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laws or regulations governing our operations may adversely affect our business.</w:t>
      </w:r>
    </w:p>
    <w:p>
      <w:pPr>
        <w:spacing w:after="0" w:line="206" w:lineRule="exact"/>
        <w:rPr>
          <w:sz w:val="20"/>
          <w:szCs w:val="20"/>
          <w:color w:val="auto"/>
        </w:rPr>
      </w:pPr>
    </w:p>
    <w:p>
      <w:pPr>
        <w:ind w:firstLine="255"/>
        <w:spacing w:after="0" w:line="272" w:lineRule="auto"/>
        <w:rPr>
          <w:sz w:val="20"/>
          <w:szCs w:val="20"/>
          <w:color w:val="auto"/>
        </w:rPr>
      </w:pPr>
      <w:r>
        <w:rPr>
          <w:rFonts w:ascii="Arial" w:cs="Arial" w:eastAsia="Arial" w:hAnsi="Arial"/>
          <w:sz w:val="19"/>
          <w:szCs w:val="19"/>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Arial" w:cs="Arial" w:eastAsia="Arial" w:hAnsi="Arial"/>
          <w:sz w:val="19"/>
          <w:szCs w:val="19"/>
          <w:i w:val="1"/>
          <w:iCs w:val="1"/>
          <w:color w:val="auto"/>
        </w:rPr>
        <w:t>Risks Related to our Portfolio Company Investments.”</w:t>
      </w:r>
    </w:p>
    <w:p>
      <w:pPr>
        <w:spacing w:after="0" w:line="156" w:lineRule="exact"/>
        <w:rPr>
          <w:sz w:val="20"/>
          <w:szCs w:val="20"/>
          <w:color w:val="auto"/>
        </w:rPr>
      </w:pPr>
    </w:p>
    <w:p>
      <w:pPr>
        <w:ind w:right="400" w:firstLine="255"/>
        <w:spacing w:after="0" w:line="282" w:lineRule="auto"/>
        <w:rPr>
          <w:sz w:val="20"/>
          <w:szCs w:val="20"/>
          <w:color w:val="auto"/>
        </w:rPr>
      </w:pPr>
      <w:r>
        <w:rPr>
          <w:rFonts w:ascii="Arial" w:cs="Arial" w:eastAsia="Arial" w:hAnsi="Arial"/>
          <w:sz w:val="19"/>
          <w:szCs w:val="19"/>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adversely affect our business and impact the operations of our portfolio companies.</w:t>
      </w:r>
    </w:p>
    <w:p>
      <w:pPr>
        <w:spacing w:after="0" w:line="252" w:lineRule="exact"/>
        <w:rPr>
          <w:sz w:val="20"/>
          <w:szCs w:val="20"/>
          <w:color w:val="auto"/>
        </w:rPr>
      </w:pPr>
    </w:p>
    <w:p>
      <w:pPr>
        <w:ind w:right="80" w:firstLine="255"/>
        <w:spacing w:after="0"/>
        <w:rPr>
          <w:sz w:val="20"/>
          <w:szCs w:val="20"/>
          <w:color w:val="auto"/>
        </w:rPr>
      </w:pPr>
      <w:r>
        <w:rPr>
          <w:rFonts w:ascii="Arial" w:cs="Arial" w:eastAsia="Arial" w:hAnsi="Arial"/>
          <w:sz w:val="22"/>
          <w:szCs w:val="22"/>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86" w:lineRule="exact"/>
        <w:rPr>
          <w:sz w:val="20"/>
          <w:szCs w:val="20"/>
          <w:color w:val="auto"/>
        </w:rPr>
      </w:pPr>
    </w:p>
    <w:p>
      <w:pPr>
        <w:ind w:right="80" w:firstLine="255"/>
        <w:spacing w:after="0" w:line="235" w:lineRule="auto"/>
        <w:rPr>
          <w:sz w:val="20"/>
          <w:szCs w:val="20"/>
          <w:color w:val="auto"/>
        </w:rPr>
      </w:pPr>
      <w:r>
        <w:rPr>
          <w:rFonts w:ascii="Arial" w:cs="Arial" w:eastAsia="Arial" w:hAnsi="Arial"/>
          <w:sz w:val="22"/>
          <w:szCs w:val="22"/>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52" w:right="379" w:bottom="1037" w:gutter="0" w:footer="0" w:header="0"/>
        </w:sectPr>
      </w:pPr>
    </w:p>
    <w:bookmarkStart w:id="56" w:name="page57"/>
    <w:bookmarkEnd w:id="56"/>
    <w:p>
      <w:pPr>
        <w:spacing w:after="0" w:line="248" w:lineRule="auto"/>
        <w:rPr>
          <w:sz w:val="20"/>
          <w:szCs w:val="20"/>
          <w:color w:val="auto"/>
        </w:rPr>
      </w:pPr>
      <w:r>
        <w:rPr>
          <w:rFonts w:ascii="Arial" w:cs="Arial" w:eastAsia="Arial" w:hAnsi="Arial"/>
          <w:sz w:val="21"/>
          <w:szCs w:val="21"/>
          <w:color w:val="auto"/>
        </w:rPr>
        <w:t>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77" w:lineRule="exact"/>
        <w:rPr>
          <w:sz w:val="20"/>
          <w:szCs w:val="20"/>
          <w:color w:val="auto"/>
        </w:rPr>
      </w:pPr>
    </w:p>
    <w:p>
      <w:pPr>
        <w:ind w:right="40" w:firstLine="255"/>
        <w:spacing w:after="0" w:line="273" w:lineRule="auto"/>
        <w:rPr>
          <w:sz w:val="20"/>
          <w:szCs w:val="20"/>
          <w:color w:val="auto"/>
        </w:rPr>
      </w:pPr>
      <w:r>
        <w:rPr>
          <w:rFonts w:ascii="Arial" w:cs="Arial" w:eastAsia="Arial" w:hAnsi="Arial"/>
          <w:sz w:val="19"/>
          <w:szCs w:val="19"/>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maintain our principal executive office at 2100 McKinney Avenue, Suite 1500, Dallas, Texas 75201. We do not own any real estate.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Arial" w:cs="Arial" w:eastAsia="Arial" w:hAnsi="Arial"/>
          <w:sz w:val="16"/>
          <w:szCs w:val="16"/>
          <w:i w:val="1"/>
          <w:iCs w:val="1"/>
          <w:color w:val="auto"/>
        </w:rPr>
        <w:t>ITEM 1A. RISK FACTORS—Risks Related to Our Securities—We cannot assure you that the market price of shares of our common stock will not decline</w:t>
      </w:r>
      <w:r>
        <w:rPr>
          <w:rFonts w:ascii="Arial" w:cs="Arial" w:eastAsia="Arial" w:hAnsi="Arial"/>
          <w:sz w:val="16"/>
          <w:szCs w:val="16"/>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17, 2022, there were approximately 2 holders of record of our common stock (including Cede &amp; Co.).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 Graph</w:t>
      </w:r>
    </w:p>
    <w:p>
      <w:pPr>
        <w:spacing w:after="0" w:line="117" w:lineRule="exact"/>
        <w:rPr>
          <w:sz w:val="20"/>
          <w:szCs w:val="20"/>
          <w:color w:val="auto"/>
        </w:rPr>
      </w:pPr>
    </w:p>
    <w:p>
      <w:pPr>
        <w:ind w:right="20" w:firstLine="255"/>
        <w:spacing w:after="0" w:line="291" w:lineRule="auto"/>
        <w:rPr>
          <w:sz w:val="20"/>
          <w:szCs w:val="20"/>
          <w:color w:val="auto"/>
        </w:rPr>
      </w:pPr>
      <w:r>
        <w:rPr>
          <w:rFonts w:ascii="Arial" w:cs="Arial" w:eastAsia="Arial" w:hAnsi="Arial"/>
          <w:sz w:val="16"/>
          <w:szCs w:val="16"/>
          <w:color w:val="auto"/>
        </w:rPr>
        <w:t>The following graph compares the total return on our common stock from December 31, 2016 to December 31, 2021 with that of the Standard &amp; Poor’s BDC Index, the Standard &amp; Poor’s 500 Stock Index, the S&amp;P LSTA Leveraged Loan Index (“Leverage Loan Index”), and the Bloomberg Barclays US Corporate High Yield Total Return Index (“High Yield Bond Index”). This graph assumes that on December 31, 2016,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183515</wp:posOffset>
            </wp:positionV>
            <wp:extent cx="5983605" cy="2665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8360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60" w:firstLine="255"/>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the last ten fiscal years. The report of our independent registered public accounting firm, KPMG LLP, on the senior securities table as of December 31, 2021 is attached as an exhibit to this annual report on Form 10-K. The “-” indicates information that the SEC expressly does not require to be disclosed for certain types of senior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Total Amount</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8"/>
              </w:rPr>
              <w:t>Involuntary</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Exclusive of Treasury</w:t>
            </w:r>
          </w:p>
        </w:tc>
        <w:tc>
          <w:tcPr>
            <w:tcW w:w="240" w:type="dxa"/>
            <w:vAlign w:val="bottom"/>
          </w:tcPr>
          <w:p>
            <w:pPr>
              <w:spacing w:after="0"/>
              <w:rPr>
                <w:sz w:val="12"/>
                <w:szCs w:val="12"/>
                <w:color w:val="auto"/>
              </w:rPr>
            </w:pPr>
          </w:p>
        </w:tc>
        <w:tc>
          <w:tcPr>
            <w:tcW w:w="17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8"/>
              </w:rPr>
              <w:t>Asset Coverage</w:t>
            </w:r>
          </w:p>
        </w:tc>
        <w:tc>
          <w:tcPr>
            <w:tcW w:w="26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Class and Year/Period</w:t>
            </w:r>
          </w:p>
        </w:tc>
        <w:tc>
          <w:tcPr>
            <w:tcW w:w="2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 xml:space="preserve">Securities </w:t>
            </w:r>
            <w:r>
              <w:rPr>
                <w:rFonts w:ascii="Arial" w:cs="Arial" w:eastAsia="Arial" w:hAnsi="Arial"/>
                <w:sz w:val="12"/>
                <w:szCs w:val="12"/>
                <w:b w:val="1"/>
                <w:bCs w:val="1"/>
                <w:color w:val="auto"/>
                <w:w w:val="91"/>
              </w:rPr>
              <w:t>(1)</w:t>
            </w:r>
          </w:p>
        </w:tc>
        <w:tc>
          <w:tcPr>
            <w:tcW w:w="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Preference Per</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Per Unit</w:t>
            </w:r>
          </w:p>
        </w:tc>
        <w:tc>
          <w:tcPr>
            <w:tcW w:w="26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Unit</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Revolving Credit Facilities</w:t>
            </w:r>
          </w:p>
        </w:tc>
        <w:tc>
          <w:tcPr>
            <w:tcW w:w="1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316.4</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2,053.6</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2014</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2,329.5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2012</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1"/>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40"/>
              <w:spacing w:after="0"/>
              <w:rPr>
                <w:sz w:val="20"/>
                <w:szCs w:val="20"/>
                <w:color w:val="auto"/>
              </w:rPr>
            </w:pPr>
            <w:r>
              <w:rPr>
                <w:rFonts w:ascii="Arial" w:cs="Arial" w:eastAsia="Arial" w:hAnsi="Arial"/>
                <w:sz w:val="18"/>
                <w:szCs w:val="18"/>
                <w:b w:val="1"/>
                <w:bCs w:val="1"/>
                <w:color w:val="auto"/>
              </w:rPr>
              <w:t>due 2019</w:t>
            </w: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5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5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2,376.6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2015</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1"/>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Convertible Senior Notes</w:t>
            </w:r>
          </w:p>
        </w:tc>
        <w:tc>
          <w:tcPr>
            <w:tcW w:w="5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due 2022</w:t>
            </w:r>
          </w:p>
        </w:tc>
        <w:tc>
          <w:tcPr>
            <w:tcW w:w="5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2,053.6</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2023 Notes</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2,053.6</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2024 Notes</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2,045.4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00" w:type="dxa"/>
            <w:vAlign w:val="bottom"/>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2026 Notes</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100" w:hanging="492"/>
        <w:spacing w:after="0" w:line="258"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1" w:lineRule="exact"/>
        <w:rPr>
          <w:rFonts w:ascii="Arial" w:cs="Arial" w:eastAsia="Arial" w:hAnsi="Arial"/>
          <w:sz w:val="18"/>
          <w:szCs w:val="18"/>
          <w:color w:val="auto"/>
        </w:rPr>
      </w:pPr>
    </w:p>
    <w:p>
      <w:pPr>
        <w:jc w:val="both"/>
        <w:ind w:left="500" w:right="40" w:hanging="492"/>
        <w:spacing w:after="0" w:line="255"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0" w:name="page61"/>
    <w:bookmarkEnd w:id="60"/>
    <w:p>
      <w:pPr>
        <w:ind w:left="500" w:right="60" w:hanging="492"/>
        <w:spacing w:after="0" w:line="274"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The table below sets forth our selected consolidated historical financial data for the periods indicated. The selected consolidated financial data for the years ended December 31, 2021, 2020, 2019, 2018 and 2017 have been derived from our audited consolidated financial statements, which are included elsewhere in this Form 10-K and our SEC filings.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selected consolidated financial information and other data presented below should be read in conjunction with the information contained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ITEM 7. MANAGEMENT’S DISCUSSION AND ANALYSIS OF FINANCIAL CONDITION AND RESULTS OF OPERATIONS</w:t>
      </w:r>
      <w:r>
        <w:rPr>
          <w:rFonts w:ascii="Arial" w:cs="Arial" w:eastAsia="Arial" w:hAnsi="Arial"/>
          <w:sz w:val="16"/>
          <w:szCs w:val="16"/>
          <w:color w:val="auto"/>
        </w:rPr>
        <w:t>,” the audited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the notes thereto included elsewhere in this annual report on Form 10-K.</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3"/>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 Income</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270.0</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251.5</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Expenses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Investment Income Before Income Taxes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Change in Net Unrealized Gain (Loss)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40.5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Net Realized Gain (Loss)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5"/>
              </w:rPr>
              <w:t>28.9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w w:val="99"/>
              </w:rPr>
              <w:t>Increase in Net Assets Resulting from Operations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Earnings per common share—basic </w:t>
            </w:r>
            <w:r>
              <w:rPr>
                <w:rFonts w:ascii="Arial" w:cs="Arial" w:eastAsia="Arial" w:hAnsi="Arial"/>
                <w:sz w:val="15"/>
                <w:szCs w:val="15"/>
                <w:color w:val="auto"/>
              </w:rPr>
              <w:t>(1)</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5"/>
              </w:rPr>
              <w:t>2.93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 xml:space="preserve">Earnings per common share—diluted </w:t>
            </w:r>
            <w:r>
              <w:rPr>
                <w:rFonts w:ascii="Arial" w:cs="Arial" w:eastAsia="Arial" w:hAnsi="Arial"/>
                <w:sz w:val="15"/>
                <w:szCs w:val="15"/>
                <w:color w:val="auto"/>
              </w:rPr>
              <w:t>(1)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2.79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94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3"/>
          </w:tcPr>
          <w:p>
            <w:pPr>
              <w:jc w:val="right"/>
              <w:ind w:right="820"/>
              <w:spacing w:after="0"/>
              <w:rPr>
                <w:sz w:val="20"/>
                <w:szCs w:val="20"/>
                <w:color w:val="auto"/>
              </w:rPr>
            </w:pPr>
            <w:r>
              <w:rPr>
                <w:rFonts w:ascii="Arial" w:cs="Arial" w:eastAsia="Arial" w:hAnsi="Arial"/>
                <w:sz w:val="14"/>
                <w:szCs w:val="14"/>
                <w:b w:val="1"/>
                <w:bCs w:val="1"/>
                <w:color w:val="auto"/>
              </w:rPr>
              <w:t>For the Year Ended December 31,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4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2,298.9</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2,245.9</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1,706.0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2,551.9</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2,338.6</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2,280.9</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1,730.3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1,186.0</w:t>
            </w: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1,110.4</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1,094.5</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Liabilities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1,276.0</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1,177.3</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1,161.6</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Assets</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1,275.8</w:t>
            </w: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1,161.3</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1,119.3</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1,063.2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16.84</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5"/>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at fair value </w:t>
            </w:r>
            <w:r>
              <w:rPr>
                <w:rFonts w:ascii="Arial" w:cs="Arial" w:eastAsia="Arial" w:hAnsi="Arial"/>
                <w:sz w:val="15"/>
                <w:szCs w:val="15"/>
                <w:color w:val="auto"/>
              </w:rPr>
              <w:t>(3)</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Weighted average yield of debt and income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 xml:space="preserve">producing securities at amortized cost </w:t>
            </w:r>
            <w:r>
              <w:rPr>
                <w:rFonts w:ascii="Arial" w:cs="Arial" w:eastAsia="Arial" w:hAnsi="Arial"/>
                <w:sz w:val="15"/>
                <w:szCs w:val="15"/>
                <w:color w:val="auto"/>
              </w:rPr>
              <w:t>(3)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5"/>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w w:val="99"/>
              </w:rPr>
              <w:t>Fair value of debt investments as a percentage of</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principal</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99.6%</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99.4%</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99.4%</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Weighted average fair value of debt investments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as a percentage of call price</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95.2%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right="340" w:hanging="492"/>
        <w:spacing w:after="0" w:line="274"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Earnings per common share-basic is based on weighted average shares of common stock outstanding during the period and earnings per share-diluted is based on the if-converted method assuming conversion of all convertible securities as the beginning of the period.</w:t>
      </w:r>
    </w:p>
    <w:p>
      <w:pPr>
        <w:ind w:left="500" w:right="80" w:hanging="492"/>
        <w:spacing w:after="0" w:line="255"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year ended December 31, 2021 reflects the Adviser’s waiver of its right to receive a</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61" w:name="page62"/>
    <w:bookmarkEnd w:id="61"/>
    <w:p>
      <w:pPr>
        <w:ind w:left="500"/>
        <w:spacing w:after="0" w:line="267" w:lineRule="auto"/>
        <w:rPr>
          <w:sz w:val="20"/>
          <w:szCs w:val="20"/>
          <w:color w:val="auto"/>
        </w:rPr>
      </w:pPr>
      <w:r>
        <w:rPr>
          <w:rFonts w:ascii="Arial" w:cs="Arial" w:eastAsia="Arial" w:hAnsi="Arial"/>
          <w:sz w:val="17"/>
          <w:szCs w:val="17"/>
          <w:color w:val="auto"/>
        </w:rPr>
        <w:t>portion of the Management Fee pursuant to the Leverage Waiver. The Management Fee, excluding the effects of the Leverage Waiver would have been $37.1 million. The Adviser did not waive any Incentive Fees for the year ended December 31, 2021. Our total return set forth in the table above for the years ended December 31, 2020, 2019, 2018, and 2017 reflects the Adviser’s waivers of its right to receive a portion of the Management Fee and Incentive Fees with respect to our ownership during that period of shares of common stock of Triangle Capital Corp. and Oxford Square Capital Corp. The Management Fee, excluding the effects of the waivers, would have been $28.6 million and $24.3 million for the years ended December 31, 2018 and 2017, respectively. The Incentive Fee excluding the effects of the waiver would have been $30.5 million, and $25.5 million for the years ended December 31, 2018 and 2017, respectively. The Adviser did not waive any Management Fees or Incentive Fees for the years ended December 31, 2020 and 2019. The corresponding impact on the total return calculation is not material.</w:t>
      </w:r>
    </w:p>
    <w:p>
      <w:pPr>
        <w:spacing w:after="0" w:line="3" w:lineRule="exact"/>
        <w:rPr>
          <w:sz w:val="20"/>
          <w:szCs w:val="20"/>
          <w:color w:val="auto"/>
        </w:rPr>
      </w:pPr>
    </w:p>
    <w:p>
      <w:pPr>
        <w:ind w:left="500" w:right="200" w:hanging="492"/>
        <w:spacing w:after="0" w:line="269"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right="12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ind w:right="140" w:firstLine="255"/>
        <w:spacing w:after="0" w:line="311" w:lineRule="auto"/>
        <w:rPr>
          <w:sz w:val="20"/>
          <w:szCs w:val="20"/>
          <w:color w:val="auto"/>
        </w:rPr>
      </w:pPr>
      <w:r>
        <w:rPr>
          <w:rFonts w:ascii="Arial" w:cs="Arial" w:eastAsia="Arial" w:hAnsi="Arial"/>
          <w:sz w:val="16"/>
          <w:szCs w:val="16"/>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Sixth Street Specialty Lending, Inc. is a Delaware corporation formed on July 21, 2010. Effective June 15, 2020, we changed our name from TPG Specialty Lending, Inc. to Sixth Street Specialty Lending, Inc.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p>
    <w:p>
      <w:pPr>
        <w:spacing w:after="0" w:line="192"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00" w:hanging="249"/>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44" w:lineRule="exact"/>
        <w:rPr>
          <w:rFonts w:ascii="Arial" w:cs="Arial" w:eastAsia="Arial" w:hAnsi="Arial"/>
          <w:sz w:val="18"/>
          <w:szCs w:val="18"/>
          <w:color w:val="auto"/>
        </w:rPr>
      </w:pPr>
    </w:p>
    <w:p>
      <w:pPr>
        <w:ind w:left="500" w:right="360" w:hanging="249"/>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2021, we have originated more than $20.1 billion aggregate principal amount of investments and retained approximately $8.4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By “middle-market companies,” we mean companies that have annual EBITDA, which we believe is a useful proxy for cash flow, of $10 million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 million, although we may invest in larger or smaller companies on occasion. As of December 31, 2021, our core portfolio companies, which exclude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investments that fall outside of our typical borrower profile and represent 88.8% of our total investments based on fair value, had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revenue of $114.4 million and weighted average annual EBITDA of $32.3 million.</w:t>
      </w:r>
    </w:p>
    <w:p>
      <w:pPr>
        <w:spacing w:after="0" w:line="211"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4" w:lineRule="exact"/>
        <w:rPr>
          <w:sz w:val="20"/>
          <w:szCs w:val="20"/>
          <w:color w:val="auto"/>
        </w:rPr>
      </w:pPr>
    </w:p>
    <w:p>
      <w:pPr>
        <w:ind w:right="40" w:firstLine="255"/>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2021, the largest single investment based on fair value represented 3.4% of our total investment portfolio.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3" w:name="page64"/>
    <w:bookmarkEnd w:id="63"/>
    <w:p>
      <w:pPr>
        <w:ind w:left="260"/>
        <w:spacing w:after="0"/>
        <w:rPr>
          <w:sz w:val="20"/>
          <w:szCs w:val="20"/>
          <w:color w:val="auto"/>
        </w:rPr>
      </w:pPr>
      <w:r>
        <w:rPr>
          <w:rFonts w:ascii="Arial" w:cs="Arial" w:eastAsia="Arial" w:hAnsi="Arial"/>
          <w:sz w:val="17"/>
          <w:szCs w:val="17"/>
          <w:color w:val="auto"/>
        </w:rPr>
        <w:t>As of December 31, 2021, the average investment size in each of our portfolio companies was approximately $35.0 million based on fair value.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2021, the largest industry represented 16.8% of our total investment portfolio based on fair value.</w:t>
      </w:r>
    </w:p>
    <w:p>
      <w:pPr>
        <w:spacing w:after="0" w:line="225"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December 31, 2021,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92.9% of our portfolio was invested in secured debt, including 91.2%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2021, the weighted average term on new investment commitments in new portfolio companies was 5.3 years.</w:t>
      </w:r>
    </w:p>
    <w:p>
      <w:pPr>
        <w:spacing w:after="0" w:line="17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December 31, 2021, we had call protection on 85.2% of our debt investments based on fair value, with weighted average call prices of 107.5% for the first year, 104.4% for the second year and 101.4% for the third year, in each case from the date of the initial investment. As of December 31, 2021, 98.9% of our debt investments based on fair value bore interest at floating rates (when including investment specific hedges), with 99.4% of these subject to interest rate floors, which we believe helps act as a portfolio-wide hedge against inflation.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4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2"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Sixth Street is a global investment business with approximately $60 billion of assets under management.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370 investment and operating professionals. As of December 31, 2021, thirty three (33) of these personnel are dedicated to our business, including twenty five (25) investment professionals.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4" w:name="page65"/>
    <w:bookmarkEnd w:id="64"/>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December 28, 2021,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9"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2021, 98.9% of these investments based on fair value bore interest at a floating rate (when including investment specific hedges), with 99.4% of these subject to interest rate floors. Interest on debt investments is generally payable quarterly or semiannually. Some of our investments provide for deferred interest payments or PIK interest. For the year ended December 31, 2021, 3.6% of our total investment income was comprised of PIK interest.</w:t>
      </w:r>
    </w:p>
    <w:p>
      <w:pPr>
        <w:spacing w:after="0" w:line="192"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2024 Notes and 2026 Notes, after taking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right="140"/>
        <w:spacing w:after="0" w:line="255" w:lineRule="auto"/>
        <w:rPr>
          <w:sz w:val="20"/>
          <w:szCs w:val="20"/>
          <w:color w:val="auto"/>
        </w:rPr>
      </w:pPr>
      <w:r>
        <w:rPr>
          <w:rFonts w:ascii="Arial" w:cs="Arial" w:eastAsia="Arial" w:hAnsi="Arial"/>
          <w:sz w:val="18"/>
          <w:szCs w:val="18"/>
          <w:color w:val="auto"/>
        </w:rPr>
        <w:t>into account the effect of the interest rate swaps we have entered into in connection with these securities, all bear interest at floating rates. Macro trends in base interest rates like LIBOR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92"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44" w:lineRule="exact"/>
        <w:rPr>
          <w:rFonts w:ascii="Arial" w:cs="Arial" w:eastAsia="Arial" w:hAnsi="Arial"/>
          <w:sz w:val="18"/>
          <w:szCs w:val="18"/>
          <w:color w:val="auto"/>
        </w:rPr>
      </w:pPr>
    </w:p>
    <w:p>
      <w:pPr>
        <w:ind w:left="500" w:right="320" w:hanging="249"/>
        <w:spacing w:after="0" w:line="263"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44" w:lineRule="exact"/>
        <w:rPr>
          <w:rFonts w:ascii="Arial" w:cs="Arial" w:eastAsia="Arial" w:hAnsi="Arial"/>
          <w:sz w:val="18"/>
          <w:szCs w:val="18"/>
          <w:color w:val="auto"/>
        </w:rPr>
      </w:pPr>
    </w:p>
    <w:p>
      <w:pPr>
        <w:ind w:left="500" w:right="60" w:hanging="249"/>
        <w:spacing w:after="0" w:line="301"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49" w:lineRule="exact"/>
        <w:rPr>
          <w:rFonts w:ascii="Arial" w:cs="Arial" w:eastAsia="Arial" w:hAnsi="Arial"/>
          <w:sz w:val="16"/>
          <w:szCs w:val="16"/>
          <w:color w:val="auto"/>
        </w:rPr>
      </w:pPr>
    </w:p>
    <w:p>
      <w:pPr>
        <w:ind w:left="500" w:hanging="249"/>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55" w:lineRule="exact"/>
        <w:rPr>
          <w:rFonts w:ascii="Arial" w:cs="Arial" w:eastAsia="Arial" w:hAnsi="Arial"/>
          <w:sz w:val="17"/>
          <w:szCs w:val="17"/>
          <w:color w:val="auto"/>
        </w:rPr>
      </w:pPr>
    </w:p>
    <w:p>
      <w:pPr>
        <w:ind w:left="500" w:hanging="249"/>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44" w:lineRule="exact"/>
        <w:rPr>
          <w:rFonts w:ascii="Arial" w:cs="Arial" w:eastAsia="Arial" w:hAnsi="Arial"/>
          <w:sz w:val="18"/>
          <w:szCs w:val="18"/>
          <w:color w:val="auto"/>
        </w:rPr>
      </w:pPr>
    </w:p>
    <w:p>
      <w:pPr>
        <w:ind w:left="500" w:right="140" w:hanging="249"/>
        <w:spacing w:after="0" w:line="342"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52"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255"/>
        <w:spacing w:after="0" w:line="342" w:lineRule="auto"/>
        <w:rPr>
          <w:sz w:val="20"/>
          <w:szCs w:val="20"/>
          <w:color w:val="auto"/>
        </w:rPr>
      </w:pPr>
      <w:r>
        <w:rPr>
          <w:rFonts w:ascii="Arial" w:cs="Arial" w:eastAsia="Arial" w:hAnsi="Arial"/>
          <w:sz w:val="16"/>
          <w:szCs w:val="16"/>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24" w:lineRule="exact"/>
        <w:rPr>
          <w:sz w:val="20"/>
          <w:szCs w:val="20"/>
          <w:color w:val="auto"/>
        </w:rPr>
      </w:pPr>
    </w:p>
    <w:p>
      <w:pPr>
        <w:ind w:right="100" w:firstLine="255"/>
        <w:spacing w:after="0" w:line="279" w:lineRule="auto"/>
        <w:rPr>
          <w:sz w:val="20"/>
          <w:szCs w:val="20"/>
          <w:color w:val="auto"/>
        </w:rPr>
      </w:pPr>
      <w:r>
        <w:rPr>
          <w:rFonts w:ascii="Arial" w:cs="Arial" w:eastAsia="Arial" w:hAnsi="Arial"/>
          <w:sz w:val="17"/>
          <w:szCs w:val="17"/>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ind w:right="260" w:firstLine="255"/>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5"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jc w:val="both"/>
        <w:ind w:right="140" w:firstLine="255"/>
        <w:spacing w:after="0" w:line="263" w:lineRule="auto"/>
        <w:rPr>
          <w:sz w:val="20"/>
          <w:szCs w:val="20"/>
          <w:color w:val="auto"/>
        </w:rPr>
      </w:pPr>
      <w:r>
        <w:rPr>
          <w:rFonts w:ascii="Arial" w:cs="Arial" w:eastAsia="Arial" w:hAnsi="Arial"/>
          <w:sz w:val="18"/>
          <w:szCs w:val="18"/>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67" w:name="page68"/>
    <w:bookmarkEnd w:id="67"/>
    <w:p>
      <w:pPr>
        <w:spacing w:after="0" w:line="275" w:lineRule="auto"/>
        <w:rPr>
          <w:sz w:val="20"/>
          <w:szCs w:val="20"/>
          <w:color w:val="auto"/>
        </w:rPr>
      </w:pPr>
      <w:r>
        <w:rPr>
          <w:rFonts w:ascii="Arial" w:cs="Arial" w:eastAsia="Arial" w:hAnsi="Arial"/>
          <w:sz w:val="17"/>
          <w:szCs w:val="17"/>
          <w:color w:val="auto"/>
        </w:rPr>
        <w:t>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both"/>
        <w:ind w:right="240" w:firstLine="255"/>
        <w:spacing w:after="0" w:line="286" w:lineRule="auto"/>
        <w:rPr>
          <w:sz w:val="20"/>
          <w:szCs w:val="20"/>
          <w:color w:val="auto"/>
        </w:rPr>
      </w:pPr>
      <w:r>
        <w:rPr>
          <w:rFonts w:ascii="Arial" w:cs="Arial" w:eastAsia="Arial" w:hAnsi="Arial"/>
          <w:sz w:val="17"/>
          <w:szCs w:val="17"/>
          <w:color w:val="auto"/>
        </w:rPr>
        <w:t>As of December 31, 2021, our portfolio based on fair value consisted of 91.2% first-lien debt investments, 1.7% second-lien debt investments, 0.7% mezzanine investments and 6.4% equity and other investments. As of December 31, 2020, our portfolio based on fair value consisted of 95.6% first-lien debt investments, 0.2% second-lien debt investments, 0.5% mezzanine investments and 3.7% equity and other investments.</w:t>
      </w:r>
    </w:p>
    <w:p>
      <w:pPr>
        <w:spacing w:after="0" w:line="16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As of December 31, 2021 and December 31, 2020, our weighted average total yield of debt and income producing securities at fair value (which includes interest income and amortization of fees and discounts) was 10.0% and 10.0%, respectively, and our weighted average total yield of debt and income-producing securities at amortized cost (which includes interest income and amortization of fees and discounts) was 10.2% and 10.2%, respectively.</w:t>
      </w:r>
    </w:p>
    <w:p>
      <w:pPr>
        <w:spacing w:after="0" w:line="149"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As of December 31, 2021 and December 31, 2020, we had investments in 72 and 70 portfolio companies, respectively, with an aggregate fair value of $2,521.6 million and $2,298.9 million, respectively.</w:t>
      </w:r>
    </w:p>
    <w:p>
      <w:pPr>
        <w:spacing w:after="0" w:line="170" w:lineRule="exact"/>
        <w:rPr>
          <w:sz w:val="20"/>
          <w:szCs w:val="20"/>
          <w:color w:val="auto"/>
        </w:rPr>
      </w:pPr>
    </w:p>
    <w:p>
      <w:pPr>
        <w:ind w:right="280" w:firstLine="255"/>
        <w:spacing w:after="0" w:line="308" w:lineRule="auto"/>
        <w:rPr>
          <w:sz w:val="20"/>
          <w:szCs w:val="20"/>
          <w:color w:val="auto"/>
        </w:rPr>
      </w:pPr>
      <w:r>
        <w:rPr>
          <w:rFonts w:ascii="Arial" w:cs="Arial" w:eastAsia="Arial" w:hAnsi="Arial"/>
          <w:sz w:val="17"/>
          <w:szCs w:val="17"/>
          <w:color w:val="auto"/>
        </w:rPr>
        <w:t>For the year ended December 31, 2021, the principal amount of new investments funded was $1,117.4 million in 25 new portfolio companies and 26 existing portfolio companies. For this period, we had $1,004.5 million aggregate principal amount in exits and repayments.</w:t>
      </w:r>
    </w:p>
    <w:p>
      <w:pPr>
        <w:spacing w:after="0" w:line="146" w:lineRule="exact"/>
        <w:rPr>
          <w:sz w:val="20"/>
          <w:szCs w:val="20"/>
          <w:color w:val="auto"/>
        </w:rPr>
      </w:pPr>
    </w:p>
    <w:p>
      <w:pPr>
        <w:ind w:right="400" w:firstLine="255"/>
        <w:spacing w:after="0" w:line="308" w:lineRule="auto"/>
        <w:rPr>
          <w:sz w:val="20"/>
          <w:szCs w:val="20"/>
          <w:color w:val="auto"/>
        </w:rPr>
      </w:pPr>
      <w:r>
        <w:rPr>
          <w:rFonts w:ascii="Arial" w:cs="Arial" w:eastAsia="Arial" w:hAnsi="Arial"/>
          <w:sz w:val="17"/>
          <w:szCs w:val="17"/>
          <w:color w:val="auto"/>
        </w:rPr>
        <w:t>For the year ended December 31, 2020, the principal amount of new investments funded was $939.0 million in 31 new portfolio companies and 27 existing portfolio companies. For this period, we had $941.3 million aggregate principal amount in exits and repayments.</w:t>
      </w:r>
    </w:p>
    <w:p>
      <w:pPr>
        <w:spacing w:after="0" w:line="146" w:lineRule="exact"/>
        <w:rPr>
          <w:sz w:val="20"/>
          <w:szCs w:val="20"/>
          <w:color w:val="auto"/>
        </w:rPr>
      </w:pPr>
    </w:p>
    <w:p>
      <w:pPr>
        <w:ind w:right="260" w:firstLine="255"/>
        <w:spacing w:after="0" w:line="308" w:lineRule="auto"/>
        <w:rPr>
          <w:sz w:val="20"/>
          <w:szCs w:val="20"/>
          <w:color w:val="auto"/>
        </w:rPr>
      </w:pPr>
      <w:r>
        <w:rPr>
          <w:rFonts w:ascii="Arial" w:cs="Arial" w:eastAsia="Arial" w:hAnsi="Arial"/>
          <w:sz w:val="17"/>
          <w:szCs w:val="17"/>
          <w:color w:val="auto"/>
        </w:rPr>
        <w:t>For the year ended December 31, 2019, the principal amount of new investments funded was $1,087.6 million in 32 new portfolio companies and 14 existing portfolio companies. For this period, we had $575.2 million aggregate principal amount in exits and repayments.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160" w:firstLine="255"/>
        <w:spacing w:after="0" w:line="277" w:lineRule="auto"/>
        <w:rPr>
          <w:sz w:val="20"/>
          <w:szCs w:val="20"/>
          <w:color w:val="auto"/>
        </w:rPr>
      </w:pPr>
      <w:r>
        <w:rPr>
          <w:rFonts w:ascii="Arial" w:cs="Arial" w:eastAsia="Arial" w:hAnsi="Arial"/>
          <w:sz w:val="18"/>
          <w:szCs w:val="18"/>
          <w:color w:val="auto"/>
        </w:rPr>
        <w:t>Our investment activity for the years ended December 31, 2021, 2020 and 2019 is presented below (information presented herein is at par value unless otherwise indicated).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4,269.9</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3,296.8</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3,152.5</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1,117.4</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1,184.7</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1,022.1</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909.6</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1,117.4</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939.0</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962.6</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922.1</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companies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 new portfolio</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40"/>
              <w:spacing w:after="0"/>
              <w:rPr>
                <w:sz w:val="20"/>
                <w:szCs w:val="20"/>
                <w:color w:val="auto"/>
              </w:rPr>
            </w:pPr>
            <w:r>
              <w:rPr>
                <w:rFonts w:ascii="Arial" w:cs="Arial" w:eastAsia="Arial" w:hAnsi="Arial"/>
                <w:sz w:val="18"/>
                <w:szCs w:val="18"/>
                <w:b w:val="1"/>
                <w:bCs w:val="1"/>
                <w:color w:val="auto"/>
              </w:rPr>
              <w:t>companies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 commitments in new</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portfolio companies (in years)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floating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40"/>
              <w:spacing w:after="0"/>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5"/>
                <w:szCs w:val="15"/>
                <w:b w:val="1"/>
                <w:bCs w:val="1"/>
                <w:color w:val="auto"/>
              </w:rPr>
              <w:t>(1)</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99.5%</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1"/>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 floating rate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right="160" w:hanging="492"/>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one fixed rate investment for the year ended December 31, 2020 and two fixed rate investments for the year ended December 31, 2019 for which we entered into interest rate swap agreements to swap to floating rates.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2021 and 2020, our investments consisted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4"/>
                <w:szCs w:val="14"/>
                <w:color w:val="auto"/>
              </w:rPr>
            </w:pPr>
          </w:p>
        </w:tc>
        <w:tc>
          <w:tcPr>
            <w:tcW w:w="260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show the fair value and amortized cost of our performing and non-accrual investments as of December 31, 2021 and 2020:</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6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4"/>
                <w:szCs w:val="14"/>
                <w:color w:val="auto"/>
              </w:rPr>
            </w:pPr>
          </w:p>
        </w:tc>
        <w:tc>
          <w:tcPr>
            <w:tcW w:w="26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2,521.4</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5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4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4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69" w:name="page70"/>
    <w:bookmarkEnd w:id="69"/>
    <w:tbl>
      <w:tblPr>
        <w:tblLayout w:type="fixed"/>
        <w:tblInd w:w="58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96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2,428.6</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2,432.0</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160" w:hanging="492"/>
        <w:spacing w:after="0" w:line="255"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 Interest and Dividend Income Recognition.”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weighted average yields and interest rates of our performing debt investments at fair value as of December 31, 2021 and 2020 were as follows: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2021</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2020</w:t>
            </w:r>
          </w:p>
        </w:tc>
      </w:tr>
      <w:tr>
        <w:trPr>
          <w:trHeight w:val="209"/>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bl>
    <w:p>
      <w:pPr>
        <w:spacing w:after="0" w:line="202"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9.4% at December 31, 2021 and 9.5% at December 31, 2020.</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51"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76" w:lineRule="exact"/>
        <w:rPr>
          <w:sz w:val="20"/>
          <w:szCs w:val="20"/>
          <w:color w:val="auto"/>
        </w:rPr>
      </w:pPr>
    </w:p>
    <w:p>
      <w:pPr>
        <w:ind w:left="500" w:hanging="249"/>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44"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5" w:lineRule="exact"/>
        <w:rPr>
          <w:rFonts w:ascii="Arial" w:cs="Arial" w:eastAsia="Arial" w:hAnsi="Arial"/>
          <w:sz w:val="18"/>
          <w:szCs w:val="18"/>
          <w:color w:val="auto"/>
        </w:rPr>
      </w:pPr>
    </w:p>
    <w:p>
      <w:pPr>
        <w:ind w:left="500" w:right="100" w:hanging="249"/>
        <w:spacing w:after="0" w:line="263"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180" w:hanging="249"/>
        <w:spacing w:after="0" w:line="263"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70" w:name="page71"/>
    <w:bookmarkEnd w:id="70"/>
    <w:p>
      <w:pPr>
        <w:ind w:left="500" w:right="140" w:hanging="249"/>
        <w:spacing w:after="0" w:line="255"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320" w:hanging="249"/>
        <w:spacing w:after="0" w:line="279"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2021 and 2020. Investment performance ratings are accurate only as of those dates and may change due to subsequent developments relating to a portfolio company’s business or financial condition, market conditions or developments, and other factors.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4"/>
                <w:szCs w:val="14"/>
                <w:color w:val="auto"/>
              </w:rPr>
            </w:pPr>
          </w:p>
        </w:tc>
        <w:tc>
          <w:tcPr>
            <w:tcW w:w="29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6"/>
        </w:trPr>
        <w:tc>
          <w:tcPr>
            <w:tcW w:w="3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135"/>
              <w:spacing w:after="0" w:line="147" w:lineRule="exact"/>
              <w:rPr>
                <w:sz w:val="20"/>
                <w:szCs w:val="20"/>
                <w:color w:val="auto"/>
              </w:rPr>
            </w:pPr>
            <w:r>
              <w:rPr>
                <w:rFonts w:ascii="Arial" w:cs="Arial" w:eastAsia="Arial" w:hAnsi="Arial"/>
                <w:sz w:val="14"/>
                <w:szCs w:val="14"/>
                <w:b w:val="1"/>
                <w:bCs w:val="1"/>
                <w:color w:val="auto"/>
              </w:rPr>
              <w:t>Investments at</w:t>
            </w:r>
          </w:p>
        </w:tc>
        <w:tc>
          <w:tcPr>
            <w:tcW w:w="3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77"/>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2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60" w:type="dxa"/>
            <w:vAlign w:val="bottom"/>
          </w:tcPr>
          <w:p>
            <w:pPr>
              <w:spacing w:after="0"/>
              <w:rPr>
                <w:sz w:val="14"/>
                <w:szCs w:val="14"/>
                <w:color w:val="auto"/>
              </w:rPr>
            </w:pPr>
          </w:p>
        </w:tc>
        <w:tc>
          <w:tcPr>
            <w:tcW w:w="132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Percentage of</w:t>
            </w:r>
          </w:p>
        </w:tc>
        <w:tc>
          <w:tcPr>
            <w:tcW w:w="16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Total Portfolio</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 in millions)</w:t>
            </w:r>
          </w:p>
        </w:tc>
        <w:tc>
          <w:tcPr>
            <w:tcW w:w="28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2,264.8</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1,996.5</w:t>
            </w: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2,521.6</w:t>
            </w:r>
          </w:p>
        </w:tc>
        <w:tc>
          <w:tcPr>
            <w:tcW w:w="3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2,298.9</w:t>
            </w:r>
          </w:p>
        </w:tc>
        <w:tc>
          <w:tcPr>
            <w:tcW w:w="2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Includes investments with an amortized cost of $1.5 million for which the fair value as of December 31, 2021 and December 31, 2020 was $0.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(1)Includes investments with an amortized cost of $1.5 million for which the fair value as of December 31, 2021 and December 31, 2020 was $0.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years ended December 31, 2021, 2020 and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278.6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1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117.3</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1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b w:val="1"/>
                <w:bCs w:val="1"/>
                <w:color w:val="auto"/>
                <w:w w:val="96"/>
              </w:rPr>
              <w:t>Net increase in net assets resulting from operations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(2)</w:t>
            </w:r>
          </w:p>
        </w:tc>
        <w:tc>
          <w:tcPr>
            <w:tcW w:w="4760" w:type="dxa"/>
            <w:vAlign w:val="bottom"/>
            <w:gridSpan w:val="2"/>
            <w:vMerge w:val="restart"/>
          </w:tcPr>
          <w:p>
            <w:pPr>
              <w:ind w:left="140"/>
              <w:spacing w:after="0"/>
              <w:rPr>
                <w:sz w:val="20"/>
                <w:szCs w:val="20"/>
                <w:color w:val="auto"/>
              </w:rPr>
            </w:pPr>
            <w:r>
              <w:rPr>
                <w:rFonts w:ascii="Arial" w:cs="Arial" w:eastAsia="Arial" w:hAnsi="Arial"/>
                <w:sz w:val="18"/>
                <w:szCs w:val="18"/>
                <w:color w:val="auto"/>
              </w:rPr>
              <w:t>Includes foreign exchange hedging activity.</w:t>
            </w: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11"/>
          </w:tcPr>
          <w:p>
            <w:pPr>
              <w:ind w:left="760"/>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Dividend income</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60" w:type="dxa"/>
            <w:vAlign w:val="bottom"/>
            <w:vMerge w:val="restart"/>
          </w:tcPr>
          <w:p>
            <w:pPr>
              <w:jc w:val="right"/>
              <w:ind w:right="470"/>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71" w:name="page72"/>
    <w:bookmarkEnd w:id="71"/>
    <w:p>
      <w:pPr>
        <w:ind w:firstLine="255"/>
        <w:spacing w:after="0" w:line="283"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$245.7 million for the year ended December 31, 2020 to $266.7 million for the year ended December 31, 2021, primarily due to an increase in total assets outstanding for the year ended December 31, 2021 compared to the same period in 2020. Accelerated amortization of upfront fees, from unscheduled paydowns, increased from $14.0 million for the year ended December 31, 2020 to $17.3 million for the year ended December 31, 2021, and prepayment fees decreased from $21.5 million for the year ended December 31, 2020 to $16.9 million for the year ended December 31, 2021. The accelerated amortization and prepayment fees primarily resulted from full paydowns on 17 portfolio investments, partial paydowns on ten portfolio investments, partial realizations on four portfolio investments and prepayment fees on 18 portfolio investments during the year ended December 31, 2020, and full paydowns on 22 portfolio investments, partial paydowns on four portfolio investments, realizations on three portfolio investments, partial realizations on two portfolio investments, and prepayment fees on 16 portfolio investments during the year ended December 31, 2021. Dividend income increased from $1.8 million for the year ended December 31,</w:t>
      </w:r>
    </w:p>
    <w:p>
      <w:pPr>
        <w:spacing w:after="0" w:line="6"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2020 to $4.2 million for the year ended December 31, 2021 due to increased investment in dividend yielding securities in 2021. Other income decreased from $22.5 million for the year ended December 31, 2020 to $7.7 million for the year ended December 31, 2021, primarily due to decreased amendment and other miscellaneous fees earned during 2021.</w:t>
      </w:r>
    </w:p>
    <w:p>
      <w:pPr>
        <w:spacing w:after="0" w:line="190"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$237.2 million for the year ended December 31, 2019 to $245.7 million for the year ended December 31, 2020, primarily due to an increase in accelerated amortization of upfront fees and prepayment fees due to increased paydowns which was partially offset by a decrease in the average LIBOR rate for the year ended December 31, 2020. Accelerated amortization of upfront fees, from unscheduled paydowns, increased from $6.7 million for the year ended December 31, 2019 to $14.0 million for the year ended December 31, 2020, and prepayment fees increased from $12.0 million for the year ended December 31, 2019 to $21.5 million for the year ended December 31, 2020. The accelerated amortization and prepayment fees primarily resulted from full paydowns on 13 portfolio investments, partial paydowns on five portfolio investments, and prepayment fees on 11 portfolio investments during the year ended December 31, 2019, and full paydowns on 17 portfolio investments, partial paydowns on ten portfolio investments, partial realizations on four portfolio investments and prepayment fees on 18 portfolio investments during the year ended December 31, 2020. Dividend income increased from $0.4 million for the year ended December 31, 2019 to $1.8 million for the year ended December 31, 2020 due to increased investment in dividend yielding securities in 2020. Other income increased from $13.9 million for the year ended December 31, 2019 to $22.5 million for the year ended December 31, 2020, primarily due to higher agency, syndication and miscellaneous fees earned during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years ended December 31, 2021, 2020 and 2019 were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7"/>
          </w:tcPr>
          <w:p>
            <w:pPr>
              <w:jc w:val="right"/>
              <w:ind w:right="169"/>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900" w:type="dxa"/>
            <w:vAlign w:val="bottom"/>
            <w:tcBorders>
              <w:bottom w:val="single" w:sz="8" w:color="CFF0FC"/>
            </w:tcBorders>
            <w:vMerge w:val="continue"/>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4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Directors fees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Interest expense, including other debt financing expenses, decreased from $39.4 million for the year ended December 31, 2020 to $38.8 million for the year ended December 31, 2021. This decrease was primarily due to a decrease in the average interest rate on our debt outstanding following a decrease in LIBOR and a change in the mix of our debt financing sources, which was partially offset by an increase in the average debt outstanding from $1,001.6 million for the year ended December 31, 2020 to $1,223.4 million for the year ended December 31, 2021. The average interest rate on our debt outstanding decreased from 3.0% for the year ended December 31, 2020 to 2.3% for the year ended December 31, 2021 due to a change in the mix of our debt financing sources and a change in LIBOR rates. For the years ended December 31, 2020 and 2021, weighted average one-month LIBOR for the year was 0.5% and 0.1%, respectively.</w:t>
      </w:r>
    </w:p>
    <w:p>
      <w:pPr>
        <w:spacing w:after="0" w:line="195"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Interest expense, including other debt financing expenses, decreased from $49.1 million for the year ended December 31, 2019 to $39.4 million for the year ended December 31, 2020. This decrease was primarily due to a decrease in the average interest rate on our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72" w:name="page73"/>
    <w:bookmarkEnd w:id="72"/>
    <w:p>
      <w:pPr>
        <w:ind w:right="20"/>
        <w:spacing w:after="0" w:line="257" w:lineRule="auto"/>
        <w:rPr>
          <w:sz w:val="20"/>
          <w:szCs w:val="20"/>
          <w:color w:val="auto"/>
        </w:rPr>
      </w:pPr>
      <w:r>
        <w:rPr>
          <w:rFonts w:ascii="Arial" w:cs="Arial" w:eastAsia="Arial" w:hAnsi="Arial"/>
          <w:sz w:val="18"/>
          <w:szCs w:val="18"/>
          <w:color w:val="auto"/>
        </w:rPr>
        <w:t>debt outstanding following a decrease in LIBOR and a change in the mix of our debt financing sources, which was partially offset by an increase in the average debt outstanding from $913.4 million for the year ended December 31, 2019 to $1,001.6 million for the year ended December 31, 2020. The average interest rate on our debt outstanding decreased from 4.4% for the year ended December 31, 2019 to 3.0% for the year ended December 31, 2020 due to a change in the mix of our debt financing sources and a change in LIBOR rates. For the years ended December 31, 2019 and 2020, weighted average one-month LIBOR for the year was 2.2% and 0.5%, respectively.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60" w:firstLine="255"/>
        <w:spacing w:after="0" w:line="286" w:lineRule="auto"/>
        <w:rPr>
          <w:sz w:val="20"/>
          <w:szCs w:val="20"/>
          <w:color w:val="auto"/>
        </w:rPr>
      </w:pPr>
      <w:r>
        <w:rPr>
          <w:rFonts w:ascii="Arial" w:cs="Arial" w:eastAsia="Arial" w:hAnsi="Arial"/>
          <w:sz w:val="17"/>
          <w:szCs w:val="17"/>
          <w:color w:val="auto"/>
        </w:rPr>
        <w:t>Management Fees (gross of waivers) increased from $32.1 million for the year ended December 31, 2020 to $37.1 million for the year ended December 31, 2021 due to an increase in average total assets. Management Fees waived were $0.2 million for the year ended December 31, 2021, pursuant to the Leverage Waiver. The Adviser did not waive any Management Fees for the year ended December 31, 2020.</w:t>
      </w:r>
    </w:p>
    <w:p>
      <w:pPr>
        <w:spacing w:after="0" w:line="165" w:lineRule="exact"/>
        <w:rPr>
          <w:sz w:val="20"/>
          <w:szCs w:val="20"/>
          <w:color w:val="auto"/>
        </w:rPr>
      </w:pPr>
    </w:p>
    <w:p>
      <w:pPr>
        <w:ind w:right="100" w:firstLine="255"/>
        <w:spacing w:after="0" w:line="342" w:lineRule="auto"/>
        <w:rPr>
          <w:sz w:val="20"/>
          <w:szCs w:val="20"/>
          <w:color w:val="auto"/>
        </w:rPr>
      </w:pPr>
      <w:r>
        <w:rPr>
          <w:rFonts w:ascii="Arial" w:cs="Arial" w:eastAsia="Arial" w:hAnsi="Arial"/>
          <w:sz w:val="16"/>
          <w:szCs w:val="16"/>
          <w:color w:val="auto"/>
        </w:rPr>
        <w:t>Management Fees increased from $30.1 million for the year ended December 31, 2019 to $32.1 million for the year ended December 31, 2020 due to a small increase in average total assets. The Adviser did not waive any Management Fees for the years ended December 31, 2019 and 2020.</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80" w:firstLine="255"/>
        <w:spacing w:after="0" w:line="293" w:lineRule="auto"/>
        <w:rPr>
          <w:sz w:val="20"/>
          <w:szCs w:val="20"/>
          <w:color w:val="auto"/>
        </w:rPr>
      </w:pPr>
      <w:r>
        <w:rPr>
          <w:rFonts w:ascii="Arial" w:cs="Arial" w:eastAsia="Arial" w:hAnsi="Arial"/>
          <w:sz w:val="16"/>
          <w:szCs w:val="16"/>
          <w:color w:val="auto"/>
        </w:rPr>
        <w:t>Incentive Fees related to pre-Incentive Fee net investment income increased from $31.5 million for the year ended December 31, 2020 to $33.1 million for the year ended December 31, 2021. This increase resulted primarily from an increase in interest earned on investments during the year and the related increase in net investment income. There were no Incentive Fees related to pre-Incentive Fee net investment income waived for the years ended December 31, 2020 or 2021. Incentive Fees of $1.4 million and $13.5 million, respectively, were accrued for the years ended December 31, 2020 and 2021 related to cumulative unrealized capital gains in excess of cumulative net realized capital gains less cumulative unrealized losses and capital gains Incentive Fees paid inception to date. As of December 31, 2021 these accrued Incentive Fees are not contractually payable to the Adviser.</w:t>
      </w:r>
    </w:p>
    <w:p>
      <w:pPr>
        <w:spacing w:after="0" w:line="164"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Incentive Fees related to pre-Incentive Fee net investment income increased from $27.2 million for the year ended December 31, 2019 to $31.5 million for the year ended December 31, 2020. This increase resulted primarily from an increase in accelerated amortization of upfront fees and prepayment fees received during the year ended December 31, 2020 and the related increase in net investment income. There were no Incentive Fees related to pre-Incentive Fee net investment income waived for the years ended December 31, 2019 or 2020. There were no Incentive Fees related to net capital gains and losses for the year ended December 31, 2019 due to cumulative realized and unrealized losses on our investments and $1.4 million of Incentive Fees were accrued for the year ended December 31, 2020 related to cumulative unrealized capital gains in excess of cumulative net realized capital gains less cumulative unrealized losses and capital gains Incentive Fees paid inception to date. As of December 31, 2021 this accrued Incentive Fee is not contractually payable to the Adviser.</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Professional fees decreased from $6.8 million for the year ended December 31, 2020 to $6.6 million for the year ended December 31, 2021 due to lower legal fees, partially offset by higher independent third-party valuation firm and sub-agent administration costs due to a larger portfolio. Other general and administrative fees increased from $5.3 million for the year ended December 31, 2020 to $6.2 million for the year ended December 31, 2021, primarily driven by an increase in administrative services incurred under the Administration Agreement.</w:t>
      </w:r>
    </w:p>
    <w:p>
      <w:pPr>
        <w:spacing w:after="0" w:line="187" w:lineRule="exact"/>
        <w:rPr>
          <w:sz w:val="20"/>
          <w:szCs w:val="20"/>
          <w:color w:val="auto"/>
        </w:rPr>
      </w:pPr>
    </w:p>
    <w:p>
      <w:pPr>
        <w:ind w:right="60" w:firstLine="255"/>
        <w:spacing w:after="0" w:line="286" w:lineRule="auto"/>
        <w:rPr>
          <w:sz w:val="20"/>
          <w:szCs w:val="20"/>
          <w:color w:val="auto"/>
        </w:rPr>
      </w:pPr>
      <w:r>
        <w:rPr>
          <w:rFonts w:ascii="Arial" w:cs="Arial" w:eastAsia="Arial" w:hAnsi="Arial"/>
          <w:sz w:val="17"/>
          <w:szCs w:val="17"/>
          <w:color w:val="auto"/>
        </w:rPr>
        <w:t>Professional fees increased from $6.5 million for the year ended December 31, 2019 to $6.8 million for the year ended December 31, 2020 due to higher legal fees, independent third-party valuation firm and sub-agent administration costs due to a larger portfolio. Other general and administrative fees decreased from $5.9 million for the year ended December 31, 2019 to $5.3 million for the year ended December 31,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jc w:val="both"/>
        <w:ind w:right="180" w:firstLine="255"/>
        <w:spacing w:after="0" w:line="263"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180"/>
        <w:spacing w:after="0" w:line="277" w:lineRule="auto"/>
        <w:rPr>
          <w:sz w:val="20"/>
          <w:szCs w:val="20"/>
          <w:color w:val="auto"/>
        </w:rPr>
      </w:pPr>
      <w:r>
        <w:rPr>
          <w:rFonts w:ascii="Arial" w:cs="Arial" w:eastAsia="Arial" w:hAnsi="Arial"/>
          <w:sz w:val="18"/>
          <w:szCs w:val="18"/>
          <w:color w:val="auto"/>
        </w:rPr>
        <w:t>income for that taxable year. To maintain our RIC status, we, among other things, have made and intend to continue to make the requisite distributions to our stockholders, which generally relieve us from corporate-level U.S. federal income taxes.</w:t>
      </w:r>
    </w:p>
    <w:p>
      <w:pPr>
        <w:spacing w:after="0" w:line="170"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For the calendar years ended December 31, 2021, 2020 and 2019 we recorded a net expense of $0.4 million, $5.8 million and $3.8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2021, 2020 and 2019:</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7"/>
          </w:tcPr>
          <w:p>
            <w:pPr>
              <w:jc w:val="right"/>
              <w:ind w:right="47"/>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realized gains on extinguishment of debt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Net realized losses on foreign currency investments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foreign currency borrowings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Net realized gains (losses) on interest rate swaps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Unrealized losses on foreign currency borrowings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 cash</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Unrealized gains (losses) on interest rate swaps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on unrealized gains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Currency Transactions, Interest Rate Swaps and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Income Tax Provision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255"/>
        <w:spacing w:after="0" w:line="287" w:lineRule="auto"/>
        <w:rPr>
          <w:sz w:val="20"/>
          <w:szCs w:val="20"/>
          <w:color w:val="auto"/>
        </w:rPr>
      </w:pPr>
      <w:r>
        <w:rPr>
          <w:rFonts w:ascii="Arial" w:cs="Arial" w:eastAsia="Arial" w:hAnsi="Arial"/>
          <w:sz w:val="16"/>
          <w:szCs w:val="16"/>
          <w:color w:val="auto"/>
        </w:rPr>
        <w:t>For the years ended December 31, 2021, 2020, and 2019, we had net realized gains on investments of $28.8 million, net realized losses on investments of $3.1 million and net realized gains on investments of $1.9 million, respectively. For the years ended December 31, 2021 and 2019, there were no net realized gains or losses on extinguishment of debt. For the year ended December 31, 2020, we had net realized gains of $0.7 million on extinguishment of debt, as a result of repurchases of our debt securities. For the years ended December 31, 2021 and 2019, we had net realized gains of $0.1 million and $0.1 million, respectively, and for the year ended December 31 2020, we had net realized losses of less than $0.1 million on foreign currency transactions, primarily as a result of translating foreign currency related to our non-USD denominated investments. For the years ended December 31, 2021, 2020 and 2019, we had net realized losses on foreign currency investments of $3.4 million, $1.1 million and $0.4 million, respectively. For the years ended December 31, 2021, 2020, and 2019 we had net realized gains on foreign currency borrowings of $3.4 million, $1.0 million and $0.4 million, respectively. The net realized gains on foreign currency borrowings were a result of payments on our revolving credit facility. For the year ended December 31, 2021, there were no net realized gains or losses on interest rate swaps. For the years ended December 31, 2020 and 2019 we had net realized losses of $0.1 million and net realized gains of less than $0.1 million, respectively, on interest rate swaps.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4" w:name="page75"/>
    <w:bookmarkEnd w:id="74"/>
    <w:p>
      <w:pPr>
        <w:ind w:right="40" w:firstLine="255"/>
        <w:spacing w:after="0" w:line="301" w:lineRule="auto"/>
        <w:rPr>
          <w:sz w:val="20"/>
          <w:szCs w:val="20"/>
          <w:color w:val="auto"/>
        </w:rPr>
      </w:pPr>
      <w:r>
        <w:rPr>
          <w:rFonts w:ascii="Arial" w:cs="Arial" w:eastAsia="Arial" w:hAnsi="Arial"/>
          <w:sz w:val="16"/>
          <w:szCs w:val="16"/>
          <w:color w:val="auto"/>
        </w:rPr>
        <w:t>For the year ended December 31, 2021 we had $97.7 million in unrealized gains on 47 portfolio company investments, which was offset by $48.0 million in unrealized losses on 44 portfolio company investments. Unrealized gains for the year ended December 31, 2021 resulted from an increase in fair value, primarily due to positive valuation adjustments, unwind of prior period unrealized losses, and changes in credit spreads. Unrealized losses for the year ended December 31, 2021 resulted from the reversal of prior period unrealized gains due to realizations and negative credit-related adjustments.</w:t>
      </w:r>
    </w:p>
    <w:p>
      <w:pPr>
        <w:spacing w:after="0" w:line="157"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For the year ended December 31, 2020 we had $74.4 million in unrealized gains on 53 portfolio company investments, which was offset by $42.4 million in unrealized losses on 29 portfolio company investments. Unrealized gains for the year ended December 31, 2020 resulted from an increase in fair value, primarily due to positive valuation adjustments, the positive impact on valuations from the existence of LIBOR floors, and unwind of prior period unrealized losses. Unrealized losses for the year ended December 31, 2020 resulted from the reversal of prior period unrealized gains due to realizations and negative credit-related adjustments.</w:t>
      </w:r>
    </w:p>
    <w:p>
      <w:pPr>
        <w:spacing w:after="0" w:line="188" w:lineRule="exact"/>
        <w:rPr>
          <w:sz w:val="20"/>
          <w:szCs w:val="20"/>
          <w:color w:val="auto"/>
        </w:rPr>
      </w:pPr>
    </w:p>
    <w:p>
      <w:pPr>
        <w:ind w:firstLine="255"/>
        <w:spacing w:after="0" w:line="279" w:lineRule="auto"/>
        <w:rPr>
          <w:sz w:val="20"/>
          <w:szCs w:val="20"/>
          <w:color w:val="auto"/>
        </w:rPr>
      </w:pPr>
      <w:r>
        <w:rPr>
          <w:rFonts w:ascii="Arial" w:cs="Arial" w:eastAsia="Arial" w:hAnsi="Arial"/>
          <w:sz w:val="17"/>
          <w:szCs w:val="17"/>
          <w:color w:val="auto"/>
        </w:rPr>
        <w:t>For the year ended December 31, 2019 we had $45.6 million in unrealized gains on 53 portfolio company investments, which was offset by $27.3 million in unrealized losses on 23 portfolio company investments. Unrealized gains for the year ended December 31, 2019 resulted from an increase in fair value, primarily due to positive valuation adjustments and changes in credit spreads. Unrealized losses for the year ended December 31, 2019 resulted from the unwind of prior period unrealized gains due to realizations and negative credit-related adjustments.</w:t>
      </w:r>
    </w:p>
    <w:p>
      <w:pPr>
        <w:spacing w:after="0" w:line="171" w:lineRule="exact"/>
        <w:rPr>
          <w:sz w:val="20"/>
          <w:szCs w:val="20"/>
          <w:color w:val="auto"/>
        </w:rPr>
      </w:pPr>
    </w:p>
    <w:p>
      <w:pPr>
        <w:ind w:right="60" w:firstLine="255"/>
        <w:spacing w:after="0" w:line="253" w:lineRule="auto"/>
        <w:rPr>
          <w:sz w:val="20"/>
          <w:szCs w:val="20"/>
          <w:color w:val="auto"/>
        </w:rPr>
      </w:pPr>
      <w:r>
        <w:rPr>
          <w:rFonts w:ascii="Arial" w:cs="Arial" w:eastAsia="Arial" w:hAnsi="Arial"/>
          <w:sz w:val="18"/>
          <w:szCs w:val="18"/>
          <w:color w:val="auto"/>
        </w:rPr>
        <w:t>For the year ended December 31, 2021 we had unrealized losses on foreign currency borrowings of $0.6 million, primarily as a result of fluctuations in the AUD, CAD, GBP and EUR exchange rates. For the years ended December 31, 2020 and 2019, we had unrealized losses on foreign currency borrowings of $5.1 million and $3.2 million, respectively, primarily as a result of fluctuations in the AUD, CAD, and EUR exchange rates. For the years ended December 31, 2021, 2020 and 2019, we had unrealized gains of less than $0.1 million, unrealized losses of less than $0.1 million, and unrealized gains of less than $0.1 million, respectively, on foreign currency cash. For the year ended December 31, 2021, we had unrealized losses on interest rate swaps of $6.7 million, and for the years ended December 31, 2020 and 2019 we had unrealized gains on interest rate swaps of $6.8 million and $9.2 million, respectively, due to fluctuations in interest rates. For the year ended December 31, 2021 we had an income tax provision of $1.9 million related to a deferred tax liability for unrealized gains. For the years ended December 31, 2020 and 2019, we had no deferred tax asset or liability for unrealizes gains or losses.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40" w:firstLine="255"/>
        <w:spacing w:after="0" w:line="286" w:lineRule="auto"/>
        <w:rPr>
          <w:sz w:val="20"/>
          <w:szCs w:val="20"/>
          <w:color w:val="auto"/>
        </w:rPr>
      </w:pPr>
      <w:r>
        <w:rPr>
          <w:rFonts w:ascii="Arial" w:cs="Arial" w:eastAsia="Arial" w:hAnsi="Arial"/>
          <w:sz w:val="17"/>
          <w:szCs w:val="17"/>
          <w:color w:val="auto"/>
        </w:rPr>
        <w:t>Since we began investing in 2011 through December 31, 2021, weighted by capital invested, our exited investments have generated an average realized gross internal rate of return to us of 18.7% (based on total capital invested of $5.9 billion and total proceeds from these exited investments of $7.4 billion). Ninety-two percent of these exited investments resulted in a realized gross internal rate of return to us of 10% or greater.</w:t>
      </w:r>
    </w:p>
    <w:p>
      <w:pPr>
        <w:spacing w:after="0" w:line="165" w:lineRule="exact"/>
        <w:rPr>
          <w:sz w:val="20"/>
          <w:szCs w:val="20"/>
          <w:color w:val="auto"/>
        </w:rPr>
      </w:pPr>
    </w:p>
    <w:p>
      <w:pPr>
        <w:ind w:right="300" w:firstLine="255"/>
        <w:spacing w:after="0" w:line="263"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4" w:lineRule="exact"/>
        <w:rPr>
          <w:sz w:val="20"/>
          <w:szCs w:val="20"/>
          <w:color w:val="auto"/>
        </w:rPr>
      </w:pPr>
    </w:p>
    <w:p>
      <w:pPr>
        <w:jc w:val="both"/>
        <w:ind w:right="120" w:firstLine="255"/>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20" w:firstLine="255"/>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5" w:lineRule="exact"/>
        <w:rPr>
          <w:sz w:val="20"/>
          <w:szCs w:val="20"/>
          <w:color w:val="auto"/>
        </w:rPr>
      </w:pPr>
    </w:p>
    <w:p>
      <w:pPr>
        <w:ind w:right="80" w:firstLine="255"/>
        <w:spacing w:after="0" w:line="311"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5" w:name="page76"/>
    <w:bookmarkEnd w:id="75"/>
    <w:p>
      <w:pPr>
        <w:ind w:right="60" w:firstLine="255"/>
        <w:spacing w:after="0" w:line="259" w:lineRule="auto"/>
        <w:rPr>
          <w:sz w:val="20"/>
          <w:szCs w:val="20"/>
          <w:color w:val="auto"/>
        </w:rPr>
      </w:pPr>
      <w:r>
        <w:rPr>
          <w:rFonts w:ascii="Arial" w:cs="Arial" w:eastAsia="Arial" w:hAnsi="Arial"/>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Foreign Currency Hedging</w:t>
      </w:r>
    </w:p>
    <w:p>
      <w:pPr>
        <w:spacing w:after="0" w:line="117"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years ended December 31, 2021, 2020 and 2019, we had $0.6 million, $5.1 million and $3.2 million of unrealized losses, respectively, on the translation of our non-U.S. dollar denominated debt into U.S. dollars; such amounts approximate the corresponding unrealized gains and losses on the translation of our non-U.S. dollar denominated investments into U.S. dollars for the years ended December 31, 2021, 2020 and 2019. See Note 2 for additional disclosure regarding our accounting for foreign currency. See Note 7 for additional disclosure regarding the amounts of outstanding debt denominated in each foreign currency at December 31, 2021. See our consolidated schedule of investments for additional disclosure regarding the foreign currency amounts (in both par and fair value) of our non-U.S. dollar denominated investments.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00" w:hanging="249"/>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52" w:lineRule="exact"/>
        <w:rPr>
          <w:sz w:val="20"/>
          <w:szCs w:val="20"/>
          <w:color w:val="auto"/>
        </w:rPr>
      </w:pPr>
    </w:p>
    <w:p>
      <w:pPr>
        <w:ind w:right="40" w:firstLine="255"/>
        <w:spacing w:after="0" w:line="289"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Arial" w:cs="Arial" w:eastAsia="Arial" w:hAnsi="Arial"/>
          <w:sz w:val="16"/>
          <w:szCs w:val="16"/>
          <w:i w:val="1"/>
          <w:iCs w:val="1"/>
          <w:color w:val="auto"/>
        </w:rPr>
        <w:t>Key Components of Our Results of Operations —Leverage</w:t>
      </w:r>
      <w:r>
        <w:rPr>
          <w:rFonts w:ascii="Arial" w:cs="Arial" w:eastAsia="Arial" w:hAnsi="Arial"/>
          <w:sz w:val="16"/>
          <w:szCs w:val="16"/>
          <w:color w:val="auto"/>
        </w:rPr>
        <w:t>” above. As of December 31, 2021, 2020 and 2019, our asset coverage ratio was 205.4%, 204.5%, and 200.4%,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6"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Cash and cash equivalents as of December 31, 2021, taken together with cash available under our credit facilities, is expected to be sufficient for our investing activities and to conduct our operations in the near term. As of December 31, 2021, we had approximately $1,193.6 million of availability on our Revolving Credit Facility, subject to asset coverage limitations.</w:t>
      </w:r>
    </w:p>
    <w:p>
      <w:pPr>
        <w:spacing w:after="0" w:line="184" w:lineRule="exact"/>
        <w:rPr>
          <w:sz w:val="20"/>
          <w:szCs w:val="20"/>
          <w:color w:val="auto"/>
        </w:rPr>
      </w:pPr>
    </w:p>
    <w:p>
      <w:pPr>
        <w:ind w:right="20" w:firstLine="255"/>
        <w:spacing w:after="0" w:line="290" w:lineRule="auto"/>
        <w:rPr>
          <w:sz w:val="20"/>
          <w:szCs w:val="20"/>
          <w:color w:val="auto"/>
        </w:rPr>
      </w:pPr>
      <w:r>
        <w:rPr>
          <w:rFonts w:ascii="Arial" w:cs="Arial" w:eastAsia="Arial" w:hAnsi="Arial"/>
          <w:sz w:val="16"/>
          <w:szCs w:val="16"/>
          <w:color w:val="auto"/>
        </w:rPr>
        <w:t>As of December 31, 2021, we had $16.0 million in cash and cash equivalents, including $14.4 million of restricted cash. During the year ended December 31, 2021, we provided $2.5 million in cash from operating activities as a result of repayments and proceeds from investments of $1,088.8 million and an increase in net assets resulting from operations of $211.8 million, which was partially offset by funding portfolio investments of $1,198.9 million, and other operating activity of $99.2 million. Lastly, cash provided by financing activities was $0.2 million during the period, consisting of borrowings of $1,616.7 million (including net proceeds of $293.7 million from the issuance of our 2026 Notes), proceeds from the issuance of common stock, net of offering and underwriting costs, of $85.9 million, and proceeds from the issuance of common stock for the settlement of a portion of the 2022 Convertible Notes of $42.3 million, which was partially offset by paydowns on our Revolving Credit Facility of $1,472.0 million, dividends paid of $221.9 million, settlement of $42.8 million of principal on the 2022 Convertible Notes, and deferred financing costs of $8.0 million.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6" w:name="page77"/>
    <w:bookmarkEnd w:id="76"/>
    <w:p>
      <w:pPr>
        <w:ind w:firstLine="255"/>
        <w:spacing w:after="0" w:line="293" w:lineRule="auto"/>
        <w:rPr>
          <w:sz w:val="20"/>
          <w:szCs w:val="20"/>
          <w:color w:val="auto"/>
        </w:rPr>
      </w:pPr>
      <w:r>
        <w:rPr>
          <w:rFonts w:ascii="Arial" w:cs="Arial" w:eastAsia="Arial" w:hAnsi="Arial"/>
          <w:sz w:val="16"/>
          <w:szCs w:val="16"/>
          <w:color w:val="auto"/>
        </w:rPr>
        <w:t>As of December 31, 2020, we had $13.3 million in cash and cash equivalents, including $10.8 million of restricted cash. During the year ended December 31, 2020, we provided $145.1 million in cash from operating activities as a result of repayments and proceeds from investments of $1,048.0 million and an increase in net assets resulting from operations of $178.1 million, which was partially offset by funding portfolio investments of $1,038.9 million, and other operating activity of $42.1 million. Lastly, cash used in financing activities was $145.9 million during the period, consisting of paydowns on our Revolving Credit Facility of $1,090.7 million, dividends paid of $130.4 million, repurchases of debt of $31.8 million, repurchases of common stock of $2.9 million, and deferred financing costs of $4.3 million, which was partially offset by borrowings of $1,114.2 million.</w:t>
      </w:r>
    </w:p>
    <w:p>
      <w:pPr>
        <w:spacing w:after="0" w:line="164"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As of December 31, 2021, we had $14.4 million of restricted cash pledged as collateral under our interest rate swap agreements, compared to $10.8 million as of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225" w:lineRule="exact"/>
        <w:rPr>
          <w:sz w:val="20"/>
          <w:szCs w:val="20"/>
          <w:color w:val="auto"/>
        </w:rPr>
      </w:pPr>
    </w:p>
    <w:p>
      <w:pPr>
        <w:ind w:right="460" w:firstLine="255"/>
        <w:spacing w:after="0" w:line="286" w:lineRule="auto"/>
        <w:rPr>
          <w:sz w:val="20"/>
          <w:szCs w:val="20"/>
          <w:color w:val="auto"/>
        </w:rPr>
      </w:pPr>
      <w:r>
        <w:rPr>
          <w:rFonts w:ascii="Arial" w:cs="Arial" w:eastAsia="Arial" w:hAnsi="Arial"/>
          <w:sz w:val="17"/>
          <w:szCs w:val="17"/>
          <w:color w:val="auto"/>
        </w:rPr>
        <w:t>On February 23, 2021, we issued a total of 4,000,000 shares of common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165"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In December 2021, we issued a total of 2,324,820 shares of common stock, or $42.3 million as settlement for the conversion of $42.8 million of the 2022 Convertible Notes.</w:t>
      </w:r>
    </w:p>
    <w:p>
      <w:pPr>
        <w:spacing w:after="0" w:line="170" w:lineRule="exact"/>
        <w:rPr>
          <w:sz w:val="20"/>
          <w:szCs w:val="20"/>
          <w:color w:val="auto"/>
        </w:rPr>
      </w:pPr>
    </w:p>
    <w:p>
      <w:pPr>
        <w:ind w:right="200" w:firstLine="255"/>
        <w:spacing w:after="0" w:line="301" w:lineRule="auto"/>
        <w:rPr>
          <w:sz w:val="20"/>
          <w:szCs w:val="20"/>
          <w:color w:val="auto"/>
        </w:rPr>
      </w:pPr>
      <w:r>
        <w:rPr>
          <w:rFonts w:ascii="Arial" w:cs="Arial" w:eastAsia="Arial" w:hAnsi="Arial"/>
          <w:sz w:val="16"/>
          <w:szCs w:val="16"/>
          <w:color w:val="auto"/>
        </w:rPr>
        <w:t>During the years ended December 31, 2021 and 2020, we issued 1,712,824 and 1,366,582 shares of our common stock, respectively, to investors who have not opted out of our dividend reinvestment plan for proceeds of $36.3 million and $22.3 million, respectively. On January 14, 2022, we issued 233,542 shares of our common stock through our dividend reinvestment plan for proceeds of $5.3 million, which is not reflected in the number of shares issued for the year ended December 31, 2021 in this section or the consolidated financial statements for the year ended December 31, 2021.</w:t>
      </w:r>
    </w:p>
    <w:p>
      <w:pPr>
        <w:spacing w:after="0" w:line="157" w:lineRule="exact"/>
        <w:rPr>
          <w:sz w:val="20"/>
          <w:szCs w:val="20"/>
          <w:color w:val="auto"/>
        </w:rPr>
      </w:pPr>
    </w:p>
    <w:p>
      <w:pPr>
        <w:jc w:val="both"/>
        <w:ind w:right="120" w:firstLine="255"/>
        <w:spacing w:after="0" w:line="301" w:lineRule="auto"/>
        <w:rPr>
          <w:sz w:val="20"/>
          <w:szCs w:val="20"/>
          <w:color w:val="auto"/>
        </w:rPr>
      </w:pPr>
      <w:r>
        <w:rPr>
          <w:rFonts w:ascii="Arial" w:cs="Arial" w:eastAsia="Arial" w:hAnsi="Arial"/>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2, 2021. The amount and timing of stock repurchases under the program may vary depending on market conditions, and no assurance can be given that any particular amount of common stock will be repurchased.</w:t>
      </w:r>
    </w:p>
    <w:p>
      <w:pPr>
        <w:spacing w:after="0" w:line="157"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For the year ended December 31, 2021 no shares were repurchased. For the year ended December 31, 2020, we repurchased 206,964 shares at a weighted average price per share of $14.17 inclusive of commissions, for a total cost of $2.9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9"/>
              </w:rPr>
              <w:t>Outstanding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5"/>
                <w:szCs w:val="15"/>
                <w:color w:val="auto"/>
              </w:rPr>
            </w:pPr>
          </w:p>
        </w:tc>
      </w:tr>
      <w:tr>
        <w:trPr>
          <w:trHeight w:val="219"/>
        </w:trPr>
        <w:tc>
          <w:tcPr>
            <w:tcW w:w="44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Amount Committed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56"/>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(2)(3)</w:t>
            </w:r>
          </w:p>
        </w:tc>
      </w:tr>
      <w:tr>
        <w:trPr>
          <w:trHeight w:val="223"/>
        </w:trPr>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0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0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120" w:type="dxa"/>
            <w:vAlign w:val="bottom"/>
            <w:shd w:val="clear" w:color="auto" w:fill="CFF0FC"/>
          </w:tcPr>
          <w:p>
            <w:pPr>
              <w:spacing w:after="0"/>
              <w:rPr>
                <w:sz w:val="19"/>
                <w:szCs w:val="19"/>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1,193.6</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900" w:hanging="492"/>
        <w:spacing w:after="0" w:line="258"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totaling $11.8 million, $0.3 million, $0.7 million, $4.0 million and $5.3 million, respectively.</w:t>
      </w:r>
    </w:p>
    <w:p>
      <w:pPr>
        <w:ind w:left="500" w:right="140" w:hanging="492"/>
        <w:spacing w:after="0" w:line="290"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carrying values of the 2024 Notes and 2026 Notes are presented inclusive of an incremental $4.4 million and $(10.2) million, which represents an adjustment in the carrying values of the 2024 Notes and 2026 Notes, each resulting from a hedge accounting relationship.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5"/>
                <w:szCs w:val="15"/>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4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9"/>
                <w:szCs w:val="19"/>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 xml:space="preserve">Available </w:t>
            </w:r>
            <w:r>
              <w:rPr>
                <w:rFonts w:ascii="Arial" w:cs="Arial" w:eastAsia="Arial" w:hAnsi="Arial"/>
                <w:sz w:val="12"/>
                <w:szCs w:val="12"/>
                <w:b w:val="1"/>
                <w:bCs w:val="1"/>
                <w:color w:val="auto"/>
                <w:w w:val="99"/>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0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FF0FC"/>
          </w:tcPr>
          <w:p>
            <w:pPr>
              <w:spacing w:after="0"/>
              <w:rPr>
                <w:sz w:val="19"/>
                <w:szCs w:val="19"/>
                <w:color w:val="auto"/>
              </w:rPr>
            </w:pPr>
          </w:p>
        </w:tc>
      </w:tr>
      <w:tr>
        <w:trPr>
          <w:trHeight w:val="229"/>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2024</w:t>
            </w:r>
          </w:p>
        </w:tc>
        <w:tc>
          <w:tcPr>
            <w:tcW w:w="40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900" w:hanging="492"/>
        <w:spacing w:after="0" w:line="258"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totaling $10.8 million, $1.5 million, $1.3 million and $5.3 million, respectively.</w:t>
      </w:r>
    </w:p>
    <w:p>
      <w:pPr>
        <w:ind w:left="500" w:right="60" w:hanging="492"/>
        <w:spacing w:after="0" w:line="260"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200" w:lineRule="exact"/>
        <w:rPr>
          <w:sz w:val="20"/>
          <w:szCs w:val="20"/>
          <w:color w:val="auto"/>
        </w:rPr>
      </w:pPr>
    </w:p>
    <w:p>
      <w:pPr>
        <w:spacing w:after="0" w:line="201"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As of December 31, 2021 and December 31, 2020,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40" w:firstLine="255"/>
        <w:spacing w:after="0" w:line="30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 On September 30, 2021, in accordance with the accordion feature, the aggregate commitments under the facility were increased to $1.510 billion</w:t>
      </w:r>
    </w:p>
    <w:p>
      <w:pPr>
        <w:spacing w:after="0" w:line="157"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On September 30, 2021, the aggregate commitments under the facility increased an additional $25.0 million in accordance with the accordion feature. As a result, $1.485 billion of total commitments are subject to these revolving period and stated maturity dates. For the remaining $25.0 million of commitments, the revolving period ends January 31, 2024 and the stated maturity is January 31, 2025.</w:t>
      </w:r>
    </w:p>
    <w:p>
      <w:pPr>
        <w:spacing w:after="0" w:line="195" w:lineRule="exact"/>
        <w:rPr>
          <w:sz w:val="20"/>
          <w:szCs w:val="20"/>
          <w:color w:val="auto"/>
        </w:rPr>
      </w:pPr>
    </w:p>
    <w:p>
      <w:pPr>
        <w:ind w:right="240" w:firstLine="255"/>
        <w:spacing w:after="0" w:line="259" w:lineRule="auto"/>
        <w:rPr>
          <w:sz w:val="20"/>
          <w:szCs w:val="20"/>
          <w:color w:val="auto"/>
        </w:rPr>
      </w:pPr>
      <w:r>
        <w:rPr>
          <w:rFonts w:ascii="Arial" w:cs="Arial" w:eastAsia="Arial" w:hAnsi="Arial"/>
          <w:sz w:val="18"/>
          <w:szCs w:val="18"/>
          <w:color w:val="auto"/>
        </w:rPr>
        <w:t>On December 21, 2021, we entered into an Eleventh Amendment to the Company’s Second Amended and restated senior secured Revolving Credit Facility, which, among other changes, updates and modifies terms and provisions of the Revolving Credit Facility to reflect alternative reference rates based on the Sterling Overnight Index Average for Sterling loans, the Swiss Average Rate Overnight for Swiss Franc loans, the Tokyo Interbank Offered Rate for Japanese Yen loans and the Euro Interbank Offered Rate for Euro loans.</w:t>
      </w:r>
    </w:p>
    <w:p>
      <w:pPr>
        <w:spacing w:after="0" w:line="18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December 31, 2021, we had outstanding debt denominated in Australian dollars (AUD) of 60.4 million, British pounds (GBP) of 4.7 million, Canadian dollars (CAD) of 134.1 million, and Euro (EUR) of 9.2 million on our Revolving Credit Facility, included in the Outstanding Principal amount in the table above.</w:t>
      </w:r>
    </w:p>
    <w:p>
      <w:pPr>
        <w:spacing w:after="0" w:line="184"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December 31, 2021 and December 31, 2020, we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8" w:name="page79"/>
    <w:bookmarkEnd w:id="78"/>
    <w:p>
      <w:pPr>
        <w:ind w:right="100"/>
        <w:spacing w:after="0" w:line="279" w:lineRule="auto"/>
        <w:rPr>
          <w:sz w:val="20"/>
          <w:szCs w:val="20"/>
          <w:color w:val="auto"/>
        </w:rPr>
      </w:pPr>
      <w:r>
        <w:rPr>
          <w:rFonts w:ascii="Arial" w:cs="Arial" w:eastAsia="Arial" w:hAnsi="Arial"/>
          <w:sz w:val="17"/>
          <w:szCs w:val="17"/>
          <w:color w:val="auto"/>
        </w:rPr>
        <w:t>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4"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44" w:lineRule="exact"/>
        <w:rPr>
          <w:rFonts w:ascii="Arial" w:cs="Arial" w:eastAsia="Arial" w:hAnsi="Arial"/>
          <w:sz w:val="18"/>
          <w:szCs w:val="18"/>
          <w:color w:val="auto"/>
        </w:rPr>
      </w:pPr>
    </w:p>
    <w:p>
      <w:pPr>
        <w:ind w:left="500" w:right="180" w:hanging="249"/>
        <w:spacing w:after="0" w:line="263"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44"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Net proceeds received from our common stock issuance in February 2021 and net proceeds received from the issuance of the 2022 Convertible Notes, 2023 Notes, 2024 Notes and 2026 Notes were used to pay down borrowings on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In June 2014, we issued in a private offering $115.0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60" w:firstLine="255"/>
        <w:spacing w:after="0" w:line="287" w:lineRule="auto"/>
        <w:rPr>
          <w:sz w:val="20"/>
          <w:szCs w:val="20"/>
          <w:color w:val="auto"/>
        </w:rPr>
      </w:pPr>
      <w:r>
        <w:rPr>
          <w:rFonts w:ascii="Arial" w:cs="Arial" w:eastAsia="Arial" w:hAnsi="Arial"/>
          <w:sz w:val="16"/>
          <w:szCs w:val="16"/>
          <w:color w:val="auto"/>
        </w:rPr>
        <w:t>In February 2017, we issued in a private offering $115.0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December 31, 2021, the estimated adjusted conversion price was approximately $18.07 per share of common stock. The sale of the 2022 Convertible Notes generated net proceeds of approximately $111.2 million. We used the net proceeds of the offering to pay down debt under the Revolving Credit Facility. In connection with the offering of 2022 Convertible Notes, we entered into an interest rate swap to align the interest rates of our liabilities with our investment portfolio, which consists of predominately floating rate loans. The notional amount of the interest rate swap is $115.0 million, which matures on August 1, 2022, matching the maturity date of the 2022 Convertible Notes. As a result of the swaps, our effective interest rate on the original issuance of 2022 Convertible Notes is three-month LIBOR plus 2.37%.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right="100" w:firstLine="255"/>
        <w:spacing w:after="0" w:line="260"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 n connection with the reopening of the 2022 Convertible Notes, we entered into interest rate swaps to align the interest rates of its liabilities with its investment portfolio, which consists of predominately floating rate loans. The notional amount of the two interest rates swaps is $50.0 million and $7.5 million, each of which matures on August 1, 2022, matching the maturity date of the 2022 Convertible Notes. As a result of the additional swaps, our effective interest rate on the additional 2022 Convertible Notes is approximately three-month LIBOR plus 1.60%.</w:t>
      </w:r>
    </w:p>
    <w:p>
      <w:pPr>
        <w:spacing w:after="0" w:line="185"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During the year ended December 31,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our effective interest rate on the outstanding 2022 Convertible Notes is three-month LIBOR plus 2.11% (on a weighted-average basis).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80" w:firstLine="8"/>
        <w:spacing w:after="0" w:line="281"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60" w:firstLine="8"/>
        <w:spacing w:after="0" w:line="292"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On September 30, 2021, we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we elected combination settlement. During the three months ended December 31, 2021, $42.8 million of principal of the 2022 Convertible Notes were converted and were settled with a combination of cash and 2,324,820 shares of our common stock. In connection with the settlement of the 2022 Convertible Notes, we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our effective interest rate on the outstanding 2022 Convertible Notes is three-month LIBOR plus 2.11% (on a weighted-average basis).</w:t>
      </w:r>
    </w:p>
    <w:p>
      <w:pPr>
        <w:spacing w:after="0" w:line="181"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On January 26, 2022, we notified the trustee and holders of the 2022 Convertible Notes that the terms of settlement for the notes at our election are a combination settlement of cash and stock to occur after the 40 day observation period described in the notes indenture.</w:t>
      </w:r>
    </w:p>
    <w:p>
      <w:pPr>
        <w:spacing w:after="0" w:line="170" w:lineRule="exact"/>
        <w:rPr>
          <w:sz w:val="20"/>
          <w:szCs w:val="20"/>
          <w:color w:val="auto"/>
        </w:rPr>
      </w:pPr>
    </w:p>
    <w:p>
      <w:pPr>
        <w:jc w:val="both"/>
        <w:ind w:right="40" w:firstLine="255"/>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200" w:firstLine="255"/>
        <w:spacing w:after="0" w:line="301" w:lineRule="auto"/>
        <w:rPr>
          <w:sz w:val="20"/>
          <w:szCs w:val="20"/>
          <w:color w:val="auto"/>
        </w:rPr>
      </w:pPr>
      <w:r>
        <w:rPr>
          <w:rFonts w:ascii="Arial" w:cs="Arial" w:eastAsia="Arial" w:hAnsi="Arial"/>
          <w:sz w:val="16"/>
          <w:szCs w:val="16"/>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December 31, 2021 and 2020, we were in compliance with the terms of the indenture governing the 2022 Convertible Notes.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right="20" w:firstLine="255"/>
        <w:spacing w:after="0" w:line="301" w:lineRule="auto"/>
        <w:rPr>
          <w:sz w:val="20"/>
          <w:szCs w:val="20"/>
          <w:color w:val="auto"/>
        </w:rPr>
      </w:pPr>
      <w:r>
        <w:rPr>
          <w:rFonts w:ascii="Arial" w:cs="Arial" w:eastAsia="Arial" w:hAnsi="Arial"/>
          <w:sz w:val="16"/>
          <w:szCs w:val="16"/>
          <w:color w:val="auto"/>
        </w:rPr>
        <w:t>The 2022 Convertible Notes are accounted for in accordance with ASC Topic 470-20. During the period ended March 31, 2021, we early adopted ASU 2020-06 and in accordance with this guidance reclassed the remaining unamortized discount on the 2022 Convertible Notes from the carrying value of the instrument to “additional paid-in capital” in the accompanying consolidated balance sheet. As a requirement under ASU 2020-06 we calculate diluted earnings per shares using the if-converted method which assumes full share settlement for the aggregate value of the 2022 Convertible Notes.</w:t>
      </w:r>
    </w:p>
    <w:p>
      <w:pPr>
        <w:spacing w:after="0" w:line="157" w:lineRule="exact"/>
        <w:rPr>
          <w:sz w:val="20"/>
          <w:szCs w:val="20"/>
          <w:color w:val="auto"/>
        </w:rPr>
      </w:pPr>
    </w:p>
    <w:p>
      <w:pPr>
        <w:jc w:val="both"/>
        <w:ind w:right="140" w:firstLine="255"/>
        <w:spacing w:after="0" w:line="311" w:lineRule="auto"/>
        <w:rPr>
          <w:sz w:val="20"/>
          <w:szCs w:val="20"/>
          <w:color w:val="auto"/>
        </w:rPr>
      </w:pPr>
      <w:r>
        <w:rPr>
          <w:rFonts w:ascii="Arial" w:cs="Arial" w:eastAsia="Arial" w:hAnsi="Arial"/>
          <w:sz w:val="16"/>
          <w:szCs w:val="16"/>
          <w:color w:val="auto"/>
        </w:rPr>
        <w:t>The average daily closing price of our common stock for the year ended December 31, 2021 was greater than the estimated adjusted conversion price for the 2022 Convertible Notes outstanding as of December 31, 2021. The average daily closing price of our common stock for the year ended December 31, 2020 was less than the estimated adjusted conversion price for the 2022 Convertible Notes outstanding as of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180" w:firstLine="255"/>
        <w:spacing w:after="0" w:line="259" w:lineRule="auto"/>
        <w:rPr>
          <w:sz w:val="20"/>
          <w:szCs w:val="20"/>
          <w:color w:val="auto"/>
        </w:rPr>
      </w:pPr>
      <w:r>
        <w:rPr>
          <w:rFonts w:ascii="Arial" w:cs="Arial" w:eastAsia="Arial" w:hAnsi="Arial"/>
          <w:sz w:val="18"/>
          <w:szCs w:val="18"/>
          <w:color w:val="auto"/>
        </w:rPr>
        <w:t>In connection with the 2023 Notes offering, we entered into an interest rate swap to align the interest rates of our liabilities with our investment portfolio, which consists of predominately floating rate loans. The notional amount of the interest rate swap is $150.0 million, which matures on January 22, 2023, matching the maturity date of the 2023 Notes. As a result of the swap, our effective interest rate on the 2023 Notes is three-month LIBOR plus 1.99%.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6"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LIBOR plus 2.28% (on a weighted average basis).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1" w:name="page82"/>
    <w:bookmarkEnd w:id="81"/>
    <w:p>
      <w:pPr>
        <w:ind w:firstLine="255"/>
        <w:spacing w:after="0" w:line="254" w:lineRule="auto"/>
        <w:rPr>
          <w:sz w:val="20"/>
          <w:szCs w:val="20"/>
          <w:color w:val="auto"/>
        </w:rPr>
      </w:pPr>
      <w:r>
        <w:rPr>
          <w:rFonts w:ascii="Arial" w:cs="Arial" w:eastAsia="Arial" w:hAnsi="Arial"/>
          <w:sz w:val="18"/>
          <w:szCs w:val="18"/>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76"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three-month LIBOR plus 1.91%.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2021 and 2020, we had the following commitments to fund investments in current portfolio companies: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920" w:type="dxa"/>
            <w:vAlign w:val="bottom"/>
          </w:tcPr>
          <w:p>
            <w:pPr>
              <w:spacing w:after="0"/>
              <w:rPr>
                <w:sz w:val="20"/>
                <w:szCs w:val="20"/>
                <w:color w:val="auto"/>
              </w:rPr>
            </w:pPr>
            <w:r>
              <w:rPr>
                <w:rFonts w:ascii="Arial" w:cs="Arial" w:eastAsia="Arial" w:hAnsi="Arial"/>
                <w:sz w:val="14"/>
                <w:szCs w:val="14"/>
                <w:color w:val="auto"/>
              </w:rPr>
              <w:t>($ in millions)</w:t>
            </w:r>
          </w:p>
        </w:tc>
        <w:tc>
          <w:tcPr>
            <w:tcW w:w="8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December 31, 2021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59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Alpha Midco, Inc. - Delayed Draw</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80" w:type="dxa"/>
            <w:vAlign w:val="bottom"/>
            <w:tcBorders>
              <w:top w:val="single" w:sz="8" w:color="CFF0FC"/>
            </w:tcBorders>
            <w:shd w:val="clear" w:color="auto" w:fill="CFF0FC"/>
          </w:tcPr>
          <w:p>
            <w:pPr>
              <w:spacing w:after="0"/>
              <w:rPr>
                <w:sz w:val="13"/>
                <w:szCs w:val="13"/>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American Achievement, Corp. -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AvidXchange, Inc. - Delayed Draw</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Axonify, Inc.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Bayshore Intermediate #2, L.P. -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Biohaven Pharmaceuticals, Inc.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BlueSnap, Inc.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Clinicient, Inc. -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DaySmart Holdings, LLC - Delayed Draw</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Destiny Solutions Parent Holding Company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Dye &amp; Durham Corp.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Employment Hero Holdings Pty Ltd. - Delayed Draw &amp;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EMS Linq, Inc. -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ExtraHop Networks, Inc.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Factor Systems, Inc. - Delayed Draw</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ForeScout Technologies, Inc. -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G Treasury SS, LLC - Delayed Draw</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Ibis Intermediate Co.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Integration Appliance, Inc. -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IntelePeer Holdings, Inc.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InvMetrics Holdings, Inc. -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IRGSE Holding Corp. -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Kyriba Corp.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Lexipol, LLC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Lithium Technologies, LLC -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Lucidworks, Inc. -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Netwrix Corp.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Neuintel, LLC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Nintex Global, Ltd. -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PageUp People, Ltd. - Delayed Draw &amp;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Passport Labs, Inc.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PayScale Holdings, Inc.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PrimePay Intermediate, LLC - Delayed Draw</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PrimeRevenue, Inc. - Delayed Draw &amp;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Project44, Inc. - Delayed Draw</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ReliaQuest Holdings, LLC - Delayed Draw &amp; Revolver</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ResMan, LLC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Sprinklr, Inc. - Delayed Draw Convertible Note</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Tango Management Consulting, LLC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TRP Assets, LLC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Valant Medical Solutions, Inc. - Delayed Draw &amp;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Verdad Resources Intermediate Holdings, LLC - Delayed Draw</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4"/>
                <w:szCs w:val="14"/>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color w:val="auto"/>
              </w:rPr>
              <w:t>WideOrbit, Inc. - Revolver</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FF0FC"/>
          </w:tcPr>
          <w:p>
            <w:pPr>
              <w:spacing w:after="0"/>
              <w:rPr>
                <w:sz w:val="14"/>
                <w:szCs w:val="14"/>
                <w:color w:val="auto"/>
              </w:rPr>
            </w:pPr>
          </w:p>
        </w:tc>
      </w:tr>
      <w:tr>
        <w:trPr>
          <w:trHeight w:val="162"/>
        </w:trPr>
        <w:tc>
          <w:tcPr>
            <w:tcW w:w="5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Workwell Acquisition Co. - Delayed Draw</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FF0FC"/>
            </w:tcBorders>
          </w:tcPr>
          <w:p>
            <w:pPr>
              <w:spacing w:after="0"/>
              <w:rPr>
                <w:sz w:val="14"/>
                <w:szCs w:val="14"/>
                <w:color w:val="auto"/>
              </w:rPr>
            </w:pPr>
          </w:p>
        </w:tc>
      </w:tr>
      <w:tr>
        <w:trPr>
          <w:trHeight w:val="155"/>
        </w:trPr>
        <w:tc>
          <w:tcPr>
            <w:tcW w:w="5920" w:type="dxa"/>
            <w:vAlign w:val="bottom"/>
            <w:tcBorders>
              <w:bottom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b w:val="1"/>
                <w:bCs w:val="1"/>
                <w:color w:val="auto"/>
              </w:rPr>
              <w:t xml:space="preserve">Total Portfolio Company Commitments </w:t>
            </w:r>
            <w:r>
              <w:rPr>
                <w:rFonts w:ascii="Arial" w:cs="Arial" w:eastAsia="Arial" w:hAnsi="Arial"/>
                <w:sz w:val="12"/>
                <w:szCs w:val="12"/>
                <w:b w:val="1"/>
                <w:bCs w:val="1"/>
                <w:color w:val="auto"/>
              </w:rPr>
              <w:t>(1)(2)</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332.1</w:t>
            </w:r>
          </w:p>
        </w:tc>
        <w:tc>
          <w:tcPr>
            <w:tcW w:w="2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192.8</w:t>
            </w:r>
          </w:p>
        </w:tc>
        <w:tc>
          <w:tcPr>
            <w:tcW w:w="80" w:type="dxa"/>
            <w:vAlign w:val="bottom"/>
            <w:tcBorders>
              <w:bottom w:val="single" w:sz="8" w:color="CFF0FC"/>
            </w:tcBorders>
            <w:shd w:val="clear" w:color="auto" w:fill="CFF0FC"/>
          </w:tcPr>
          <w:p>
            <w:pPr>
              <w:spacing w:after="0"/>
              <w:rPr>
                <w:sz w:val="13"/>
                <w:szCs w:val="13"/>
                <w:color w:val="auto"/>
              </w:rPr>
            </w:pPr>
          </w:p>
        </w:tc>
      </w:tr>
      <w:tr>
        <w:trPr>
          <w:trHeight w:val="20"/>
        </w:trPr>
        <w:tc>
          <w:tcPr>
            <w:tcW w:w="5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right="180" w:hanging="492"/>
        <w:spacing w:after="0" w:line="263"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00" w:right="580" w:hanging="492"/>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702" w:right="4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As of December 31, 2021 and December 31, 2020, we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440" w:firstLine="255"/>
        <w:spacing w:after="0" w:line="342" w:lineRule="auto"/>
        <w:rPr>
          <w:sz w:val="20"/>
          <w:szCs w:val="20"/>
          <w:color w:val="auto"/>
        </w:rPr>
      </w:pPr>
      <w:r>
        <w:rPr>
          <w:rFonts w:ascii="Arial" w:cs="Arial" w:eastAsia="Arial" w:hAnsi="Arial"/>
          <w:sz w:val="16"/>
          <w:szCs w:val="16"/>
          <w:color w:val="auto"/>
        </w:rPr>
        <w:t>From time to time, we may become a party to certain legal proceedings incidental to the normal course of our business. As of December 31, 2021, management is not aware of any material pending or threatened litigation that would require accounting recognition or financial statement disclosure.</w:t>
      </w:r>
    </w:p>
    <w:p>
      <w:pPr>
        <w:spacing w:after="0" w:line="124"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140" w:firstLine="255"/>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December 31, 2021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4"/>
                <w:szCs w:val="14"/>
                <w:b w:val="1"/>
                <w:bCs w:val="1"/>
                <w:color w:val="auto"/>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4"/>
                <w:szCs w:val="14"/>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1-3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2022 Convertible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2023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2024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2026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firstLine="255"/>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80" w:firstLine="255"/>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00" w:right="260" w:hanging="249"/>
        <w:spacing w:after="0" w:line="308"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00" w:right="340" w:hanging="249"/>
        <w:spacing w:after="0" w:line="277"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4" w:name="page85"/>
    <w:bookmarkEnd w:id="84"/>
    <w:p>
      <w:pPr>
        <w:jc w:val="both"/>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00" w:hanging="249"/>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44" w:lineRule="exact"/>
        <w:rPr>
          <w:rFonts w:ascii="Arial" w:cs="Arial" w:eastAsia="Arial" w:hAnsi="Arial"/>
          <w:sz w:val="18"/>
          <w:szCs w:val="18"/>
          <w:color w:val="auto"/>
        </w:rPr>
      </w:pPr>
    </w:p>
    <w:p>
      <w:pPr>
        <w:ind w:left="500" w:right="180" w:hanging="249"/>
        <w:spacing w:after="0" w:line="277"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52"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44" w:lineRule="exact"/>
        <w:rPr>
          <w:rFonts w:ascii="Arial" w:cs="Arial" w:eastAsia="Arial" w:hAnsi="Arial"/>
          <w:sz w:val="18"/>
          <w:szCs w:val="18"/>
          <w:color w:val="auto"/>
        </w:rPr>
      </w:pPr>
    </w:p>
    <w:p>
      <w:pPr>
        <w:ind w:left="500" w:right="380" w:hanging="249"/>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ongoing agreement with an affiliate of TPG governing, inter alia, the parties’ respective ownership of and rights to use the “Sixth Street” and “TPG” trademarks and certain variations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6"/>
          <w:szCs w:val="16"/>
          <w:i w:val="1"/>
          <w:iCs w:val="1"/>
          <w:color w:val="auto"/>
        </w:rPr>
        <w:t>“ITEM 1A. RISK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ind w:firstLine="255"/>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right="560" w:firstLine="255"/>
        <w:spacing w:after="0" w:line="277"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 and in combination of:</w:t>
      </w:r>
    </w:p>
    <w:p>
      <w:pPr>
        <w:spacing w:after="0" w:line="62" w:lineRule="exact"/>
        <w:rPr>
          <w:sz w:val="20"/>
          <w:szCs w:val="20"/>
          <w:color w:val="auto"/>
        </w:rPr>
      </w:pPr>
    </w:p>
    <w:p>
      <w:pPr>
        <w:ind w:left="500" w:hanging="249"/>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value of the portfolio company’s net debt and equity);</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44" w:lineRule="exact"/>
        <w:rPr>
          <w:rFonts w:ascii="Arial" w:cs="Arial" w:eastAsia="Arial" w:hAnsi="Arial"/>
          <w:sz w:val="18"/>
          <w:szCs w:val="18"/>
          <w:color w:val="auto"/>
        </w:rPr>
      </w:pPr>
    </w:p>
    <w:p>
      <w:pPr>
        <w:ind w:left="500" w:hanging="249"/>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44" w:lineRule="exact"/>
        <w:rPr>
          <w:rFonts w:ascii="Arial" w:cs="Arial" w:eastAsia="Arial" w:hAnsi="Arial"/>
          <w:sz w:val="18"/>
          <w:szCs w:val="18"/>
          <w:color w:val="auto"/>
        </w:rPr>
      </w:pPr>
    </w:p>
    <w:p>
      <w:pPr>
        <w:ind w:left="500" w:right="240" w:hanging="249"/>
        <w:spacing w:after="0" w:line="277"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hanging="249"/>
        <w:spacing w:after="0" w:line="277"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320" w:hanging="249"/>
        <w:spacing w:after="0" w:line="277"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44" w:lineRule="exact"/>
        <w:rPr>
          <w:rFonts w:ascii="Arial" w:cs="Arial" w:eastAsia="Arial" w:hAnsi="Arial"/>
          <w:sz w:val="18"/>
          <w:szCs w:val="18"/>
          <w:color w:val="auto"/>
        </w:rPr>
      </w:pPr>
    </w:p>
    <w:p>
      <w:pPr>
        <w:ind w:left="500" w:right="20" w:hanging="249"/>
        <w:spacing w:after="0" w:line="263"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8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December 31, 2021,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 xml:space="preserve">We apply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00" w:hanging="249"/>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44" w:lineRule="exact"/>
        <w:rPr>
          <w:rFonts w:ascii="Arial" w:cs="Arial" w:eastAsia="Arial" w:hAnsi="Arial"/>
          <w:sz w:val="18"/>
          <w:szCs w:val="18"/>
          <w:color w:val="auto"/>
        </w:rPr>
      </w:pPr>
    </w:p>
    <w:p>
      <w:pPr>
        <w:ind w:left="500" w:right="520" w:hanging="249"/>
        <w:spacing w:after="0" w:line="277"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86" w:name="page87"/>
    <w:bookmarkEnd w:id="86"/>
    <w:p>
      <w:pPr>
        <w:ind w:firstLine="255"/>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8"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our consolidated financial statements included in this Form 10-K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4"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60" w:firstLine="255"/>
        <w:spacing w:after="0" w:line="272" w:lineRule="auto"/>
        <w:rPr>
          <w:sz w:val="20"/>
          <w:szCs w:val="20"/>
          <w:color w:val="auto"/>
        </w:rPr>
      </w:pPr>
      <w:r>
        <w:rPr>
          <w:rFonts w:ascii="Arial" w:cs="Arial" w:eastAsia="Arial" w:hAnsi="Arial"/>
          <w:sz w:val="17"/>
          <w:szCs w:val="17"/>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2021, the Company did not have any uncertain tax positions that met the recognition or measurement criteria, nor did the Company have any unrecognized tax benefits. Our 2020, 2019 and 2018 tax year returns remain subject to examination by the relevant federal, state, and local tax authorities.</w:t>
      </w:r>
    </w:p>
    <w:p>
      <w:pPr>
        <w:spacing w:after="0" w:line="177"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2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4" w:lineRule="exact"/>
        <w:rPr>
          <w:sz w:val="20"/>
          <w:szCs w:val="20"/>
          <w:color w:val="auto"/>
        </w:rPr>
      </w:pPr>
    </w:p>
    <w:p>
      <w:pPr>
        <w:jc w:val="both"/>
        <w:ind w:right="40" w:firstLine="255"/>
        <w:spacing w:after="0" w:line="259" w:lineRule="auto"/>
        <w:rPr>
          <w:sz w:val="20"/>
          <w:szCs w:val="20"/>
          <w:color w:val="auto"/>
        </w:rPr>
      </w:pPr>
      <w:r>
        <w:rPr>
          <w:rFonts w:ascii="Arial" w:cs="Arial" w:eastAsia="Arial" w:hAnsi="Arial"/>
          <w:sz w:val="18"/>
          <w:szCs w:val="18"/>
          <w:color w:val="auto"/>
        </w:rPr>
        <w:t>As of December 31, 2021, 98.9% of our debt investments based on fair value in our portfolio bore interest at floating rates (when including investment specific hedges), with 99.4% of these subject to interest rate floors. Our credit facilities also bear interest at floating rates, and in connection with our 2022 Convertible Notes, 2023 Notes, 2024 Notes and 2026 Notes, which bear interest at fixed rates, we entered into fixed-to-floating interest rate swaps in order to align the interest rates of our liabilities with our investment portfolio.</w:t>
      </w:r>
    </w:p>
    <w:p>
      <w:pPr>
        <w:spacing w:after="0" w:line="18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Assuming that our consolidated balance sheet as of December 31, 2021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00" w:type="dxa"/>
            <w:vAlign w:val="bottom"/>
          </w:tcPr>
          <w:p>
            <w:pPr>
              <w:spacing w:after="0"/>
              <w:rPr>
                <w:sz w:val="14"/>
                <w:szCs w:val="14"/>
                <w:color w:val="auto"/>
              </w:rPr>
            </w:pPr>
          </w:p>
        </w:tc>
        <w:tc>
          <w:tcPr>
            <w:tcW w:w="1080" w:type="dxa"/>
            <w:vAlign w:val="bottom"/>
          </w:tcPr>
          <w:p>
            <w:pPr>
              <w:jc w:val="right"/>
              <w:ind w:right="14"/>
              <w:spacing w:after="0"/>
              <w:rPr>
                <w:sz w:val="20"/>
                <w:szCs w:val="20"/>
                <w:color w:val="auto"/>
              </w:rPr>
            </w:pPr>
            <w:r>
              <w:rPr>
                <w:rFonts w:ascii="Arial" w:cs="Arial" w:eastAsia="Arial" w:hAnsi="Arial"/>
                <w:sz w:val="14"/>
                <w:szCs w:val="14"/>
                <w:b w:val="1"/>
                <w:bCs w:val="1"/>
                <w:color w:val="auto"/>
                <w:w w:val="92"/>
              </w:rPr>
              <w:t>Interest Income</w:t>
            </w:r>
          </w:p>
        </w:tc>
        <w:tc>
          <w:tcPr>
            <w:tcW w:w="240" w:type="dxa"/>
            <w:vAlign w:val="bottom"/>
          </w:tcPr>
          <w:p>
            <w:pPr>
              <w:spacing w:after="0"/>
              <w:rPr>
                <w:sz w:val="14"/>
                <w:szCs w:val="14"/>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Interest Expense</w:t>
            </w:r>
          </w:p>
        </w:tc>
        <w:tc>
          <w:tcPr>
            <w:tcW w:w="16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w:t>
            </w:r>
          </w:p>
        </w:tc>
        <w:tc>
          <w:tcPr>
            <w:tcW w:w="7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72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c>
          <w:tcPr>
            <w:tcW w:w="7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4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20" w:type="dxa"/>
            <w:vAlign w:val="bottom"/>
            <w:gridSpan w:val="8"/>
            <w:vMerge w:val="restart"/>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11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5"/>
        </w:trPr>
        <w:tc>
          <w:tcPr>
            <w:tcW w:w="10120" w:type="dxa"/>
            <w:vAlign w:val="bottom"/>
            <w:gridSpan w:val="8"/>
            <w:vMerge w:val="continue"/>
          </w:tcPr>
          <w:p>
            <w:pPr>
              <w:spacing w:after="0"/>
              <w:rPr>
                <w:sz w:val="13"/>
                <w:szCs w:val="13"/>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Consolidated Balance Sheets as of December 31, 2021 and 2020</w:t>
              </w:r>
            </w:hyperlink>
          </w:p>
        </w:tc>
        <w:tc>
          <w:tcPr>
            <w:tcW w:w="5460" w:type="dxa"/>
            <w:vAlign w:val="bottom"/>
            <w:gridSpan w:val="5"/>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Consolidated Statements of Operations for the Years Ended December 31, 2021, 2020 and 2019</w:t>
              </w:r>
            </w:hyperlink>
          </w:p>
        </w:tc>
        <w:tc>
          <w:tcPr>
            <w:tcW w:w="3200" w:type="dxa"/>
            <w:vAlign w:val="bottom"/>
            <w:gridSpan w:val="3"/>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54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Consolidated Schedules of Investments as of December 31, 2021 and 2020</w:t>
              </w:r>
            </w:hyperlink>
          </w:p>
        </w:tc>
        <w:tc>
          <w:tcPr>
            <w:tcW w:w="4720" w:type="dxa"/>
            <w:vAlign w:val="bottom"/>
            <w:gridSpan w:val="4"/>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18"/>
        </w:trPr>
        <w:tc>
          <w:tcPr>
            <w:tcW w:w="10120" w:type="dxa"/>
            <w:vAlign w:val="bottom"/>
            <w:gridSpan w:val="8"/>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Changes in Net Assets for the Years Ended December 31, 2021, 2020 and 2019</w:t>
              </w:r>
            </w:hyperlink>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317"/>
        </w:trPr>
        <w:tc>
          <w:tcPr>
            <w:tcW w:w="7740" w:type="dxa"/>
            <w:vAlign w:val="bottom"/>
            <w:tcBorders>
              <w:top w:val="single" w:sz="8" w:color="0000EE"/>
            </w:tcBorders>
            <w:gridSpan w:val="7"/>
          </w:tcPr>
          <w:p>
            <w:pP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Consolidated Statements of Cash Flows for the Years Ended December 31, 2021, 2020 and 2019</w:t>
              </w:r>
            </w:hyperlink>
          </w:p>
        </w:tc>
        <w:tc>
          <w:tcPr>
            <w:tcW w:w="23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3160" w:type="dxa"/>
            <w:vAlign w:val="bottom"/>
            <w:gridSpan w:val="2"/>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ind w:right="200" w:firstLine="255"/>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Sixth Street Specialty Lending, Inc. and subsidiaries (the Company), including the consolidated schedules of investments, as of December 31, 2021 and 2020, the related consolidated statements of operations, changes in net assets,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53" w:lineRule="exact"/>
        <w:rPr>
          <w:sz w:val="20"/>
          <w:szCs w:val="20"/>
          <w:color w:val="auto"/>
        </w:rPr>
      </w:pPr>
    </w:p>
    <w:p>
      <w:pPr>
        <w:ind w:right="280" w:firstLine="255"/>
        <w:spacing w:after="0" w:line="296"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2021 and 2020, and the results of its operations, changes in its net assets,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380" w:firstLine="255"/>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2021 and 2020, by correspondence with custodians,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right="100" w:firstLine="255"/>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Assessment of the fair value of investments</w:t>
      </w:r>
    </w:p>
    <w:p>
      <w:pPr>
        <w:spacing w:after="0" w:line="117" w:lineRule="exact"/>
        <w:rPr>
          <w:sz w:val="20"/>
          <w:szCs w:val="20"/>
          <w:color w:val="auto"/>
        </w:rPr>
      </w:pPr>
    </w:p>
    <w:p>
      <w:pPr>
        <w:ind w:right="120" w:firstLine="255"/>
        <w:spacing w:after="0" w:line="296" w:lineRule="auto"/>
        <w:rPr>
          <w:sz w:val="20"/>
          <w:szCs w:val="20"/>
          <w:color w:val="auto"/>
        </w:rPr>
      </w:pPr>
      <w:r>
        <w:rPr>
          <w:rFonts w:ascii="Arial" w:cs="Arial" w:eastAsia="Arial" w:hAnsi="Arial"/>
          <w:sz w:val="16"/>
          <w:szCs w:val="16"/>
          <w:color w:val="auto"/>
        </w:rPr>
        <w:t>As discussed in Notes 2, 4, and 6 to the consolidated financial statements, the Company classified $2.43 billion of its debt and equity investments as Level 3 in the fair value hierarchy as of December 31, 2021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53"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We identified the assessment of the fair value of Level 3 debt and equity investments as a critical audit matter because evaluating the assumptions used to measure fair value involved a high degree of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49"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$2,354,984 and $2,187,427,</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$12,666 and $12,892, respectively)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$64,362 and $58,709, respectively)</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investments at fair value (amortized cost of $2,432,012 and $2,259,028, respectively)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2,521,593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$14,399 and $10,815, respectively)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Debt (net of deferred financing costs of $19,147 and $17,246, respectively)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1,185,964</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1,276,009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76,067,586</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67,980,253 shares issued, respectively; and 75,771,542 and 67,684,209</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1,189,275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(4,291)</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1,275,848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31, 2020</w:t>
            </w:r>
          </w:p>
        </w:tc>
        <w:tc>
          <w:tcPr>
            <w:tcW w:w="14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69"/>
        </w:trPr>
        <w:tc>
          <w:tcPr>
            <w:tcW w:w="57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261,782</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237,260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224,810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Dividend income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3,426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1,816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7,751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22,174</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13,838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6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non-controlled, non-affiliated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620"/>
              <w:spacing w:after="0"/>
              <w:rPr>
                <w:sz w:val="20"/>
                <w:szCs w:val="20"/>
                <w:color w:val="auto"/>
              </w:rPr>
            </w:pPr>
            <w:r>
              <w:rPr>
                <w:rFonts w:ascii="Arial" w:cs="Arial" w:eastAsia="Arial" w:hAnsi="Arial"/>
                <w:sz w:val="15"/>
                <w:szCs w:val="15"/>
                <w:color w:val="auto"/>
              </w:rPr>
              <w:t>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272,959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261,250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239,068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838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4,606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6,370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 income</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Other income</w:t>
            </w:r>
          </w:p>
        </w:tc>
        <w:tc>
          <w:tcPr>
            <w:tcW w:w="14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368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ind w:left="500"/>
              <w:spacing w:after="0" w:line="156" w:lineRule="exact"/>
              <w:rPr>
                <w:sz w:val="20"/>
                <w:szCs w:val="20"/>
                <w:color w:val="auto"/>
              </w:rPr>
            </w:pPr>
            <w:r>
              <w:rPr>
                <w:rFonts w:ascii="Arial" w:cs="Arial" w:eastAsia="Arial" w:hAnsi="Arial"/>
                <w:sz w:val="15"/>
                <w:szCs w:val="15"/>
                <w:color w:val="auto"/>
              </w:rPr>
              <w:t>Total investment income from non-controlled, affiliated</w:t>
            </w: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620"/>
              <w:spacing w:after="0"/>
              <w:rPr>
                <w:sz w:val="20"/>
                <w:szCs w:val="20"/>
                <w:color w:val="auto"/>
              </w:rPr>
            </w:pPr>
            <w:r>
              <w:rPr>
                <w:rFonts w:ascii="Arial" w:cs="Arial" w:eastAsia="Arial" w:hAnsi="Arial"/>
                <w:sz w:val="15"/>
                <w:szCs w:val="15"/>
                <w:color w:val="auto"/>
              </w:rPr>
              <w:t>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income</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income from controlled, affiliated investments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4,056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3,813</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5,969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278,593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270,037</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251,495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20"/>
                <w:szCs w:val="20"/>
                <w:color w:val="auto"/>
              </w:rPr>
            </w:pPr>
            <w:r>
              <w:rPr>
                <w:rFonts w:ascii="Arial" w:cs="Arial" w:eastAsia="Arial" w:hAnsi="Arial"/>
                <w:sz w:val="15"/>
                <w:szCs w:val="15"/>
                <w:color w:val="auto"/>
              </w:rPr>
              <w:t>Interest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38,825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39,402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49,110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Management fees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37,081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32,105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20"/>
                <w:szCs w:val="20"/>
                <w:color w:val="auto"/>
              </w:rPr>
            </w:pPr>
            <w:r>
              <w:rPr>
                <w:rFonts w:ascii="Arial" w:cs="Arial" w:eastAsia="Arial" w:hAnsi="Arial"/>
                <w:sz w:val="15"/>
                <w:szCs w:val="15"/>
                <w:color w:val="auto"/>
              </w:rPr>
              <w:t>Incentive fees on net investment income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33,062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31,483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27,211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Incentive fees on net capital gains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Arial" w:cs="Arial" w:eastAsia="Arial" w:hAnsi="Arial"/>
                <w:sz w:val="15"/>
                <w:szCs w:val="15"/>
                <w:color w:val="auto"/>
              </w:rPr>
              <w:t>Professional fees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6,586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6,775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6,530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Directors’ fees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general and administrative</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5,262</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136,040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117,273</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119,462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color w:val="auto"/>
              </w:rPr>
              <w:t>Management and incentive fees waived (Note 3)</w:t>
            </w:r>
          </w:p>
        </w:tc>
        <w:tc>
          <w:tcPr>
            <w:tcW w:w="140" w:type="dxa"/>
            <w:vAlign w:val="bottom"/>
          </w:tcPr>
          <w:p>
            <w:pPr>
              <w:spacing w:after="0"/>
              <w:rPr>
                <w:sz w:val="14"/>
                <w:szCs w:val="14"/>
                <w:color w:val="auto"/>
              </w:rPr>
            </w:pPr>
          </w:p>
        </w:tc>
        <w:tc>
          <w:tcPr>
            <w:tcW w:w="16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(190)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5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76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135,850</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117,273</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119,462</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142,743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152,764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132,033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Income taxes, including excise taxes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5,760</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142,359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147,004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128,283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20"/>
                <w:szCs w:val="20"/>
                <w:color w:val="auto"/>
              </w:rPr>
            </w:pPr>
            <w:r>
              <w:rPr>
                <w:rFonts w:ascii="Arial" w:cs="Arial" w:eastAsia="Arial" w:hAnsi="Arial"/>
                <w:sz w:val="15"/>
                <w:szCs w:val="15"/>
                <w:color w:val="auto"/>
              </w:rPr>
              <w:t>Net change in unrealized gains (losses):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17,938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10,304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14,350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2,785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17,450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18,862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(12,381)</w:t>
            </w:r>
          </w:p>
        </w:tc>
        <w:tc>
          <w:tcPr>
            <w:tcW w:w="0" w:type="dxa"/>
            <w:vAlign w:val="bottom"/>
          </w:tcPr>
          <w:p>
            <w:pPr>
              <w:spacing w:after="0"/>
              <w:rPr>
                <w:sz w:val="1"/>
                <w:szCs w:val="1"/>
                <w:color w:val="auto"/>
              </w:rPr>
            </w:pPr>
          </w:p>
        </w:tc>
      </w:tr>
      <w:tr>
        <w:trPr>
          <w:trHeight w:val="176"/>
        </w:trPr>
        <w:tc>
          <w:tcPr>
            <w:tcW w:w="5760" w:type="dxa"/>
            <w:vAlign w:val="bottom"/>
          </w:tcPr>
          <w:p>
            <w:pPr>
              <w:ind w:left="260"/>
              <w:spacing w:after="0"/>
              <w:rPr>
                <w:sz w:val="20"/>
                <w:szCs w:val="20"/>
                <w:color w:val="auto"/>
              </w:rPr>
            </w:pPr>
            <w:r>
              <w:rPr>
                <w:rFonts w:ascii="Arial" w:cs="Arial" w:eastAsia="Arial" w:hAnsi="Arial"/>
                <w:sz w:val="15"/>
                <w:szCs w:val="15"/>
                <w:color w:val="auto"/>
              </w:rPr>
              <w:t>Translation of other assets and liabilities in foreign currencies</w:t>
            </w:r>
          </w:p>
        </w:tc>
        <w:tc>
          <w:tcPr>
            <w:tcW w:w="14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5"/>
                <w:szCs w:val="15"/>
                <w:color w:val="auto"/>
              </w:rPr>
              <w:t>(591)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5"/>
                <w:szCs w:val="15"/>
                <w:color w:val="auto"/>
              </w:rPr>
              <w:t>(5,068)</w:t>
            </w:r>
          </w:p>
        </w:tc>
        <w:tc>
          <w:tcPr>
            <w:tcW w:w="14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5"/>
                <w:szCs w:val="15"/>
                <w:color w:val="auto"/>
              </w:rPr>
              <w:t>(3,255)</w:t>
            </w: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(6,699)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6,812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Income tax provision</w:t>
            </w:r>
          </w:p>
        </w:tc>
        <w:tc>
          <w:tcPr>
            <w:tcW w:w="14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5"/>
                <w:szCs w:val="15"/>
                <w:color w:val="auto"/>
              </w:rPr>
              <w:t>(1,902)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76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net change in unrealized gains (losses)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40,546</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33,695</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24,262</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color w:val="auto"/>
              </w:rPr>
              <w:t>Realized gains (losses):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28,849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25,382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14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7,854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(36,352)</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(3,594)</w:t>
            </w: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Extinguishment of debt</w:t>
            </w:r>
          </w:p>
        </w:tc>
        <w:tc>
          <w:tcPr>
            <w:tcW w:w="14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739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60"/>
              <w:spacing w:after="0"/>
              <w:rPr>
                <w:sz w:val="20"/>
                <w:szCs w:val="20"/>
                <w:color w:val="auto"/>
              </w:rPr>
            </w:pPr>
            <w:r>
              <w:rPr>
                <w:rFonts w:ascii="Arial" w:cs="Arial" w:eastAsia="Arial" w:hAnsi="Arial"/>
                <w:sz w:val="15"/>
                <w:szCs w:val="15"/>
                <w:color w:val="auto"/>
              </w:rPr>
              <w:t>Foreign currency transactions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5"/>
                <w:szCs w:val="15"/>
                <w:color w:val="auto"/>
              </w:rPr>
              <w:t>(152)</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ind w:left="740"/>
              <w:spacing w:after="0"/>
              <w:rPr>
                <w:sz w:val="20"/>
                <w:szCs w:val="20"/>
                <w:color w:val="auto"/>
              </w:rPr>
            </w:pPr>
            <w:r>
              <w:rPr>
                <w:rFonts w:ascii="Arial" w:cs="Arial" w:eastAsia="Arial" w:hAnsi="Arial"/>
                <w:sz w:val="15"/>
                <w:szCs w:val="15"/>
                <w:color w:val="auto"/>
              </w:rPr>
              <w:t>Total net realized gains (losses)</w:t>
            </w: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28,875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(2,591)</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b w:val="1"/>
                <w:bCs w:val="1"/>
                <w:color w:val="auto"/>
              </w:rPr>
              <w:t>Total Unrealized and Realized Gains (Losses)</w:t>
            </w: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69,421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31,104</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26,300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FF0FC"/>
          </w:tcPr>
          <w:p>
            <w:pPr>
              <w:ind w:left="1000"/>
              <w:spacing w:after="0" w:line="169" w:lineRule="exact"/>
              <w:rPr>
                <w:sz w:val="20"/>
                <w:szCs w:val="20"/>
                <w:color w:val="auto"/>
              </w:rPr>
            </w:pPr>
            <w:r>
              <w:rPr>
                <w:rFonts w:ascii="Arial" w:cs="Arial" w:eastAsia="Arial" w:hAnsi="Arial"/>
                <w:sz w:val="15"/>
                <w:szCs w:val="15"/>
                <w:b w:val="1"/>
                <w:bCs w:val="1"/>
                <w:color w:val="auto"/>
              </w:rPr>
              <w:t>Increase in Net Assets Resulting from Operations</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211,780</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178,108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154,583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Earnings per common share—basic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156" w:lineRule="exact"/>
              <w:rPr>
                <w:sz w:val="20"/>
                <w:szCs w:val="20"/>
                <w:color w:val="auto"/>
              </w:rPr>
            </w:pPr>
            <w:r>
              <w:rPr>
                <w:rFonts w:ascii="Arial" w:cs="Arial" w:eastAsia="Arial" w:hAnsi="Arial"/>
                <w:sz w:val="15"/>
                <w:szCs w:val="15"/>
                <w:color w:val="auto"/>
              </w:rPr>
              <w:t>2.93</w:t>
            </w:r>
          </w:p>
        </w:tc>
        <w:tc>
          <w:tcPr>
            <w:tcW w:w="160" w:type="dxa"/>
            <w:vAlign w:val="bottom"/>
          </w:tcPr>
          <w:p>
            <w:pPr>
              <w:spacing w:after="0"/>
              <w:rPr>
                <w:sz w:val="13"/>
                <w:szCs w:val="13"/>
                <w:color w:val="auto"/>
              </w:rPr>
            </w:pPr>
          </w:p>
        </w:tc>
        <w:tc>
          <w:tcPr>
            <w:tcW w:w="26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56" w:lineRule="exact"/>
              <w:rPr>
                <w:sz w:val="20"/>
                <w:szCs w:val="20"/>
                <w:color w:val="auto"/>
              </w:rPr>
            </w:pPr>
            <w:r>
              <w:rPr>
                <w:rFonts w:ascii="Arial" w:cs="Arial" w:eastAsia="Arial" w:hAnsi="Arial"/>
                <w:sz w:val="15"/>
                <w:szCs w:val="15"/>
                <w:color w:val="auto"/>
              </w:rPr>
              <w:t>2.65</w:t>
            </w:r>
          </w:p>
        </w:tc>
        <w:tc>
          <w:tcPr>
            <w:tcW w:w="28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line="156" w:lineRule="exact"/>
              <w:rPr>
                <w:sz w:val="20"/>
                <w:szCs w:val="20"/>
                <w:color w:val="auto"/>
              </w:rPr>
            </w:pPr>
            <w:r>
              <w:rPr>
                <w:rFonts w:ascii="Arial" w:cs="Arial" w:eastAsia="Arial" w:hAnsi="Arial"/>
                <w:sz w:val="15"/>
                <w:szCs w:val="15"/>
                <w:color w:val="auto"/>
              </w:rPr>
              <w:t>2.34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Weighted average shares of common stock outstanding—basic</w:t>
            </w: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72,169,488</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67,209,078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66,069,305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color w:val="auto"/>
              </w:rPr>
              <w:t>Earnings per common share—diluted</w:t>
            </w: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60" w:type="dxa"/>
            <w:vAlign w:val="bottom"/>
            <w:vMerge w:val="continue"/>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2.79</w:t>
            </w:r>
          </w:p>
        </w:tc>
        <w:tc>
          <w:tcPr>
            <w:tcW w:w="160" w:type="dxa"/>
            <w:vAlign w:val="bottom"/>
          </w:tcPr>
          <w:p>
            <w:pPr>
              <w:spacing w:after="0"/>
              <w:rPr>
                <w:sz w:val="14"/>
                <w:szCs w:val="14"/>
                <w:color w:val="auto"/>
              </w:rPr>
            </w:pPr>
          </w:p>
        </w:tc>
        <w:tc>
          <w:tcPr>
            <w:tcW w:w="2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2.65</w:t>
            </w:r>
          </w:p>
        </w:tc>
        <w:tc>
          <w:tcPr>
            <w:tcW w:w="2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2.34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Weighted average shares of common stock outstanding—diluted</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77,702,258</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67,209,078</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66,069,305</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Reference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Rate and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64"/>
              <w:spacing w:after="0" w:line="135" w:lineRule="exact"/>
              <w:rPr>
                <w:sz w:val="20"/>
                <w:szCs w:val="20"/>
                <w:color w:val="auto"/>
              </w:rPr>
            </w:pPr>
            <w:r>
              <w:rPr>
                <w:rFonts w:ascii="Arial" w:cs="Arial" w:eastAsia="Arial" w:hAnsi="Arial"/>
                <w:sz w:val="13"/>
                <w:szCs w:val="13"/>
                <w:b w:val="1"/>
                <w:bCs w:val="1"/>
                <w:color w:val="auto"/>
                <w:w w:val="91"/>
              </w:rPr>
              <w:t>Percentage</w:t>
            </w:r>
          </w:p>
        </w:tc>
      </w:tr>
      <w:tr>
        <w:trPr>
          <w:trHeight w:val="15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620" w:type="dxa"/>
            <w:vAlign w:val="bottom"/>
            <w:gridSpan w:val="2"/>
          </w:tcPr>
          <w:p>
            <w:pPr>
              <w:ind w:left="94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Spread</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1"/>
              </w:rPr>
              <w:t>Interest Rate</w:t>
            </w:r>
          </w:p>
        </w:tc>
        <w:tc>
          <w:tcPr>
            <w:tcW w:w="10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 xml:space="preserve">Fair Value </w:t>
            </w:r>
            <w:r>
              <w:rPr>
                <w:rFonts w:ascii="Arial" w:cs="Arial" w:eastAsia="Arial" w:hAnsi="Arial"/>
                <w:sz w:val="10"/>
                <w:szCs w:val="10"/>
                <w:b w:val="1"/>
                <w:bCs w:val="1"/>
                <w:color w:val="auto"/>
                <w:w w:val="90"/>
              </w:rPr>
              <w:t>(10)</w:t>
            </w:r>
          </w:p>
        </w:tc>
        <w:tc>
          <w:tcPr>
            <w:tcW w:w="90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w w:val="84"/>
              </w:rPr>
              <w:t>of Net Assets</w:t>
            </w:r>
          </w:p>
        </w:tc>
      </w:tr>
      <w:tr>
        <w:trPr>
          <w:trHeight w:val="210"/>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74,062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+ 4.75%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55,724</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$60,246</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r>
      <w:tr>
        <w:trPr>
          <w:trHeight w:val="206"/>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10/2025)</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76,099)</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($64,435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63,312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65,469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Dye &amp; Durham Corp. </w:t>
            </w:r>
            <w:r>
              <w:rPr>
                <w:rFonts w:ascii="Arial" w:cs="Arial" w:eastAsia="Arial" w:hAnsi="Arial"/>
                <w:sz w:val="24"/>
                <w:szCs w:val="24"/>
                <w:color w:val="auto"/>
                <w:vertAlign w:val="superscript"/>
              </w:rPr>
              <w:t>(3)(4)</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55,042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12/3/2021</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41,946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43,961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12/2027)</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55,529)</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ExtraHop Networks,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($50,611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7/22/2021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49,283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49,659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7/2027)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ForeScout Technologies,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($5,127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8/2026)</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(incl.</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PIK)</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rPr>
                <w:sz w:val="20"/>
                <w:szCs w:val="20"/>
                <w:color w:val="auto"/>
              </w:rPr>
            </w:pPr>
            <w:r>
              <w:rPr>
                <w:rFonts w:ascii="Arial" w:cs="Arial" w:eastAsia="Arial" w:hAnsi="Arial"/>
                <w:sz w:val="16"/>
                <w:szCs w:val="16"/>
                <w:color w:val="auto"/>
              </w:rPr>
              <w:t>Information Clearinghouse, LLC</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($18,000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12/20/2021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17,530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17,505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199"/>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and MS Market Service,</w:t>
            </w:r>
          </w:p>
        </w:tc>
        <w:tc>
          <w:tcPr>
            <w:tcW w:w="2500" w:type="dxa"/>
            <w:vAlign w:val="bottom"/>
          </w:tcPr>
          <w:p>
            <w:pPr>
              <w:spacing w:after="0"/>
              <w:rPr>
                <w:sz w:val="20"/>
                <w:szCs w:val="20"/>
                <w:color w:val="auto"/>
              </w:rPr>
            </w:pPr>
            <w:r>
              <w:rPr>
                <w:rFonts w:ascii="Arial" w:cs="Arial" w:eastAsia="Arial" w:hAnsi="Arial"/>
                <w:sz w:val="16"/>
                <w:szCs w:val="16"/>
                <w:color w:val="auto"/>
              </w:rPr>
              <w:t>12/2026)</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Netwrix Corp.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($68,160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66,948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68,533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9/2026)</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ReliaQuest Holdings,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($46,948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10/8/2020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45,954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47,716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($50,332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49,713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51,434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7/2025)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395,435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409,678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32.0%</w:t>
            </w:r>
          </w:p>
        </w:tc>
      </w:tr>
      <w:tr>
        <w:trPr>
          <w:trHeight w:val="213"/>
        </w:trPr>
        <w:tc>
          <w:tcPr>
            <w:tcW w:w="2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25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Celtra Technologies,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($35,000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11/19/2021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33,921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33,863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11/2026)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($44,657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44,564</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44,184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Convertible note ($4,124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5/12/2021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6.00% PIK</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4,087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5/2028)</w:t>
            </w: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82,572</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82,161</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Astra Acquisition Corp. </w:t>
            </w:r>
            <w:r>
              <w:rPr>
                <w:rFonts w:ascii="Arial" w:cs="Arial" w:eastAsia="Arial" w:hAnsi="Arial"/>
                <w:sz w:val="24"/>
                <w:szCs w:val="24"/>
                <w:color w:val="auto"/>
                <w:vertAlign w:val="superscript"/>
              </w:rPr>
              <w:t>(3)(11)</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Second-lien loan ($43,490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10/25/2021</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+ 8.88%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42,629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42,729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10/2029)</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Destiny Solutions Parent</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($53,522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6/8/2021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52,318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52,622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Holding Company </w:t>
            </w:r>
            <w:r>
              <w:rPr>
                <w:rFonts w:ascii="Arial" w:cs="Arial" w:eastAsia="Arial" w:hAnsi="Arial"/>
                <w:sz w:val="25"/>
                <w:szCs w:val="25"/>
                <w:color w:val="auto"/>
                <w:vertAlign w:val="superscript"/>
              </w:rPr>
              <w:t>(3)(5)</w:t>
            </w:r>
          </w:p>
        </w:tc>
        <w:tc>
          <w:tcPr>
            <w:tcW w:w="2500" w:type="dxa"/>
            <w:vAlign w:val="bottom"/>
          </w:tcPr>
          <w:p>
            <w:pPr>
              <w:spacing w:after="0"/>
              <w:rPr>
                <w:sz w:val="20"/>
                <w:szCs w:val="20"/>
                <w:color w:val="auto"/>
              </w:rPr>
            </w:pPr>
            <w:r>
              <w:rPr>
                <w:rFonts w:ascii="Arial" w:cs="Arial" w:eastAsia="Arial" w:hAnsi="Arial"/>
                <w:sz w:val="16"/>
                <w:szCs w:val="16"/>
                <w:color w:val="auto"/>
              </w:rPr>
              <w:t>6/2026)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line="207" w:lineRule="exact"/>
              <w:rPr>
                <w:sz w:val="20"/>
                <w:szCs w:val="20"/>
                <w:color w:val="auto"/>
              </w:rPr>
            </w:pPr>
            <w:r>
              <w:rPr>
                <w:rFonts w:ascii="Arial" w:cs="Arial" w:eastAsia="Arial" w:hAnsi="Arial"/>
                <w:sz w:val="14"/>
                <w:szCs w:val="14"/>
                <w:color w:val="auto"/>
              </w:rPr>
              <w:t xml:space="preserve">EMS Linq, Inc. </w:t>
            </w:r>
            <w:r>
              <w:rPr>
                <w:rFonts w:ascii="Arial" w:cs="Arial" w:eastAsia="Arial" w:hAnsi="Arial"/>
                <w:sz w:val="23"/>
                <w:szCs w:val="23"/>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($56,216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12/22/2021</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54,921</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54,916</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12/2027)</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Frontline Technologies</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($86,466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86,237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86,682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500" w:type="dxa"/>
            <w:vAlign w:val="bottom"/>
          </w:tcPr>
          <w:p>
            <w:pPr>
              <w:spacing w:after="0"/>
              <w:rPr>
                <w:sz w:val="20"/>
                <w:szCs w:val="20"/>
                <w:color w:val="auto"/>
              </w:rPr>
            </w:pPr>
            <w:r>
              <w:rPr>
                <w:rFonts w:ascii="Arial" w:cs="Arial" w:eastAsia="Arial" w:hAnsi="Arial"/>
                <w:sz w:val="16"/>
                <w:szCs w:val="16"/>
                <w:color w:val="auto"/>
              </w:rPr>
              <w:t>9/2023)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Illuminate Education,</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($62,725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62,519</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62,882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8/2022)</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298,624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299,831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23.6%</w:t>
            </w:r>
          </w:p>
        </w:tc>
      </w:tr>
      <w:tr>
        <w:trPr>
          <w:trHeight w:val="212"/>
        </w:trPr>
        <w:tc>
          <w:tcPr>
            <w:tcW w:w="2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5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AvidXchange, Inc. </w:t>
            </w:r>
            <w:r>
              <w:rPr>
                <w:rFonts w:ascii="Arial" w:cs="Arial" w:eastAsia="Arial" w:hAnsi="Arial"/>
                <w:sz w:val="23"/>
                <w:szCs w:val="23"/>
                <w:color w:val="auto"/>
                <w:vertAlign w:val="superscript"/>
              </w:rPr>
              <w:t>(3)(4)(5)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($11,205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+ 9.00%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11,129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11,327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4/2024)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Bear OpCo, LLC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($19,575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19,247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19,428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BlueSnap,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($35,000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34,426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35,475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G Treasury SS, LLC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($59,318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58,570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60,479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4/2023)</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Ibis Intermediate Co.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($1,542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5/28/2021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5/2027)</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310"/>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Ibis US Blocker Co. </w:t>
            </w:r>
            <w:r>
              <w:rPr>
                <w:rFonts w:ascii="Arial" w:cs="Arial" w:eastAsia="Arial" w:hAnsi="Arial"/>
                <w:sz w:val="27"/>
                <w:szCs w:val="27"/>
                <w:color w:val="auto"/>
                <w:vertAlign w:val="superscript"/>
              </w:rPr>
              <w:t>(3)</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($12,669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5/28/2021</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+ 8.25%</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8.75% 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12,393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12,479</w:t>
            </w:r>
          </w:p>
        </w:tc>
        <w:tc>
          <w:tcPr>
            <w:tcW w:w="22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5/2028)</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Jonas Collections and</w:t>
            </w: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($27,375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6/21/2021</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L + 5.75%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800" w:type="dxa"/>
            <w:vAlign w:val="bottom"/>
          </w:tcPr>
          <w:p>
            <w:pPr>
              <w:jc w:val="right"/>
              <w:spacing w:after="0"/>
              <w:rPr>
                <w:sz w:val="20"/>
                <w:szCs w:val="20"/>
                <w:color w:val="auto"/>
              </w:rPr>
            </w:pPr>
            <w:r>
              <w:rPr>
                <w:rFonts w:ascii="Arial" w:cs="Arial" w:eastAsia="Arial" w:hAnsi="Arial"/>
                <w:sz w:val="16"/>
                <w:szCs w:val="16"/>
                <w:color w:val="auto"/>
              </w:rPr>
              <w:t>26,854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26,964</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216"/>
        </w:trPr>
        <w:tc>
          <w:tcPr>
            <w:tcW w:w="25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Recovery, Inc. </w:t>
            </w:r>
            <w:r>
              <w:rPr>
                <w:rFonts w:ascii="Arial" w:cs="Arial" w:eastAsia="Arial" w:hAnsi="Arial"/>
                <w:sz w:val="25"/>
                <w:szCs w:val="25"/>
                <w:color w:val="auto"/>
                <w:vertAlign w:val="superscript"/>
              </w:rPr>
              <w:t>(3)(5)</w:t>
            </w:r>
          </w:p>
        </w:tc>
        <w:tc>
          <w:tcPr>
            <w:tcW w:w="2620" w:type="dxa"/>
            <w:vAlign w:val="bottom"/>
          </w:tcPr>
          <w:p>
            <w:pPr>
              <w:ind w:left="80"/>
              <w:spacing w:after="0"/>
              <w:rPr>
                <w:sz w:val="20"/>
                <w:szCs w:val="20"/>
                <w:color w:val="auto"/>
              </w:rPr>
            </w:pPr>
            <w:r>
              <w:rPr>
                <w:rFonts w:ascii="Arial" w:cs="Arial" w:eastAsia="Arial" w:hAnsi="Arial"/>
                <w:sz w:val="16"/>
                <w:szCs w:val="16"/>
                <w:color w:val="auto"/>
              </w:rPr>
              <w:t>6/2026)</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($17,412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+ 9.00%</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17,163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17,673</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r>
      <w:tr>
        <w:trPr>
          <w:trHeight w:val="203"/>
        </w:trPr>
        <w:tc>
          <w:tcPr>
            <w:tcW w:w="2500" w:type="dxa"/>
            <w:vAlign w:val="bottom"/>
            <w:shd w:val="clear" w:color="auto" w:fill="CFF0FC"/>
          </w:tcPr>
          <w:p>
            <w:pPr>
              <w:spacing w:after="0"/>
              <w:rPr>
                <w:sz w:val="17"/>
                <w:szCs w:val="17"/>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4/2025)</w:t>
            </w:r>
          </w:p>
        </w:tc>
        <w:tc>
          <w:tcPr>
            <w:tcW w:w="10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00" w:type="dxa"/>
            <w:vAlign w:val="bottom"/>
            <w:shd w:val="clear" w:color="auto" w:fill="CFF0FC"/>
          </w:tcPr>
          <w:p>
            <w:pPr>
              <w:spacing w:after="0"/>
              <w:rPr>
                <w:sz w:val="17"/>
                <w:szCs w:val="17"/>
                <w:color w:val="auto"/>
              </w:rPr>
            </w:pPr>
          </w:p>
        </w:tc>
        <w:tc>
          <w:tcPr>
            <w:tcW w:w="2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(EUR 9,070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E + 9.00%</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9.00% PIK</w:t>
            </w:r>
          </w:p>
        </w:tc>
        <w:tc>
          <w:tcPr>
            <w:tcW w:w="800" w:type="dxa"/>
            <w:vAlign w:val="bottom"/>
          </w:tcPr>
          <w:p>
            <w:pPr>
              <w:jc w:val="right"/>
              <w:spacing w:after="0"/>
              <w:rPr>
                <w:sz w:val="20"/>
                <w:szCs w:val="20"/>
                <w:color w:val="auto"/>
              </w:rPr>
            </w:pPr>
            <w:r>
              <w:rPr>
                <w:rFonts w:ascii="Arial" w:cs="Arial" w:eastAsia="Arial" w:hAnsi="Arial"/>
                <w:sz w:val="16"/>
                <w:szCs w:val="16"/>
                <w:color w:val="auto"/>
              </w:rPr>
              <w:t>10,070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10,470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4/2025)</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9,206)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8"/>
              </w:rPr>
              <w:t>First-lien revolving loan ($1,411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+ 7.25%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due 4/2025)</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First-lien revolving loan (EUR 336</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E + 7.25%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370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382</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par, due 4/2025)</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336)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Passport Labs, Inc. </w:t>
            </w:r>
            <w:r>
              <w:rPr>
                <w:rFonts w:ascii="Arial" w:cs="Arial" w:eastAsia="Arial" w:hAnsi="Arial"/>
                <w:sz w:val="24"/>
                <w:szCs w:val="24"/>
                <w:color w:val="auto"/>
                <w:vertAlign w:val="superscript"/>
              </w:rPr>
              <w:t>(3)</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($17,018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4/28/2021</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+ 8.25%</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16,721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16,864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03"/>
        </w:trPr>
        <w:tc>
          <w:tcPr>
            <w:tcW w:w="2500" w:type="dxa"/>
            <w:vAlign w:val="bottom"/>
            <w:shd w:val="clear" w:color="auto" w:fill="CFF0FC"/>
          </w:tcPr>
          <w:p>
            <w:pPr>
              <w:spacing w:after="0"/>
              <w:rPr>
                <w:sz w:val="17"/>
                <w:szCs w:val="17"/>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4/2026)</w:t>
            </w:r>
          </w:p>
        </w:tc>
        <w:tc>
          <w:tcPr>
            <w:tcW w:w="10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00" w:type="dxa"/>
            <w:vAlign w:val="bottom"/>
            <w:shd w:val="clear" w:color="auto" w:fill="CFF0FC"/>
          </w:tcPr>
          <w:p>
            <w:pPr>
              <w:spacing w:after="0"/>
              <w:rPr>
                <w:sz w:val="17"/>
                <w:szCs w:val="17"/>
                <w:color w:val="auto"/>
              </w:rPr>
            </w:pPr>
          </w:p>
        </w:tc>
        <w:tc>
          <w:tcPr>
            <w:tcW w:w="26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4.125%</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PrimeRevenue, Inc. </w:t>
            </w:r>
            <w:r>
              <w:rPr>
                <w:rFonts w:ascii="Arial" w:cs="Arial" w:eastAsia="Arial" w:hAnsi="Arial"/>
                <w:sz w:val="23"/>
                <w:szCs w:val="23"/>
                <w:color w:val="auto"/>
                <w:vertAlign w:val="superscript"/>
              </w:rPr>
              <w:t>(3)</w:t>
            </w: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($22,507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12/31/2018</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L + 7.00%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22,365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23,015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12/2023)</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TradingScreen, Inc. </w:t>
            </w:r>
            <w:r>
              <w:rPr>
                <w:rFonts w:ascii="Arial" w:cs="Arial" w:eastAsia="Arial" w:hAnsi="Arial"/>
                <w:sz w:val="24"/>
                <w:szCs w:val="24"/>
                <w:color w:val="auto"/>
                <w:vertAlign w:val="superscript"/>
              </w:rPr>
              <w:t>(3)(5)</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($45,000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4/30/2021</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+ 6.25%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43,771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44,325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r>
      <w:tr>
        <w:trPr>
          <w:trHeight w:val="209"/>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4/2027)</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275,876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281,959</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22.0%</w:t>
            </w:r>
          </w:p>
        </w:tc>
      </w:tr>
      <w:tr>
        <w:trPr>
          <w:trHeight w:val="212"/>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6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BCTO Ace Purchaser, Inc. </w:t>
            </w:r>
            <w:r>
              <w:rPr>
                <w:rFonts w:ascii="Arial" w:cs="Arial" w:eastAsia="Arial" w:hAnsi="Arial"/>
                <w:sz w:val="23"/>
                <w:szCs w:val="23"/>
                <w:color w:val="auto"/>
                <w:vertAlign w:val="superscript"/>
              </w:rPr>
              <w:t>(3)(5)</w:t>
            </w: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($53,094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11/23/2020</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L + 6.50%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51,815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53,493</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11/2026)</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Inc.</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($5,000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9/21/2018</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11.30%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5,250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9/2023)</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($3,750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4/2/2020</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tcPr>
          <w:p>
            <w:pPr>
              <w:jc w:val="right"/>
              <w:spacing w:after="0"/>
              <w:rPr>
                <w:sz w:val="20"/>
                <w:szCs w:val="20"/>
                <w:color w:val="auto"/>
              </w:rPr>
            </w:pPr>
            <w:r>
              <w:rPr>
                <w:rFonts w:ascii="Arial" w:cs="Arial" w:eastAsia="Arial" w:hAnsi="Arial"/>
                <w:sz w:val="16"/>
                <w:szCs w:val="16"/>
                <w:color w:val="auto"/>
              </w:rPr>
              <w:t>3,547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4,031</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4/2025)</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Convertible note ($2,602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9/21/2018</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12,230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9/2023)</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($15,000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5/31/2019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L + 7.00%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14,920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15,150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5/2024)</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8"/>
              </w:rPr>
              <w:t>First-lien revolving loan ($2,400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5/31/2019</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due 5/2024)</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Homecare Software Solutions,</w:t>
            </w: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($50,000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10/6/2021</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L + 5.25%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800" w:type="dxa"/>
            <w:vAlign w:val="bottom"/>
          </w:tcPr>
          <w:p>
            <w:pPr>
              <w:jc w:val="right"/>
              <w:spacing w:after="0"/>
              <w:rPr>
                <w:sz w:val="20"/>
                <w:szCs w:val="20"/>
                <w:color w:val="auto"/>
              </w:rPr>
            </w:pPr>
            <w:r>
              <w:rPr>
                <w:rFonts w:ascii="Arial" w:cs="Arial" w:eastAsia="Arial" w:hAnsi="Arial"/>
                <w:sz w:val="16"/>
                <w:szCs w:val="16"/>
                <w:color w:val="auto"/>
              </w:rPr>
              <w:t>48,891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49,000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13"/>
        </w:trPr>
        <w:tc>
          <w:tcPr>
            <w:tcW w:w="250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620" w:type="dxa"/>
            <w:vAlign w:val="bottom"/>
          </w:tcPr>
          <w:p>
            <w:pPr>
              <w:ind w:left="80"/>
              <w:spacing w:after="0"/>
              <w:rPr>
                <w:sz w:val="20"/>
                <w:szCs w:val="20"/>
                <w:color w:val="auto"/>
              </w:rPr>
            </w:pPr>
            <w:r>
              <w:rPr>
                <w:rFonts w:ascii="Arial" w:cs="Arial" w:eastAsia="Arial" w:hAnsi="Arial"/>
                <w:sz w:val="16"/>
                <w:szCs w:val="16"/>
                <w:color w:val="auto"/>
              </w:rPr>
              <w:t>10/2026)</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Integrated Practice</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($48,688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6/30/2017</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+ 7.50%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47,578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49,783</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r>
      <w:tr>
        <w:trPr>
          <w:trHeight w:val="216"/>
        </w:trPr>
        <w:tc>
          <w:tcPr>
            <w:tcW w:w="25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10/2024)</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176,659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191,377</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r>
      <w:tr>
        <w:trPr>
          <w:trHeight w:val="21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6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($30,261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9/29/2015</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L + 9.50%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28,594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30,261</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6/2022)</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revolving loan ($12,327</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9/29/2015</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+ 9.50%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12,327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09"/>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par, due 6/2022)</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40,921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42,588</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r>
      <w:tr>
        <w:trPr>
          <w:trHeight w:val="213"/>
        </w:trPr>
        <w:tc>
          <w:tcPr>
            <w:tcW w:w="2500" w:type="dxa"/>
            <w:vAlign w:val="bottom"/>
            <w:tcBorders>
              <w:top w:val="single" w:sz="8" w:color="CFF0FC"/>
            </w:tcBorders>
            <w:shd w:val="clear" w:color="auto" w:fill="CFF0FC"/>
          </w:tcPr>
          <w:p>
            <w:pPr>
              <w:spacing w:after="0"/>
              <w:rPr>
                <w:sz w:val="18"/>
                <w:szCs w:val="18"/>
                <w:color w:val="auto"/>
              </w:rPr>
            </w:pPr>
          </w:p>
        </w:tc>
        <w:tc>
          <w:tcPr>
            <w:tcW w:w="26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w w:val="92"/>
              </w:rPr>
              <w:t>Human Resource Support Services</w:t>
            </w: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Axonify, Inc. </w:t>
            </w:r>
            <w:r>
              <w:rPr>
                <w:rFonts w:ascii="Arial" w:cs="Arial" w:eastAsia="Arial" w:hAnsi="Arial"/>
                <w:sz w:val="24"/>
                <w:szCs w:val="24"/>
                <w:color w:val="auto"/>
                <w:vertAlign w:val="superscript"/>
              </w:rPr>
              <w:t>(3)(4)(5)</w:t>
            </w: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($31,580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5/5/2021</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+ 7.50%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30,807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31,100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5/2026)</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DaySmart Holdings, LLC </w:t>
            </w:r>
            <w:r>
              <w:rPr>
                <w:rFonts w:ascii="Arial" w:cs="Arial" w:eastAsia="Arial" w:hAnsi="Arial"/>
                <w:sz w:val="23"/>
                <w:szCs w:val="23"/>
                <w:color w:val="auto"/>
                <w:vertAlign w:val="superscript"/>
              </w:rPr>
              <w:t>(3)(5)</w:t>
            </w:r>
          </w:p>
        </w:tc>
        <w:tc>
          <w:tcPr>
            <w:tcW w:w="2620" w:type="dxa"/>
            <w:vAlign w:val="bottom"/>
          </w:tcPr>
          <w:p>
            <w:pPr>
              <w:ind w:left="80"/>
              <w:spacing w:after="0"/>
              <w:rPr>
                <w:sz w:val="20"/>
                <w:szCs w:val="20"/>
                <w:color w:val="auto"/>
              </w:rPr>
            </w:pPr>
            <w:r>
              <w:rPr>
                <w:rFonts w:ascii="Arial" w:cs="Arial" w:eastAsia="Arial" w:hAnsi="Arial"/>
                <w:sz w:val="16"/>
                <w:szCs w:val="16"/>
                <w:color w:val="auto"/>
              </w:rPr>
              <w:t>First-lien loan ($47,999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12/18/2020</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L + 7.25%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47,891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48,262</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09"/>
        </w:trPr>
        <w:tc>
          <w:tcPr>
            <w:tcW w:w="25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10/2025)</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8"/>
              </w:rPr>
              <w:t>First-lien revolving loan ($3,000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12/18/2020</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L + 7.25%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2"/>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due 10/2025)</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Employment Hero Holdings Pty</w:t>
            </w:r>
          </w:p>
        </w:tc>
        <w:tc>
          <w:tcPr>
            <w:tcW w:w="2620" w:type="dxa"/>
            <w:vAlign w:val="bottom"/>
          </w:tcPr>
          <w:p>
            <w:pPr>
              <w:ind w:left="80"/>
              <w:spacing w:after="0"/>
              <w:rPr>
                <w:sz w:val="20"/>
                <w:szCs w:val="20"/>
                <w:color w:val="auto"/>
              </w:rPr>
            </w:pPr>
            <w:r>
              <w:rPr>
                <w:rFonts w:ascii="Arial" w:cs="Arial" w:eastAsia="Arial" w:hAnsi="Arial"/>
                <w:sz w:val="16"/>
                <w:szCs w:val="16"/>
                <w:color w:val="auto"/>
                <w:w w:val="98"/>
              </w:rPr>
              <w:t>First-lien loan (AUD 40,000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12/6/2021</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B + 6.50%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27,317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28,166</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16"/>
        </w:trPr>
        <w:tc>
          <w:tcPr>
            <w:tcW w:w="25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Ltd. </w:t>
            </w:r>
            <w:r>
              <w:rPr>
                <w:rFonts w:ascii="Arial" w:cs="Arial" w:eastAsia="Arial" w:hAnsi="Arial"/>
                <w:sz w:val="25"/>
                <w:szCs w:val="25"/>
                <w:color w:val="auto"/>
                <w:vertAlign w:val="superscript"/>
              </w:rPr>
              <w:t>(4)</w:t>
            </w:r>
          </w:p>
        </w:tc>
        <w:tc>
          <w:tcPr>
            <w:tcW w:w="2620" w:type="dxa"/>
            <w:vAlign w:val="bottom"/>
          </w:tcPr>
          <w:p>
            <w:pPr>
              <w:ind w:left="80"/>
              <w:spacing w:after="0" w:line="216" w:lineRule="exact"/>
              <w:rPr>
                <w:sz w:val="20"/>
                <w:szCs w:val="20"/>
                <w:color w:val="auto"/>
              </w:rPr>
            </w:pPr>
            <w:r>
              <w:rPr>
                <w:rFonts w:ascii="Arial" w:cs="Arial" w:eastAsia="Arial" w:hAnsi="Arial"/>
                <w:sz w:val="15"/>
                <w:szCs w:val="15"/>
                <w:color w:val="auto"/>
              </w:rPr>
              <w:t xml:space="preserve">12/2026) </w:t>
            </w:r>
            <w:r>
              <w:rPr>
                <w:rFonts w:ascii="Arial" w:cs="Arial" w:eastAsia="Arial" w:hAnsi="Arial"/>
                <w:sz w:val="25"/>
                <w:szCs w:val="25"/>
                <w:color w:val="auto"/>
                <w:vertAlign w:val="superscript"/>
              </w:rPr>
              <w:t>(3)</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(AUD 38,740)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500" w:type="dxa"/>
            <w:vAlign w:val="bottom"/>
            <w:shd w:val="clear" w:color="auto" w:fill="CFF0FC"/>
          </w:tcPr>
          <w:p>
            <w:pPr>
              <w:spacing w:after="0"/>
              <w:rPr>
                <w:sz w:val="17"/>
                <w:szCs w:val="17"/>
                <w:color w:val="auto"/>
              </w:rPr>
            </w:pPr>
          </w:p>
        </w:tc>
        <w:tc>
          <w:tcPr>
            <w:tcW w:w="2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Convertible note (AUD 3,000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12/13/2021</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50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line="216" w:lineRule="exact"/>
              <w:rPr>
                <w:sz w:val="20"/>
                <w:szCs w:val="20"/>
                <w:color w:val="auto"/>
              </w:rPr>
            </w:pPr>
            <w:r>
              <w:rPr>
                <w:rFonts w:ascii="Arial" w:cs="Arial" w:eastAsia="Arial" w:hAnsi="Arial"/>
                <w:sz w:val="15"/>
                <w:szCs w:val="15"/>
                <w:color w:val="auto"/>
              </w:rPr>
              <w:t xml:space="preserve">due 6/2027) </w:t>
            </w:r>
            <w:r>
              <w:rPr>
                <w:rFonts w:ascii="Arial" w:cs="Arial" w:eastAsia="Arial" w:hAnsi="Arial"/>
                <w:sz w:val="25"/>
                <w:szCs w:val="25"/>
                <w:color w:val="auto"/>
                <w:vertAlign w:val="superscript"/>
              </w:rPr>
              <w:t>(13)</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(AUD 2,936)</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PageUp People, Ltd. </w:t>
            </w:r>
            <w:r>
              <w:rPr>
                <w:rFonts w:ascii="Arial" w:cs="Arial" w:eastAsia="Arial" w:hAnsi="Arial"/>
                <w:sz w:val="23"/>
                <w:szCs w:val="23"/>
                <w:color w:val="auto"/>
                <w:vertAlign w:val="superscript"/>
              </w:rPr>
              <w:t>(3)(4)(5)</w:t>
            </w:r>
          </w:p>
        </w:tc>
        <w:tc>
          <w:tcPr>
            <w:tcW w:w="2620" w:type="dxa"/>
            <w:vAlign w:val="bottom"/>
          </w:tcPr>
          <w:p>
            <w:pPr>
              <w:ind w:left="80"/>
              <w:spacing w:after="0"/>
              <w:rPr>
                <w:sz w:val="20"/>
                <w:szCs w:val="20"/>
                <w:color w:val="auto"/>
              </w:rPr>
            </w:pPr>
            <w:r>
              <w:rPr>
                <w:rFonts w:ascii="Arial" w:cs="Arial" w:eastAsia="Arial" w:hAnsi="Arial"/>
                <w:sz w:val="16"/>
                <w:szCs w:val="16"/>
                <w:color w:val="auto"/>
                <w:w w:val="98"/>
              </w:rPr>
              <w:t>First-lien loan (AUD 17,400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1/11/2018</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B + 5.50%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800" w:type="dxa"/>
            <w:vAlign w:val="bottom"/>
          </w:tcPr>
          <w:p>
            <w:pPr>
              <w:jc w:val="right"/>
              <w:spacing w:after="0"/>
              <w:rPr>
                <w:sz w:val="20"/>
                <w:szCs w:val="20"/>
                <w:color w:val="auto"/>
              </w:rPr>
            </w:pPr>
            <w:r>
              <w:rPr>
                <w:rFonts w:ascii="Arial" w:cs="Arial" w:eastAsia="Arial" w:hAnsi="Arial"/>
                <w:sz w:val="16"/>
                <w:szCs w:val="16"/>
                <w:color w:val="auto"/>
              </w:rPr>
              <w:t>12,806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12,115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r>
      <w:tr>
        <w:trPr>
          <w:trHeight w:val="206"/>
        </w:trPr>
        <w:tc>
          <w:tcPr>
            <w:tcW w:w="2500" w:type="dxa"/>
            <w:vAlign w:val="bottom"/>
          </w:tcPr>
          <w:p>
            <w:pPr>
              <w:spacing w:after="0"/>
              <w:rPr>
                <w:sz w:val="17"/>
                <w:szCs w:val="17"/>
                <w:color w:val="auto"/>
              </w:rPr>
            </w:pPr>
          </w:p>
        </w:tc>
        <w:tc>
          <w:tcPr>
            <w:tcW w:w="2620" w:type="dxa"/>
            <w:vAlign w:val="bottom"/>
          </w:tcPr>
          <w:p>
            <w:pPr>
              <w:ind w:left="80"/>
              <w:spacing w:after="0"/>
              <w:rPr>
                <w:sz w:val="20"/>
                <w:szCs w:val="20"/>
                <w:color w:val="auto"/>
              </w:rPr>
            </w:pPr>
            <w:r>
              <w:rPr>
                <w:rFonts w:ascii="Arial" w:cs="Arial" w:eastAsia="Arial" w:hAnsi="Arial"/>
                <w:sz w:val="16"/>
                <w:szCs w:val="16"/>
                <w:color w:val="auto"/>
              </w:rPr>
              <w:t>12/2025)</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(AUD 16,664)</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6"/>
        </w:trPr>
        <w:tc>
          <w:tcPr>
            <w:tcW w:w="2380" w:type="dxa"/>
            <w:vAlign w:val="bottom"/>
            <w:shd w:val="clear" w:color="auto" w:fill="CFF0FC"/>
          </w:tcPr>
          <w:p>
            <w:pPr>
              <w:spacing w:after="0"/>
              <w:rPr>
                <w:sz w:val="17"/>
                <w:szCs w:val="17"/>
                <w:color w:val="auto"/>
              </w:rPr>
            </w:pP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w w:val="98"/>
              </w:rPr>
              <w:t>First-lien loan (GBP 4,723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10/28/2021</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S + 5.50%</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6,499</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6,317</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r>
      <w:tr>
        <w:trPr>
          <w:trHeight w:val="212"/>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12/2025)</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(GBP 4,664)</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($12,989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10/28/2021</w:t>
            </w:r>
          </w:p>
        </w:tc>
        <w:tc>
          <w:tcPr>
            <w:tcW w:w="1200" w:type="dxa"/>
            <w:vAlign w:val="bottom"/>
          </w:tcPr>
          <w:p>
            <w:pPr>
              <w:jc w:val="right"/>
              <w:spacing w:after="0"/>
              <w:rPr>
                <w:sz w:val="20"/>
                <w:szCs w:val="20"/>
                <w:color w:val="auto"/>
              </w:rPr>
            </w:pPr>
            <w:r>
              <w:rPr>
                <w:rFonts w:ascii="Arial" w:cs="Arial" w:eastAsia="Arial" w:hAnsi="Arial"/>
                <w:sz w:val="16"/>
                <w:szCs w:val="16"/>
                <w:color w:val="auto"/>
              </w:rPr>
              <w:t>L + 5.50%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780" w:type="dxa"/>
            <w:vAlign w:val="bottom"/>
          </w:tcPr>
          <w:p>
            <w:pPr>
              <w:jc w:val="right"/>
              <w:spacing w:after="0"/>
              <w:rPr>
                <w:sz w:val="20"/>
                <w:szCs w:val="20"/>
                <w:color w:val="auto"/>
              </w:rPr>
            </w:pPr>
            <w:r>
              <w:rPr>
                <w:rFonts w:ascii="Arial" w:cs="Arial" w:eastAsia="Arial" w:hAnsi="Arial"/>
                <w:sz w:val="16"/>
                <w:szCs w:val="16"/>
                <w:color w:val="auto"/>
              </w:rPr>
              <w:t>12,970</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12,827</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09"/>
        </w:trPr>
        <w:tc>
          <w:tcPr>
            <w:tcW w:w="2380" w:type="dxa"/>
            <w:vAlign w:val="bottom"/>
          </w:tcPr>
          <w:p>
            <w:pPr>
              <w:spacing w:after="0"/>
              <w:rPr>
                <w:sz w:val="18"/>
                <w:szCs w:val="18"/>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12/2025)</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($69,475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5/3/2019</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+ 6.00%</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68,493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69,822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w:t>
            </w:r>
          </w:p>
        </w:tc>
      </w:tr>
      <w:tr>
        <w:trPr>
          <w:trHeight w:val="212"/>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5/2024)</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PrimePay Intermediate,</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($27,000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12/17/2021</w:t>
            </w:r>
          </w:p>
        </w:tc>
        <w:tc>
          <w:tcPr>
            <w:tcW w:w="1200" w:type="dxa"/>
            <w:vAlign w:val="bottom"/>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8.00%</w:t>
            </w:r>
          </w:p>
        </w:tc>
        <w:tc>
          <w:tcPr>
            <w:tcW w:w="780" w:type="dxa"/>
            <w:vAlign w:val="bottom"/>
          </w:tcPr>
          <w:p>
            <w:pPr>
              <w:jc w:val="right"/>
              <w:spacing w:after="0"/>
              <w:rPr>
                <w:sz w:val="20"/>
                <w:szCs w:val="20"/>
                <w:color w:val="auto"/>
              </w:rPr>
            </w:pPr>
            <w:r>
              <w:rPr>
                <w:rFonts w:ascii="Arial" w:cs="Arial" w:eastAsia="Arial" w:hAnsi="Arial"/>
                <w:sz w:val="16"/>
                <w:szCs w:val="16"/>
                <w:color w:val="auto"/>
              </w:rPr>
              <w:t>25,787</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25,775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640" w:type="dxa"/>
            <w:vAlign w:val="bottom"/>
          </w:tcPr>
          <w:p>
            <w:pPr>
              <w:ind w:left="180"/>
              <w:spacing w:after="0"/>
              <w:rPr>
                <w:sz w:val="20"/>
                <w:szCs w:val="20"/>
                <w:color w:val="auto"/>
              </w:rPr>
            </w:pPr>
            <w:r>
              <w:rPr>
                <w:rFonts w:ascii="Arial" w:cs="Arial" w:eastAsia="Arial" w:hAnsi="Arial"/>
                <w:sz w:val="16"/>
                <w:szCs w:val="16"/>
                <w:color w:val="auto"/>
              </w:rPr>
              <w:t>12/2026)</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Modern Hire, Inc. </w:t>
            </w:r>
            <w:r>
              <w:rPr>
                <w:rFonts w:ascii="Arial" w:cs="Arial" w:eastAsia="Arial" w:hAnsi="Arial"/>
                <w:sz w:val="24"/>
                <w:szCs w:val="24"/>
                <w:color w:val="auto"/>
                <w:vertAlign w:val="superscript"/>
              </w:rPr>
              <w:t>(3)(5)</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($29,639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5/15/2019</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29,206</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30,232</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12"/>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5/2024)</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Workwell Acquisition Co. </w:t>
            </w:r>
            <w:r>
              <w:rPr>
                <w:rFonts w:ascii="Arial" w:cs="Arial" w:eastAsia="Arial" w:hAnsi="Arial"/>
                <w:sz w:val="23"/>
                <w:szCs w:val="23"/>
                <w:color w:val="auto"/>
                <w:vertAlign w:val="superscript"/>
              </w:rPr>
              <w:t>(3)(5)</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($19,750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10/19/2020</w:t>
            </w:r>
          </w:p>
        </w:tc>
        <w:tc>
          <w:tcPr>
            <w:tcW w:w="1200" w:type="dxa"/>
            <w:vAlign w:val="bottom"/>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19,239</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19,899</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9"/>
        </w:trPr>
        <w:tc>
          <w:tcPr>
            <w:tcW w:w="2380" w:type="dxa"/>
            <w:vAlign w:val="bottom"/>
            <w:tcBorders>
              <w:bottom w:val="single" w:sz="8" w:color="CFF0FC"/>
            </w:tcBorders>
          </w:tcPr>
          <w:p>
            <w:pPr>
              <w:spacing w:after="0"/>
              <w:rPr>
                <w:sz w:val="18"/>
                <w:szCs w:val="18"/>
                <w:color w:val="auto"/>
              </w:rPr>
            </w:pPr>
          </w:p>
        </w:tc>
        <w:tc>
          <w:tcPr>
            <w:tcW w:w="264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10/2025)</w:t>
            </w:r>
          </w:p>
        </w:tc>
        <w:tc>
          <w:tcPr>
            <w:tcW w:w="10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286,152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289,664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22.7%</w:t>
            </w:r>
          </w:p>
        </w:tc>
      </w:tr>
      <w:tr>
        <w:trPr>
          <w:trHeight w:val="207"/>
        </w:trPr>
        <w:tc>
          <w:tcPr>
            <w:tcW w:w="238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Bayshore Intermediate #2,</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($28,772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10/1/2021</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+ 7.75%</w:t>
            </w:r>
          </w:p>
        </w:tc>
        <w:tc>
          <w:tcPr>
            <w:tcW w:w="10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8.50% PIK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28,090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28,148</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L.P. </w:t>
            </w:r>
            <w:r>
              <w:rPr>
                <w:rFonts w:ascii="Arial" w:cs="Arial" w:eastAsia="Arial" w:hAnsi="Arial"/>
                <w:sz w:val="25"/>
                <w:szCs w:val="25"/>
                <w:color w:val="auto"/>
                <w:vertAlign w:val="superscript"/>
              </w:rPr>
              <w:t>(3)</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10/2028)</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23"/>
                <w:szCs w:val="23"/>
                <w:color w:val="auto"/>
                <w:vertAlign w:val="superscript"/>
              </w:rPr>
              <w:t>(3)(5)</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($57,262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6/18/2018</w:t>
            </w:r>
          </w:p>
        </w:tc>
        <w:tc>
          <w:tcPr>
            <w:tcW w:w="1200" w:type="dxa"/>
            <w:vAlign w:val="bottom"/>
          </w:tcPr>
          <w:p>
            <w:pPr>
              <w:jc w:val="right"/>
              <w:spacing w:after="0"/>
              <w:rPr>
                <w:sz w:val="20"/>
                <w:szCs w:val="20"/>
                <w:color w:val="auto"/>
              </w:rPr>
            </w:pPr>
            <w:r>
              <w:rPr>
                <w:rFonts w:ascii="Arial" w:cs="Arial" w:eastAsia="Arial" w:hAnsi="Arial"/>
                <w:sz w:val="16"/>
                <w:szCs w:val="16"/>
                <w:color w:val="auto"/>
              </w:rPr>
              <w:t>L + 7.25%</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8.25%</w:t>
            </w:r>
          </w:p>
        </w:tc>
        <w:tc>
          <w:tcPr>
            <w:tcW w:w="780" w:type="dxa"/>
            <w:vAlign w:val="bottom"/>
          </w:tcPr>
          <w:p>
            <w:pPr>
              <w:jc w:val="right"/>
              <w:spacing w:after="0"/>
              <w:rPr>
                <w:sz w:val="20"/>
                <w:szCs w:val="20"/>
                <w:color w:val="auto"/>
              </w:rPr>
            </w:pPr>
            <w:r>
              <w:rPr>
                <w:rFonts w:ascii="Arial" w:cs="Arial" w:eastAsia="Arial" w:hAnsi="Arial"/>
                <w:sz w:val="16"/>
                <w:szCs w:val="16"/>
                <w:color w:val="auto"/>
              </w:rPr>
              <w:t>56,753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57,835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r>
      <w:tr>
        <w:trPr>
          <w:trHeight w:val="209"/>
        </w:trPr>
        <w:tc>
          <w:tcPr>
            <w:tcW w:w="2380" w:type="dxa"/>
            <w:vAlign w:val="bottom"/>
          </w:tcPr>
          <w:p>
            <w:pPr>
              <w:spacing w:after="0"/>
              <w:rPr>
                <w:sz w:val="18"/>
                <w:szCs w:val="18"/>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1/2024)</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($56,020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10/3/2017</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+ 8.00%</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55,783</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55,439</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10/2022)</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($13,848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7/31/2019</w:t>
            </w:r>
          </w:p>
        </w:tc>
        <w:tc>
          <w:tcPr>
            <w:tcW w:w="1200" w:type="dxa"/>
            <w:vAlign w:val="bottom"/>
          </w:tcPr>
          <w:p>
            <w:pPr>
              <w:jc w:val="right"/>
              <w:spacing w:after="0"/>
              <w:rPr>
                <w:sz w:val="20"/>
                <w:szCs w:val="20"/>
                <w:color w:val="auto"/>
              </w:rPr>
            </w:pPr>
            <w:r>
              <w:rPr>
                <w:rFonts w:ascii="Arial" w:cs="Arial" w:eastAsia="Arial" w:hAnsi="Arial"/>
                <w:sz w:val="16"/>
                <w:szCs w:val="16"/>
                <w:color w:val="auto"/>
              </w:rPr>
              <w:t>12.00%</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12.00%</w:t>
            </w:r>
          </w:p>
        </w:tc>
        <w:tc>
          <w:tcPr>
            <w:tcW w:w="780" w:type="dxa"/>
            <w:vAlign w:val="bottom"/>
          </w:tcPr>
          <w:p>
            <w:pPr>
              <w:jc w:val="right"/>
              <w:spacing w:after="0"/>
              <w:rPr>
                <w:sz w:val="20"/>
                <w:szCs w:val="20"/>
                <w:color w:val="auto"/>
              </w:rPr>
            </w:pPr>
            <w:r>
              <w:rPr>
                <w:rFonts w:ascii="Arial" w:cs="Arial" w:eastAsia="Arial" w:hAnsi="Arial"/>
                <w:sz w:val="16"/>
                <w:szCs w:val="16"/>
                <w:color w:val="auto"/>
              </w:rPr>
              <w:t>13,766</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13,917</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3"/>
        </w:trPr>
        <w:tc>
          <w:tcPr>
            <w:tcW w:w="238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7/2024)</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(incl.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7.00%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PIK)</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Piano Software, Inc. </w:t>
            </w:r>
            <w:r>
              <w:rPr>
                <w:rFonts w:ascii="Arial" w:cs="Arial" w:eastAsia="Arial" w:hAnsi="Arial"/>
                <w:sz w:val="24"/>
                <w:szCs w:val="24"/>
                <w:color w:val="auto"/>
                <w:vertAlign w:val="superscript"/>
              </w:rPr>
              <w:t>(3)(5)</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($49,328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2/25/2021</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+ 6.50%</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48,292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48,711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w:t>
            </w:r>
          </w:p>
        </w:tc>
      </w:tr>
      <w:tr>
        <w:trPr>
          <w:trHeight w:val="209"/>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2/2026)</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202,684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204,050</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16.0%</w:t>
            </w:r>
          </w:p>
        </w:tc>
      </w:tr>
      <w:tr>
        <w:trPr>
          <w:trHeight w:val="21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6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note ($33,330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12/17/2019</w:t>
            </w:r>
          </w:p>
        </w:tc>
        <w:tc>
          <w:tcPr>
            <w:tcW w:w="1200" w:type="dxa"/>
            <w:vAlign w:val="bottom"/>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32,544</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31,747</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209"/>
        </w:trPr>
        <w:tc>
          <w:tcPr>
            <w:tcW w:w="2380" w:type="dxa"/>
            <w:vAlign w:val="bottom"/>
          </w:tcPr>
          <w:p>
            <w:pPr>
              <w:spacing w:after="0"/>
              <w:rPr>
                <w:sz w:val="18"/>
                <w:szCs w:val="18"/>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6/2024)</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640" w:type="dxa"/>
            <w:vAlign w:val="bottom"/>
          </w:tcPr>
          <w:p>
            <w:pPr>
              <w:ind w:left="180"/>
              <w:spacing w:after="0"/>
              <w:rPr>
                <w:sz w:val="20"/>
                <w:szCs w:val="20"/>
                <w:color w:val="auto"/>
              </w:rPr>
            </w:pPr>
            <w:r>
              <w:rPr>
                <w:rFonts w:ascii="Arial" w:cs="Arial" w:eastAsia="Arial" w:hAnsi="Arial"/>
                <w:sz w:val="16"/>
                <w:szCs w:val="16"/>
                <w:color w:val="auto"/>
              </w:rPr>
              <w:t>ABL FILO term loan ($5,732 par,</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9/12/2017</w:t>
            </w:r>
          </w:p>
        </w:tc>
        <w:tc>
          <w:tcPr>
            <w:tcW w:w="1200" w:type="dxa"/>
            <w:vAlign w:val="bottom"/>
          </w:tcPr>
          <w:p>
            <w:pPr>
              <w:jc w:val="right"/>
              <w:spacing w:after="0"/>
              <w:rPr>
                <w:sz w:val="20"/>
                <w:szCs w:val="20"/>
                <w:color w:val="auto"/>
              </w:rPr>
            </w:pPr>
            <w:r>
              <w:rPr>
                <w:rFonts w:ascii="Arial" w:cs="Arial" w:eastAsia="Arial" w:hAnsi="Arial"/>
                <w:sz w:val="16"/>
                <w:szCs w:val="16"/>
                <w:color w:val="auto"/>
              </w:rPr>
              <w:t>L + 7.75%</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rPr>
              <w:t>5,709</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5,732</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r>
      <w:tr>
        <w:trPr>
          <w:trHeight w:val="209"/>
        </w:trPr>
        <w:tc>
          <w:tcPr>
            <w:tcW w:w="2380" w:type="dxa"/>
            <w:vAlign w:val="bottom"/>
          </w:tcPr>
          <w:p>
            <w:pPr>
              <w:spacing w:after="0"/>
              <w:rPr>
                <w:sz w:val="18"/>
                <w:szCs w:val="18"/>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due 9/2022)</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8"/>
              </w:rPr>
              <w:t>Oil, Gas and Consumable Fuels</w:t>
            </w:r>
          </w:p>
        </w:tc>
        <w:tc>
          <w:tcPr>
            <w:tcW w:w="2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MD America Energy,</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($8,775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11/14/2018</w:t>
            </w:r>
          </w:p>
        </w:tc>
        <w:tc>
          <w:tcPr>
            <w:tcW w:w="1200" w:type="dxa"/>
            <w:vAlign w:val="bottom"/>
          </w:tcPr>
          <w:p>
            <w:pPr>
              <w:jc w:val="right"/>
              <w:spacing w:after="0"/>
              <w:rPr>
                <w:sz w:val="20"/>
                <w:szCs w:val="20"/>
                <w:color w:val="auto"/>
              </w:rPr>
            </w:pPr>
            <w:r>
              <w:rPr>
                <w:rFonts w:ascii="Arial" w:cs="Arial" w:eastAsia="Arial" w:hAnsi="Arial"/>
                <w:sz w:val="16"/>
                <w:szCs w:val="16"/>
                <w:color w:val="auto"/>
              </w:rPr>
              <w:t>L + 7.75%</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9.25%</w:t>
            </w:r>
          </w:p>
        </w:tc>
        <w:tc>
          <w:tcPr>
            <w:tcW w:w="780" w:type="dxa"/>
            <w:vAlign w:val="bottom"/>
          </w:tcPr>
          <w:p>
            <w:pPr>
              <w:jc w:val="right"/>
              <w:spacing w:after="0"/>
              <w:rPr>
                <w:sz w:val="20"/>
                <w:szCs w:val="20"/>
                <w:color w:val="auto"/>
              </w:rPr>
            </w:pPr>
            <w:r>
              <w:rPr>
                <w:rFonts w:ascii="Arial" w:cs="Arial" w:eastAsia="Arial" w:hAnsi="Arial"/>
                <w:sz w:val="16"/>
                <w:szCs w:val="16"/>
                <w:color w:val="auto"/>
              </w:rPr>
              <w:t>8,775</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640" w:type="dxa"/>
            <w:vAlign w:val="bottom"/>
          </w:tcPr>
          <w:p>
            <w:pPr>
              <w:ind w:left="180"/>
              <w:spacing w:after="0"/>
              <w:rPr>
                <w:sz w:val="20"/>
                <w:szCs w:val="20"/>
                <w:color w:val="auto"/>
              </w:rPr>
            </w:pPr>
            <w:r>
              <w:rPr>
                <w:rFonts w:ascii="Arial" w:cs="Arial" w:eastAsia="Arial" w:hAnsi="Arial"/>
                <w:sz w:val="16"/>
                <w:szCs w:val="16"/>
                <w:color w:val="auto"/>
              </w:rPr>
              <w:t>12/2024)</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($1,500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6/29/2018</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P + 8.00%</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12/2022)</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TRP Assets, LLC </w:t>
            </w:r>
            <w:r>
              <w:rPr>
                <w:rFonts w:ascii="Arial" w:cs="Arial" w:eastAsia="Arial" w:hAnsi="Arial"/>
                <w:sz w:val="23"/>
                <w:szCs w:val="23"/>
                <w:color w:val="auto"/>
                <w:vertAlign w:val="superscript"/>
              </w:rPr>
              <w:t>(3)</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($42,000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12/3/2021</w:t>
            </w:r>
          </w:p>
        </w:tc>
        <w:tc>
          <w:tcPr>
            <w:tcW w:w="1200" w:type="dxa"/>
            <w:vAlign w:val="bottom"/>
          </w:tcPr>
          <w:p>
            <w:pPr>
              <w:jc w:val="right"/>
              <w:spacing w:after="0"/>
              <w:rPr>
                <w:sz w:val="20"/>
                <w:szCs w:val="20"/>
                <w:color w:val="auto"/>
              </w:rPr>
            </w:pPr>
            <w:r>
              <w:rPr>
                <w:rFonts w:ascii="Arial" w:cs="Arial" w:eastAsia="Arial" w:hAnsi="Arial"/>
                <w:sz w:val="16"/>
                <w:szCs w:val="16"/>
                <w:color w:val="auto"/>
              </w:rPr>
              <w:t>SOFR + 7.50%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9.76%</w:t>
            </w:r>
          </w:p>
        </w:tc>
        <w:tc>
          <w:tcPr>
            <w:tcW w:w="780" w:type="dxa"/>
            <w:vAlign w:val="bottom"/>
          </w:tcPr>
          <w:p>
            <w:pPr>
              <w:jc w:val="right"/>
              <w:spacing w:after="0"/>
              <w:rPr>
                <w:sz w:val="20"/>
                <w:szCs w:val="20"/>
                <w:color w:val="auto"/>
              </w:rPr>
            </w:pPr>
            <w:r>
              <w:rPr>
                <w:rFonts w:ascii="Arial" w:cs="Arial" w:eastAsia="Arial" w:hAnsi="Arial"/>
                <w:sz w:val="16"/>
                <w:szCs w:val="16"/>
                <w:color w:val="auto"/>
              </w:rPr>
              <w:t>41,003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40,950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r>
      <w:tr>
        <w:trPr>
          <w:trHeight w:val="209"/>
        </w:trPr>
        <w:tc>
          <w:tcPr>
            <w:tcW w:w="2380" w:type="dxa"/>
            <w:vAlign w:val="bottom"/>
          </w:tcPr>
          <w:p>
            <w:pPr>
              <w:spacing w:after="0"/>
              <w:rPr>
                <w:sz w:val="18"/>
                <w:szCs w:val="18"/>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12/2025)</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($25,233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4/10/2019</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24,925</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25,485</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10/2024)</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76,201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75,210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r>
      <w:tr>
        <w:trPr>
          <w:trHeight w:val="21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w:t>
            </w:r>
          </w:p>
        </w:tc>
        <w:tc>
          <w:tcPr>
            <w:tcW w:w="26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Omnigo Software, LLC </w:t>
            </w:r>
            <w:r>
              <w:rPr>
                <w:rFonts w:ascii="Arial" w:cs="Arial" w:eastAsia="Arial" w:hAnsi="Arial"/>
                <w:sz w:val="23"/>
                <w:szCs w:val="23"/>
                <w:color w:val="auto"/>
                <w:vertAlign w:val="superscript"/>
              </w:rPr>
              <w:t>(3)(5)</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($33,745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3/31/2021</w:t>
            </w:r>
          </w:p>
        </w:tc>
        <w:tc>
          <w:tcPr>
            <w:tcW w:w="1200" w:type="dxa"/>
            <w:vAlign w:val="bottom"/>
          </w:tcPr>
          <w:p>
            <w:pPr>
              <w:jc w:val="right"/>
              <w:spacing w:after="0"/>
              <w:rPr>
                <w:sz w:val="20"/>
                <w:szCs w:val="20"/>
                <w:color w:val="auto"/>
              </w:rPr>
            </w:pPr>
            <w:r>
              <w:rPr>
                <w:rFonts w:ascii="Arial" w:cs="Arial" w:eastAsia="Arial" w:hAnsi="Arial"/>
                <w:sz w:val="16"/>
                <w:szCs w:val="16"/>
                <w:color w:val="auto"/>
              </w:rPr>
              <w:t>L + 6.50%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33,067</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33,408</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209"/>
        </w:trPr>
        <w:tc>
          <w:tcPr>
            <w:tcW w:w="2380" w:type="dxa"/>
            <w:vAlign w:val="bottom"/>
          </w:tcPr>
          <w:p>
            <w:pPr>
              <w:spacing w:after="0"/>
              <w:rPr>
                <w:sz w:val="18"/>
                <w:szCs w:val="18"/>
                <w:color w:val="auto"/>
              </w:rPr>
            </w:pPr>
          </w:p>
        </w:tc>
        <w:tc>
          <w:tcPr>
            <w:tcW w:w="2640" w:type="dxa"/>
            <w:vAlign w:val="bottom"/>
          </w:tcPr>
          <w:p>
            <w:pPr>
              <w:ind w:left="180"/>
              <w:spacing w:after="0"/>
              <w:rPr>
                <w:sz w:val="20"/>
                <w:szCs w:val="20"/>
                <w:color w:val="auto"/>
              </w:rPr>
            </w:pPr>
            <w:r>
              <w:rPr>
                <w:rFonts w:ascii="Arial" w:cs="Arial" w:eastAsia="Arial" w:hAnsi="Arial"/>
                <w:sz w:val="16"/>
                <w:szCs w:val="16"/>
                <w:color w:val="auto"/>
              </w:rPr>
              <w:t>3/2026)</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Biohaven Pharmaceuticals,</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($41,768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8/7/2020</w:t>
            </w:r>
          </w:p>
        </w:tc>
        <w:tc>
          <w:tcPr>
            <w:tcW w:w="1200" w:type="dxa"/>
            <w:vAlign w:val="bottom"/>
          </w:tcPr>
          <w:p>
            <w:pPr>
              <w:jc w:val="right"/>
              <w:spacing w:after="0"/>
              <w:rPr>
                <w:sz w:val="20"/>
                <w:szCs w:val="20"/>
                <w:color w:val="auto"/>
              </w:rPr>
            </w:pPr>
            <w:r>
              <w:rPr>
                <w:rFonts w:ascii="Arial" w:cs="Arial" w:eastAsia="Arial" w:hAnsi="Arial"/>
                <w:sz w:val="16"/>
                <w:szCs w:val="16"/>
                <w:color w:val="auto"/>
              </w:rPr>
              <w:t>L + 9.00%</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780" w:type="dxa"/>
            <w:vAlign w:val="bottom"/>
          </w:tcPr>
          <w:p>
            <w:pPr>
              <w:jc w:val="right"/>
              <w:spacing w:after="0"/>
              <w:rPr>
                <w:sz w:val="20"/>
                <w:szCs w:val="20"/>
                <w:color w:val="auto"/>
              </w:rPr>
            </w:pPr>
            <w:r>
              <w:rPr>
                <w:rFonts w:ascii="Arial" w:cs="Arial" w:eastAsia="Arial" w:hAnsi="Arial"/>
                <w:sz w:val="16"/>
                <w:szCs w:val="16"/>
                <w:color w:val="auto"/>
              </w:rPr>
              <w:t>50,761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52,782</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r>
        <w:trPr>
          <w:trHeight w:val="206"/>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640" w:type="dxa"/>
            <w:vAlign w:val="bottom"/>
          </w:tcPr>
          <w:p>
            <w:pPr>
              <w:ind w:left="180"/>
              <w:spacing w:after="0"/>
              <w:rPr>
                <w:sz w:val="20"/>
                <w:szCs w:val="20"/>
                <w:color w:val="auto"/>
              </w:rPr>
            </w:pPr>
            <w:r>
              <w:rPr>
                <w:rFonts w:ascii="Arial" w:cs="Arial" w:eastAsia="Arial" w:hAnsi="Arial"/>
                <w:sz w:val="16"/>
                <w:szCs w:val="16"/>
                <w:color w:val="auto"/>
              </w:rPr>
              <w:t>8/2025)</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(incl.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4.00%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PIK)</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loan ($22,730 par, due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9/30/2021</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+ 8.25%</w:t>
            </w:r>
          </w:p>
        </w:tc>
        <w:tc>
          <w:tcPr>
            <w:tcW w:w="10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03"/>
        </w:trPr>
        <w:tc>
          <w:tcPr>
            <w:tcW w:w="2380" w:type="dxa"/>
            <w:vAlign w:val="bottom"/>
            <w:shd w:val="clear" w:color="auto" w:fill="CFF0FC"/>
          </w:tcPr>
          <w:p>
            <w:pPr>
              <w:spacing w:after="0"/>
              <w:rPr>
                <w:sz w:val="17"/>
                <w:szCs w:val="17"/>
                <w:color w:val="auto"/>
              </w:rPr>
            </w:pPr>
          </w:p>
        </w:tc>
        <w:tc>
          <w:tcPr>
            <w:tcW w:w="2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9/2026)</w:t>
            </w:r>
          </w:p>
        </w:tc>
        <w:tc>
          <w:tcPr>
            <w:tcW w:w="10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(incl.</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80" w:type="dxa"/>
            <w:vAlign w:val="bottom"/>
            <w:shd w:val="clear" w:color="auto" w:fill="CFF0FC"/>
          </w:tcPr>
          <w:p>
            <w:pPr>
              <w:spacing w:after="0"/>
              <w:rPr>
                <w:sz w:val="17"/>
                <w:szCs w:val="17"/>
                <w:color w:val="auto"/>
              </w:rPr>
            </w:pPr>
          </w:p>
        </w:tc>
        <w:tc>
          <w:tcPr>
            <w:tcW w:w="2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4.00%</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PIK)</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TherapeuticsMD, Inc. </w:t>
            </w:r>
            <w:r>
              <w:rPr>
                <w:rFonts w:ascii="Arial" w:cs="Arial" w:eastAsia="Arial" w:hAnsi="Arial"/>
                <w:sz w:val="23"/>
                <w:szCs w:val="23"/>
                <w:color w:val="auto"/>
                <w:vertAlign w:val="superscript"/>
              </w:rPr>
              <w:t>(3)(4)</w:t>
            </w:r>
          </w:p>
        </w:tc>
        <w:tc>
          <w:tcPr>
            <w:tcW w:w="2640" w:type="dxa"/>
            <w:vAlign w:val="bottom"/>
          </w:tcPr>
          <w:p>
            <w:pPr>
              <w:ind w:left="180"/>
              <w:spacing w:after="0"/>
              <w:rPr>
                <w:sz w:val="20"/>
                <w:szCs w:val="20"/>
                <w:color w:val="auto"/>
              </w:rPr>
            </w:pPr>
            <w:r>
              <w:rPr>
                <w:rFonts w:ascii="Arial" w:cs="Arial" w:eastAsia="Arial" w:hAnsi="Arial"/>
                <w:sz w:val="16"/>
                <w:szCs w:val="16"/>
                <w:color w:val="auto"/>
              </w:rPr>
              <w:t>First-lien loan ($30,000 par, due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4/24/2019</w:t>
            </w:r>
          </w:p>
        </w:tc>
        <w:tc>
          <w:tcPr>
            <w:tcW w:w="1200" w:type="dxa"/>
            <w:vAlign w:val="bottom"/>
          </w:tcPr>
          <w:p>
            <w:pPr>
              <w:jc w:val="right"/>
              <w:spacing w:after="0"/>
              <w:rPr>
                <w:sz w:val="20"/>
                <w:szCs w:val="20"/>
                <w:color w:val="auto"/>
              </w:rPr>
            </w:pPr>
            <w:r>
              <w:rPr>
                <w:rFonts w:ascii="Arial" w:cs="Arial" w:eastAsia="Arial" w:hAnsi="Arial"/>
                <w:sz w:val="16"/>
                <w:szCs w:val="16"/>
                <w:color w:val="auto"/>
              </w:rPr>
              <w:t>L + 7.75%</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10.45%</w:t>
            </w:r>
          </w:p>
        </w:tc>
        <w:tc>
          <w:tcPr>
            <w:tcW w:w="780" w:type="dxa"/>
            <w:vAlign w:val="bottom"/>
          </w:tcPr>
          <w:p>
            <w:pPr>
              <w:jc w:val="right"/>
              <w:spacing w:after="0"/>
              <w:rPr>
                <w:sz w:val="20"/>
                <w:szCs w:val="20"/>
                <w:color w:val="auto"/>
              </w:rPr>
            </w:pPr>
            <w:r>
              <w:rPr>
                <w:rFonts w:ascii="Arial" w:cs="Arial" w:eastAsia="Arial" w:hAnsi="Arial"/>
                <w:sz w:val="16"/>
                <w:szCs w:val="16"/>
                <w:color w:val="auto"/>
              </w:rPr>
              <w:t>29,068</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9"/>
        </w:trPr>
        <w:tc>
          <w:tcPr>
            <w:tcW w:w="2380" w:type="dxa"/>
            <w:vAlign w:val="bottom"/>
            <w:tcBorders>
              <w:bottom w:val="single" w:sz="8" w:color="CFF0FC"/>
            </w:tcBorders>
          </w:tcPr>
          <w:p>
            <w:pPr>
              <w:spacing w:after="0"/>
              <w:rPr>
                <w:sz w:val="18"/>
                <w:szCs w:val="18"/>
                <w:color w:val="auto"/>
              </w:rPr>
            </w:pPr>
          </w:p>
        </w:tc>
        <w:tc>
          <w:tcPr>
            <w:tcW w:w="264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3/2024)</w:t>
            </w:r>
          </w:p>
        </w:tc>
        <w:tc>
          <w:tcPr>
            <w:tcW w:w="10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0"/>
        </w:trPr>
        <w:tc>
          <w:tcPr>
            <w:tcW w:w="238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91,732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95,598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7.5%</w:t>
            </w:r>
          </w:p>
        </w:tc>
      </w:tr>
      <w:tr>
        <w:trPr>
          <w:trHeight w:val="213"/>
        </w:trPr>
        <w:tc>
          <w:tcPr>
            <w:tcW w:w="2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99 Cents Only Stores</w:t>
            </w:r>
          </w:p>
        </w:tc>
        <w:tc>
          <w:tcPr>
            <w:tcW w:w="2640" w:type="dxa"/>
            <w:vAlign w:val="bottom"/>
          </w:tcPr>
          <w:p>
            <w:pPr>
              <w:ind w:left="180"/>
              <w:spacing w:after="0"/>
              <w:rPr>
                <w:sz w:val="20"/>
                <w:szCs w:val="20"/>
                <w:color w:val="auto"/>
              </w:rPr>
            </w:pPr>
            <w:r>
              <w:rPr>
                <w:rFonts w:ascii="Arial" w:cs="Arial" w:eastAsia="Arial" w:hAnsi="Arial"/>
                <w:sz w:val="16"/>
                <w:szCs w:val="16"/>
                <w:color w:val="auto"/>
              </w:rPr>
              <w:t>ABL FILO term loan ($25,000 par,</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9/6/2017</w:t>
            </w:r>
          </w:p>
        </w:tc>
        <w:tc>
          <w:tcPr>
            <w:tcW w:w="1200" w:type="dxa"/>
            <w:vAlign w:val="bottom"/>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780" w:type="dxa"/>
            <w:vAlign w:val="bottom"/>
          </w:tcPr>
          <w:p>
            <w:pPr>
              <w:jc w:val="right"/>
              <w:spacing w:after="0"/>
              <w:rPr>
                <w:sz w:val="20"/>
                <w:szCs w:val="20"/>
                <w:color w:val="auto"/>
              </w:rPr>
            </w:pPr>
            <w:r>
              <w:rPr>
                <w:rFonts w:ascii="Arial" w:cs="Arial" w:eastAsia="Arial" w:hAnsi="Arial"/>
                <w:sz w:val="16"/>
                <w:szCs w:val="16"/>
                <w:color w:val="auto"/>
              </w:rPr>
              <w:t>24,704</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25,625</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359"/>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27"/>
                <w:szCs w:val="27"/>
                <w:color w:val="auto"/>
                <w:vertAlign w:val="superscript"/>
              </w:rPr>
              <w:t>(3)</w:t>
            </w:r>
          </w:p>
        </w:tc>
        <w:tc>
          <w:tcPr>
            <w:tcW w:w="2640" w:type="dxa"/>
            <w:vAlign w:val="bottom"/>
          </w:tcPr>
          <w:p>
            <w:pPr>
              <w:ind w:left="180"/>
              <w:spacing w:after="0"/>
              <w:rPr>
                <w:sz w:val="20"/>
                <w:szCs w:val="20"/>
                <w:color w:val="auto"/>
              </w:rPr>
            </w:pPr>
            <w:r>
              <w:rPr>
                <w:rFonts w:ascii="Arial" w:cs="Arial" w:eastAsia="Arial" w:hAnsi="Arial"/>
                <w:sz w:val="16"/>
                <w:szCs w:val="16"/>
                <w:color w:val="auto"/>
              </w:rPr>
              <w:t>due 5/2025)</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3"/>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($25,185 par, due</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24,259</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18,952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r>
      <w:tr>
        <w:trPr>
          <w:trHeight w:val="206"/>
        </w:trPr>
        <w:tc>
          <w:tcPr>
            <w:tcW w:w="2420" w:type="dxa"/>
            <w:vAlign w:val="bottom"/>
            <w:shd w:val="clear" w:color="auto" w:fill="CFF0FC"/>
          </w:tcPr>
          <w:p>
            <w:pPr>
              <w:ind w:left="120"/>
              <w:spacing w:after="0" w:line="205" w:lineRule="exact"/>
              <w:rPr>
                <w:sz w:val="20"/>
                <w:szCs w:val="20"/>
                <w:color w:val="auto"/>
              </w:rPr>
            </w:pPr>
            <w:r>
              <w:rPr>
                <w:rFonts w:ascii="Arial" w:cs="Arial" w:eastAsia="Arial" w:hAnsi="Arial"/>
                <w:sz w:val="14"/>
                <w:szCs w:val="14"/>
                <w:color w:val="auto"/>
              </w:rPr>
              <w:t xml:space="preserve">Corp. </w:t>
            </w:r>
            <w:r>
              <w:rPr>
                <w:rFonts w:ascii="Arial" w:cs="Arial" w:eastAsia="Arial" w:hAnsi="Arial"/>
                <w:sz w:val="23"/>
                <w:szCs w:val="23"/>
                <w:color w:val="auto"/>
                <w:vertAlign w:val="superscript"/>
              </w:rPr>
              <w:t>(3)</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9/2026)</w:t>
            </w:r>
          </w:p>
        </w:tc>
        <w:tc>
          <w:tcPr>
            <w:tcW w:w="10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420" w:type="dxa"/>
            <w:vAlign w:val="bottom"/>
            <w:shd w:val="clear" w:color="auto" w:fill="CFF0FC"/>
          </w:tcPr>
          <w:p>
            <w:pPr>
              <w:spacing w:after="0"/>
              <w:rPr>
                <w:sz w:val="17"/>
                <w:szCs w:val="17"/>
                <w:color w:val="auto"/>
              </w:rPr>
            </w:pPr>
          </w:p>
        </w:tc>
        <w:tc>
          <w:tcPr>
            <w:tcW w:w="28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6.75%</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20" w:type="dxa"/>
            <w:vAlign w:val="bottom"/>
          </w:tcPr>
          <w:p>
            <w:pPr>
              <w:spacing w:after="0"/>
              <w:rPr>
                <w:sz w:val="17"/>
                <w:szCs w:val="17"/>
                <w:color w:val="auto"/>
              </w:rPr>
            </w:pPr>
          </w:p>
        </w:tc>
        <w:tc>
          <w:tcPr>
            <w:tcW w:w="2820" w:type="dxa"/>
            <w:vAlign w:val="bottom"/>
          </w:tcPr>
          <w:p>
            <w:pPr>
              <w:ind w:left="240"/>
              <w:spacing w:after="0"/>
              <w:rPr>
                <w:sz w:val="20"/>
                <w:szCs w:val="20"/>
                <w:color w:val="auto"/>
              </w:rPr>
            </w:pPr>
            <w:r>
              <w:rPr>
                <w:rFonts w:ascii="Arial" w:cs="Arial" w:eastAsia="Arial" w:hAnsi="Arial"/>
                <w:sz w:val="16"/>
                <w:szCs w:val="16"/>
                <w:color w:val="auto"/>
              </w:rPr>
              <w:t>First-lien loan ($1,370 par, due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6/10/2021</w:t>
            </w:r>
          </w:p>
        </w:tc>
        <w:tc>
          <w:tcPr>
            <w:tcW w:w="980" w:type="dxa"/>
            <w:vAlign w:val="bottom"/>
          </w:tcPr>
          <w:p>
            <w:pPr>
              <w:jc w:val="right"/>
              <w:spacing w:after="0"/>
              <w:rPr>
                <w:sz w:val="20"/>
                <w:szCs w:val="20"/>
                <w:color w:val="auto"/>
              </w:rPr>
            </w:pPr>
            <w:r>
              <w:rPr>
                <w:rFonts w:ascii="Arial" w:cs="Arial" w:eastAsia="Arial" w:hAnsi="Arial"/>
                <w:sz w:val="16"/>
                <w:szCs w:val="16"/>
                <w:color w:val="auto"/>
              </w:rPr>
              <w:t>L + 14.00%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15.00%</w:t>
            </w:r>
          </w:p>
        </w:tc>
        <w:tc>
          <w:tcPr>
            <w:tcW w:w="800" w:type="dxa"/>
            <w:vAlign w:val="bottom"/>
          </w:tcPr>
          <w:p>
            <w:pPr>
              <w:jc w:val="right"/>
              <w:spacing w:after="0"/>
              <w:rPr>
                <w:sz w:val="20"/>
                <w:szCs w:val="20"/>
                <w:color w:val="auto"/>
              </w:rPr>
            </w:pPr>
            <w:r>
              <w:rPr>
                <w:rFonts w:ascii="Arial" w:cs="Arial" w:eastAsia="Arial" w:hAnsi="Arial"/>
                <w:sz w:val="16"/>
                <w:szCs w:val="16"/>
                <w:color w:val="auto"/>
              </w:rPr>
              <w:t>1,370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6"/>
        </w:trPr>
        <w:tc>
          <w:tcPr>
            <w:tcW w:w="2420" w:type="dxa"/>
            <w:vAlign w:val="bottom"/>
          </w:tcPr>
          <w:p>
            <w:pPr>
              <w:spacing w:after="0"/>
              <w:rPr>
                <w:sz w:val="17"/>
                <w:szCs w:val="17"/>
                <w:color w:val="auto"/>
              </w:rPr>
            </w:pPr>
          </w:p>
        </w:tc>
        <w:tc>
          <w:tcPr>
            <w:tcW w:w="2820" w:type="dxa"/>
            <w:vAlign w:val="bottom"/>
          </w:tcPr>
          <w:p>
            <w:pPr>
              <w:ind w:left="240"/>
              <w:spacing w:after="0" w:line="205" w:lineRule="exact"/>
              <w:rPr>
                <w:sz w:val="20"/>
                <w:szCs w:val="20"/>
                <w:color w:val="auto"/>
              </w:rPr>
            </w:pPr>
            <w:r>
              <w:rPr>
                <w:rFonts w:ascii="Arial" w:cs="Arial" w:eastAsia="Arial" w:hAnsi="Arial"/>
                <w:sz w:val="14"/>
                <w:szCs w:val="14"/>
                <w:color w:val="auto"/>
              </w:rPr>
              <w:t xml:space="preserve">9/2026) </w:t>
            </w:r>
            <w:r>
              <w:rPr>
                <w:rFonts w:ascii="Arial" w:cs="Arial" w:eastAsia="Arial" w:hAnsi="Arial"/>
                <w:sz w:val="23"/>
                <w:szCs w:val="23"/>
                <w:color w:val="auto"/>
                <w:vertAlign w:val="superscript"/>
              </w:rPr>
              <w:t>(16)</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14.50%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20" w:type="dxa"/>
            <w:vAlign w:val="bottom"/>
            <w:shd w:val="clear" w:color="auto" w:fill="CFF0FC"/>
          </w:tcPr>
          <w:p>
            <w:pPr>
              <w:spacing w:after="0"/>
              <w:rPr>
                <w:sz w:val="17"/>
                <w:szCs w:val="17"/>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Subordinated note ($4,740 par, due</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3/16/2021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+ 1.00%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2.00% 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9/2026) </w:t>
            </w:r>
            <w:r>
              <w:rPr>
                <w:rFonts w:ascii="Arial" w:cs="Arial" w:eastAsia="Arial" w:hAnsi="Arial"/>
                <w:sz w:val="25"/>
                <w:szCs w:val="25"/>
                <w:color w:val="auto"/>
                <w:vertAlign w:val="superscript"/>
              </w:rPr>
              <w:t>(16)</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820" w:type="dxa"/>
            <w:vAlign w:val="bottom"/>
          </w:tcPr>
          <w:p>
            <w:pPr>
              <w:ind w:left="240"/>
              <w:spacing w:after="0"/>
              <w:rPr>
                <w:sz w:val="20"/>
                <w:szCs w:val="20"/>
                <w:color w:val="auto"/>
              </w:rPr>
            </w:pPr>
            <w:r>
              <w:rPr>
                <w:rFonts w:ascii="Arial" w:cs="Arial" w:eastAsia="Arial" w:hAnsi="Arial"/>
                <w:sz w:val="16"/>
                <w:szCs w:val="16"/>
                <w:color w:val="auto"/>
                <w:w w:val="97"/>
              </w:rPr>
              <w:t>ABL First-lien loan ($46,875 par, due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980" w:type="dxa"/>
            <w:vAlign w:val="bottom"/>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800" w:type="dxa"/>
            <w:vAlign w:val="bottom"/>
          </w:tcPr>
          <w:p>
            <w:pPr>
              <w:jc w:val="right"/>
              <w:spacing w:after="0"/>
              <w:rPr>
                <w:sz w:val="20"/>
                <w:szCs w:val="20"/>
                <w:color w:val="auto"/>
              </w:rPr>
            </w:pPr>
            <w:r>
              <w:rPr>
                <w:rFonts w:ascii="Arial" w:cs="Arial" w:eastAsia="Arial" w:hAnsi="Arial"/>
                <w:sz w:val="16"/>
                <w:szCs w:val="16"/>
                <w:color w:val="auto"/>
              </w:rPr>
              <w:t>45,974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48,398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09"/>
        </w:trPr>
        <w:tc>
          <w:tcPr>
            <w:tcW w:w="2420" w:type="dxa"/>
            <w:vAlign w:val="bottom"/>
          </w:tcPr>
          <w:p>
            <w:pPr>
              <w:spacing w:after="0"/>
              <w:rPr>
                <w:sz w:val="18"/>
                <w:szCs w:val="18"/>
                <w:color w:val="auto"/>
              </w:rPr>
            </w:pPr>
          </w:p>
        </w:tc>
        <w:tc>
          <w:tcPr>
            <w:tcW w:w="2820" w:type="dxa"/>
            <w:vAlign w:val="bottom"/>
          </w:tcPr>
          <w:p>
            <w:pPr>
              <w:ind w:left="240"/>
              <w:spacing w:after="0"/>
              <w:rPr>
                <w:sz w:val="20"/>
                <w:szCs w:val="20"/>
                <w:color w:val="auto"/>
              </w:rPr>
            </w:pPr>
            <w:r>
              <w:rPr>
                <w:rFonts w:ascii="Arial" w:cs="Arial" w:eastAsia="Arial" w:hAnsi="Arial"/>
                <w:sz w:val="16"/>
                <w:szCs w:val="16"/>
                <w:color w:val="auto"/>
              </w:rPr>
              <w:t>8/2025)</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ABL FILO term loan ($33,267 par,</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33,683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r>
      <w:tr>
        <w:trPr>
          <w:trHeight w:val="212"/>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due 4/2024)</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Neuintel, LLC </w:t>
            </w:r>
            <w:r>
              <w:rPr>
                <w:rFonts w:ascii="Arial" w:cs="Arial" w:eastAsia="Arial" w:hAnsi="Arial"/>
                <w:sz w:val="23"/>
                <w:szCs w:val="23"/>
                <w:color w:val="auto"/>
                <w:vertAlign w:val="superscript"/>
              </w:rPr>
              <w:t>(3)(5)</w:t>
            </w:r>
          </w:p>
        </w:tc>
        <w:tc>
          <w:tcPr>
            <w:tcW w:w="2820" w:type="dxa"/>
            <w:vAlign w:val="bottom"/>
          </w:tcPr>
          <w:p>
            <w:pPr>
              <w:ind w:left="240"/>
              <w:spacing w:after="0"/>
              <w:rPr>
                <w:sz w:val="20"/>
                <w:szCs w:val="20"/>
                <w:color w:val="auto"/>
              </w:rPr>
            </w:pPr>
            <w:r>
              <w:rPr>
                <w:rFonts w:ascii="Arial" w:cs="Arial" w:eastAsia="Arial" w:hAnsi="Arial"/>
                <w:sz w:val="16"/>
                <w:szCs w:val="16"/>
                <w:color w:val="auto"/>
              </w:rPr>
              <w:t>First-lien loan ($52,000 par, due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12/20/2021</w:t>
            </w:r>
          </w:p>
        </w:tc>
        <w:tc>
          <w:tcPr>
            <w:tcW w:w="980" w:type="dxa"/>
            <w:vAlign w:val="bottom"/>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50,811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50,700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209"/>
        </w:trPr>
        <w:tc>
          <w:tcPr>
            <w:tcW w:w="2420" w:type="dxa"/>
            <w:vAlign w:val="bottom"/>
          </w:tcPr>
          <w:p>
            <w:pPr>
              <w:spacing w:after="0"/>
              <w:rPr>
                <w:sz w:val="18"/>
                <w:szCs w:val="18"/>
                <w:color w:val="auto"/>
              </w:rPr>
            </w:pPr>
          </w:p>
        </w:tc>
        <w:tc>
          <w:tcPr>
            <w:tcW w:w="2820" w:type="dxa"/>
            <w:vAlign w:val="bottom"/>
          </w:tcPr>
          <w:p>
            <w:pPr>
              <w:ind w:left="240"/>
              <w:spacing w:after="0"/>
              <w:rPr>
                <w:sz w:val="20"/>
                <w:szCs w:val="20"/>
                <w:color w:val="auto"/>
              </w:rPr>
            </w:pPr>
            <w:r>
              <w:rPr>
                <w:rFonts w:ascii="Arial" w:cs="Arial" w:eastAsia="Arial" w:hAnsi="Arial"/>
                <w:sz w:val="16"/>
                <w:szCs w:val="16"/>
                <w:color w:val="auto"/>
              </w:rPr>
              <w:t>12/2026)</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Project P Intermediate 2, LLC </w:t>
            </w:r>
            <w:r>
              <w:rPr>
                <w:rFonts w:ascii="Arial" w:cs="Arial" w:eastAsia="Arial" w:hAnsi="Arial"/>
                <w:sz w:val="24"/>
                <w:szCs w:val="24"/>
                <w:color w:val="auto"/>
                <w:vertAlign w:val="superscript"/>
              </w:rPr>
              <w:t>(3)</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ABL FILO term loan ($75,000 par,</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11/8/2021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73,541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5.8%</w:t>
            </w:r>
          </w:p>
        </w:tc>
      </w:tr>
      <w:tr>
        <w:trPr>
          <w:trHeight w:val="212"/>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due 5/2026)</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Tango Management Consulting,</w:t>
            </w:r>
          </w:p>
        </w:tc>
        <w:tc>
          <w:tcPr>
            <w:tcW w:w="2820" w:type="dxa"/>
            <w:vAlign w:val="bottom"/>
          </w:tcPr>
          <w:p>
            <w:pPr>
              <w:ind w:left="240"/>
              <w:spacing w:after="0"/>
              <w:rPr>
                <w:sz w:val="20"/>
                <w:szCs w:val="20"/>
                <w:color w:val="auto"/>
              </w:rPr>
            </w:pPr>
            <w:r>
              <w:rPr>
                <w:rFonts w:ascii="Arial" w:cs="Arial" w:eastAsia="Arial" w:hAnsi="Arial"/>
                <w:sz w:val="16"/>
                <w:szCs w:val="16"/>
                <w:color w:val="auto"/>
              </w:rPr>
              <w:t>First-lien loan ($32,500 par, due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12/1/2021</w:t>
            </w:r>
          </w:p>
        </w:tc>
        <w:tc>
          <w:tcPr>
            <w:tcW w:w="980" w:type="dxa"/>
            <w:vAlign w:val="bottom"/>
          </w:tcPr>
          <w:p>
            <w:pPr>
              <w:jc w:val="right"/>
              <w:spacing w:after="0"/>
              <w:rPr>
                <w:sz w:val="20"/>
                <w:szCs w:val="20"/>
                <w:color w:val="auto"/>
              </w:rPr>
            </w:pPr>
            <w:r>
              <w:rPr>
                <w:rFonts w:ascii="Arial" w:cs="Arial" w:eastAsia="Arial" w:hAnsi="Arial"/>
                <w:sz w:val="16"/>
                <w:szCs w:val="16"/>
                <w:color w:val="auto"/>
              </w:rPr>
              <w:t>L + 6.75%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31,487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31,459</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213"/>
        </w:trPr>
        <w:tc>
          <w:tcPr>
            <w:tcW w:w="24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8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12/2027)</w:t>
            </w:r>
          </w:p>
        </w:tc>
        <w:tc>
          <w:tcPr>
            <w:tcW w:w="102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285,555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283,230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w:t>
            </w: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Transportation</w:t>
            </w: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Project44, Inc. </w:t>
            </w:r>
            <w:r>
              <w:rPr>
                <w:rFonts w:ascii="Arial" w:cs="Arial" w:eastAsia="Arial" w:hAnsi="Arial"/>
                <w:sz w:val="24"/>
                <w:szCs w:val="24"/>
                <w:color w:val="auto"/>
                <w:vertAlign w:val="superscript"/>
              </w:rPr>
              <w:t>(3)(5)</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($35,139 par, due</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11/12/2021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33,821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r>
      <w:tr>
        <w:trPr>
          <w:trHeight w:val="212"/>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11/2027)</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20" w:type="dxa"/>
            <w:vAlign w:val="bottom"/>
          </w:tcPr>
          <w:p>
            <w:pPr>
              <w:spacing w:after="0"/>
              <w:rPr>
                <w:sz w:val="20"/>
                <w:szCs w:val="20"/>
                <w:color w:val="auto"/>
              </w:rPr>
            </w:pPr>
            <w:r>
              <w:rPr>
                <w:rFonts w:ascii="Arial" w:cs="Arial" w:eastAsia="Arial" w:hAnsi="Arial"/>
                <w:sz w:val="16"/>
                <w:szCs w:val="16"/>
                <w:b w:val="1"/>
                <w:bCs w:val="1"/>
                <w:color w:val="auto"/>
              </w:rPr>
              <w:t>Total Debt Investments</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2,317,552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2,360,134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185.0%</w:t>
            </w:r>
          </w:p>
        </w:tc>
      </w:tr>
      <w:tr>
        <w:trPr>
          <w:trHeight w:val="212"/>
        </w:trPr>
        <w:tc>
          <w:tcPr>
            <w:tcW w:w="242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Equity and Other Investments</w:t>
            </w: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Business Services</w:t>
            </w:r>
          </w:p>
        </w:tc>
        <w:tc>
          <w:tcPr>
            <w:tcW w:w="28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Dye &amp; Durham, Ltd. </w:t>
            </w:r>
            <w:r>
              <w:rPr>
                <w:rFonts w:ascii="Arial" w:cs="Arial" w:eastAsia="Arial" w:hAnsi="Arial"/>
                <w:sz w:val="23"/>
                <w:szCs w:val="23"/>
                <w:color w:val="auto"/>
                <w:vertAlign w:val="superscript"/>
              </w:rPr>
              <w:t>(4)(12)(14)</w:t>
            </w:r>
          </w:p>
        </w:tc>
        <w:tc>
          <w:tcPr>
            <w:tcW w:w="2820" w:type="dxa"/>
            <w:vAlign w:val="bottom"/>
          </w:tcPr>
          <w:p>
            <w:pPr>
              <w:ind w:left="240"/>
              <w:spacing w:after="0"/>
              <w:rPr>
                <w:sz w:val="20"/>
                <w:szCs w:val="20"/>
                <w:color w:val="auto"/>
              </w:rPr>
            </w:pPr>
            <w:r>
              <w:rPr>
                <w:rFonts w:ascii="Arial" w:cs="Arial" w:eastAsia="Arial" w:hAnsi="Arial"/>
                <w:sz w:val="16"/>
                <w:szCs w:val="16"/>
                <w:color w:val="auto"/>
              </w:rPr>
              <w:t>Common Shares (126,968 shares)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12/3/2021</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3,909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4,455</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r>
      <w:tr>
        <w:trPr>
          <w:trHeight w:val="202"/>
        </w:trPr>
        <w:tc>
          <w:tcPr>
            <w:tcW w:w="24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380"/>
              <w:spacing w:after="0"/>
              <w:rPr>
                <w:sz w:val="20"/>
                <w:szCs w:val="20"/>
                <w:color w:val="auto"/>
              </w:rPr>
            </w:pPr>
            <w:r>
              <w:rPr>
                <w:rFonts w:ascii="Arial" w:cs="Arial" w:eastAsia="Arial" w:hAnsi="Arial"/>
                <w:sz w:val="16"/>
                <w:szCs w:val="16"/>
                <w:color w:val="auto"/>
              </w:rPr>
              <w:t>(CAD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5,627)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ReliaQuest, LLC </w:t>
            </w:r>
            <w:r>
              <w:rPr>
                <w:rFonts w:ascii="Arial" w:cs="Arial" w:eastAsia="Arial" w:hAnsi="Arial"/>
                <w:sz w:val="25"/>
                <w:szCs w:val="25"/>
                <w:color w:val="auto"/>
                <w:vertAlign w:val="superscript"/>
              </w:rPr>
              <w:t>(13)(14)(15)</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A-1 Units (567,683 units)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11/23/2021</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13"/>
        </w:trPr>
        <w:tc>
          <w:tcPr>
            <w:tcW w:w="2420" w:type="dxa"/>
            <w:vAlign w:val="bottom"/>
          </w:tcPr>
          <w:p>
            <w:pPr>
              <w:spacing w:after="0"/>
              <w:rPr>
                <w:sz w:val="20"/>
                <w:szCs w:val="20"/>
                <w:color w:val="auto"/>
              </w:rPr>
            </w:pPr>
            <w:r>
              <w:rPr>
                <w:rFonts w:ascii="Arial" w:cs="Arial" w:eastAsia="Arial" w:hAnsi="Arial"/>
                <w:sz w:val="16"/>
                <w:szCs w:val="16"/>
                <w:color w:val="auto"/>
              </w:rPr>
              <w:t xml:space="preserve">Sprinklr, Inc. </w:t>
            </w:r>
            <w:r>
              <w:rPr>
                <w:rFonts w:ascii="Arial" w:cs="Arial" w:eastAsia="Arial" w:hAnsi="Arial"/>
                <w:sz w:val="13"/>
                <w:szCs w:val="13"/>
                <w:color w:val="auto"/>
              </w:rPr>
              <w:t>(4)(12)(13)(14)</w:t>
            </w:r>
          </w:p>
        </w:tc>
        <w:tc>
          <w:tcPr>
            <w:tcW w:w="2820" w:type="dxa"/>
            <w:vAlign w:val="bottom"/>
          </w:tcPr>
          <w:p>
            <w:pPr>
              <w:ind w:left="240"/>
              <w:spacing w:after="0"/>
              <w:rPr>
                <w:sz w:val="20"/>
                <w:szCs w:val="20"/>
                <w:color w:val="auto"/>
              </w:rPr>
            </w:pPr>
            <w:r>
              <w:rPr>
                <w:rFonts w:ascii="Arial" w:cs="Arial" w:eastAsia="Arial" w:hAnsi="Arial"/>
                <w:sz w:val="16"/>
                <w:szCs w:val="16"/>
                <w:color w:val="auto"/>
              </w:rPr>
              <w:t>Common Shares (484,700 shares)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6/24/2021</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7,692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1,567,807 Warrants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7/8/2020</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4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9,536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13,594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28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Celtra Technologies, Inc. </w:t>
            </w:r>
            <w:r>
              <w:rPr>
                <w:rFonts w:ascii="Arial" w:cs="Arial" w:eastAsia="Arial" w:hAnsi="Arial"/>
                <w:sz w:val="25"/>
                <w:szCs w:val="25"/>
                <w:color w:val="auto"/>
                <w:vertAlign w:val="superscript"/>
              </w:rPr>
              <w:t>(13)(14)</w:t>
            </w:r>
          </w:p>
        </w:tc>
        <w:tc>
          <w:tcPr>
            <w:tcW w:w="2820" w:type="dxa"/>
            <w:vAlign w:val="bottom"/>
          </w:tcPr>
          <w:p>
            <w:pPr>
              <w:ind w:left="240"/>
              <w:spacing w:after="0"/>
              <w:rPr>
                <w:sz w:val="20"/>
                <w:szCs w:val="20"/>
                <w:color w:val="auto"/>
              </w:rPr>
            </w:pPr>
            <w:r>
              <w:rPr>
                <w:rFonts w:ascii="Arial" w:cs="Arial" w:eastAsia="Arial" w:hAnsi="Arial"/>
                <w:sz w:val="16"/>
                <w:szCs w:val="16"/>
                <w:color w:val="auto"/>
              </w:rPr>
              <w:t>Class A Units (1,250,000 units)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11/19/2021</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3"/>
        </w:trPr>
        <w:tc>
          <w:tcPr>
            <w:tcW w:w="2420" w:type="dxa"/>
            <w:vAlign w:val="bottom"/>
            <w:shd w:val="clear" w:color="auto" w:fill="CFF0FC"/>
          </w:tcPr>
          <w:p>
            <w:pPr>
              <w:spacing w:after="0" w:line="203" w:lineRule="exact"/>
              <w:rPr>
                <w:sz w:val="20"/>
                <w:szCs w:val="20"/>
                <w:color w:val="auto"/>
              </w:rPr>
            </w:pPr>
            <w:r>
              <w:rPr>
                <w:rFonts w:ascii="Arial" w:cs="Arial" w:eastAsia="Arial" w:hAnsi="Arial"/>
                <w:sz w:val="14"/>
                <w:szCs w:val="14"/>
                <w:color w:val="auto"/>
              </w:rPr>
              <w:t xml:space="preserve">IntelePeer Holdings, Inc. </w:t>
            </w:r>
            <w:r>
              <w:rPr>
                <w:rFonts w:ascii="Arial" w:cs="Arial" w:eastAsia="Arial" w:hAnsi="Arial"/>
                <w:sz w:val="23"/>
                <w:szCs w:val="23"/>
                <w:color w:val="auto"/>
                <w:vertAlign w:val="superscript"/>
              </w:rPr>
              <w:t>(13)</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5"/>
              </w:rPr>
              <w:t>Series C Preferred Shares (1,816,295</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20" w:type="dxa"/>
            <w:vAlign w:val="bottom"/>
          </w:tcPr>
          <w:p>
            <w:pPr>
              <w:spacing w:after="0"/>
              <w:rPr>
                <w:sz w:val="17"/>
                <w:szCs w:val="17"/>
                <w:color w:val="auto"/>
              </w:rPr>
            </w:pPr>
          </w:p>
        </w:tc>
        <w:tc>
          <w:tcPr>
            <w:tcW w:w="2820" w:type="dxa"/>
            <w:vAlign w:val="bottom"/>
          </w:tcPr>
          <w:p>
            <w:pPr>
              <w:ind w:left="240"/>
              <w:spacing w:after="0"/>
              <w:rPr>
                <w:sz w:val="20"/>
                <w:szCs w:val="20"/>
                <w:color w:val="auto"/>
              </w:rPr>
            </w:pPr>
            <w:r>
              <w:rPr>
                <w:rFonts w:ascii="Arial" w:cs="Arial" w:eastAsia="Arial" w:hAnsi="Arial"/>
                <w:sz w:val="16"/>
                <w:szCs w:val="16"/>
                <w:color w:val="auto"/>
                <w:w w:val="95"/>
              </w:rPr>
              <w:t>Series D Preferred Shares (1,065,916</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420" w:type="dxa"/>
            <w:vAlign w:val="bottom"/>
          </w:tcPr>
          <w:p>
            <w:pPr>
              <w:spacing w:after="0"/>
              <w:rPr>
                <w:sz w:val="18"/>
                <w:szCs w:val="18"/>
                <w:color w:val="auto"/>
              </w:rPr>
            </w:pPr>
          </w:p>
        </w:tc>
        <w:tc>
          <w:tcPr>
            <w:tcW w:w="2820" w:type="dxa"/>
            <w:vAlign w:val="bottom"/>
          </w:tcPr>
          <w:p>
            <w:pPr>
              <w:ind w:left="24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280,000 Warrants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2/28/2020</w:t>
            </w: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420" w:type="dxa"/>
            <w:vAlign w:val="bottom"/>
          </w:tcPr>
          <w:p>
            <w:pPr>
              <w:spacing w:after="0"/>
              <w:rPr>
                <w:sz w:val="18"/>
                <w:szCs w:val="18"/>
                <w:color w:val="auto"/>
              </w:rPr>
            </w:pPr>
          </w:p>
        </w:tc>
        <w:tc>
          <w:tcPr>
            <w:tcW w:w="2820" w:type="dxa"/>
            <w:vAlign w:val="bottom"/>
          </w:tcPr>
          <w:p>
            <w:pPr>
              <w:ind w:left="240"/>
              <w:spacing w:after="0" w:line="216" w:lineRule="exact"/>
              <w:rPr>
                <w:sz w:val="20"/>
                <w:szCs w:val="20"/>
                <w:color w:val="auto"/>
              </w:rPr>
            </w:pPr>
            <w:r>
              <w:rPr>
                <w:rFonts w:ascii="Arial" w:cs="Arial" w:eastAsia="Arial" w:hAnsi="Arial"/>
                <w:sz w:val="15"/>
                <w:szCs w:val="15"/>
                <w:color w:val="auto"/>
              </w:rPr>
              <w:t xml:space="preserve">106,592 Warrants </w:t>
            </w:r>
            <w:r>
              <w:rPr>
                <w:rFonts w:ascii="Arial" w:cs="Arial" w:eastAsia="Arial" w:hAnsi="Arial"/>
                <w:sz w:val="25"/>
                <w:szCs w:val="25"/>
                <w:color w:val="auto"/>
                <w:vertAlign w:val="superscript"/>
              </w:rPr>
              <w:t>(14)</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42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r>
      <w:tr>
        <w:trPr>
          <w:trHeight w:val="207"/>
        </w:trPr>
        <w:tc>
          <w:tcPr>
            <w:tcW w:w="242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B Units (5,522,526 units)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12/22/2021</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5,523</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RMCF IV CIV XXXV,</w:t>
            </w:r>
          </w:p>
        </w:tc>
        <w:tc>
          <w:tcPr>
            <w:tcW w:w="2820" w:type="dxa"/>
            <w:vAlign w:val="bottom"/>
          </w:tcPr>
          <w:p>
            <w:pPr>
              <w:ind w:left="240"/>
              <w:spacing w:after="0"/>
              <w:rPr>
                <w:sz w:val="20"/>
                <w:szCs w:val="20"/>
                <w:color w:val="auto"/>
              </w:rPr>
            </w:pPr>
            <w:r>
              <w:rPr>
                <w:rFonts w:ascii="Arial" w:cs="Arial" w:eastAsia="Arial" w:hAnsi="Arial"/>
                <w:sz w:val="16"/>
                <w:szCs w:val="16"/>
                <w:color w:val="auto"/>
              </w:rPr>
              <w:t>Partnership Interest (11.94%</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6/8/2021</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13"/>
        </w:trPr>
        <w:tc>
          <w:tcPr>
            <w:tcW w:w="24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LP. </w:t>
            </w:r>
            <w:r>
              <w:rPr>
                <w:rFonts w:ascii="Arial" w:cs="Arial" w:eastAsia="Arial" w:hAnsi="Arial"/>
                <w:sz w:val="13"/>
                <w:szCs w:val="13"/>
                <w:color w:val="auto"/>
              </w:rPr>
              <w:t>(4)(13)(14)</w:t>
            </w:r>
          </w:p>
        </w:tc>
        <w:tc>
          <w:tcPr>
            <w:tcW w:w="28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ownership)</w:t>
            </w:r>
          </w:p>
        </w:tc>
        <w:tc>
          <w:tcPr>
            <w:tcW w:w="102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r>
      <w:tr>
        <w:trPr>
          <w:trHeight w:val="207"/>
        </w:trPr>
        <w:tc>
          <w:tcPr>
            <w:tcW w:w="242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(4)(11)(13)(14)</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Shares (200,721 shares)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10/15/2021</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Newport Parent Holdings, LP </w:t>
            </w:r>
            <w:r>
              <w:rPr>
                <w:rFonts w:ascii="Arial" w:cs="Arial" w:eastAsia="Arial" w:hAnsi="Arial"/>
                <w:sz w:val="25"/>
                <w:szCs w:val="25"/>
                <w:color w:val="auto"/>
                <w:vertAlign w:val="superscript"/>
              </w:rPr>
              <w:t>(13)</w:t>
            </w:r>
          </w:p>
        </w:tc>
        <w:tc>
          <w:tcPr>
            <w:tcW w:w="2820" w:type="dxa"/>
            <w:vAlign w:val="bottom"/>
          </w:tcPr>
          <w:p>
            <w:pPr>
              <w:ind w:left="240"/>
              <w:spacing w:after="0"/>
              <w:rPr>
                <w:sz w:val="20"/>
                <w:szCs w:val="20"/>
                <w:color w:val="auto"/>
              </w:rPr>
            </w:pPr>
            <w:r>
              <w:rPr>
                <w:rFonts w:ascii="Arial" w:cs="Arial" w:eastAsia="Arial" w:hAnsi="Arial"/>
                <w:sz w:val="16"/>
                <w:szCs w:val="16"/>
                <w:color w:val="auto"/>
              </w:rPr>
              <w:t>Class A-2 Units (131,569 units)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12/10/2020</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2,443</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03"/>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Oxford Square Capital</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Shares (1,620 shares)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8/5/2015</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Passport Labs, Inc. </w:t>
            </w:r>
            <w:r>
              <w:rPr>
                <w:rFonts w:ascii="Arial" w:cs="Arial" w:eastAsia="Arial" w:hAnsi="Arial"/>
                <w:sz w:val="25"/>
                <w:szCs w:val="25"/>
                <w:color w:val="auto"/>
                <w:vertAlign w:val="superscript"/>
              </w:rPr>
              <w:t>(13)(14)</w:t>
            </w:r>
          </w:p>
        </w:tc>
        <w:tc>
          <w:tcPr>
            <w:tcW w:w="2820" w:type="dxa"/>
            <w:vAlign w:val="bottom"/>
          </w:tcPr>
          <w:p>
            <w:pPr>
              <w:ind w:left="240"/>
              <w:spacing w:after="0"/>
              <w:rPr>
                <w:sz w:val="20"/>
                <w:szCs w:val="20"/>
                <w:color w:val="auto"/>
              </w:rPr>
            </w:pPr>
            <w:r>
              <w:rPr>
                <w:rFonts w:ascii="Arial" w:cs="Arial" w:eastAsia="Arial" w:hAnsi="Arial"/>
                <w:sz w:val="16"/>
                <w:szCs w:val="16"/>
                <w:color w:val="auto"/>
              </w:rPr>
              <w:t>17,534 Warrants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4/28/2021</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4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TradingScreen, Inc. </w:t>
            </w:r>
            <w:r>
              <w:rPr>
                <w:rFonts w:ascii="Arial" w:cs="Arial" w:eastAsia="Arial" w:hAnsi="Arial"/>
                <w:sz w:val="25"/>
                <w:szCs w:val="25"/>
                <w:color w:val="auto"/>
                <w:vertAlign w:val="superscript"/>
              </w:rPr>
              <w:t>(13)(14)(15)</w:t>
            </w:r>
          </w:p>
        </w:tc>
        <w:tc>
          <w:tcPr>
            <w:tcW w:w="2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 Units (600,000 units)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5/14/2021</w:t>
            </w: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0"/>
        </w:trPr>
        <w:tc>
          <w:tcPr>
            <w:tcW w:w="2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5,997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6,027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8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Caris Life Sciences, Inc. </w:t>
            </w:r>
            <w:r>
              <w:rPr>
                <w:rFonts w:ascii="Arial" w:cs="Arial" w:eastAsia="Arial" w:hAnsi="Arial"/>
                <w:sz w:val="23"/>
                <w:szCs w:val="23"/>
                <w:color w:val="auto"/>
                <w:vertAlign w:val="superscript"/>
              </w:rPr>
              <w:t>(13)</w:t>
            </w:r>
          </w:p>
        </w:tc>
        <w:tc>
          <w:tcPr>
            <w:tcW w:w="2820" w:type="dxa"/>
            <w:vAlign w:val="bottom"/>
          </w:tcPr>
          <w:p>
            <w:pPr>
              <w:ind w:left="240"/>
              <w:spacing w:after="0"/>
              <w:rPr>
                <w:sz w:val="20"/>
                <w:szCs w:val="20"/>
                <w:color w:val="auto"/>
              </w:rPr>
            </w:pPr>
            <w:r>
              <w:rPr>
                <w:rFonts w:ascii="Arial" w:cs="Arial" w:eastAsia="Arial" w:hAnsi="Arial"/>
                <w:sz w:val="16"/>
                <w:szCs w:val="16"/>
                <w:color w:val="auto"/>
              </w:rPr>
              <w:t>Series C Preferred Shares (362,319</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10/13/2020</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06"/>
        </w:trPr>
        <w:tc>
          <w:tcPr>
            <w:tcW w:w="2420" w:type="dxa"/>
            <w:vAlign w:val="bottom"/>
          </w:tcPr>
          <w:p>
            <w:pPr>
              <w:spacing w:after="0"/>
              <w:rPr>
                <w:sz w:val="17"/>
                <w:szCs w:val="17"/>
                <w:color w:val="auto"/>
              </w:rPr>
            </w:pPr>
          </w:p>
        </w:tc>
        <w:tc>
          <w:tcPr>
            <w:tcW w:w="2820" w:type="dxa"/>
            <w:vAlign w:val="bottom"/>
          </w:tcPr>
          <w:p>
            <w:pPr>
              <w:ind w:left="240"/>
              <w:spacing w:after="0"/>
              <w:rPr>
                <w:sz w:val="20"/>
                <w:szCs w:val="20"/>
                <w:color w:val="auto"/>
              </w:rPr>
            </w:pPr>
            <w:r>
              <w:rPr>
                <w:rFonts w:ascii="Arial" w:cs="Arial" w:eastAsia="Arial" w:hAnsi="Arial"/>
                <w:sz w:val="16"/>
                <w:szCs w:val="16"/>
                <w:color w:val="auto"/>
              </w:rPr>
              <w:t>shares)</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3"/>
        </w:trPr>
        <w:tc>
          <w:tcPr>
            <w:tcW w:w="2560" w:type="dxa"/>
            <w:vAlign w:val="bottom"/>
            <w:shd w:val="clear" w:color="auto" w:fill="CFF0FC"/>
          </w:tcPr>
          <w:p>
            <w:pPr>
              <w:spacing w:after="0"/>
              <w:rPr>
                <w:sz w:val="17"/>
                <w:szCs w:val="17"/>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w w:val="94"/>
              </w:rPr>
              <w:t>Series D Preferred Shares (1,240,740</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5/11/2021</w:t>
            </w: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10,050</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2640" w:type="dxa"/>
            <w:vAlign w:val="bottom"/>
            <w:shd w:val="clear" w:color="auto" w:fill="CFF0FC"/>
          </w:tcPr>
          <w:p>
            <w:pPr>
              <w:ind w:left="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633,376 Warrants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9/21/2018</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3,602</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spacing w:after="0"/>
              <w:rPr>
                <w:sz w:val="19"/>
                <w:szCs w:val="19"/>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569,991 Warrants</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4/2/2020</w:t>
            </w:r>
          </w:p>
        </w:tc>
        <w:tc>
          <w:tcPr>
            <w:tcW w:w="1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3,170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640" w:type="dxa"/>
            <w:vAlign w:val="bottom"/>
          </w:tcPr>
          <w:p>
            <w:pPr>
              <w:ind w:left="80"/>
              <w:spacing w:after="0" w:line="203" w:lineRule="exact"/>
              <w:rPr>
                <w:sz w:val="20"/>
                <w:szCs w:val="20"/>
                <w:color w:val="auto"/>
              </w:rPr>
            </w:pPr>
            <w:r>
              <w:rPr>
                <w:rFonts w:ascii="Arial" w:cs="Arial" w:eastAsia="Arial" w:hAnsi="Arial"/>
                <w:sz w:val="14"/>
                <w:szCs w:val="14"/>
                <w:color w:val="auto"/>
              </w:rPr>
              <w:t xml:space="preserve">Class A Units (77,144 units) </w:t>
            </w:r>
            <w:r>
              <w:rPr>
                <w:rFonts w:ascii="Arial" w:cs="Arial" w:eastAsia="Arial" w:hAnsi="Arial"/>
                <w:sz w:val="23"/>
                <w:szCs w:val="23"/>
                <w:color w:val="auto"/>
                <w:vertAlign w:val="superscript"/>
              </w:rPr>
              <w:t>(14)</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3/10/2021</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954,478 Warrants</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4/8/2019</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11,850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20,229</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6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5"/>
                <w:szCs w:val="25"/>
                <w:color w:val="auto"/>
                <w:vertAlign w:val="superscript"/>
              </w:rPr>
              <w:t>(7)(13)</w:t>
            </w:r>
          </w:p>
        </w:tc>
        <w:tc>
          <w:tcPr>
            <w:tcW w:w="2640" w:type="dxa"/>
            <w:vAlign w:val="bottom"/>
          </w:tcPr>
          <w:p>
            <w:pPr>
              <w:ind w:left="80"/>
              <w:spacing w:after="0"/>
              <w:rPr>
                <w:sz w:val="20"/>
                <w:szCs w:val="20"/>
                <w:color w:val="auto"/>
              </w:rPr>
            </w:pPr>
            <w:r>
              <w:rPr>
                <w:rFonts w:ascii="Arial" w:cs="Arial" w:eastAsia="Arial" w:hAnsi="Arial"/>
                <w:sz w:val="16"/>
                <w:szCs w:val="16"/>
                <w:color w:val="auto"/>
              </w:rPr>
              <w:t>Class A Units (33,790,171 units)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12/21/2018</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21,842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17,148</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560" w:type="dxa"/>
            <w:vAlign w:val="bottom"/>
            <w:shd w:val="clear" w:color="auto" w:fill="CFF0FC"/>
          </w:tcPr>
          <w:p>
            <w:pPr>
              <w:spacing w:after="0"/>
              <w:rPr>
                <w:sz w:val="18"/>
                <w:szCs w:val="18"/>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Class C-1 Units (8,800,000 units)</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12/21/2018</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21,942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17,191</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4"/>
              </w:rPr>
              <w:t>Human Resource Support Services</w:t>
            </w:r>
          </w:p>
        </w:tc>
        <w:tc>
          <w:tcPr>
            <w:tcW w:w="26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color w:val="auto"/>
              </w:rPr>
              <w:t xml:space="preserve">Axonify, Inc. </w:t>
            </w:r>
            <w:r>
              <w:rPr>
                <w:rFonts w:ascii="Arial" w:cs="Arial" w:eastAsia="Arial" w:hAnsi="Arial"/>
                <w:sz w:val="13"/>
                <w:szCs w:val="13"/>
                <w:color w:val="auto"/>
              </w:rPr>
              <w:t>(4)(13)(14)(15)</w:t>
            </w:r>
          </w:p>
        </w:tc>
        <w:tc>
          <w:tcPr>
            <w:tcW w:w="2640" w:type="dxa"/>
            <w:vAlign w:val="bottom"/>
          </w:tcPr>
          <w:p>
            <w:pPr>
              <w:ind w:left="80"/>
              <w:spacing w:after="0"/>
              <w:rPr>
                <w:sz w:val="20"/>
                <w:szCs w:val="20"/>
                <w:color w:val="auto"/>
              </w:rPr>
            </w:pPr>
            <w:r>
              <w:rPr>
                <w:rFonts w:ascii="Arial" w:cs="Arial" w:eastAsia="Arial" w:hAnsi="Arial"/>
                <w:sz w:val="16"/>
                <w:szCs w:val="16"/>
                <w:color w:val="auto"/>
              </w:rPr>
              <w:t>Class A-1 Units (3,780,000 units)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5/5/2021</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3,780</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(13)(15)</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Series A Preferred Units (1,429,228</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8/24/2018</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5,035</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units)</w:t>
            </w: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w w:val="98"/>
              </w:rPr>
              <w:t xml:space="preserve">DaySmart Holdings, LLC </w:t>
            </w:r>
            <w:r>
              <w:rPr>
                <w:rFonts w:ascii="Arial" w:cs="Arial" w:eastAsia="Arial" w:hAnsi="Arial"/>
                <w:sz w:val="25"/>
                <w:szCs w:val="25"/>
                <w:color w:val="auto"/>
                <w:w w:val="98"/>
                <w:vertAlign w:val="superscript"/>
              </w:rPr>
              <w:t>(13)(14)(15)</w:t>
            </w:r>
          </w:p>
        </w:tc>
        <w:tc>
          <w:tcPr>
            <w:tcW w:w="2640" w:type="dxa"/>
            <w:vAlign w:val="bottom"/>
          </w:tcPr>
          <w:p>
            <w:pPr>
              <w:ind w:left="80"/>
              <w:spacing w:after="0"/>
              <w:rPr>
                <w:sz w:val="20"/>
                <w:szCs w:val="20"/>
                <w:color w:val="auto"/>
              </w:rPr>
            </w:pPr>
            <w:r>
              <w:rPr>
                <w:rFonts w:ascii="Arial" w:cs="Arial" w:eastAsia="Arial" w:hAnsi="Arial"/>
                <w:sz w:val="16"/>
                <w:szCs w:val="16"/>
                <w:color w:val="auto"/>
              </w:rPr>
              <w:t>Class A Units (166,811 units)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10/1/2019</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2,047</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56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7"/>
        </w:trPr>
        <w:tc>
          <w:tcPr>
            <w:tcW w:w="256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Bayshore Intermediate #2,</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Common Units (12,330,709 units)</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10/1/2021</w:t>
            </w: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12,331</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L.P. </w:t>
            </w:r>
            <w:r>
              <w:rPr>
                <w:rFonts w:ascii="Arial" w:cs="Arial" w:eastAsia="Arial" w:hAnsi="Arial"/>
                <w:sz w:val="13"/>
                <w:szCs w:val="13"/>
                <w:color w:val="auto"/>
              </w:rPr>
              <w:t>(13)(14)(15)</w:t>
            </w:r>
          </w:p>
        </w:tc>
        <w:tc>
          <w:tcPr>
            <w:tcW w:w="2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(13)</w:t>
            </w:r>
          </w:p>
        </w:tc>
        <w:tc>
          <w:tcPr>
            <w:tcW w:w="2640" w:type="dxa"/>
            <w:vAlign w:val="bottom"/>
          </w:tcPr>
          <w:p>
            <w:pPr>
              <w:ind w:left="80"/>
              <w:spacing w:after="0"/>
              <w:rPr>
                <w:sz w:val="20"/>
                <w:szCs w:val="20"/>
                <w:color w:val="auto"/>
              </w:rPr>
            </w:pPr>
            <w:r>
              <w:rPr>
                <w:rFonts w:ascii="Arial" w:cs="Arial" w:eastAsia="Arial" w:hAnsi="Arial"/>
                <w:sz w:val="16"/>
                <w:szCs w:val="16"/>
                <w:color w:val="auto"/>
              </w:rPr>
              <w:t>Series F Preferred Shares (199,054</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8/2/2019</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820</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shares)</w:t>
            </w: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Piano Software, Inc. </w:t>
            </w:r>
            <w:r>
              <w:rPr>
                <w:rFonts w:ascii="Arial" w:cs="Arial" w:eastAsia="Arial" w:hAnsi="Arial"/>
                <w:sz w:val="24"/>
                <w:szCs w:val="24"/>
                <w:color w:val="auto"/>
                <w:vertAlign w:val="superscript"/>
              </w:rPr>
              <w:t>(13)(14)</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w w:val="94"/>
              </w:rPr>
              <w:t>Series C-1 Preferred Shares (418,527</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12/22/2021</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rPr>
                <w:sz w:val="18"/>
                <w:szCs w:val="18"/>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shares)</w:t>
            </w: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16,131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16,151</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6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23"/>
                <w:szCs w:val="23"/>
                <w:color w:val="auto"/>
                <w:vertAlign w:val="superscript"/>
              </w:rPr>
              <w:t>(13)</w:t>
            </w:r>
          </w:p>
        </w:tc>
        <w:tc>
          <w:tcPr>
            <w:tcW w:w="2640" w:type="dxa"/>
            <w:vAlign w:val="bottom"/>
          </w:tcPr>
          <w:p>
            <w:pPr>
              <w:ind w:left="80"/>
              <w:spacing w:after="0"/>
              <w:rPr>
                <w:sz w:val="20"/>
                <w:szCs w:val="20"/>
                <w:color w:val="auto"/>
              </w:rPr>
            </w:pPr>
            <w:r>
              <w:rPr>
                <w:rFonts w:ascii="Arial" w:cs="Arial" w:eastAsia="Arial" w:hAnsi="Arial"/>
                <w:sz w:val="16"/>
                <w:szCs w:val="16"/>
                <w:color w:val="auto"/>
                <w:w w:val="94"/>
              </w:rPr>
              <w:t>Series A Preferred Shares (3,840,000</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5/31/2018</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13,824</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shares)</w:t>
            </w: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w:t>
            </w:r>
          </w:p>
        </w:tc>
        <w:tc>
          <w:tcPr>
            <w:tcW w:w="2640" w:type="dxa"/>
            <w:vAlign w:val="bottom"/>
          </w:tcPr>
          <w:p>
            <w:pPr>
              <w:ind w:left="80"/>
              <w:spacing w:after="0"/>
              <w:rPr>
                <w:sz w:val="20"/>
                <w:szCs w:val="20"/>
                <w:color w:val="auto"/>
              </w:rPr>
            </w:pPr>
            <w:r>
              <w:rPr>
                <w:rFonts w:ascii="Arial" w:cs="Arial" w:eastAsia="Arial" w:hAnsi="Arial"/>
                <w:sz w:val="16"/>
                <w:szCs w:val="16"/>
                <w:color w:val="auto"/>
              </w:rPr>
              <w:t>Common Units (15,000 units)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12/24/2020</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18,242</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w:t>
            </w:r>
          </w:p>
        </w:tc>
        <w:tc>
          <w:tcPr>
            <w:tcW w:w="2640" w:type="dxa"/>
            <w:vAlign w:val="bottom"/>
          </w:tcPr>
          <w:p>
            <w:pPr>
              <w:ind w:left="80"/>
              <w:spacing w:after="0"/>
              <w:rPr>
                <w:sz w:val="20"/>
                <w:szCs w:val="20"/>
                <w:color w:val="auto"/>
              </w:rPr>
            </w:pPr>
            <w:r>
              <w:rPr>
                <w:rFonts w:ascii="Arial" w:cs="Arial" w:eastAsia="Arial" w:hAnsi="Arial"/>
                <w:sz w:val="16"/>
                <w:szCs w:val="16"/>
                <w:color w:val="auto"/>
              </w:rPr>
              <w:t>712,817 Warrants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8/5/2020</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5"/>
                <w:szCs w:val="15"/>
                <w:color w:val="auto"/>
                <w:w w:val="96"/>
              </w:rPr>
              <w:t xml:space="preserve">American Achievement, Corp. </w:t>
            </w:r>
            <w:r>
              <w:rPr>
                <w:rFonts w:ascii="Arial" w:cs="Arial" w:eastAsia="Arial" w:hAnsi="Arial"/>
                <w:sz w:val="25"/>
                <w:szCs w:val="25"/>
                <w:color w:val="auto"/>
                <w:w w:val="96"/>
                <w:vertAlign w:val="superscript"/>
              </w:rPr>
              <w:t>(13)(14)</w:t>
            </w:r>
          </w:p>
        </w:tc>
        <w:tc>
          <w:tcPr>
            <w:tcW w:w="2640" w:type="dxa"/>
            <w:vAlign w:val="bottom"/>
          </w:tcPr>
          <w:p>
            <w:pPr>
              <w:ind w:left="80"/>
              <w:spacing w:after="0"/>
              <w:rPr>
                <w:sz w:val="20"/>
                <w:szCs w:val="20"/>
                <w:color w:val="auto"/>
              </w:rPr>
            </w:pPr>
            <w:r>
              <w:rPr>
                <w:rFonts w:ascii="Arial" w:cs="Arial" w:eastAsia="Arial" w:hAnsi="Arial"/>
                <w:sz w:val="16"/>
                <w:szCs w:val="16"/>
                <w:color w:val="auto"/>
              </w:rPr>
              <w:t>Class A Units (687 units)</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3/16/2021</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Copper Bidco, LLC </w:t>
            </w:r>
            <w:r>
              <w:rPr>
                <w:rFonts w:ascii="Arial" w:cs="Arial" w:eastAsia="Arial" w:hAnsi="Arial"/>
                <w:sz w:val="23"/>
                <w:szCs w:val="23"/>
                <w:color w:val="auto"/>
                <w:vertAlign w:val="superscript"/>
              </w:rPr>
              <w:t>(11)</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Trust Certificates (132,928</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12/7/2020</w:t>
            </w: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Certificates)</w:t>
            </w: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Trust Certificates (996,958</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1/30/2021</w:t>
            </w: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21,933</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40" w:type="dxa"/>
            <w:vAlign w:val="bottom"/>
          </w:tcPr>
          <w:p>
            <w:pPr>
              <w:ind w:left="80"/>
              <w:spacing w:after="0" w:line="216" w:lineRule="exact"/>
              <w:rPr>
                <w:sz w:val="20"/>
                <w:szCs w:val="20"/>
                <w:color w:val="auto"/>
              </w:rPr>
            </w:pPr>
            <w:r>
              <w:rPr>
                <w:rFonts w:ascii="Arial" w:cs="Arial" w:eastAsia="Arial" w:hAnsi="Arial"/>
                <w:sz w:val="15"/>
                <w:szCs w:val="15"/>
                <w:color w:val="auto"/>
              </w:rPr>
              <w:t>Certificates)</w:t>
            </w:r>
            <w:r>
              <w:rPr>
                <w:rFonts w:ascii="Arial" w:cs="Arial" w:eastAsia="Arial" w:hAnsi="Arial"/>
                <w:sz w:val="25"/>
                <w:szCs w:val="25"/>
                <w:color w:val="auto"/>
                <w:vertAlign w:val="superscript"/>
              </w:rPr>
              <w:t>(14)</w:t>
            </w: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Neuintel, LLC </w:t>
            </w:r>
            <w:r>
              <w:rPr>
                <w:rFonts w:ascii="Arial" w:cs="Arial" w:eastAsia="Arial" w:hAnsi="Arial"/>
                <w:sz w:val="25"/>
                <w:szCs w:val="25"/>
                <w:color w:val="auto"/>
                <w:vertAlign w:val="superscript"/>
              </w:rPr>
              <w:t>(13)(14)(15)</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Class A Units (1,176,494 units)</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12/21/2021</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16,285</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26,545</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560" w:type="dxa"/>
            <w:vAlign w:val="bottom"/>
            <w:tcBorders>
              <w:top w:val="single" w:sz="8" w:color="CFF0FC"/>
            </w:tcBorders>
            <w:shd w:val="clear" w:color="auto" w:fill="CFF0FC"/>
          </w:tcPr>
          <w:p>
            <w:pPr>
              <w:spacing w:after="0"/>
              <w:rPr>
                <w:sz w:val="18"/>
                <w:szCs w:val="18"/>
                <w:color w:val="auto"/>
              </w:rPr>
            </w:pPr>
          </w:p>
        </w:tc>
        <w:tc>
          <w:tcPr>
            <w:tcW w:w="26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Other Investments</w:t>
            </w: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Bain Capital Credit CLO Ltd,</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Structured Product ($500 par, due</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10/15/2020</w:t>
            </w:r>
          </w:p>
        </w:tc>
        <w:tc>
          <w:tcPr>
            <w:tcW w:w="1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 + 5.35%</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463</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4/2031)</w:t>
            </w: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640" w:type="dxa"/>
            <w:vAlign w:val="bottom"/>
          </w:tcPr>
          <w:p>
            <w:pPr>
              <w:ind w:left="80"/>
              <w:spacing w:after="0"/>
              <w:rPr>
                <w:sz w:val="20"/>
                <w:szCs w:val="20"/>
                <w:color w:val="auto"/>
              </w:rPr>
            </w:pPr>
            <w:r>
              <w:rPr>
                <w:rFonts w:ascii="Arial" w:cs="Arial" w:eastAsia="Arial" w:hAnsi="Arial"/>
                <w:sz w:val="16"/>
                <w:szCs w:val="16"/>
                <w:color w:val="auto"/>
                <w:w w:val="99"/>
              </w:rPr>
              <w:t>Structured Product ($1,550 par, due</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8/11/2020</w:t>
            </w:r>
          </w:p>
        </w:tc>
        <w:tc>
          <w:tcPr>
            <w:tcW w:w="1180" w:type="dxa"/>
            <w:vAlign w:val="bottom"/>
          </w:tcPr>
          <w:p>
            <w:pPr>
              <w:ind w:left="180"/>
              <w:spacing w:after="0"/>
              <w:rPr>
                <w:sz w:val="20"/>
                <w:szCs w:val="20"/>
                <w:color w:val="auto"/>
              </w:rPr>
            </w:pPr>
            <w:r>
              <w:rPr>
                <w:rFonts w:ascii="Arial" w:cs="Arial" w:eastAsia="Arial" w:hAnsi="Arial"/>
                <w:sz w:val="16"/>
                <w:szCs w:val="16"/>
                <w:color w:val="auto"/>
              </w:rPr>
              <w:t>L + 5.75%</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800" w:type="dxa"/>
            <w:vAlign w:val="bottom"/>
          </w:tcPr>
          <w:p>
            <w:pPr>
              <w:jc w:val="right"/>
              <w:spacing w:after="0"/>
              <w:rPr>
                <w:sz w:val="20"/>
                <w:szCs w:val="20"/>
                <w:color w:val="auto"/>
              </w:rPr>
            </w:pPr>
            <w:r>
              <w:rPr>
                <w:rFonts w:ascii="Arial" w:cs="Arial" w:eastAsia="Arial" w:hAnsi="Arial"/>
                <w:sz w:val="16"/>
                <w:szCs w:val="16"/>
                <w:color w:val="auto"/>
              </w:rPr>
              <w:t>1,223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1,464</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60" w:type="dxa"/>
            <w:vAlign w:val="bottom"/>
          </w:tcPr>
          <w:p>
            <w:pPr>
              <w:ind w:left="120"/>
              <w:spacing w:after="0"/>
              <w:rPr>
                <w:sz w:val="20"/>
                <w:szCs w:val="20"/>
                <w:color w:val="auto"/>
              </w:rPr>
            </w:pPr>
            <w:r>
              <w:rPr>
                <w:rFonts w:ascii="Arial" w:cs="Arial" w:eastAsia="Arial" w:hAnsi="Arial"/>
                <w:sz w:val="16"/>
                <w:szCs w:val="16"/>
                <w:color w:val="auto"/>
              </w:rPr>
              <w:t>CLO Ltd, Series 2018-1A</w:t>
            </w:r>
          </w:p>
        </w:tc>
        <w:tc>
          <w:tcPr>
            <w:tcW w:w="2640" w:type="dxa"/>
            <w:vAlign w:val="bottom"/>
          </w:tcPr>
          <w:p>
            <w:pPr>
              <w:ind w:left="80"/>
              <w:spacing w:after="0"/>
              <w:rPr>
                <w:sz w:val="20"/>
                <w:szCs w:val="20"/>
                <w:color w:val="auto"/>
              </w:rPr>
            </w:pPr>
            <w:r>
              <w:rPr>
                <w:rFonts w:ascii="Arial" w:cs="Arial" w:eastAsia="Arial" w:hAnsi="Arial"/>
                <w:sz w:val="16"/>
                <w:szCs w:val="16"/>
                <w:color w:val="auto"/>
              </w:rPr>
              <w:t>4/2031)</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120"/>
              <w:spacing w:after="0"/>
              <w:rPr>
                <w:sz w:val="20"/>
                <w:szCs w:val="20"/>
                <w:color w:val="auto"/>
              </w:rPr>
            </w:pPr>
            <w:r>
              <w:rPr>
                <w:rFonts w:ascii="Arial" w:cs="Arial" w:eastAsia="Arial" w:hAnsi="Arial"/>
                <w:sz w:val="14"/>
                <w:szCs w:val="14"/>
                <w:color w:val="auto"/>
              </w:rPr>
              <w:t>(3)(4)(11)</w:t>
            </w:r>
          </w:p>
        </w:tc>
        <w:tc>
          <w:tcPr>
            <w:tcW w:w="2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5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Structured Product ($4,150 par, due</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9/3/2020</w:t>
            </w:r>
          </w:p>
        </w:tc>
        <w:tc>
          <w:tcPr>
            <w:tcW w:w="1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 + 6.15%</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3,865</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2017-4A</w:t>
            </w:r>
          </w:p>
        </w:tc>
        <w:tc>
          <w:tcPr>
            <w:tcW w:w="2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1/2030)</w:t>
            </w:r>
          </w:p>
        </w:tc>
        <w:tc>
          <w:tcPr>
            <w:tcW w:w="10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6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5,095</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5,792</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Equity and Other</w:t>
            </w:r>
          </w:p>
        </w:tc>
        <w:tc>
          <w:tcPr>
            <w:tcW w:w="26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560" w:type="dxa"/>
            <w:vAlign w:val="bottom"/>
            <w:vMerge w:val="continue"/>
            <w:shd w:val="clear" w:color="auto" w:fill="CFF0FC"/>
          </w:tcPr>
          <w:p>
            <w:pPr>
              <w:spacing w:after="0"/>
              <w:rPr>
                <w:sz w:val="17"/>
                <w:szCs w:val="17"/>
                <w:color w:val="auto"/>
              </w:rPr>
            </w:pPr>
          </w:p>
        </w:tc>
        <w:tc>
          <w:tcPr>
            <w:tcW w:w="26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114,460</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161,459</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Investments</w:t>
            </w:r>
          </w:p>
        </w:tc>
        <w:tc>
          <w:tcPr>
            <w:tcW w:w="2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20"/>
                <w:szCs w:val="20"/>
                <w:color w:val="auto"/>
              </w:rPr>
            </w:pPr>
            <w:r>
              <w:rPr>
                <w:rFonts w:ascii="Arial" w:cs="Arial" w:eastAsia="Arial" w:hAnsi="Arial"/>
                <w:sz w:val="16"/>
                <w:szCs w:val="16"/>
                <w:b w:val="1"/>
                <w:bCs w:val="1"/>
                <w:color w:val="auto"/>
              </w:rPr>
              <w:t>Total Investments</w:t>
            </w:r>
          </w:p>
        </w:tc>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89"/>
              </w:rPr>
              <w:t>$ 2,432,012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2"/>
              </w:rPr>
              <w:t>$ 2,521,593</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197.6%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94"/>
              </w:rPr>
              <w:t>Interest Rate Swaps as of December 31,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vMerge w:val="restart"/>
          </w:tcPr>
          <w:p>
            <w:pPr>
              <w:jc w:val="right"/>
              <w:ind w:right="430"/>
              <w:spacing w:after="0"/>
              <w:rPr>
                <w:sz w:val="20"/>
                <w:szCs w:val="20"/>
                <w:color w:val="auto"/>
              </w:rPr>
            </w:pPr>
            <w:r>
              <w:rPr>
                <w:rFonts w:ascii="Arial" w:cs="Arial" w:eastAsia="Arial" w:hAnsi="Arial"/>
                <w:sz w:val="14"/>
                <w:szCs w:val="14"/>
                <w:b w:val="1"/>
                <w:bCs w:val="1"/>
                <w:color w:val="auto"/>
              </w:rPr>
              <w:t>Maturity</w:t>
            </w:r>
          </w:p>
        </w:tc>
        <w:tc>
          <w:tcPr>
            <w:tcW w:w="10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3"/>
              <w:spacing w:after="0" w:line="133" w:lineRule="exact"/>
              <w:rPr>
                <w:sz w:val="20"/>
                <w:szCs w:val="20"/>
                <w:color w:val="auto"/>
              </w:rPr>
            </w:pPr>
            <w:r>
              <w:rPr>
                <w:rFonts w:ascii="Arial" w:cs="Arial" w:eastAsia="Arial" w:hAnsi="Arial"/>
                <w:sz w:val="14"/>
                <w:szCs w:val="14"/>
                <w:b w:val="1"/>
                <w:bCs w:val="1"/>
                <w:color w:val="auto"/>
                <w:w w:val="98"/>
              </w:rPr>
              <w:t>Upfront</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3"/>
              <w:spacing w:after="0" w:line="133"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Payments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Receives</w:t>
            </w:r>
          </w:p>
        </w:tc>
        <w:tc>
          <w:tcPr>
            <w:tcW w:w="1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Receipts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 (Losses)</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0.16%</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7/30/2022</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+ 2.37%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 + 1.59%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+ 1.60%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+ 2.11%</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+ 2.11%</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+ 2.11%</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+ 1.99%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(a)(e)</w:t>
            </w:r>
          </w:p>
        </w:tc>
        <w:tc>
          <w:tcPr>
            <w:tcW w:w="16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+ 2.28%</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rPr>
              <w:t>L</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6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L</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0.326%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410,950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+ 2.25%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(10,720)</w:t>
            </w: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 + 2.46%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+ 1.91%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(10,239)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Cash collateral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1,060,950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3"/>
        <w:spacing w:after="0"/>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36" w:lineRule="exact"/>
        <w:rPr>
          <w:rFonts w:ascii="Arial" w:cs="Arial" w:eastAsia="Arial" w:hAnsi="Arial"/>
          <w:sz w:val="18"/>
          <w:szCs w:val="18"/>
          <w:color w:val="auto"/>
        </w:rPr>
      </w:pPr>
    </w:p>
    <w:p>
      <w:pPr>
        <w:ind w:left="1000" w:hanging="493"/>
        <w:spacing w:after="0"/>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36" w:lineRule="exact"/>
        <w:rPr>
          <w:rFonts w:ascii="Arial" w:cs="Arial" w:eastAsia="Arial" w:hAnsi="Arial"/>
          <w:sz w:val="18"/>
          <w:szCs w:val="18"/>
          <w:color w:val="auto"/>
        </w:rPr>
      </w:pPr>
    </w:p>
    <w:p>
      <w:pPr>
        <w:ind w:left="1000" w:right="200" w:hanging="493"/>
        <w:spacing w:after="0" w:line="258"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1" w:lineRule="exact"/>
        <w:rPr>
          <w:rFonts w:ascii="Arial" w:cs="Arial" w:eastAsia="Arial" w:hAnsi="Arial"/>
          <w:sz w:val="18"/>
          <w:szCs w:val="18"/>
          <w:color w:val="auto"/>
        </w:rPr>
      </w:pPr>
    </w:p>
    <w:p>
      <w:pPr>
        <w:ind w:left="1000" w:right="180" w:hanging="493"/>
        <w:spacing w:after="0" w:line="250"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50"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Secured Overnight Financing Rate (“SOFR”), Bank Bill Swap Bid Rate (“BBSY” or “B”), Sterling Overnight Interbank Average Rate (“SONIA” or “S”)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2021.</w:t>
      </w:r>
    </w:p>
    <w:p>
      <w:pPr>
        <w:spacing w:after="0" w:line="2" w:lineRule="exact"/>
        <w:rPr>
          <w:rFonts w:ascii="Arial" w:cs="Arial" w:eastAsia="Arial" w:hAnsi="Arial"/>
          <w:sz w:val="18"/>
          <w:szCs w:val="18"/>
          <w:color w:val="auto"/>
        </w:rPr>
      </w:pPr>
    </w:p>
    <w:p>
      <w:pPr>
        <w:ind w:left="500" w:right="20" w:hanging="492"/>
        <w:spacing w:after="0" w:line="265" w:lineRule="auto"/>
        <w:tabs>
          <w:tab w:leader="none" w:pos="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14.8% of total assets as of December 31, 2021.</w:t>
      </w:r>
    </w:p>
    <w:p>
      <w:pPr>
        <w:ind w:left="500" w:right="60" w:hanging="492"/>
        <w:spacing w:after="0" w:line="265" w:lineRule="auto"/>
        <w:tabs>
          <w:tab w:leader="none" w:pos="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20" w:hanging="492"/>
        <w:spacing w:after="0" w:line="255"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2021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1"/>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95"/>
              </w:rPr>
              <w:t>Net Change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w w:val="91"/>
              </w:rPr>
              <w:t>Realized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3"/>
                <w:szCs w:val="13"/>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960" w:type="dxa"/>
            <w:vAlign w:val="bottom"/>
            <w:gridSpan w:val="3"/>
          </w:tcPr>
          <w:p>
            <w:pPr>
              <w:jc w:val="center"/>
              <w:ind w:left="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2020</w:t>
            </w: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2"/>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MD America Energy,</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27,017</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76"/>
              </w:rPr>
              <w:t>(225)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100" w:hanging="493"/>
        <w:spacing w:after="0" w:line="258"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9" w:lineRule="exact"/>
        <w:rPr>
          <w:rFonts w:ascii="Arial" w:cs="Arial" w:eastAsia="Arial" w:hAnsi="Arial"/>
          <w:sz w:val="18"/>
          <w:szCs w:val="18"/>
          <w:color w:val="auto"/>
        </w:rPr>
      </w:pPr>
    </w:p>
    <w:p>
      <w:pPr>
        <w:ind w:left="1000" w:right="580" w:hanging="493"/>
        <w:spacing w:after="0" w:line="290" w:lineRule="auto"/>
        <w:tabs>
          <w:tab w:leader="none" w:pos="10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In the consolidated statement of operations for the year ended December 31, 2021, there is a realized loss on non-controlled, affiliated investments of $33 related to an escrow receivable for an investment in AFS Technologies, Inc. that is no longer held.</w:t>
      </w:r>
    </w:p>
    <w:p>
      <w:pPr>
        <w:spacing w:after="0" w:line="66" w:lineRule="exact"/>
        <w:rPr>
          <w:rFonts w:ascii="Arial" w:cs="Arial" w:eastAsia="Arial" w:hAnsi="Arial"/>
          <w:sz w:val="17"/>
          <w:szCs w:val="17"/>
          <w:color w:val="auto"/>
        </w:rPr>
      </w:pPr>
    </w:p>
    <w:p>
      <w:pPr>
        <w:ind w:left="500" w:right="200" w:hanging="492"/>
        <w:spacing w:after="0" w:line="301" w:lineRule="auto"/>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2021 in which the issuer was an Affiliated Person of and was deemed to Control a portfolio company are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2"/>
              </w:rPr>
              <w:t>Net 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96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In 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Gain/(Loss)</w:t>
            </w: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Gain/(Loss)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4,039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59,779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4,039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100" w:hanging="493"/>
        <w:spacing w:after="0" w:line="258"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5" w:lineRule="exact"/>
        <w:rPr>
          <w:rFonts w:ascii="Arial" w:cs="Arial" w:eastAsia="Arial" w:hAnsi="Arial"/>
          <w:sz w:val="18"/>
          <w:szCs w:val="18"/>
          <w:color w:val="auto"/>
        </w:rPr>
      </w:pPr>
    </w:p>
    <w:p>
      <w:pPr>
        <w:ind w:left="500" w:right="680" w:hanging="492"/>
        <w:spacing w:after="0" w:line="258"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December 31, 2021, the estimated cost basis of investments for U.S. federal tax purposes was $2,445,863 resulting in estimated gross unrealized gains and losses of $156,819 and $79,599,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December 31, 2021, the aggregate fair value of these securities is $83,839, or 6.6%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 is on non-accrual status as of December 31, 2021.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Reference</w:t>
            </w: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100" w:type="dxa"/>
            <w:vAlign w:val="bottom"/>
          </w:tcPr>
          <w:p>
            <w:pPr>
              <w:spacing w:after="0"/>
              <w:rPr>
                <w:sz w:val="12"/>
                <w:szCs w:val="12"/>
                <w:color w:val="auto"/>
              </w:rPr>
            </w:pPr>
          </w:p>
        </w:tc>
        <w:tc>
          <w:tcPr>
            <w:tcW w:w="2360" w:type="dxa"/>
            <w:vAlign w:val="bottom"/>
            <w:gridSpan w:val="2"/>
            <w:vMerge w:val="restart"/>
          </w:tcPr>
          <w:p>
            <w:pPr>
              <w:ind w:left="82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7"/>
              </w:rPr>
              <w:t>Rate and</w:t>
            </w: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Interest Rate</w:t>
            </w:r>
          </w:p>
        </w:tc>
        <w:tc>
          <w:tcPr>
            <w:tcW w:w="9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1"/>
              </w:rPr>
              <w:t>Amortized</w:t>
            </w:r>
          </w:p>
        </w:tc>
        <w:tc>
          <w:tcPr>
            <w:tcW w:w="98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Fair Value</w:t>
            </w:r>
          </w:p>
        </w:tc>
        <w:tc>
          <w:tcPr>
            <w:tcW w:w="860" w:type="dxa"/>
            <w:vAlign w:val="bottom"/>
            <w:gridSpan w:val="2"/>
          </w:tcPr>
          <w:p>
            <w:pPr>
              <w:jc w:val="right"/>
              <w:ind w:right="144"/>
              <w:spacing w:after="0" w:line="140"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48"/>
        </w:trPr>
        <w:tc>
          <w:tcPr>
            <w:tcW w:w="2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Spread</w:t>
            </w:r>
          </w:p>
        </w:tc>
        <w:tc>
          <w:tcPr>
            <w:tcW w:w="148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760" w:type="dxa"/>
            <w:vAlign w:val="bottom"/>
          </w:tcPr>
          <w:p>
            <w:pPr>
              <w:jc w:val="right"/>
              <w:ind w:right="2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2"/>
                <w:szCs w:val="12"/>
                <w:color w:val="auto"/>
              </w:rPr>
            </w:pPr>
          </w:p>
        </w:tc>
        <w:tc>
          <w:tcPr>
            <w:tcW w:w="86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(CAD 74,813 par,</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56,132</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$59,603</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due 10/2025)</w:t>
            </w: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75,935)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($64,317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740" w:type="dxa"/>
            <w:vAlign w:val="bottom"/>
          </w:tcPr>
          <w:p>
            <w:pPr>
              <w:jc w:val="right"/>
              <w:spacing w:after="0"/>
              <w:rPr>
                <w:sz w:val="20"/>
                <w:szCs w:val="20"/>
                <w:color w:val="auto"/>
              </w:rPr>
            </w:pPr>
            <w:r>
              <w:rPr>
                <w:rFonts w:ascii="Arial" w:cs="Arial" w:eastAsia="Arial" w:hAnsi="Arial"/>
                <w:sz w:val="16"/>
                <w:szCs w:val="16"/>
                <w:color w:val="auto"/>
              </w:rPr>
              <w:t>62,934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64,837</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ForeScout Technologies, Inc. </w:t>
            </w:r>
            <w:r>
              <w:rPr>
                <w:rFonts w:ascii="Arial" w:cs="Arial" w:eastAsia="Arial" w:hAnsi="Arial"/>
                <w:sz w:val="24"/>
                <w:szCs w:val="24"/>
                <w:color w:val="auto"/>
                <w:vertAlign w:val="superscript"/>
              </w:rPr>
              <w:t>(3)</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($4,662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8/17/2020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10.50% (incl.</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4,543</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8/2026)</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9.50% PIK)</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23"/>
                <w:szCs w:val="23"/>
                <w:color w:val="auto"/>
                <w:vertAlign w:val="superscript"/>
              </w:rPr>
              <w:t>(3)</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($71,500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740" w:type="dxa"/>
            <w:vAlign w:val="bottom"/>
          </w:tcPr>
          <w:p>
            <w:pPr>
              <w:jc w:val="right"/>
              <w:spacing w:after="0"/>
              <w:rPr>
                <w:sz w:val="20"/>
                <w:szCs w:val="20"/>
                <w:color w:val="auto"/>
              </w:rPr>
            </w:pPr>
            <w:r>
              <w:rPr>
                <w:rFonts w:ascii="Arial" w:cs="Arial" w:eastAsia="Arial" w:hAnsi="Arial"/>
                <w:sz w:val="16"/>
                <w:szCs w:val="16"/>
                <w:color w:val="auto"/>
              </w:rPr>
              <w:t>70,857</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72,215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8/2023)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rPr>
                <w:sz w:val="18"/>
                <w:szCs w:val="18"/>
                <w:color w:val="auto"/>
              </w:rPr>
            </w:pP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revolving loan ($1,310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par, due 8/2023)</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($61,800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740" w:type="dxa"/>
            <w:vAlign w:val="bottom"/>
          </w:tcPr>
          <w:p>
            <w:pPr>
              <w:jc w:val="right"/>
              <w:spacing w:after="0"/>
              <w:rPr>
                <w:sz w:val="20"/>
                <w:szCs w:val="20"/>
                <w:color w:val="auto"/>
              </w:rPr>
            </w:pPr>
            <w:r>
              <w:rPr>
                <w:rFonts w:ascii="Arial" w:cs="Arial" w:eastAsia="Arial" w:hAnsi="Arial"/>
                <w:sz w:val="16"/>
                <w:szCs w:val="16"/>
                <w:color w:val="auto"/>
              </w:rPr>
              <w:t>60,902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62,418</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Netwrix Corp. </w:t>
            </w:r>
            <w:r>
              <w:rPr>
                <w:rFonts w:ascii="Arial" w:cs="Arial" w:eastAsia="Arial" w:hAnsi="Arial"/>
                <w:sz w:val="24"/>
                <w:szCs w:val="24"/>
                <w:color w:val="auto"/>
                <w:vertAlign w:val="superscript"/>
              </w:rPr>
              <w:t>(3)(5)</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($50,792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9/30/2020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49,381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49,391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9/2026)</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($79,695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7.75%</w:t>
            </w:r>
          </w:p>
        </w:tc>
        <w:tc>
          <w:tcPr>
            <w:tcW w:w="740" w:type="dxa"/>
            <w:vAlign w:val="bottom"/>
          </w:tcPr>
          <w:p>
            <w:pPr>
              <w:jc w:val="right"/>
              <w:spacing w:after="0"/>
              <w:rPr>
                <w:sz w:val="20"/>
                <w:szCs w:val="20"/>
                <w:color w:val="auto"/>
              </w:rPr>
            </w:pPr>
            <w:r>
              <w:rPr>
                <w:rFonts w:ascii="Arial" w:cs="Arial" w:eastAsia="Arial" w:hAnsi="Arial"/>
                <w:sz w:val="16"/>
                <w:szCs w:val="16"/>
                <w:color w:val="auto"/>
              </w:rPr>
              <w:t>78,370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81,912</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4/2024)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ReliaQuest Holdings, LLC </w:t>
            </w:r>
            <w:r>
              <w:rPr>
                <w:rFonts w:ascii="Arial" w:cs="Arial" w:eastAsia="Arial" w:hAnsi="Arial"/>
                <w:sz w:val="24"/>
                <w:szCs w:val="24"/>
                <w:color w:val="auto"/>
                <w:vertAlign w:val="superscript"/>
              </w:rPr>
              <w:t>(3)(5)</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($36,511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10/8/2020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10/2026)</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ServiceChannel Holdings, Inc. </w:t>
            </w:r>
            <w:r>
              <w:rPr>
                <w:rFonts w:ascii="Arial" w:cs="Arial" w:eastAsia="Arial" w:hAnsi="Arial"/>
                <w:sz w:val="23"/>
                <w:szCs w:val="23"/>
                <w:color w:val="auto"/>
                <w:vertAlign w:val="superscript"/>
              </w:rPr>
              <w:t>(9)</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w w:val="97"/>
              </w:rPr>
              <w:t>Second-lien loan ($5,359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6/3/2020</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12.00%</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12.00% PIK</w:t>
            </w:r>
          </w:p>
        </w:tc>
        <w:tc>
          <w:tcPr>
            <w:tcW w:w="740" w:type="dxa"/>
            <w:vAlign w:val="bottom"/>
          </w:tcPr>
          <w:p>
            <w:pPr>
              <w:jc w:val="right"/>
              <w:spacing w:after="0"/>
              <w:rPr>
                <w:sz w:val="20"/>
                <w:szCs w:val="20"/>
                <w:color w:val="auto"/>
              </w:rPr>
            </w:pPr>
            <w:r>
              <w:rPr>
                <w:rFonts w:ascii="Arial" w:cs="Arial" w:eastAsia="Arial" w:hAnsi="Arial"/>
                <w:sz w:val="16"/>
                <w:szCs w:val="16"/>
                <w:color w:val="auto"/>
              </w:rPr>
              <w:t>4,992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5,037</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6/2025)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Sprinklr, Inc.</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w w:val="98"/>
              </w:rPr>
              <w:t>Convertible note ($3,920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5/20/2020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9.88%</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9.88% PIK</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5/2025)</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WideOrbit, Inc. </w:t>
            </w:r>
            <w:r>
              <w:rPr>
                <w:rFonts w:ascii="Arial" w:cs="Arial" w:eastAsia="Arial" w:hAnsi="Arial"/>
                <w:sz w:val="23"/>
                <w:szCs w:val="23"/>
                <w:color w:val="auto"/>
                <w:vertAlign w:val="superscript"/>
              </w:rPr>
              <w:t>(3)</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($59,943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7/8/2020</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+ 8.50%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740" w:type="dxa"/>
            <w:vAlign w:val="bottom"/>
          </w:tcPr>
          <w:p>
            <w:pPr>
              <w:jc w:val="right"/>
              <w:spacing w:after="0"/>
              <w:rPr>
                <w:sz w:val="20"/>
                <w:szCs w:val="20"/>
                <w:color w:val="auto"/>
              </w:rPr>
            </w:pPr>
            <w:r>
              <w:rPr>
                <w:rFonts w:ascii="Arial" w:cs="Arial" w:eastAsia="Arial" w:hAnsi="Arial"/>
                <w:sz w:val="16"/>
                <w:szCs w:val="16"/>
                <w:color w:val="auto"/>
              </w:rPr>
              <w:t>59,044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61,075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gridSpan w:val="2"/>
          </w:tcPr>
          <w:p>
            <w:pPr>
              <w:ind w:left="100"/>
              <w:spacing w:after="0"/>
              <w:rPr>
                <w:sz w:val="20"/>
                <w:szCs w:val="20"/>
                <w:color w:val="auto"/>
              </w:rPr>
            </w:pPr>
            <w:r>
              <w:rPr>
                <w:rFonts w:ascii="Arial" w:cs="Arial" w:eastAsia="Arial" w:hAnsi="Arial"/>
                <w:sz w:val="16"/>
                <w:szCs w:val="16"/>
                <w:color w:val="auto"/>
              </w:rPr>
              <w:t>7/2025)</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487,784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502,578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7"/>
        </w:trPr>
        <w:tc>
          <w:tcPr>
            <w:tcW w:w="256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($43,324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43,220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42,999</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w w:val="98"/>
              </w:rPr>
              <w:t>Convertible note ($1,750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8.00% PIK</w:t>
            </w:r>
          </w:p>
        </w:tc>
        <w:tc>
          <w:tcPr>
            <w:tcW w:w="74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1,658</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gridSpan w:val="2"/>
          </w:tcPr>
          <w:p>
            <w:pPr>
              <w:ind w:left="100"/>
              <w:spacing w:after="0"/>
              <w:rPr>
                <w:sz w:val="20"/>
                <w:szCs w:val="20"/>
                <w:color w:val="auto"/>
              </w:rPr>
            </w:pPr>
            <w:r>
              <w:rPr>
                <w:rFonts w:ascii="Arial" w:cs="Arial" w:eastAsia="Arial" w:hAnsi="Arial"/>
                <w:sz w:val="16"/>
                <w:szCs w:val="16"/>
                <w:color w:val="auto"/>
              </w:rPr>
              <w:t>12/2024)</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44,951</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44,657</w:t>
            </w: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4"/>
                <w:szCs w:val="24"/>
                <w:color w:val="auto"/>
                <w:vertAlign w:val="superscript"/>
              </w:rPr>
              <w:t>(3)(5)</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($34,913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9/17/2020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+ 7.75%</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33,903</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34,476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Follet Corp. </w:t>
            </w:r>
            <w:r>
              <w:rPr>
                <w:rFonts w:ascii="Arial" w:cs="Arial" w:eastAsia="Arial" w:hAnsi="Arial"/>
                <w:sz w:val="23"/>
                <w:szCs w:val="23"/>
                <w:color w:val="auto"/>
                <w:vertAlign w:val="superscript"/>
              </w:rPr>
              <w:t>(3)</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($75,000 par, due</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11/25/2020</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+ 7.75%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740" w:type="dxa"/>
            <w:vAlign w:val="bottom"/>
          </w:tcPr>
          <w:p>
            <w:pPr>
              <w:jc w:val="right"/>
              <w:spacing w:after="0"/>
              <w:rPr>
                <w:sz w:val="20"/>
                <w:szCs w:val="20"/>
                <w:color w:val="auto"/>
              </w:rPr>
            </w:pPr>
            <w:r>
              <w:rPr>
                <w:rFonts w:ascii="Arial" w:cs="Arial" w:eastAsia="Arial" w:hAnsi="Arial"/>
                <w:sz w:val="16"/>
                <w:szCs w:val="16"/>
                <w:color w:val="auto"/>
              </w:rPr>
              <w:t>73,341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73,500</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11/2025)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($84,835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+ 5.75%</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84,479</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84,835</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9/2023)</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Arial" w:cs="Arial" w:eastAsia="Arial" w:hAnsi="Arial"/>
                <w:sz w:val="16"/>
                <w:szCs w:val="16"/>
                <w:color w:val="auto"/>
              </w:rPr>
              <w:t>Illuminate Education,</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($63,375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740" w:type="dxa"/>
            <w:vAlign w:val="bottom"/>
          </w:tcPr>
          <w:p>
            <w:pPr>
              <w:jc w:val="right"/>
              <w:spacing w:after="0"/>
              <w:rPr>
                <w:sz w:val="20"/>
                <w:szCs w:val="20"/>
                <w:color w:val="auto"/>
              </w:rPr>
            </w:pPr>
            <w:r>
              <w:rPr>
                <w:rFonts w:ascii="Arial" w:cs="Arial" w:eastAsia="Arial" w:hAnsi="Arial"/>
                <w:sz w:val="16"/>
                <w:szCs w:val="16"/>
                <w:color w:val="auto"/>
              </w:rPr>
              <w:t>62,864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63,375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360" w:type="dxa"/>
            <w:vAlign w:val="bottom"/>
            <w:tcBorders>
              <w:bottom w:val="single" w:sz="8" w:color="CFF0FC"/>
            </w:tcBorders>
            <w:gridSpan w:val="2"/>
          </w:tcPr>
          <w:p>
            <w:pPr>
              <w:ind w:left="100"/>
              <w:spacing w:after="0"/>
              <w:rPr>
                <w:sz w:val="20"/>
                <w:szCs w:val="20"/>
                <w:color w:val="auto"/>
              </w:rPr>
            </w:pPr>
            <w:r>
              <w:rPr>
                <w:rFonts w:ascii="Arial" w:cs="Arial" w:eastAsia="Arial" w:hAnsi="Arial"/>
                <w:sz w:val="16"/>
                <w:szCs w:val="16"/>
                <w:color w:val="auto"/>
              </w:rPr>
              <w:t>8/2022)</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254,587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256,186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($10,831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($19,775 par, due</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10/10/2019</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+ 6.50%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740" w:type="dxa"/>
            <w:vAlign w:val="bottom"/>
          </w:tcPr>
          <w:p>
            <w:pPr>
              <w:jc w:val="right"/>
              <w:spacing w:after="0"/>
              <w:rPr>
                <w:sz w:val="20"/>
                <w:szCs w:val="20"/>
                <w:color w:val="auto"/>
              </w:rPr>
            </w:pPr>
            <w:r>
              <w:rPr>
                <w:rFonts w:ascii="Arial" w:cs="Arial" w:eastAsia="Arial" w:hAnsi="Arial"/>
                <w:sz w:val="16"/>
                <w:szCs w:val="16"/>
                <w:color w:val="auto"/>
              </w:rPr>
              <w:t>19,341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19,627</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($35,000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10/25/2019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revolving loan ($2,500</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10/25/2019</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740" w:type="dxa"/>
            <w:vAlign w:val="bottom"/>
          </w:tcPr>
          <w:p>
            <w:pPr>
              <w:jc w:val="right"/>
              <w:spacing w:after="0"/>
              <w:rPr>
                <w:sz w:val="20"/>
                <w:szCs w:val="20"/>
                <w:color w:val="auto"/>
              </w:rPr>
            </w:pPr>
            <w:r>
              <w:rPr>
                <w:rFonts w:ascii="Arial" w:cs="Arial" w:eastAsia="Arial" w:hAnsi="Arial"/>
                <w:sz w:val="16"/>
                <w:szCs w:val="16"/>
                <w:color w:val="auto"/>
              </w:rPr>
              <w:t>2,462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2,519</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par, due 10/2024)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Factor Systems, Inc. </w:t>
            </w:r>
            <w:r>
              <w:rPr>
                <w:rFonts w:ascii="Arial" w:cs="Arial" w:eastAsia="Arial" w:hAnsi="Arial"/>
                <w:sz w:val="24"/>
                <w:szCs w:val="24"/>
                <w:color w:val="auto"/>
                <w:vertAlign w:val="superscript"/>
              </w:rPr>
              <w:t>(3)(5)</w:t>
            </w:r>
          </w:p>
        </w:tc>
        <w:tc>
          <w:tcPr>
            <w:tcW w:w="24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First-lien loan ($29,775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1/17/2020</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29,232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25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1/2025)</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460" w:type="dxa"/>
            <w:vAlign w:val="bottom"/>
            <w:gridSpan w:val="3"/>
          </w:tcPr>
          <w:p>
            <w:pPr>
              <w:ind w:left="100"/>
              <w:spacing w:after="0"/>
              <w:rPr>
                <w:sz w:val="20"/>
                <w:szCs w:val="20"/>
                <w:color w:val="auto"/>
              </w:rPr>
            </w:pPr>
            <w:r>
              <w:rPr>
                <w:rFonts w:ascii="Arial" w:cs="Arial" w:eastAsia="Arial" w:hAnsi="Arial"/>
                <w:sz w:val="16"/>
                <w:szCs w:val="16"/>
                <w:color w:val="auto"/>
              </w:rPr>
              <w:t>First-lien loan ($30,934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4/9/2018</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740" w:type="dxa"/>
            <w:vAlign w:val="bottom"/>
          </w:tcPr>
          <w:p>
            <w:pPr>
              <w:jc w:val="right"/>
              <w:spacing w:after="0"/>
              <w:rPr>
                <w:sz w:val="20"/>
                <w:szCs w:val="20"/>
                <w:color w:val="auto"/>
              </w:rPr>
            </w:pPr>
            <w:r>
              <w:rPr>
                <w:rFonts w:ascii="Arial" w:cs="Arial" w:eastAsia="Arial" w:hAnsi="Arial"/>
                <w:sz w:val="16"/>
                <w:szCs w:val="16"/>
                <w:color w:val="auto"/>
              </w:rPr>
              <w:t>30,674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31,398</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2360" w:type="dxa"/>
            <w:vAlign w:val="bottom"/>
            <w:gridSpan w:val="2"/>
          </w:tcPr>
          <w:p>
            <w:pPr>
              <w:ind w:left="100"/>
              <w:spacing w:after="0"/>
              <w:rPr>
                <w:sz w:val="20"/>
                <w:szCs w:val="20"/>
                <w:color w:val="auto"/>
              </w:rPr>
            </w:pPr>
            <w:r>
              <w:rPr>
                <w:rFonts w:ascii="Arial" w:cs="Arial" w:eastAsia="Arial" w:hAnsi="Arial"/>
                <w:sz w:val="16"/>
                <w:szCs w:val="16"/>
                <w:color w:val="auto"/>
              </w:rPr>
              <w:t>4/2023)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310"/>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GC Agile Holdings, Ltd. </w:t>
            </w:r>
            <w:r>
              <w:rPr>
                <w:rFonts w:ascii="Arial" w:cs="Arial" w:eastAsia="Arial" w:hAnsi="Arial"/>
                <w:sz w:val="27"/>
                <w:szCs w:val="27"/>
                <w:color w:val="auto"/>
                <w:vertAlign w:val="superscript"/>
              </w:rPr>
              <w:t>(3)(4)</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($39,323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39,618</w:t>
            </w:r>
          </w:p>
        </w:tc>
        <w:tc>
          <w:tcPr>
            <w:tcW w:w="20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6/2025)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InvMetrics Holdings,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($53,200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12/30/2020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51,824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51,823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12/2025)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Kyriba Corp.</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($13,921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(EUR 8,288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+ 9.00%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tcPr>
          <w:p>
            <w:pPr>
              <w:jc w:val="right"/>
              <w:spacing w:after="0"/>
              <w:rPr>
                <w:sz w:val="20"/>
                <w:szCs w:val="20"/>
                <w:color w:val="auto"/>
              </w:rPr>
            </w:pPr>
            <w:r>
              <w:rPr>
                <w:rFonts w:ascii="Arial" w:cs="Arial" w:eastAsia="Arial" w:hAnsi="Arial"/>
                <w:sz w:val="16"/>
                <w:szCs w:val="16"/>
                <w:color w:val="auto"/>
              </w:rPr>
              <w:t>9,120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10,420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8,516)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($1,411</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revolving loan (EUR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336 par, 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345)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PayLease, LLC </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($63,671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64,467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7/2022)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($3,333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3,312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par, due 7/2022)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($22,207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22,932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12/2023)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330,512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339,569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29.2%</w:t>
            </w:r>
          </w:p>
        </w:tc>
      </w:tr>
      <w:tr>
        <w:trPr>
          <w:trHeight w:val="21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3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BCTO Ace Purchaser,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($40,000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11/23/2020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38,863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39,300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11/2026)</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Inc.</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First-lien loan ($5,000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($3,750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tcPr>
          <w:p>
            <w:pPr>
              <w:jc w:val="right"/>
              <w:spacing w:after="0"/>
              <w:rPr>
                <w:sz w:val="20"/>
                <w:szCs w:val="20"/>
                <w:color w:val="auto"/>
              </w:rPr>
            </w:pPr>
            <w:r>
              <w:rPr>
                <w:rFonts w:ascii="Arial" w:cs="Arial" w:eastAsia="Arial" w:hAnsi="Arial"/>
                <w:sz w:val="16"/>
                <w:szCs w:val="16"/>
                <w:color w:val="auto"/>
              </w:rPr>
              <w:t>3,500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Convertible note ($2,602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due 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($15,000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14,891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15,150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($2,400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Integrated Practice</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($49,375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47,920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50,733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24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($17,781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2/29/2016</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16,892</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($28,536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tcPr>
          <w:p>
            <w:pPr>
              <w:jc w:val="right"/>
              <w:spacing w:after="0"/>
              <w:rPr>
                <w:sz w:val="20"/>
                <w:szCs w:val="20"/>
                <w:color w:val="auto"/>
              </w:rPr>
            </w:pPr>
            <w:r>
              <w:rPr>
                <w:rFonts w:ascii="Arial" w:cs="Arial" w:eastAsia="Arial" w:hAnsi="Arial"/>
                <w:sz w:val="16"/>
                <w:szCs w:val="16"/>
                <w:color w:val="auto"/>
              </w:rPr>
              <w:t>27,909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4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rPr>
              <w:t>4/2024)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60" w:type="dxa"/>
            <w:vAlign w:val="bottom"/>
            <w:shd w:val="clear" w:color="auto" w:fill="CFF0FC"/>
          </w:tcPr>
          <w:p>
            <w:pPr>
              <w:spacing w:after="0"/>
              <w:rPr>
                <w:sz w:val="17"/>
                <w:szCs w:val="17"/>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First-lien revolving loan ($1,500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1,520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par, due 4/2024)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rPr>
              <w:t>First-lien loan ($9,058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8,883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9,126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246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2/2024)</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171,076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178,360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w:t>
            </w:r>
          </w:p>
        </w:tc>
      </w:tr>
      <w:tr>
        <w:trPr>
          <w:trHeight w:val="206"/>
        </w:trPr>
        <w:tc>
          <w:tcPr>
            <w:tcW w:w="246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($29,881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28,611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9/2021)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($7,054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7,054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6,750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246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par, due 9/2021)</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35,361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460" w:type="dxa"/>
            <w:vAlign w:val="bottom"/>
          </w:tcPr>
          <w:p>
            <w:pPr>
              <w:spacing w:after="0"/>
              <w:rPr>
                <w:sz w:val="20"/>
                <w:szCs w:val="20"/>
                <w:color w:val="auto"/>
              </w:rPr>
            </w:pPr>
            <w:r>
              <w:rPr>
                <w:rFonts w:ascii="Arial" w:cs="Arial" w:eastAsia="Arial" w:hAnsi="Arial"/>
                <w:sz w:val="16"/>
                <w:szCs w:val="16"/>
                <w:b w:val="1"/>
                <w:bCs w:val="1"/>
                <w:color w:val="auto"/>
                <w:w w:val="94"/>
              </w:rPr>
              <w:t>Human resource support services</w:t>
            </w: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Absorb Software, Inc. </w:t>
            </w:r>
            <w:r>
              <w:rPr>
                <w:rFonts w:ascii="Arial" w:cs="Arial" w:eastAsia="Arial" w:hAnsi="Arial"/>
                <w:sz w:val="24"/>
                <w:szCs w:val="24"/>
                <w:color w:val="auto"/>
                <w:vertAlign w:val="superscript"/>
              </w:rPr>
              <w:t>(3)(4)(5)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($34,487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33,920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($20,055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10.25% (incl.</w:t>
            </w:r>
          </w:p>
        </w:tc>
        <w:tc>
          <w:tcPr>
            <w:tcW w:w="760" w:type="dxa"/>
            <w:vAlign w:val="bottom"/>
          </w:tcPr>
          <w:p>
            <w:pPr>
              <w:jc w:val="right"/>
              <w:spacing w:after="0"/>
              <w:rPr>
                <w:sz w:val="20"/>
                <w:szCs w:val="20"/>
                <w:color w:val="auto"/>
              </w:rPr>
            </w:pPr>
            <w:r>
              <w:rPr>
                <w:rFonts w:ascii="Arial" w:cs="Arial" w:eastAsia="Arial" w:hAnsi="Arial"/>
                <w:sz w:val="16"/>
                <w:szCs w:val="16"/>
                <w:color w:val="auto"/>
              </w:rPr>
              <w:t>19,909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20,206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7/2023)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2.50%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(3)(5)</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First-lien loan ($36,318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36,348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36,199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10/2025)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w w:val="99"/>
              </w:rPr>
              <w:t>First-lien revolving loan ($3,000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3,004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2,992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60" w:type="dxa"/>
            <w:vAlign w:val="bottom"/>
          </w:tcPr>
          <w:p>
            <w:pPr>
              <w:spacing w:after="0"/>
              <w:rPr>
                <w:sz w:val="18"/>
                <w:szCs w:val="18"/>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par, due 10/2025)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8"/>
              </w:rPr>
              <w:t>First-lien loan (AUD 51,474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39,531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39,938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460" w:type="dxa"/>
            <w:vAlign w:val="bottom"/>
            <w:shd w:val="clear" w:color="auto" w:fill="CFF0FC"/>
          </w:tcPr>
          <w:p>
            <w:pPr>
              <w:spacing w:after="0"/>
              <w:rPr>
                <w:sz w:val="18"/>
                <w:szCs w:val="18"/>
                <w:color w:val="auto"/>
              </w:rPr>
            </w:pPr>
          </w:p>
        </w:tc>
        <w:tc>
          <w:tcPr>
            <w:tcW w:w="2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due 12/2022)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1.25% PIK)</w:t>
            </w:r>
          </w:p>
        </w:tc>
        <w:tc>
          <w:tcPr>
            <w:tcW w:w="7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51,757)</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60" w:type="dxa"/>
            <w:vAlign w:val="bottom"/>
          </w:tcPr>
          <w:p>
            <w:pPr>
              <w:spacing w:after="0" w:line="207" w:lineRule="exact"/>
              <w:rPr>
                <w:sz w:val="20"/>
                <w:szCs w:val="20"/>
                <w:color w:val="auto"/>
              </w:rPr>
            </w:pPr>
            <w:r>
              <w:rPr>
                <w:rFonts w:ascii="Arial" w:cs="Arial" w:eastAsia="Arial" w:hAnsi="Arial"/>
                <w:sz w:val="14"/>
                <w:szCs w:val="14"/>
                <w:color w:val="auto"/>
              </w:rPr>
              <w:t xml:space="preserve">PayScale Holdings, Inc. </w:t>
            </w:r>
            <w:r>
              <w:rPr>
                <w:rFonts w:ascii="Arial" w:cs="Arial" w:eastAsia="Arial" w:hAnsi="Arial"/>
                <w:sz w:val="23"/>
                <w:szCs w:val="23"/>
                <w:color w:val="auto"/>
                <w:vertAlign w:val="superscript"/>
              </w:rPr>
              <w:t>(3)(5)</w:t>
            </w:r>
          </w:p>
        </w:tc>
        <w:tc>
          <w:tcPr>
            <w:tcW w:w="2380" w:type="dxa"/>
            <w:vAlign w:val="bottom"/>
          </w:tcPr>
          <w:p>
            <w:pPr>
              <w:ind w:left="140"/>
              <w:spacing w:after="0"/>
              <w:rPr>
                <w:sz w:val="20"/>
                <w:szCs w:val="20"/>
                <w:color w:val="auto"/>
              </w:rPr>
            </w:pPr>
            <w:r>
              <w:rPr>
                <w:rFonts w:ascii="Arial" w:cs="Arial" w:eastAsia="Arial" w:hAnsi="Arial"/>
                <w:sz w:val="16"/>
                <w:szCs w:val="16"/>
                <w:color w:val="auto"/>
                <w:w w:val="97"/>
              </w:rPr>
              <w:t>First-lien loan ($39,700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tcPr>
          <w:p>
            <w:pPr>
              <w:jc w:val="right"/>
              <w:spacing w:after="0"/>
              <w:rPr>
                <w:sz w:val="20"/>
                <w:szCs w:val="20"/>
                <w:color w:val="auto"/>
              </w:rPr>
            </w:pPr>
            <w:r>
              <w:rPr>
                <w:rFonts w:ascii="Arial" w:cs="Arial" w:eastAsia="Arial" w:hAnsi="Arial"/>
                <w:sz w:val="16"/>
                <w:szCs w:val="16"/>
                <w:color w:val="auto"/>
              </w:rPr>
              <w:t>38,916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39,937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6"/>
        </w:trPr>
        <w:tc>
          <w:tcPr>
            <w:tcW w:w="2460" w:type="dxa"/>
            <w:vAlign w:val="bottom"/>
          </w:tcPr>
          <w:p>
            <w:pPr>
              <w:spacing w:after="0"/>
              <w:rPr>
                <w:sz w:val="17"/>
                <w:szCs w:val="17"/>
                <w:color w:val="auto"/>
              </w:rPr>
            </w:pPr>
          </w:p>
        </w:tc>
        <w:tc>
          <w:tcPr>
            <w:tcW w:w="2380" w:type="dxa"/>
            <w:vAlign w:val="bottom"/>
          </w:tcPr>
          <w:p>
            <w:pPr>
              <w:ind w:left="14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310"/>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Modern Hire, Inc. </w:t>
            </w:r>
            <w:r>
              <w:rPr>
                <w:rFonts w:ascii="Arial" w:cs="Arial" w:eastAsia="Arial" w:hAnsi="Arial"/>
                <w:sz w:val="27"/>
                <w:szCs w:val="27"/>
                <w:color w:val="auto"/>
                <w:vertAlign w:val="superscript"/>
              </w:rPr>
              <w:t>(3)(5)</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($30,113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5/15/2019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29,514</w:t>
            </w:r>
          </w:p>
        </w:tc>
        <w:tc>
          <w:tcPr>
            <w:tcW w:w="22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30,338</w:t>
            </w:r>
          </w:p>
        </w:tc>
        <w:tc>
          <w:tcPr>
            <w:tcW w:w="22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Workwell Acquisition Co. </w:t>
            </w:r>
            <w:r>
              <w:rPr>
                <w:rFonts w:ascii="Arial" w:cs="Arial" w:eastAsia="Arial" w:hAnsi="Arial"/>
                <w:sz w:val="23"/>
                <w:szCs w:val="23"/>
                <w:color w:val="auto"/>
                <w:vertAlign w:val="superscript"/>
              </w:rPr>
              <w:t>(3)(5)</w:t>
            </w: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($19,950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10/19/2020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+ 7.50%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40" w:type="dxa"/>
            <w:vAlign w:val="bottom"/>
          </w:tcPr>
          <w:p>
            <w:pPr>
              <w:jc w:val="right"/>
              <w:spacing w:after="0"/>
              <w:rPr>
                <w:sz w:val="20"/>
                <w:szCs w:val="20"/>
                <w:color w:val="auto"/>
              </w:rPr>
            </w:pPr>
            <w:r>
              <w:rPr>
                <w:rFonts w:ascii="Arial" w:cs="Arial" w:eastAsia="Arial" w:hAnsi="Arial"/>
                <w:sz w:val="16"/>
                <w:szCs w:val="16"/>
                <w:color w:val="auto"/>
              </w:rPr>
              <w:t>19,218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19,725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80" w:type="dxa"/>
            <w:vAlign w:val="bottom"/>
            <w:tcBorders>
              <w:bottom w:val="single" w:sz="8" w:color="CFF0FC"/>
            </w:tcBorders>
          </w:tcPr>
          <w:p>
            <w:pPr>
              <w:spacing w:after="0"/>
              <w:rPr>
                <w:sz w:val="18"/>
                <w:szCs w:val="18"/>
                <w:color w:val="auto"/>
              </w:rPr>
            </w:pPr>
          </w:p>
        </w:tc>
        <w:tc>
          <w:tcPr>
            <w:tcW w:w="2600" w:type="dxa"/>
            <w:vAlign w:val="bottom"/>
            <w:tcBorders>
              <w:bottom w:val="single" w:sz="8" w:color="CFF0FC"/>
            </w:tcBorders>
          </w:tcPr>
          <w:p>
            <w:pPr>
              <w:ind w:left="280"/>
              <w:spacing w:after="0"/>
              <w:rPr>
                <w:sz w:val="20"/>
                <w:szCs w:val="20"/>
                <w:color w:val="auto"/>
              </w:rPr>
            </w:pPr>
            <w:r>
              <w:rPr>
                <w:rFonts w:ascii="Arial" w:cs="Arial" w:eastAsia="Arial" w:hAnsi="Arial"/>
                <w:sz w:val="16"/>
                <w:szCs w:val="16"/>
                <w:color w:val="auto"/>
              </w:rPr>
              <w:t>10/2025)</w:t>
            </w:r>
          </w:p>
        </w:tc>
        <w:tc>
          <w:tcPr>
            <w:tcW w:w="10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220,360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224,081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19.2%</w:t>
            </w:r>
          </w:p>
        </w:tc>
      </w:tr>
      <w:tr>
        <w:trPr>
          <w:trHeight w:val="207"/>
        </w:trPr>
        <w:tc>
          <w:tcPr>
            <w:tcW w:w="238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($50,767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50,380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51,402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10/2023)</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($50,000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6/18/2018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+ 7.25%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50,125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Lithium Technologies,</w:t>
            </w: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($54,700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740" w:type="dxa"/>
            <w:vAlign w:val="bottom"/>
          </w:tcPr>
          <w:p>
            <w:pPr>
              <w:jc w:val="right"/>
              <w:spacing w:after="0"/>
              <w:rPr>
                <w:sz w:val="20"/>
                <w:szCs w:val="20"/>
                <w:color w:val="auto"/>
              </w:rPr>
            </w:pPr>
            <w:r>
              <w:rPr>
                <w:rFonts w:ascii="Arial" w:cs="Arial" w:eastAsia="Arial" w:hAnsi="Arial"/>
                <w:sz w:val="16"/>
                <w:szCs w:val="16"/>
                <w:color w:val="auto"/>
              </w:rPr>
              <w:t>54,192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53,606</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238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00" w:type="dxa"/>
            <w:vAlign w:val="bottom"/>
          </w:tcPr>
          <w:p>
            <w:pPr>
              <w:ind w:left="280"/>
              <w:spacing w:after="0"/>
              <w:rPr>
                <w:sz w:val="20"/>
                <w:szCs w:val="20"/>
                <w:color w:val="auto"/>
              </w:rPr>
            </w:pPr>
            <w:r>
              <w:rPr>
                <w:rFonts w:ascii="Arial" w:cs="Arial" w:eastAsia="Arial" w:hAnsi="Arial"/>
                <w:sz w:val="16"/>
                <w:szCs w:val="16"/>
                <w:color w:val="auto"/>
              </w:rPr>
              <w:t>10/2022)</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17"/>
                <w:szCs w:val="17"/>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revolving loan ($1,320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10/3/2017</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+ 8.00%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par, due 10/2022)</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($12,902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12.00%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12.00% (incl.</w:t>
            </w:r>
          </w:p>
        </w:tc>
        <w:tc>
          <w:tcPr>
            <w:tcW w:w="740" w:type="dxa"/>
            <w:vAlign w:val="bottom"/>
          </w:tcPr>
          <w:p>
            <w:pPr>
              <w:jc w:val="right"/>
              <w:spacing w:after="0"/>
              <w:rPr>
                <w:sz w:val="20"/>
                <w:szCs w:val="20"/>
                <w:color w:val="auto"/>
              </w:rPr>
            </w:pPr>
            <w:r>
              <w:rPr>
                <w:rFonts w:ascii="Arial" w:cs="Arial" w:eastAsia="Arial" w:hAnsi="Arial"/>
                <w:sz w:val="16"/>
                <w:szCs w:val="16"/>
                <w:color w:val="auto"/>
              </w:rPr>
              <w:t>12,791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13,145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2380" w:type="dxa"/>
            <w:vAlign w:val="bottom"/>
            <w:tcBorders>
              <w:bottom w:val="single" w:sz="8" w:color="CFF0FC"/>
            </w:tcBorders>
          </w:tcPr>
          <w:p>
            <w:pPr>
              <w:spacing w:after="0"/>
              <w:rPr>
                <w:sz w:val="18"/>
                <w:szCs w:val="18"/>
                <w:color w:val="auto"/>
              </w:rPr>
            </w:pPr>
          </w:p>
        </w:tc>
        <w:tc>
          <w:tcPr>
            <w:tcW w:w="2600" w:type="dxa"/>
            <w:vAlign w:val="bottom"/>
            <w:tcBorders>
              <w:bottom w:val="single" w:sz="8" w:color="CFF0FC"/>
            </w:tcBorders>
          </w:tcPr>
          <w:p>
            <w:pPr>
              <w:ind w:left="280"/>
              <w:spacing w:after="0"/>
              <w:rPr>
                <w:sz w:val="20"/>
                <w:szCs w:val="20"/>
                <w:color w:val="auto"/>
              </w:rPr>
            </w:pPr>
            <w:r>
              <w:rPr>
                <w:rFonts w:ascii="Arial" w:cs="Arial" w:eastAsia="Arial" w:hAnsi="Arial"/>
                <w:sz w:val="16"/>
                <w:szCs w:val="16"/>
                <w:color w:val="auto"/>
              </w:rPr>
              <w:t>7/2024)</w:t>
            </w:r>
          </w:p>
        </w:tc>
        <w:tc>
          <w:tcPr>
            <w:tcW w:w="10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jc w:val="right"/>
              <w:ind w:right="199"/>
              <w:spacing w:after="0"/>
              <w:rPr>
                <w:sz w:val="20"/>
                <w:szCs w:val="20"/>
                <w:color w:val="auto"/>
              </w:rPr>
            </w:pPr>
            <w:r>
              <w:rPr>
                <w:rFonts w:ascii="Arial" w:cs="Arial" w:eastAsia="Arial" w:hAnsi="Arial"/>
                <w:sz w:val="16"/>
                <w:szCs w:val="16"/>
                <w:color w:val="auto"/>
              </w:rPr>
              <w:t>7.00% PIK)</w:t>
            </w: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117,806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118,130</w:t>
            </w: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38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Acoustic, L.P. </w:t>
            </w:r>
            <w:r>
              <w:rPr>
                <w:rFonts w:ascii="Arial" w:cs="Arial" w:eastAsia="Arial" w:hAnsi="Arial"/>
                <w:sz w:val="24"/>
                <w:szCs w:val="24"/>
                <w:color w:val="auto"/>
                <w:vertAlign w:val="superscript"/>
              </w:rPr>
              <w:t>(3)</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note ($33,000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12/17/2019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32,376</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32,010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6/2024)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ABL FILO term loan ($7,732</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9/12/2017</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par, due 9/2022)</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MD America Energy,</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($9,000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11/14/2018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12/2024)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Mississippi Resources,</w:t>
            </w: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($1,500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6/29/2018</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P + 8.00%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740" w:type="dxa"/>
            <w:vAlign w:val="bottom"/>
          </w:tcPr>
          <w:p>
            <w:pPr>
              <w:jc w:val="right"/>
              <w:spacing w:after="0"/>
              <w:rPr>
                <w:sz w:val="20"/>
                <w:szCs w:val="20"/>
                <w:color w:val="auto"/>
              </w:rPr>
            </w:pPr>
            <w:r>
              <w:rPr>
                <w:rFonts w:ascii="Arial" w:cs="Arial" w:eastAsia="Arial" w:hAnsi="Arial"/>
                <w:sz w:val="16"/>
                <w:szCs w:val="16"/>
                <w:color w:val="auto"/>
              </w:rPr>
              <w:t>1,498</w:t>
            </w:r>
          </w:p>
        </w:tc>
        <w:tc>
          <w:tcPr>
            <w:tcW w:w="2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600" w:type="dxa"/>
            <w:vAlign w:val="bottom"/>
          </w:tcPr>
          <w:p>
            <w:pPr>
              <w:ind w:left="280"/>
              <w:spacing w:after="0"/>
              <w:rPr>
                <w:sz w:val="20"/>
                <w:szCs w:val="20"/>
                <w:color w:val="auto"/>
              </w:rPr>
            </w:pPr>
            <w:r>
              <w:rPr>
                <w:rFonts w:ascii="Arial" w:cs="Arial" w:eastAsia="Arial" w:hAnsi="Arial"/>
                <w:sz w:val="16"/>
                <w:szCs w:val="16"/>
                <w:color w:val="auto"/>
              </w:rPr>
              <w:t>12/2021)</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($25,233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24,721</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10/2024)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35,219</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34,437</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w:t>
            </w:r>
          </w:p>
        </w:tc>
        <w:tc>
          <w:tcPr>
            <w:tcW w:w="26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Lexipol, LLC </w:t>
            </w:r>
            <w:r>
              <w:rPr>
                <w:rFonts w:ascii="Arial" w:cs="Arial" w:eastAsia="Arial" w:hAnsi="Arial"/>
                <w:sz w:val="23"/>
                <w:szCs w:val="23"/>
                <w:color w:val="auto"/>
                <w:vertAlign w:val="superscript"/>
              </w:rPr>
              <w:t>(3)(5)</w:t>
            </w: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($19,762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10/8/2020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+ 5.75%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740" w:type="dxa"/>
            <w:vAlign w:val="bottom"/>
          </w:tcPr>
          <w:p>
            <w:pPr>
              <w:jc w:val="right"/>
              <w:spacing w:after="0"/>
              <w:rPr>
                <w:sz w:val="20"/>
                <w:szCs w:val="20"/>
                <w:color w:val="auto"/>
              </w:rPr>
            </w:pPr>
            <w:r>
              <w:rPr>
                <w:rFonts w:ascii="Arial" w:cs="Arial" w:eastAsia="Arial" w:hAnsi="Arial"/>
                <w:sz w:val="16"/>
                <w:szCs w:val="16"/>
                <w:color w:val="auto"/>
              </w:rPr>
              <w:t>19,427</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19,762</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8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rPr>
              <w:t>10/2025)</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Biohaven Pharmaceuticals,</w:t>
            </w: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($27,948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+ 9.00%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10.00% (incl.</w:t>
            </w:r>
          </w:p>
        </w:tc>
        <w:tc>
          <w:tcPr>
            <w:tcW w:w="740" w:type="dxa"/>
            <w:vAlign w:val="bottom"/>
          </w:tcPr>
          <w:p>
            <w:pPr>
              <w:jc w:val="right"/>
              <w:spacing w:after="0"/>
              <w:rPr>
                <w:sz w:val="20"/>
                <w:szCs w:val="20"/>
                <w:color w:val="auto"/>
              </w:rPr>
            </w:pPr>
            <w:r>
              <w:rPr>
                <w:rFonts w:ascii="Arial" w:cs="Arial" w:eastAsia="Arial" w:hAnsi="Arial"/>
                <w:sz w:val="16"/>
                <w:szCs w:val="16"/>
                <w:color w:val="auto"/>
              </w:rPr>
              <w:t>26,796</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27,569</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600" w:type="dxa"/>
            <w:vAlign w:val="bottom"/>
          </w:tcPr>
          <w:p>
            <w:pPr>
              <w:ind w:left="280"/>
              <w:spacing w:after="0"/>
              <w:rPr>
                <w:sz w:val="20"/>
                <w:szCs w:val="20"/>
                <w:color w:val="auto"/>
              </w:rPr>
            </w:pPr>
            <w:r>
              <w:rPr>
                <w:rFonts w:ascii="Arial" w:cs="Arial" w:eastAsia="Arial" w:hAnsi="Arial"/>
                <w:sz w:val="16"/>
                <w:szCs w:val="16"/>
                <w:color w:val="auto"/>
              </w:rPr>
              <w:t>8/2025)</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4.00% PIK)</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($37,500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35,887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36,469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3/2024)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62,683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64,038</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6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($39,886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+ 9.50%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740" w:type="dxa"/>
            <w:vAlign w:val="bottom"/>
          </w:tcPr>
          <w:p>
            <w:pPr>
              <w:jc w:val="right"/>
              <w:spacing w:after="0"/>
              <w:rPr>
                <w:sz w:val="20"/>
                <w:szCs w:val="20"/>
                <w:color w:val="auto"/>
              </w:rPr>
            </w:pPr>
            <w:r>
              <w:rPr>
                <w:rFonts w:ascii="Arial" w:cs="Arial" w:eastAsia="Arial" w:hAnsi="Arial"/>
                <w:sz w:val="16"/>
                <w:szCs w:val="16"/>
                <w:color w:val="auto"/>
              </w:rPr>
              <w:t>39,686</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39,763</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38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99 Cents Only Stores</w:t>
            </w:r>
          </w:p>
        </w:tc>
        <w:tc>
          <w:tcPr>
            <w:tcW w:w="2600" w:type="dxa"/>
            <w:vAlign w:val="bottom"/>
          </w:tcPr>
          <w:p>
            <w:pPr>
              <w:ind w:left="280"/>
              <w:spacing w:after="0"/>
              <w:rPr>
                <w:sz w:val="20"/>
                <w:szCs w:val="20"/>
                <w:color w:val="auto"/>
              </w:rPr>
            </w:pPr>
            <w:r>
              <w:rPr>
                <w:rFonts w:ascii="Arial" w:cs="Arial" w:eastAsia="Arial" w:hAnsi="Arial"/>
                <w:sz w:val="16"/>
                <w:szCs w:val="16"/>
                <w:color w:val="auto"/>
              </w:rPr>
              <w:t>ABL FILO term loan ($25,000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9/6/2017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+ 8.50%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740" w:type="dxa"/>
            <w:vAlign w:val="bottom"/>
          </w:tcPr>
          <w:p>
            <w:pPr>
              <w:jc w:val="right"/>
              <w:spacing w:after="0"/>
              <w:rPr>
                <w:sz w:val="20"/>
                <w:szCs w:val="20"/>
                <w:color w:val="auto"/>
              </w:rPr>
            </w:pPr>
            <w:r>
              <w:rPr>
                <w:rFonts w:ascii="Arial" w:cs="Arial" w:eastAsia="Arial" w:hAnsi="Arial"/>
                <w:sz w:val="16"/>
                <w:szCs w:val="16"/>
                <w:color w:val="auto"/>
              </w:rPr>
              <w:t>24,640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25,625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38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00" w:type="dxa"/>
            <w:vAlign w:val="bottom"/>
          </w:tcPr>
          <w:p>
            <w:pPr>
              <w:ind w:left="280"/>
              <w:spacing w:after="0"/>
              <w:rPr>
                <w:sz w:val="20"/>
                <w:szCs w:val="20"/>
                <w:color w:val="auto"/>
              </w:rPr>
            </w:pPr>
            <w:r>
              <w:rPr>
                <w:rFonts w:ascii="Arial" w:cs="Arial" w:eastAsia="Arial" w:hAnsi="Arial"/>
                <w:sz w:val="16"/>
                <w:szCs w:val="16"/>
                <w:color w:val="auto"/>
              </w:rPr>
              <w:t>par, due 5/2025)</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($23,876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+ 8.25%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23,822</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21,608</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(3)(5)(16)</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9/2022)</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600" w:type="dxa"/>
            <w:vAlign w:val="bottom"/>
          </w:tcPr>
          <w:p>
            <w:pPr>
              <w:ind w:left="280"/>
              <w:spacing w:after="0"/>
              <w:rPr>
                <w:sz w:val="20"/>
                <w:szCs w:val="20"/>
                <w:color w:val="auto"/>
              </w:rPr>
            </w:pPr>
            <w:r>
              <w:rPr>
                <w:rFonts w:ascii="Arial" w:cs="Arial" w:eastAsia="Arial" w:hAnsi="Arial"/>
                <w:sz w:val="16"/>
                <w:szCs w:val="16"/>
                <w:color w:val="auto"/>
                <w:w w:val="99"/>
              </w:rPr>
              <w:t>ABL First-lien loan ($49,375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+ 8.50%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740" w:type="dxa"/>
            <w:vAlign w:val="bottom"/>
          </w:tcPr>
          <w:p>
            <w:pPr>
              <w:jc w:val="right"/>
              <w:spacing w:after="0"/>
              <w:rPr>
                <w:sz w:val="20"/>
                <w:szCs w:val="20"/>
                <w:color w:val="auto"/>
              </w:rPr>
            </w:pPr>
            <w:r>
              <w:rPr>
                <w:rFonts w:ascii="Arial" w:cs="Arial" w:eastAsia="Arial" w:hAnsi="Arial"/>
                <w:sz w:val="16"/>
                <w:szCs w:val="16"/>
                <w:color w:val="auto"/>
              </w:rPr>
              <w:t>48,218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49,252</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238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rPr>
              <w:t>due 8/2025)</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J.C. Penney Company,</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9"/>
              </w:rPr>
              <w:t>ABL DIP term loan ($12,198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6/8/2020</w:t>
            </w:r>
          </w:p>
        </w:tc>
        <w:tc>
          <w:tcPr>
            <w:tcW w:w="10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12,198</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13,336</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(11)(13)</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4/2021)</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rPr>
              <w:t>First-lien loan ($4,129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6/5/2019</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38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rPr>
              <w:t>6/2023)</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secured note ($12,384</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6/5/2019</w:t>
            </w:r>
          </w:p>
        </w:tc>
        <w:tc>
          <w:tcPr>
            <w:tcW w:w="10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par, due 7/2023)</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600" w:type="dxa"/>
            <w:vAlign w:val="bottom"/>
          </w:tcPr>
          <w:p>
            <w:pPr>
              <w:ind w:left="280"/>
              <w:spacing w:after="0"/>
              <w:rPr>
                <w:sz w:val="20"/>
                <w:szCs w:val="20"/>
                <w:color w:val="auto"/>
              </w:rPr>
            </w:pPr>
            <w:r>
              <w:rPr>
                <w:rFonts w:ascii="Arial" w:cs="Arial" w:eastAsia="Arial" w:hAnsi="Arial"/>
                <w:sz w:val="16"/>
                <w:szCs w:val="16"/>
                <w:color w:val="auto"/>
              </w:rPr>
              <w:t>ABL FILO term loan ($20,667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5/6/2019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740" w:type="dxa"/>
            <w:vAlign w:val="bottom"/>
          </w:tcPr>
          <w:p>
            <w:pPr>
              <w:jc w:val="right"/>
              <w:spacing w:after="0"/>
              <w:rPr>
                <w:sz w:val="20"/>
                <w:szCs w:val="20"/>
                <w:color w:val="auto"/>
              </w:rPr>
            </w:pPr>
            <w:r>
              <w:rPr>
                <w:rFonts w:ascii="Arial" w:cs="Arial" w:eastAsia="Arial" w:hAnsi="Arial"/>
                <w:sz w:val="16"/>
                <w:szCs w:val="16"/>
                <w:color w:val="auto"/>
              </w:rPr>
              <w:t>20,212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21,132</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238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rPr>
              <w:t>par, due 5/2024)</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ABL FILO term loan ($30,000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4/1/2020</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30,600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80" w:type="dxa"/>
            <w:vAlign w:val="bottom"/>
            <w:shd w:val="clear" w:color="auto" w:fill="CFF0FC"/>
          </w:tcPr>
          <w:p>
            <w:pPr>
              <w:spacing w:after="0"/>
              <w:rPr>
                <w:sz w:val="18"/>
                <w:szCs w:val="18"/>
                <w:color w:val="auto"/>
              </w:rPr>
            </w:pPr>
          </w:p>
        </w:tc>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par, due 4/2024)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w w:val="99"/>
              </w:rPr>
              <w:t>ABL FILO term loan ($7,500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4/1/2020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P + 6.50%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740" w:type="dxa"/>
            <w:vAlign w:val="bottom"/>
          </w:tcPr>
          <w:p>
            <w:pPr>
              <w:jc w:val="right"/>
              <w:spacing w:after="0"/>
              <w:rPr>
                <w:sz w:val="20"/>
                <w:szCs w:val="20"/>
                <w:color w:val="auto"/>
              </w:rPr>
            </w:pPr>
            <w:r>
              <w:rPr>
                <w:rFonts w:ascii="Arial" w:cs="Arial" w:eastAsia="Arial" w:hAnsi="Arial"/>
                <w:sz w:val="16"/>
                <w:szCs w:val="16"/>
                <w:color w:val="auto"/>
              </w:rPr>
              <w:t>7,374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7,650</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06"/>
        </w:trPr>
        <w:tc>
          <w:tcPr>
            <w:tcW w:w="2380" w:type="dxa"/>
            <w:vAlign w:val="bottom"/>
          </w:tcPr>
          <w:p>
            <w:pPr>
              <w:spacing w:after="0"/>
              <w:rPr>
                <w:sz w:val="17"/>
                <w:szCs w:val="17"/>
                <w:color w:val="auto"/>
              </w:rPr>
            </w:pPr>
          </w:p>
        </w:tc>
        <w:tc>
          <w:tcPr>
            <w:tcW w:w="2600" w:type="dxa"/>
            <w:vAlign w:val="bottom"/>
          </w:tcPr>
          <w:p>
            <w:pPr>
              <w:ind w:left="280"/>
              <w:spacing w:after="0"/>
              <w:rPr>
                <w:sz w:val="20"/>
                <w:szCs w:val="20"/>
                <w:color w:val="auto"/>
              </w:rPr>
            </w:pPr>
            <w:r>
              <w:rPr>
                <w:rFonts w:ascii="Arial" w:cs="Arial" w:eastAsia="Arial" w:hAnsi="Arial"/>
                <w:sz w:val="16"/>
                <w:szCs w:val="16"/>
                <w:color w:val="auto"/>
              </w:rPr>
              <w:t>due 4/2024)</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310"/>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w w:val="96"/>
              </w:rPr>
              <w:t xml:space="preserve">NMG Holding Company, Inc. </w:t>
            </w:r>
            <w:r>
              <w:rPr>
                <w:rFonts w:ascii="Arial" w:cs="Arial" w:eastAsia="Arial" w:hAnsi="Arial"/>
                <w:sz w:val="27"/>
                <w:szCs w:val="27"/>
                <w:color w:val="auto"/>
                <w:w w:val="96"/>
                <w:vertAlign w:val="superscript"/>
              </w:rPr>
              <w:t>(3)(11)</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8"/>
              </w:rPr>
              <w:t>First-lien term loan ($16,961 par,</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9/25/2020</w:t>
            </w:r>
          </w:p>
        </w:tc>
        <w:tc>
          <w:tcPr>
            <w:tcW w:w="13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L + 12.00%</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13,254</w:t>
            </w:r>
          </w:p>
        </w:tc>
        <w:tc>
          <w:tcPr>
            <w:tcW w:w="22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17,994</w:t>
            </w:r>
          </w:p>
        </w:tc>
        <w:tc>
          <w:tcPr>
            <w:tcW w:w="22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9/2025)</w:t>
            </w: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Penney Borrower, LLC </w:t>
            </w:r>
            <w:r>
              <w:rPr>
                <w:rFonts w:ascii="Arial" w:cs="Arial" w:eastAsia="Arial" w:hAnsi="Arial"/>
                <w:sz w:val="23"/>
                <w:szCs w:val="23"/>
                <w:color w:val="auto"/>
                <w:vertAlign w:val="superscript"/>
              </w:rPr>
              <w:t>(3)</w:t>
            </w:r>
          </w:p>
        </w:tc>
        <w:tc>
          <w:tcPr>
            <w:tcW w:w="2420" w:type="dxa"/>
            <w:vAlign w:val="bottom"/>
          </w:tcPr>
          <w:p>
            <w:pPr>
              <w:ind w:left="120"/>
              <w:spacing w:after="0"/>
              <w:rPr>
                <w:sz w:val="20"/>
                <w:szCs w:val="20"/>
                <w:color w:val="auto"/>
              </w:rPr>
            </w:pPr>
            <w:r>
              <w:rPr>
                <w:rFonts w:ascii="Arial" w:cs="Arial" w:eastAsia="Arial" w:hAnsi="Arial"/>
                <w:sz w:val="16"/>
                <w:szCs w:val="16"/>
                <w:color w:val="auto"/>
              </w:rPr>
              <w:t>ABL FILO term loan ($72,000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12/7/2020</w:t>
            </w: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L + 8.50%</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780" w:type="dxa"/>
            <w:vAlign w:val="bottom"/>
          </w:tcPr>
          <w:p>
            <w:pPr>
              <w:jc w:val="right"/>
              <w:spacing w:after="0"/>
              <w:rPr>
                <w:sz w:val="20"/>
                <w:szCs w:val="20"/>
                <w:color w:val="auto"/>
              </w:rPr>
            </w:pPr>
            <w:r>
              <w:rPr>
                <w:rFonts w:ascii="Arial" w:cs="Arial" w:eastAsia="Arial" w:hAnsi="Arial"/>
                <w:sz w:val="16"/>
                <w:szCs w:val="16"/>
                <w:color w:val="auto"/>
              </w:rPr>
              <w:t>70,220</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70,560</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par, due 12/2025)</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17"/>
                <w:szCs w:val="17"/>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term loan ($6,912 par,</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12/7/2020</w:t>
            </w:r>
          </w:p>
        </w:tc>
        <w:tc>
          <w:tcPr>
            <w:tcW w:w="13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L + 8.50%</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due 12/2026)</w:t>
            </w:r>
            <w:r>
              <w:rPr>
                <w:rFonts w:ascii="Arial" w:cs="Arial" w:eastAsia="Arial" w:hAnsi="Arial"/>
                <w:sz w:val="25"/>
                <w:szCs w:val="25"/>
                <w:color w:val="auto"/>
                <w:vertAlign w:val="superscript"/>
              </w:rPr>
              <w:t>(11)</w:t>
            </w: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268,538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264,786</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vMerge w:val="continue"/>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2,178,314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2,212,929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Units (1,262 units)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1/17/2018</w:t>
            </w:r>
          </w:p>
        </w:tc>
        <w:tc>
          <w:tcPr>
            <w:tcW w:w="1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Class B Units (517,020 units)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1/17/2018</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Shares (1,197 shares)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3/30/2018</w:t>
            </w:r>
          </w:p>
        </w:tc>
        <w:tc>
          <w:tcPr>
            <w:tcW w:w="1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w w:val="96"/>
              </w:rPr>
              <w:t>Class B Shares (398,557 shares)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3/30/2018</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ServiceChannel Holdings,</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207,991 Warrants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6/3/2020</w:t>
            </w:r>
          </w:p>
        </w:tc>
        <w:tc>
          <w:tcPr>
            <w:tcW w:w="1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w:t>
            </w: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(13)(14)</w:t>
            </w:r>
          </w:p>
        </w:tc>
        <w:tc>
          <w:tcPr>
            <w:tcW w:w="2420" w:type="dxa"/>
            <w:vAlign w:val="bottom"/>
          </w:tcPr>
          <w:p>
            <w:pPr>
              <w:ind w:left="120"/>
              <w:spacing w:after="0"/>
              <w:rPr>
                <w:sz w:val="20"/>
                <w:szCs w:val="20"/>
                <w:color w:val="auto"/>
              </w:rPr>
            </w:pPr>
            <w:r>
              <w:rPr>
                <w:rFonts w:ascii="Arial" w:cs="Arial" w:eastAsia="Arial" w:hAnsi="Arial"/>
                <w:sz w:val="16"/>
                <w:szCs w:val="16"/>
                <w:color w:val="auto"/>
              </w:rPr>
              <w:t>1,567,807 Warrants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7/8/2020</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(13)(14)</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280,000 Warrants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2/28/2020</w:t>
            </w:r>
          </w:p>
        </w:tc>
        <w:tc>
          <w:tcPr>
            <w:tcW w:w="1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Units (474,684 units)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11/2/2020</w:t>
            </w:r>
          </w:p>
        </w:tc>
        <w:tc>
          <w:tcPr>
            <w:tcW w:w="1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Shares (2,198 shares)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spacing w:after="0"/>
              <w:rPr>
                <w:sz w:val="15"/>
                <w:szCs w:val="15"/>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(13)(14)</w:t>
            </w:r>
          </w:p>
        </w:tc>
        <w:tc>
          <w:tcPr>
            <w:tcW w:w="9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w w:val="92"/>
              </w:rPr>
              <w:t>Preferred Shares (293,232 shares)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15,763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15,802</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17"/>
                <w:szCs w:val="17"/>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6"/>
              </w:rPr>
              <w:t>Series F Preferred Shares (8,791</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w:t>
            </w:r>
            <w:r>
              <w:rPr>
                <w:rFonts w:ascii="Arial" w:cs="Arial" w:eastAsia="Arial" w:hAnsi="Arial"/>
                <w:sz w:val="13"/>
                <w:szCs w:val="13"/>
                <w:color w:val="auto"/>
              </w:rPr>
              <w:t>(13)(14)</w:t>
            </w: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4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75,016 Warrants </w:t>
            </w:r>
            <w:r>
              <w:rPr>
                <w:rFonts w:ascii="Arial" w:cs="Arial" w:eastAsia="Arial" w:hAnsi="Arial"/>
                <w:sz w:val="25"/>
                <w:szCs w:val="25"/>
                <w:color w:val="auto"/>
                <w:vertAlign w:val="superscript"/>
              </w:rPr>
              <w:t>(13)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1,254</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w w:val="98"/>
              </w:rPr>
              <w:t xml:space="preserve">Newport Parent Holdings, LP </w:t>
            </w:r>
            <w:r>
              <w:rPr>
                <w:rFonts w:ascii="Arial" w:cs="Arial" w:eastAsia="Arial" w:hAnsi="Arial"/>
                <w:sz w:val="25"/>
                <w:szCs w:val="25"/>
                <w:color w:val="auto"/>
                <w:w w:val="98"/>
                <w:vertAlign w:val="superscript"/>
              </w:rPr>
              <w:t>(13)(14)</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A-2 Units (131,569 units)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12/10/2020</w:t>
            </w: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Oxford Square Capital</w:t>
            </w:r>
          </w:p>
        </w:tc>
        <w:tc>
          <w:tcPr>
            <w:tcW w:w="2420" w:type="dxa"/>
            <w:vAlign w:val="bottom"/>
          </w:tcPr>
          <w:p>
            <w:pPr>
              <w:ind w:left="120"/>
              <w:spacing w:after="0"/>
              <w:rPr>
                <w:sz w:val="20"/>
                <w:szCs w:val="20"/>
                <w:color w:val="auto"/>
              </w:rPr>
            </w:pPr>
            <w:r>
              <w:rPr>
                <w:rFonts w:ascii="Arial" w:cs="Arial" w:eastAsia="Arial" w:hAnsi="Arial"/>
                <w:sz w:val="16"/>
                <w:szCs w:val="16"/>
                <w:color w:val="auto"/>
              </w:rPr>
              <w:t>Common Shares (1,059 shares)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8/5/2015</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4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Caris Life Sciences, Inc. </w:t>
            </w:r>
            <w:r>
              <w:rPr>
                <w:rFonts w:ascii="Arial" w:cs="Arial" w:eastAsia="Arial" w:hAnsi="Arial"/>
                <w:sz w:val="23"/>
                <w:szCs w:val="23"/>
                <w:color w:val="auto"/>
                <w:vertAlign w:val="superscript"/>
              </w:rPr>
              <w:t>(13)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C Preferred Shares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10/13/2020</w:t>
            </w:r>
          </w:p>
        </w:tc>
        <w:tc>
          <w:tcPr>
            <w:tcW w:w="1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(362,319 shares) </w:t>
            </w:r>
            <w:r>
              <w:rPr>
                <w:rFonts w:ascii="Arial" w:cs="Arial" w:eastAsia="Arial" w:hAnsi="Arial"/>
                <w:sz w:val="25"/>
                <w:szCs w:val="25"/>
                <w:color w:val="auto"/>
                <w:vertAlign w:val="superscript"/>
              </w:rPr>
              <w:t>(14)</w:t>
            </w: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633,376 Warrants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9/21/2018</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704</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19"/>
                <w:szCs w:val="19"/>
                <w:color w:val="auto"/>
              </w:rPr>
            </w:pPr>
          </w:p>
        </w:tc>
        <w:tc>
          <w:tcPr>
            <w:tcW w:w="2420" w:type="dxa"/>
            <w:vAlign w:val="bottom"/>
            <w:shd w:val="clear" w:color="auto" w:fill="CFF0FC"/>
          </w:tcPr>
          <w:p>
            <w:pPr>
              <w:ind w:left="120"/>
              <w:spacing w:after="0" w:line="218" w:lineRule="exact"/>
              <w:rPr>
                <w:sz w:val="20"/>
                <w:szCs w:val="20"/>
                <w:color w:val="auto"/>
              </w:rPr>
            </w:pPr>
            <w:r>
              <w:rPr>
                <w:rFonts w:ascii="Arial" w:cs="Arial" w:eastAsia="Arial" w:hAnsi="Arial"/>
                <w:sz w:val="15"/>
                <w:szCs w:val="15"/>
                <w:color w:val="auto"/>
              </w:rPr>
              <w:t xml:space="preserve">569,991 Warrants </w:t>
            </w:r>
            <w:r>
              <w:rPr>
                <w:rFonts w:ascii="Arial" w:cs="Arial" w:eastAsia="Arial" w:hAnsi="Arial"/>
                <w:sz w:val="25"/>
                <w:szCs w:val="25"/>
                <w:color w:val="auto"/>
                <w:vertAlign w:val="superscript"/>
              </w:rPr>
              <w:t>(14)</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4/2/2020</w:t>
            </w:r>
          </w:p>
        </w:tc>
        <w:tc>
          <w:tcPr>
            <w:tcW w:w="1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w:t>
            </w:r>
          </w:p>
        </w:tc>
        <w:tc>
          <w:tcPr>
            <w:tcW w:w="2420" w:type="dxa"/>
            <w:vAlign w:val="bottom"/>
          </w:tcPr>
          <w:p>
            <w:pPr>
              <w:ind w:left="120"/>
              <w:spacing w:after="0"/>
              <w:rPr>
                <w:sz w:val="20"/>
                <w:szCs w:val="20"/>
                <w:color w:val="auto"/>
              </w:rPr>
            </w:pPr>
            <w:r>
              <w:rPr>
                <w:rFonts w:ascii="Arial" w:cs="Arial" w:eastAsia="Arial" w:hAnsi="Arial"/>
                <w:sz w:val="16"/>
                <w:szCs w:val="16"/>
                <w:color w:val="auto"/>
                <w:w w:val="96"/>
              </w:rPr>
              <w:t>363 AA Preferred Stock Warrants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4"/>
              </w:rPr>
              <w:t>2,748 A Preferred Stock Warrants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10/7/2019</w:t>
            </w: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4,681,958 Common Stock</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Warrants</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954,478 Warrants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4/8/2019</w:t>
            </w:r>
          </w:p>
        </w:tc>
        <w:tc>
          <w:tcPr>
            <w:tcW w:w="1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(13)(15)</w:t>
            </w:r>
          </w:p>
        </w:tc>
        <w:tc>
          <w:tcPr>
            <w:tcW w:w="2420" w:type="dxa"/>
            <w:vAlign w:val="bottom"/>
          </w:tcPr>
          <w:p>
            <w:pPr>
              <w:ind w:left="120"/>
              <w:spacing w:after="0"/>
              <w:rPr>
                <w:sz w:val="20"/>
                <w:szCs w:val="20"/>
                <w:color w:val="auto"/>
              </w:rPr>
            </w:pPr>
            <w:r>
              <w:rPr>
                <w:rFonts w:ascii="Arial" w:cs="Arial" w:eastAsia="Arial" w:hAnsi="Arial"/>
                <w:sz w:val="16"/>
                <w:szCs w:val="16"/>
                <w:color w:val="auto"/>
              </w:rPr>
              <w:t>Common Shares (1,000 shares)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2/11/2019</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8,973</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Class A Units (33,790,171 units)</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12/21/2018</w:t>
            </w:r>
          </w:p>
        </w:tc>
        <w:tc>
          <w:tcPr>
            <w:tcW w:w="1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21,842</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spacing w:after="0"/>
              <w:rPr>
                <w:sz w:val="15"/>
                <w:szCs w:val="15"/>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(14)</w:t>
            </w:r>
          </w:p>
        </w:tc>
        <w:tc>
          <w:tcPr>
            <w:tcW w:w="9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w w:val="96"/>
              </w:rPr>
              <w:t>Class C-1 Units (8,800,000 units)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12/21/2018</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w w:val="97"/>
              </w:rPr>
              <w:t>Human resource support services</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(13)(15)</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A Preferred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8/24/2018</w:t>
            </w: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3,031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(1,429,228 units)</w:t>
            </w: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w w:val="97"/>
              </w:rPr>
              <w:t xml:space="preserve">DaySmart Holdings, LLC </w:t>
            </w:r>
            <w:r>
              <w:rPr>
                <w:rFonts w:ascii="Arial" w:cs="Arial" w:eastAsia="Arial" w:hAnsi="Arial"/>
                <w:sz w:val="25"/>
                <w:szCs w:val="25"/>
                <w:color w:val="auto"/>
                <w:w w:val="97"/>
                <w:vertAlign w:val="superscript"/>
              </w:rPr>
              <w:t>(13)(14)(15)</w:t>
            </w:r>
          </w:p>
        </w:tc>
        <w:tc>
          <w:tcPr>
            <w:tcW w:w="2420" w:type="dxa"/>
            <w:vAlign w:val="bottom"/>
          </w:tcPr>
          <w:p>
            <w:pPr>
              <w:ind w:left="120"/>
              <w:spacing w:after="0"/>
              <w:rPr>
                <w:sz w:val="20"/>
                <w:szCs w:val="20"/>
                <w:color w:val="auto"/>
              </w:rPr>
            </w:pPr>
            <w:r>
              <w:rPr>
                <w:rFonts w:ascii="Arial" w:cs="Arial" w:eastAsia="Arial" w:hAnsi="Arial"/>
                <w:sz w:val="16"/>
                <w:szCs w:val="16"/>
                <w:color w:val="auto"/>
              </w:rPr>
              <w:t>Class A Units (155,240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10/1/2019</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(13)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Common Shares Class A (1,020</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2,208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units)</w:t>
            </w: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Common Shares Class B</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(987,929 units)</w:t>
            </w:r>
          </w:p>
        </w:tc>
        <w:tc>
          <w:tcPr>
            <w:tcW w:w="98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F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8/2/2019</w:t>
            </w: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(199,054 shares)</w:t>
            </w: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A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5/31/2018</w:t>
            </w: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13,056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(3,840,000 shares)</w:t>
            </w: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(6)(13)(14)</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Units (15,000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12/24/2020</w:t>
            </w:r>
          </w:p>
        </w:tc>
        <w:tc>
          <w:tcPr>
            <w:tcW w:w="1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(13)(14)</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712,817 Warrants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8/5/2020</w:t>
            </w:r>
          </w:p>
        </w:tc>
        <w:tc>
          <w:tcPr>
            <w:tcW w:w="1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Copper Bidco LLC </w:t>
            </w:r>
            <w:r>
              <w:rPr>
                <w:rFonts w:ascii="Arial" w:cs="Arial" w:eastAsia="Arial" w:hAnsi="Arial"/>
                <w:sz w:val="24"/>
                <w:szCs w:val="24"/>
                <w:color w:val="auto"/>
                <w:vertAlign w:val="superscript"/>
              </w:rPr>
              <w:t>(11)(13)(14)</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Trust Certificates (132,928</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12/7/2020</w:t>
            </w: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Certificates)</w:t>
            </w: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NMG Parent LLC Com Unit </w:t>
            </w:r>
            <w:r>
              <w:rPr>
                <w:rFonts w:ascii="Arial" w:cs="Arial" w:eastAsia="Arial" w:hAnsi="Arial"/>
                <w:sz w:val="25"/>
                <w:szCs w:val="25"/>
                <w:color w:val="auto"/>
                <w:vertAlign w:val="superscript"/>
              </w:rPr>
              <w:t>(13)(14)</w:t>
            </w:r>
          </w:p>
        </w:tc>
        <w:tc>
          <w:tcPr>
            <w:tcW w:w="2420" w:type="dxa"/>
            <w:vAlign w:val="bottom"/>
          </w:tcPr>
          <w:p>
            <w:pPr>
              <w:ind w:left="120"/>
              <w:spacing w:after="0"/>
              <w:rPr>
                <w:sz w:val="20"/>
                <w:szCs w:val="20"/>
                <w:color w:val="auto"/>
              </w:rPr>
            </w:pPr>
            <w:r>
              <w:rPr>
                <w:rFonts w:ascii="Arial" w:cs="Arial" w:eastAsia="Arial" w:hAnsi="Arial"/>
                <w:sz w:val="16"/>
                <w:szCs w:val="16"/>
                <w:color w:val="auto"/>
              </w:rPr>
              <w:t>Common Units (110,210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9/29/2020</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6,613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Investments</w:t>
            </w:r>
          </w:p>
        </w:tc>
        <w:tc>
          <w:tcPr>
            <w:tcW w:w="2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Bain Capital Credit CLO Ltd,</w:t>
            </w:r>
          </w:p>
        </w:tc>
        <w:tc>
          <w:tcPr>
            <w:tcW w:w="2420" w:type="dxa"/>
            <w:vAlign w:val="bottom"/>
          </w:tcPr>
          <w:p>
            <w:pPr>
              <w:ind w:left="120"/>
              <w:spacing w:after="0"/>
              <w:rPr>
                <w:sz w:val="20"/>
                <w:szCs w:val="20"/>
                <w:color w:val="auto"/>
              </w:rPr>
            </w:pPr>
            <w:r>
              <w:rPr>
                <w:rFonts w:ascii="Arial" w:cs="Arial" w:eastAsia="Arial" w:hAnsi="Arial"/>
                <w:sz w:val="16"/>
                <w:szCs w:val="16"/>
                <w:color w:val="auto"/>
                <w:w w:val="94"/>
              </w:rPr>
              <w:t>Structured Product ($500 par, due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10/15/2020</w:t>
            </w:r>
          </w:p>
        </w:tc>
        <w:tc>
          <w:tcPr>
            <w:tcW w:w="1380" w:type="dxa"/>
            <w:vAlign w:val="bottom"/>
          </w:tcPr>
          <w:p>
            <w:pPr>
              <w:ind w:left="160"/>
              <w:spacing w:after="0"/>
              <w:rPr>
                <w:sz w:val="20"/>
                <w:szCs w:val="20"/>
                <w:color w:val="auto"/>
              </w:rPr>
            </w:pPr>
            <w:r>
              <w:rPr>
                <w:rFonts w:ascii="Arial" w:cs="Arial" w:eastAsia="Arial" w:hAnsi="Arial"/>
                <w:sz w:val="16"/>
                <w:szCs w:val="16"/>
                <w:color w:val="auto"/>
              </w:rPr>
              <w:t>L + 5.35%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760" w:type="dxa"/>
            <w:vAlign w:val="bottom"/>
          </w:tcPr>
          <w:p>
            <w:pPr>
              <w:jc w:val="right"/>
              <w:spacing w:after="0"/>
              <w:rPr>
                <w:sz w:val="20"/>
                <w:szCs w:val="20"/>
                <w:color w:val="auto"/>
              </w:rPr>
            </w:pPr>
            <w:r>
              <w:rPr>
                <w:rFonts w:ascii="Arial" w:cs="Arial" w:eastAsia="Arial" w:hAnsi="Arial"/>
                <w:sz w:val="16"/>
                <w:szCs w:val="16"/>
                <w:color w:val="auto"/>
              </w:rPr>
              <w:t>411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2420" w:type="dxa"/>
            <w:vAlign w:val="bottom"/>
          </w:tcPr>
          <w:p>
            <w:pPr>
              <w:ind w:left="120"/>
              <w:spacing w:after="0"/>
              <w:rPr>
                <w:sz w:val="20"/>
                <w:szCs w:val="20"/>
                <w:color w:val="auto"/>
              </w:rPr>
            </w:pPr>
            <w:r>
              <w:rPr>
                <w:rFonts w:ascii="Arial" w:cs="Arial" w:eastAsia="Arial" w:hAnsi="Arial"/>
                <w:sz w:val="16"/>
                <w:szCs w:val="16"/>
                <w:color w:val="auto"/>
              </w:rPr>
              <w:t>4/2031)</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Structured Product ($1,550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+ 5.75%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2018-1A</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4/2031)</w:t>
            </w:r>
          </w:p>
        </w:tc>
        <w:tc>
          <w:tcPr>
            <w:tcW w:w="9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4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420" w:type="dxa"/>
            <w:vAlign w:val="bottom"/>
          </w:tcPr>
          <w:p>
            <w:pPr>
              <w:ind w:left="120"/>
              <w:spacing w:after="0"/>
              <w:rPr>
                <w:sz w:val="20"/>
                <w:szCs w:val="20"/>
                <w:color w:val="auto"/>
              </w:rPr>
            </w:pPr>
            <w:r>
              <w:rPr>
                <w:rFonts w:ascii="Arial" w:cs="Arial" w:eastAsia="Arial" w:hAnsi="Arial"/>
                <w:sz w:val="16"/>
                <w:szCs w:val="16"/>
                <w:color w:val="auto"/>
              </w:rPr>
              <w:t>Structured Product ($4,150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9/3/2020</w:t>
            </w:r>
          </w:p>
        </w:tc>
        <w:tc>
          <w:tcPr>
            <w:tcW w:w="1380" w:type="dxa"/>
            <w:vAlign w:val="bottom"/>
          </w:tcPr>
          <w:p>
            <w:pPr>
              <w:ind w:left="160"/>
              <w:spacing w:after="0"/>
              <w:rPr>
                <w:sz w:val="20"/>
                <w:szCs w:val="20"/>
                <w:color w:val="auto"/>
              </w:rPr>
            </w:pPr>
            <w:r>
              <w:rPr>
                <w:rFonts w:ascii="Arial" w:cs="Arial" w:eastAsia="Arial" w:hAnsi="Arial"/>
                <w:sz w:val="16"/>
                <w:szCs w:val="16"/>
                <w:color w:val="auto"/>
              </w:rPr>
              <w:t>L + 6.15%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760" w:type="dxa"/>
            <w:vAlign w:val="bottom"/>
          </w:tcPr>
          <w:p>
            <w:pPr>
              <w:jc w:val="right"/>
              <w:spacing w:after="0"/>
              <w:rPr>
                <w:sz w:val="20"/>
                <w:szCs w:val="20"/>
                <w:color w:val="auto"/>
              </w:rPr>
            </w:pPr>
            <w:r>
              <w:rPr>
                <w:rFonts w:ascii="Arial" w:cs="Arial" w:eastAsia="Arial" w:hAnsi="Arial"/>
                <w:sz w:val="16"/>
                <w:szCs w:val="16"/>
                <w:color w:val="auto"/>
              </w:rPr>
              <w:t>3,400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3,821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540" w:type="dxa"/>
            <w:vAlign w:val="bottom"/>
          </w:tcPr>
          <w:p>
            <w:pPr>
              <w:ind w:left="120"/>
              <w:spacing w:after="0"/>
              <w:rPr>
                <w:sz w:val="20"/>
                <w:szCs w:val="20"/>
                <w:color w:val="auto"/>
              </w:rPr>
            </w:pPr>
            <w:r>
              <w:rPr>
                <w:rFonts w:ascii="Arial" w:cs="Arial" w:eastAsia="Arial" w:hAnsi="Arial"/>
                <w:sz w:val="16"/>
                <w:szCs w:val="16"/>
                <w:color w:val="auto"/>
              </w:rPr>
              <w:t>CLO Ltd, Series 2017-4A</w:t>
            </w:r>
          </w:p>
        </w:tc>
        <w:tc>
          <w:tcPr>
            <w:tcW w:w="2420" w:type="dxa"/>
            <w:vAlign w:val="bottom"/>
          </w:tcPr>
          <w:p>
            <w:pPr>
              <w:ind w:left="120"/>
              <w:spacing w:after="0"/>
              <w:rPr>
                <w:sz w:val="20"/>
                <w:szCs w:val="20"/>
                <w:color w:val="auto"/>
              </w:rPr>
            </w:pPr>
            <w:r>
              <w:rPr>
                <w:rFonts w:ascii="Arial" w:cs="Arial" w:eastAsia="Arial" w:hAnsi="Arial"/>
                <w:sz w:val="16"/>
                <w:szCs w:val="16"/>
                <w:color w:val="auto"/>
              </w:rPr>
              <w:t>due 1/2030)</w:t>
            </w: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120"/>
              <w:spacing w:after="0"/>
              <w:rPr>
                <w:sz w:val="20"/>
                <w:szCs w:val="20"/>
                <w:color w:val="auto"/>
              </w:rPr>
            </w:pPr>
            <w:r>
              <w:rPr>
                <w:rFonts w:ascii="Arial" w:cs="Arial" w:eastAsia="Arial" w:hAnsi="Arial"/>
                <w:sz w:val="14"/>
                <w:szCs w:val="14"/>
                <w:color w:val="auto"/>
              </w:rPr>
              <w:t>(3)(4)(11)</w:t>
            </w:r>
          </w:p>
        </w:tc>
        <w:tc>
          <w:tcPr>
            <w:tcW w:w="2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Madison Park Funding Ltd,</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Structured Product ($2,400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+ 5.80%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6.02%</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2,276</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10/2030)</w:t>
            </w: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OZLM Ltd., Series</w:t>
            </w:r>
          </w:p>
        </w:tc>
        <w:tc>
          <w:tcPr>
            <w:tcW w:w="2420" w:type="dxa"/>
            <w:vAlign w:val="bottom"/>
          </w:tcPr>
          <w:p>
            <w:pPr>
              <w:ind w:left="120"/>
              <w:spacing w:after="0"/>
              <w:rPr>
                <w:sz w:val="20"/>
                <w:szCs w:val="20"/>
                <w:color w:val="auto"/>
              </w:rPr>
            </w:pPr>
            <w:r>
              <w:rPr>
                <w:rFonts w:ascii="Arial" w:cs="Arial" w:eastAsia="Arial" w:hAnsi="Arial"/>
                <w:sz w:val="16"/>
                <w:szCs w:val="16"/>
                <w:color w:val="auto"/>
              </w:rPr>
              <w:t>Structured Product ($2,000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5/28/2020</w:t>
            </w:r>
          </w:p>
        </w:tc>
        <w:tc>
          <w:tcPr>
            <w:tcW w:w="1380" w:type="dxa"/>
            <w:vAlign w:val="bottom"/>
          </w:tcPr>
          <w:p>
            <w:pPr>
              <w:ind w:left="160"/>
              <w:spacing w:after="0"/>
              <w:rPr>
                <w:sz w:val="20"/>
                <w:szCs w:val="20"/>
                <w:color w:val="auto"/>
              </w:rPr>
            </w:pPr>
            <w:r>
              <w:rPr>
                <w:rFonts w:ascii="Arial" w:cs="Arial" w:eastAsia="Arial" w:hAnsi="Arial"/>
                <w:sz w:val="16"/>
                <w:szCs w:val="16"/>
                <w:color w:val="auto"/>
              </w:rPr>
              <w:t>L + 2.85%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760" w:type="dxa"/>
            <w:vAlign w:val="bottom"/>
          </w:tcPr>
          <w:p>
            <w:pPr>
              <w:jc w:val="right"/>
              <w:spacing w:after="0"/>
              <w:rPr>
                <w:sz w:val="20"/>
                <w:szCs w:val="20"/>
                <w:color w:val="auto"/>
              </w:rPr>
            </w:pPr>
            <w:r>
              <w:rPr>
                <w:rFonts w:ascii="Arial" w:cs="Arial" w:eastAsia="Arial" w:hAnsi="Arial"/>
                <w:sz w:val="16"/>
                <w:szCs w:val="16"/>
                <w:color w:val="auto"/>
              </w:rPr>
              <w:t>1,754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1,904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2018-18A </w:t>
            </w:r>
            <w:r>
              <w:rPr>
                <w:rFonts w:ascii="Arial" w:cs="Arial" w:eastAsia="Arial" w:hAnsi="Arial"/>
                <w:sz w:val="13"/>
                <w:szCs w:val="13"/>
                <w:color w:val="auto"/>
              </w:rPr>
              <w:t>(3)(4)(11)</w:t>
            </w:r>
          </w:p>
        </w:tc>
        <w:tc>
          <w:tcPr>
            <w:tcW w:w="24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due 4/2031)</w:t>
            </w:r>
          </w:p>
        </w:tc>
        <w:tc>
          <w:tcPr>
            <w:tcW w:w="98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8,751</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80,714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85,941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42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4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$ 2,259,028</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$ 2,298,870</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94"/>
              </w:rPr>
              <w:t>Interest Rate Swaps as of December 31,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vMerge w:val="restart"/>
          </w:tcPr>
          <w:p>
            <w:pPr>
              <w:jc w:val="right"/>
              <w:ind w:right="430"/>
              <w:spacing w:after="0"/>
              <w:rPr>
                <w:sz w:val="20"/>
                <w:szCs w:val="20"/>
                <w:color w:val="auto"/>
              </w:rPr>
            </w:pPr>
            <w:r>
              <w:rPr>
                <w:rFonts w:ascii="Arial" w:cs="Arial" w:eastAsia="Arial" w:hAnsi="Arial"/>
                <w:sz w:val="14"/>
                <w:szCs w:val="14"/>
                <w:b w:val="1"/>
                <w:bCs w:val="1"/>
                <w:color w:val="auto"/>
              </w:rPr>
              <w:t>Maturity</w:t>
            </w:r>
          </w:p>
        </w:tc>
        <w:tc>
          <w:tcPr>
            <w:tcW w:w="10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Upfront</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3"/>
              <w:spacing w:after="0" w:line="133"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Payments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Receives</w:t>
            </w:r>
          </w:p>
        </w:tc>
        <w:tc>
          <w:tcPr>
            <w:tcW w:w="1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Receipts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 (Losses)</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+ 2.37%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 + 1.59%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+ 1.60%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+ 2.11%</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+ 2.11%</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 + 1.99%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rPr>
              <w:t>L</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(a)(e)</w:t>
            </w:r>
          </w:p>
        </w:tc>
        <w:tc>
          <w:tcPr>
            <w:tcW w:w="16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+ 2.28%</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rPr>
              <w:t>L</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6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L</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371,391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L + 2.25%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 + 2.46%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5"/>
              </w:rPr>
              <w:t>(26,431)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721,391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3"/>
        <w:spacing w:after="0"/>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36" w:lineRule="exact"/>
        <w:rPr>
          <w:rFonts w:ascii="Arial" w:cs="Arial" w:eastAsia="Arial" w:hAnsi="Arial"/>
          <w:sz w:val="18"/>
          <w:szCs w:val="18"/>
          <w:color w:val="auto"/>
        </w:rPr>
      </w:pPr>
    </w:p>
    <w:p>
      <w:pPr>
        <w:ind w:left="1000" w:hanging="493"/>
        <w:spacing w:after="0"/>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36" w:lineRule="exact"/>
        <w:rPr>
          <w:rFonts w:ascii="Arial" w:cs="Arial" w:eastAsia="Arial" w:hAnsi="Arial"/>
          <w:sz w:val="18"/>
          <w:szCs w:val="18"/>
          <w:color w:val="auto"/>
        </w:rPr>
      </w:pPr>
    </w:p>
    <w:p>
      <w:pPr>
        <w:ind w:left="1000" w:right="200" w:hanging="493"/>
        <w:spacing w:after="0" w:line="258"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1" w:lineRule="exact"/>
        <w:rPr>
          <w:rFonts w:ascii="Arial" w:cs="Arial" w:eastAsia="Arial" w:hAnsi="Arial"/>
          <w:sz w:val="18"/>
          <w:szCs w:val="18"/>
          <w:color w:val="auto"/>
        </w:rPr>
      </w:pPr>
    </w:p>
    <w:p>
      <w:pPr>
        <w:ind w:left="1000" w:right="180" w:hanging="493"/>
        <w:spacing w:after="0" w:line="250"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81"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December 31, 2020.</w:t>
      </w:r>
    </w:p>
    <w:p>
      <w:pPr>
        <w:spacing w:after="0" w:line="3" w:lineRule="exact"/>
        <w:rPr>
          <w:rFonts w:ascii="Arial" w:cs="Arial" w:eastAsia="Arial" w:hAnsi="Arial"/>
          <w:sz w:val="16"/>
          <w:szCs w:val="16"/>
          <w:color w:val="auto"/>
        </w:rPr>
      </w:pPr>
    </w:p>
    <w:p>
      <w:pPr>
        <w:ind w:left="500" w:right="20" w:hanging="492"/>
        <w:spacing w:after="0" w:line="265"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12.7% of total assets as of December 31, 2020.</w:t>
      </w:r>
    </w:p>
    <w:p>
      <w:pPr>
        <w:ind w:left="500" w:right="60" w:hanging="492"/>
        <w:spacing w:after="0" w:line="265"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20" w:hanging="492"/>
        <w:spacing w:after="0" w:line="255"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2020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7"/>
              </w:rPr>
              <w:t>Realized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Transfers</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MD America Energy,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(62,913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4,606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100" w:hanging="493"/>
        <w:spacing w:after="0" w:line="258"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 w:lineRule="exact"/>
        <w:rPr>
          <w:rFonts w:ascii="Arial" w:cs="Arial" w:eastAsia="Arial" w:hAnsi="Arial"/>
          <w:sz w:val="18"/>
          <w:szCs w:val="18"/>
          <w:color w:val="auto"/>
        </w:rPr>
      </w:pPr>
    </w:p>
    <w:p>
      <w:pPr>
        <w:ind w:left="980" w:hanging="417"/>
        <w:spacing w:after="0"/>
        <w:tabs>
          <w:tab w:leader="none" w:pos="980" w:val="left"/>
        </w:tabs>
        <w:numPr>
          <w:ilvl w:val="2"/>
          <w:numId w:val="93"/>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224"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2020 in which the issuer was an Affiliated Person of and was deemed to Control a portfolio company are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w w:val="87"/>
              </w:rPr>
              <w:t>Realized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Transfers</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19,329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(32,219)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(36,352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3,809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100" w:hanging="493"/>
        <w:spacing w:after="0" w:line="258" w:lineRule="auto"/>
        <w:tabs>
          <w:tab w:leader="none" w:pos="1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1" w:lineRule="exact"/>
        <w:rPr>
          <w:rFonts w:ascii="Arial" w:cs="Arial" w:eastAsia="Arial" w:hAnsi="Arial"/>
          <w:sz w:val="18"/>
          <w:szCs w:val="18"/>
          <w:color w:val="auto"/>
        </w:rPr>
      </w:pPr>
    </w:p>
    <w:p>
      <w:pPr>
        <w:ind w:left="500" w:right="640" w:hanging="492"/>
        <w:spacing w:after="0" w:line="258"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of December 31, 2020, the estimated cost basis of investments for U.S. federal tax purposes was $2,285,393, resulting in estimated gross unrealized gains and losses of $125,374 and $101,215,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December 31, 2020, the aggregate fair value of these securities is $20,983, or 1.8%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Investment is on non-accrual status as of December 31,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Treasury Stock</w:t>
            </w:r>
          </w:p>
        </w:tc>
        <w:tc>
          <w:tcPr>
            <w:tcW w:w="28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Paid 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Capital in</w:t>
            </w: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12"/>
                <w:szCs w:val="12"/>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Excess</w:t>
            </w: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of Par</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65,412,817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89,080</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 (1,359)</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991,919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71,987</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6"/>
              </w:rPr>
              <w:t>$ 1,063,202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investment income</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128,283</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128,283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60"/>
              <w:spacing w:after="0"/>
              <w:rPr>
                <w:sz w:val="20"/>
                <w:szCs w:val="20"/>
                <w:color w:val="auto"/>
              </w:rPr>
            </w:pPr>
            <w:r>
              <w:rPr>
                <w:rFonts w:ascii="Arial" w:cs="Arial" w:eastAsia="Arial" w:hAnsi="Arial"/>
                <w:sz w:val="16"/>
                <w:szCs w:val="16"/>
                <w:color w:val="auto"/>
              </w:rPr>
              <w:t>Net change in unrealized losses on investments and foreign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380"/>
              <w:spacing w:after="0"/>
              <w:rPr>
                <w:sz w:val="20"/>
                <w:szCs w:val="20"/>
                <w:color w:val="auto"/>
              </w:rPr>
            </w:pPr>
            <w:r>
              <w:rPr>
                <w:rFonts w:ascii="Arial" w:cs="Arial" w:eastAsia="Arial" w:hAnsi="Arial"/>
                <w:sz w:val="16"/>
                <w:szCs w:val="16"/>
                <w:color w:val="auto"/>
              </w:rPr>
              <w:t>currency translation</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24,262</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realized losses on investments and foreign</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currency transactions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1,111,774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Dividends declared from distributable earnings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(119,623)</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(119,623)</w:t>
            </w:r>
          </w:p>
        </w:tc>
        <w:tc>
          <w:tcPr>
            <w:tcW w:w="0" w:type="dxa"/>
            <w:vAlign w:val="bottom"/>
          </w:tcPr>
          <w:p>
            <w:pPr>
              <w:spacing w:after="0"/>
              <w:rPr>
                <w:sz w:val="1"/>
                <w:szCs w:val="1"/>
                <w:color w:val="auto"/>
              </w:rPr>
            </w:pPr>
          </w:p>
        </w:tc>
      </w:tr>
      <w:tr>
        <w:trPr>
          <w:trHeight w:val="206"/>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reclassification of stockholders' equity in accordance</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with GAAP </w:t>
            </w:r>
            <w:r>
              <w:rPr>
                <w:rFonts w:ascii="Arial" w:cs="Arial" w:eastAsia="Arial" w:hAnsi="Arial"/>
                <w:sz w:val="25"/>
                <w:szCs w:val="25"/>
                <w:color w:val="auto"/>
                <w:vertAlign w:val="superscript"/>
              </w:rPr>
              <w:t>(1)</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(3,773)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5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66,524,591</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w:t>
            </w:r>
          </w:p>
        </w:tc>
        <w:tc>
          <w:tcPr>
            <w:tcW w:w="20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89,080</w:t>
            </w:r>
          </w:p>
        </w:tc>
        <w:tc>
          <w:tcPr>
            <w:tcW w:w="20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(1,359</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1,009,270</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110,720</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$ 1,119,297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Net investment income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147,004</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147,004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currency translation</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33,695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60"/>
              <w:spacing w:after="0"/>
              <w:rPr>
                <w:sz w:val="20"/>
                <w:szCs w:val="20"/>
                <w:color w:val="auto"/>
              </w:rPr>
            </w:pPr>
            <w:r>
              <w:rPr>
                <w:rFonts w:ascii="Arial" w:cs="Arial" w:eastAsia="Arial" w:hAnsi="Arial"/>
                <w:sz w:val="16"/>
                <w:szCs w:val="16"/>
                <w:color w:val="auto"/>
              </w:rPr>
              <w:t>Net realized gain on investments and foreign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380"/>
              <w:spacing w:after="0"/>
              <w:rPr>
                <w:sz w:val="20"/>
                <w:szCs w:val="20"/>
                <w:color w:val="auto"/>
              </w:rPr>
            </w:pPr>
            <w:r>
              <w:rPr>
                <w:rFonts w:ascii="Arial" w:cs="Arial" w:eastAsia="Arial" w:hAnsi="Arial"/>
                <w:sz w:val="16"/>
                <w:szCs w:val="16"/>
                <w:color w:val="auto"/>
              </w:rPr>
              <w:t>currency transactions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(2,591)</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8"/>
              </w:rPr>
              <w:t>Decrease in net assets resulting from capital share transactions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(206,964)</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206,964</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(2,932)</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convertible notes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1,366,582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Dividends declared from distributable earnings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(154,554)</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(154,554)</w:t>
            </w:r>
          </w:p>
        </w:tc>
        <w:tc>
          <w:tcPr>
            <w:tcW w:w="0" w:type="dxa"/>
            <w:vAlign w:val="bottom"/>
          </w:tcPr>
          <w:p>
            <w:pPr>
              <w:spacing w:after="0"/>
              <w:rPr>
                <w:sz w:val="1"/>
                <w:szCs w:val="1"/>
                <w:color w:val="auto"/>
              </w:rPr>
            </w:pPr>
          </w:p>
        </w:tc>
      </w:tr>
      <w:tr>
        <w:trPr>
          <w:trHeight w:val="206"/>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reclassification of stockholders' equity in accordance</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with GAAP </w:t>
            </w:r>
            <w:r>
              <w:rPr>
                <w:rFonts w:ascii="Arial" w:cs="Arial" w:eastAsia="Arial" w:hAnsi="Arial"/>
                <w:sz w:val="25"/>
                <w:szCs w:val="25"/>
                <w:color w:val="auto"/>
                <w:vertAlign w:val="superscript"/>
              </w:rPr>
              <w:t>(1)</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(4,976)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5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67,684,209</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w:t>
            </w:r>
          </w:p>
        </w:tc>
        <w:tc>
          <w:tcPr>
            <w:tcW w:w="20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296,044</w:t>
            </w:r>
          </w:p>
        </w:tc>
        <w:tc>
          <w:tcPr>
            <w:tcW w:w="20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(4,291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1,025,676</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139,250</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$ 1,161,315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Cumulative effect adjustment for the adoption of ASU</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2020-06 </w:t>
            </w:r>
            <w:r>
              <w:rPr>
                <w:rFonts w:ascii="Arial" w:cs="Arial" w:eastAsia="Arial" w:hAnsi="Arial"/>
                <w:sz w:val="25"/>
                <w:szCs w:val="25"/>
                <w:color w:val="auto"/>
                <w:vertAlign w:val="superscript"/>
              </w:rPr>
              <w:t>(2)</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investment income</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142,359</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142,359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380"/>
              <w:spacing w:after="0"/>
              <w:rPr>
                <w:sz w:val="20"/>
                <w:szCs w:val="20"/>
                <w:color w:val="auto"/>
              </w:rPr>
            </w:pPr>
            <w:r>
              <w:rPr>
                <w:rFonts w:ascii="Arial" w:cs="Arial" w:eastAsia="Arial" w:hAnsi="Arial"/>
                <w:sz w:val="16"/>
                <w:szCs w:val="16"/>
                <w:color w:val="auto"/>
              </w:rPr>
              <w:t>currency translation</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40,546</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40,546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realized loss on investments and foreign</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currency transactions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28,875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w w:val="96"/>
              </w:rPr>
              <w:t>Increase in Net Assets Resulting from capital share transactions: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net of offering and</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underwriting costs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4,049,689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Common stock issued in settlement of convertible notes</w:t>
            </w:r>
          </w:p>
        </w:tc>
        <w:tc>
          <w:tcPr>
            <w:tcW w:w="840" w:type="dxa"/>
            <w:vAlign w:val="bottom"/>
          </w:tcPr>
          <w:p>
            <w:pPr>
              <w:jc w:val="right"/>
              <w:spacing w:after="0"/>
              <w:rPr>
                <w:sz w:val="20"/>
                <w:szCs w:val="20"/>
                <w:color w:val="auto"/>
              </w:rPr>
            </w:pPr>
            <w:r>
              <w:rPr>
                <w:rFonts w:ascii="Arial" w:cs="Arial" w:eastAsia="Arial" w:hAnsi="Arial"/>
                <w:sz w:val="16"/>
                <w:szCs w:val="16"/>
                <w:color w:val="auto"/>
              </w:rPr>
              <w:t>2,324,820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42,249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to stockholders: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40" w:type="dxa"/>
            <w:vAlign w:val="bottom"/>
          </w:tcPr>
          <w:p>
            <w:pPr>
              <w:jc w:val="right"/>
              <w:spacing w:after="0"/>
              <w:rPr>
                <w:sz w:val="20"/>
                <w:szCs w:val="20"/>
                <w:color w:val="auto"/>
              </w:rPr>
            </w:pPr>
            <w:r>
              <w:rPr>
                <w:rFonts w:ascii="Arial" w:cs="Arial" w:eastAsia="Arial" w:hAnsi="Arial"/>
                <w:sz w:val="16"/>
                <w:szCs w:val="16"/>
                <w:color w:val="auto"/>
              </w:rPr>
              <w:t>1,712,824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36,351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 declared from distributable earnings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(261,490)</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(261,490)</w:t>
            </w:r>
          </w:p>
        </w:tc>
        <w:tc>
          <w:tcPr>
            <w:tcW w:w="0" w:type="dxa"/>
            <w:vAlign w:val="bottom"/>
          </w:tcPr>
          <w:p>
            <w:pPr>
              <w:spacing w:after="0"/>
              <w:rPr>
                <w:sz w:val="1"/>
                <w:szCs w:val="1"/>
                <w:color w:val="auto"/>
              </w:rPr>
            </w:pPr>
          </w:p>
        </w:tc>
      </w:tr>
      <w:tr>
        <w:trPr>
          <w:trHeight w:val="203"/>
        </w:trPr>
        <w:tc>
          <w:tcPr>
            <w:tcW w:w="4580" w:type="dxa"/>
            <w:vAlign w:val="bottom"/>
          </w:tcPr>
          <w:p>
            <w:pPr>
              <w:ind w:left="140"/>
              <w:spacing w:after="0"/>
              <w:rPr>
                <w:sz w:val="20"/>
                <w:szCs w:val="20"/>
                <w:color w:val="auto"/>
              </w:rPr>
            </w:pPr>
            <w:r>
              <w:rPr>
                <w:rFonts w:ascii="Arial" w:cs="Arial" w:eastAsia="Arial" w:hAnsi="Arial"/>
                <w:sz w:val="16"/>
                <w:szCs w:val="16"/>
                <w:color w:val="auto"/>
              </w:rPr>
              <w:t>Tax reclassification of stockholders' equity in accordance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with GAAP </w:t>
            </w:r>
            <w:r>
              <w:rPr>
                <w:rFonts w:ascii="Arial" w:cs="Arial" w:eastAsia="Arial" w:hAnsi="Arial"/>
                <w:sz w:val="25"/>
                <w:szCs w:val="25"/>
                <w:color w:val="auto"/>
                <w:vertAlign w:val="superscript"/>
              </w:rPr>
              <w:t>(1)</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2021</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75,771,542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296,044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(4,291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1,189,275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90,103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$ 1,275,848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See Note 2 for further information related to the adoption of ASU 2020-06.</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9"/>
        </w:trPr>
        <w:tc>
          <w:tcPr>
            <w:tcW w:w="5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 2021</w:t>
            </w:r>
          </w:p>
        </w:tc>
        <w:tc>
          <w:tcPr>
            <w:tcW w:w="1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December 31, 2020</w:t>
            </w:r>
          </w:p>
        </w:tc>
        <w:tc>
          <w:tcPr>
            <w:tcW w:w="80" w:type="dxa"/>
            <w:vAlign w:val="bottom"/>
          </w:tcPr>
          <w:p>
            <w:pPr>
              <w:spacing w:after="0"/>
              <w:rPr>
                <w:sz w:val="19"/>
                <w:szCs w:val="19"/>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21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Increase in net assets resulting from operations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211,780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178,108</w:t>
            </w:r>
          </w:p>
        </w:tc>
        <w:tc>
          <w:tcPr>
            <w:tcW w:w="140" w:type="dxa"/>
            <w:vAlign w:val="bottom"/>
          </w:tcPr>
          <w:p>
            <w:pPr>
              <w:spacing w:after="0"/>
              <w:rPr>
                <w:sz w:val="18"/>
                <w:szCs w:val="18"/>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154,583</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increase in net assets resulting from operations</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net cash provided by (used) in operating activities:</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Net change in unrealized gains on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(49,738)</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(31,951)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(18,323)</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change in unrealized losses on foreign currency</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transactions</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3,255</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Net change in unrealized (gains) losses on interest rate swaps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(6,812)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(9,194)</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realized (gains) losses on investments</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(28,816)</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Net realized gains on extinguishment of debt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realized losses on foreign currency transactions</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Net realized (gains) losses on interest rate swaps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amortization of discount on investments</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(27,816)</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(25,706)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(16,565)</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discount on debt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Purchases and originations of investments,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(1,198,944)</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(1,038,885)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(1,118,116)</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investments, net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38,043</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Repayments on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995,903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968,422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583,927</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Paid-in-kind interest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(9,639)</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(8,596)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(7,468)</w:t>
            </w:r>
          </w:p>
        </w:tc>
        <w:tc>
          <w:tcPr>
            <w:tcW w:w="0" w:type="dxa"/>
            <w:vAlign w:val="bottom"/>
          </w:tcPr>
          <w:p>
            <w:pPr>
              <w:spacing w:after="0"/>
              <w:rPr>
                <w:sz w:val="1"/>
                <w:szCs w:val="1"/>
                <w:color w:val="auto"/>
              </w:rPr>
            </w:pPr>
          </w:p>
        </w:tc>
      </w:tr>
      <w:tr>
        <w:trPr>
          <w:trHeight w:val="213"/>
        </w:trPr>
        <w:tc>
          <w:tcPr>
            <w:tcW w:w="580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receivable</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(4,336)</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Interest receivable paid-in-kind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assets</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(10,648)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Management fees payable to affiliate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Incentive fees on net investment income payable to affiliate</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Incentive fees on net capital gains accrued to affiliate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Payable to affiliate</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(24,703)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12,981</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ind w:left="50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00" w:type="dxa"/>
            <w:vAlign w:val="bottom"/>
            <w:vMerge w:val="continue"/>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(378,041)</w:t>
            </w:r>
          </w:p>
        </w:tc>
        <w:tc>
          <w:tcPr>
            <w:tcW w:w="0" w:type="dxa"/>
            <w:vAlign w:val="bottom"/>
          </w:tcPr>
          <w:p>
            <w:pPr>
              <w:spacing w:after="0"/>
              <w:rPr>
                <w:sz w:val="1"/>
                <w:szCs w:val="1"/>
                <w:color w:val="auto"/>
              </w:rPr>
            </w:pPr>
          </w:p>
        </w:tc>
      </w:tr>
      <w:tr>
        <w:trPr>
          <w:trHeight w:val="206"/>
        </w:trPr>
        <w:tc>
          <w:tcPr>
            <w:tcW w:w="58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Borrowings on debt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1,616,739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1,114,226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1,742,585</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Repayments on debt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(1,471,961)</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(1,090,685)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(1,255,169)</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Repurchases of debt</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(31,829)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Settlement of convertible notes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costs</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(7,953)</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(4,267)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(7,747)</w:t>
            </w:r>
          </w:p>
        </w:tc>
        <w:tc>
          <w:tcPr>
            <w:tcW w:w="0" w:type="dxa"/>
            <w:vAlign w:val="bottom"/>
          </w:tcPr>
          <w:p>
            <w:pPr>
              <w:spacing w:after="0"/>
              <w:rPr>
                <w:sz w:val="1"/>
                <w:szCs w:val="1"/>
                <w:color w:val="auto"/>
              </w:rPr>
            </w:pPr>
          </w:p>
        </w:tc>
      </w:tr>
      <w:tr>
        <w:trPr>
          <w:trHeight w:val="206"/>
        </w:trPr>
        <w:tc>
          <w:tcPr>
            <w:tcW w:w="5800" w:type="dxa"/>
            <w:vAlign w:val="bottom"/>
          </w:tcPr>
          <w:p>
            <w:pPr>
              <w:spacing w:after="0"/>
              <w:rPr>
                <w:sz w:val="20"/>
                <w:szCs w:val="20"/>
                <w:color w:val="auto"/>
              </w:rPr>
            </w:pPr>
            <w:r>
              <w:rPr>
                <w:rFonts w:ascii="Arial" w:cs="Arial" w:eastAsia="Arial" w:hAnsi="Arial"/>
                <w:sz w:val="16"/>
                <w:szCs w:val="16"/>
                <w:color w:val="auto"/>
              </w:rPr>
              <w:t>Proceeds from issuance of common stock, net of offering and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120"/>
              <w:spacing w:after="0"/>
              <w:rPr>
                <w:sz w:val="20"/>
                <w:szCs w:val="20"/>
                <w:color w:val="auto"/>
              </w:rPr>
            </w:pPr>
            <w:r>
              <w:rPr>
                <w:rFonts w:ascii="Arial" w:cs="Arial" w:eastAsia="Arial" w:hAnsi="Arial"/>
                <w:sz w:val="16"/>
                <w:szCs w:val="16"/>
                <w:color w:val="auto"/>
              </w:rPr>
              <w:t>underwriting costs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85,904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Purchases of treasury stock</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(2,932)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Dividends paid to stockholders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(221,941)</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(130,448)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(98,060)</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ind w:left="5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00" w:type="dxa"/>
            <w:vAlign w:val="bottom"/>
            <w:vMerge w:val="continue"/>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(145,935)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381,609</w:t>
            </w:r>
          </w:p>
        </w:tc>
        <w:tc>
          <w:tcPr>
            <w:tcW w:w="0" w:type="dxa"/>
            <w:vAlign w:val="bottom"/>
          </w:tcPr>
          <w:p>
            <w:pPr>
              <w:spacing w:after="0"/>
              <w:rPr>
                <w:sz w:val="1"/>
                <w:szCs w:val="1"/>
                <w:color w:val="auto"/>
              </w:rPr>
            </w:pPr>
          </w:p>
        </w:tc>
      </w:tr>
      <w:tr>
        <w:trPr>
          <w:trHeight w:val="196"/>
        </w:trPr>
        <w:tc>
          <w:tcPr>
            <w:tcW w:w="5800" w:type="dxa"/>
            <w:vAlign w:val="bottom"/>
          </w:tcPr>
          <w:p>
            <w:pPr>
              <w:ind w:left="500"/>
              <w:spacing w:after="0"/>
              <w:rPr>
                <w:sz w:val="20"/>
                <w:szCs w:val="20"/>
                <w:color w:val="auto"/>
              </w:rPr>
            </w:pPr>
            <w:r>
              <w:rPr>
                <w:rFonts w:ascii="Arial" w:cs="Arial" w:eastAsia="Arial" w:hAnsi="Arial"/>
                <w:sz w:val="16"/>
                <w:szCs w:val="16"/>
                <w:b w:val="1"/>
                <w:bCs w:val="1"/>
                <w:color w:val="auto"/>
              </w:rPr>
              <w:t>Net Increase (Decrease) in Cash, Cash Equivalents, and</w:t>
            </w:r>
          </w:p>
        </w:tc>
        <w:tc>
          <w:tcPr>
            <w:tcW w:w="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620"/>
              <w:spacing w:after="0"/>
              <w:rPr>
                <w:sz w:val="20"/>
                <w:szCs w:val="20"/>
                <w:color w:val="auto"/>
              </w:rPr>
            </w:pPr>
            <w:r>
              <w:rPr>
                <w:rFonts w:ascii="Arial" w:cs="Arial" w:eastAsia="Arial" w:hAnsi="Arial"/>
                <w:sz w:val="16"/>
                <w:szCs w:val="16"/>
                <w:b w:val="1"/>
                <w:bCs w:val="1"/>
                <w:color w:val="auto"/>
              </w:rPr>
              <w:t>Restricted Cash</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(869)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3,568</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5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13,274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10,575</w:t>
            </w:r>
          </w:p>
        </w:tc>
        <w:tc>
          <w:tcPr>
            <w:tcW w:w="0" w:type="dxa"/>
            <w:vAlign w:val="bottom"/>
          </w:tcPr>
          <w:p>
            <w:pPr>
              <w:spacing w:after="0"/>
              <w:rPr>
                <w:sz w:val="1"/>
                <w:szCs w:val="1"/>
                <w:color w:val="auto"/>
              </w:rPr>
            </w:pPr>
          </w:p>
        </w:tc>
      </w:tr>
      <w:tr>
        <w:trPr>
          <w:trHeight w:val="247"/>
        </w:trPr>
        <w:tc>
          <w:tcPr>
            <w:tcW w:w="5800" w:type="dxa"/>
            <w:vAlign w:val="bottom"/>
          </w:tcPr>
          <w:p>
            <w:pPr>
              <w:ind w:left="50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15,967</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13,274</w:t>
            </w:r>
          </w:p>
        </w:tc>
        <w:tc>
          <w:tcPr>
            <w:tcW w:w="140" w:type="dxa"/>
            <w:vAlign w:val="bottom"/>
          </w:tcPr>
          <w:p>
            <w:pPr>
              <w:spacing w:after="0"/>
              <w:rPr>
                <w:sz w:val="21"/>
                <w:szCs w:val="21"/>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14,143</w:t>
            </w:r>
          </w:p>
        </w:tc>
        <w:tc>
          <w:tcPr>
            <w:tcW w:w="0" w:type="dxa"/>
            <w:vAlign w:val="bottom"/>
          </w:tcPr>
          <w:p>
            <w:pPr>
              <w:spacing w:after="0"/>
              <w:rPr>
                <w:sz w:val="1"/>
                <w:szCs w:val="1"/>
                <w:color w:val="auto"/>
              </w:rPr>
            </w:pPr>
          </w:p>
        </w:tc>
      </w:tr>
      <w:tr>
        <w:trPr>
          <w:trHeight w:val="200"/>
        </w:trPr>
        <w:tc>
          <w:tcPr>
            <w:tcW w:w="580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Supplemental Information:</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paid during the period</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34,016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41,132</w:t>
            </w: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Excise and other taxes paid during the period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3,874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3,978</w:t>
            </w:r>
          </w:p>
        </w:tc>
        <w:tc>
          <w:tcPr>
            <w:tcW w:w="140" w:type="dxa"/>
            <w:vAlign w:val="bottom"/>
          </w:tcPr>
          <w:p>
            <w:pPr>
              <w:spacing w:after="0"/>
              <w:rPr>
                <w:sz w:val="18"/>
                <w:szCs w:val="18"/>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Dividends declared during the period</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154,554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119,623</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Non-Cash Financing Activities:</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6"/>
                <w:szCs w:val="16"/>
                <w:color w:val="auto"/>
              </w:rPr>
              <w:t>Reinvestment of dividends during the period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36,351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22,306</w:t>
            </w:r>
          </w:p>
        </w:tc>
        <w:tc>
          <w:tcPr>
            <w:tcW w:w="140" w:type="dxa"/>
            <w:vAlign w:val="bottom"/>
          </w:tcPr>
          <w:p>
            <w:pPr>
              <w:spacing w:after="0"/>
              <w:rPr>
                <w:sz w:val="18"/>
                <w:szCs w:val="18"/>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21,135</w:t>
            </w: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issued in settlement of convertible notes during the period</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60" w:firstLine="255"/>
        <w:spacing w:after="0" w:line="290" w:lineRule="auto"/>
        <w:rPr>
          <w:sz w:val="20"/>
          <w:szCs w:val="20"/>
          <w:color w:val="auto"/>
        </w:rPr>
      </w:pPr>
      <w:r>
        <w:rPr>
          <w:rFonts w:ascii="Arial" w:cs="Arial" w:eastAsia="Arial" w:hAnsi="Arial"/>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65" w:lineRule="exact"/>
        <w:rPr>
          <w:sz w:val="20"/>
          <w:szCs w:val="20"/>
          <w:color w:val="auto"/>
        </w:rPr>
      </w:pPr>
    </w:p>
    <w:p>
      <w:pPr>
        <w:ind w:right="600" w:firstLine="255"/>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firstLine="255"/>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90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1" w:name="page112"/>
    <w:bookmarkEnd w:id="111"/>
    <w:p>
      <w:pPr>
        <w:ind w:right="32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77"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44"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jc w:val="both"/>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December 31, 2021,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00" w:hanging="249"/>
        <w:spacing w:after="0"/>
        <w:tabs>
          <w:tab w:leader="none" w:pos="5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55" w:lineRule="exact"/>
        <w:rPr>
          <w:rFonts w:ascii="Arial" w:cs="Arial" w:eastAsia="Arial" w:hAnsi="Arial"/>
          <w:sz w:val="17"/>
          <w:szCs w:val="17"/>
          <w:color w:val="auto"/>
        </w:rPr>
      </w:pPr>
    </w:p>
    <w:p>
      <w:pPr>
        <w:ind w:left="500" w:right="620" w:hanging="249"/>
        <w:spacing w:after="0" w:line="277"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52" w:lineRule="exact"/>
        <w:rPr>
          <w:sz w:val="20"/>
          <w:szCs w:val="20"/>
          <w:color w:val="auto"/>
        </w:rPr>
      </w:pPr>
    </w:p>
    <w:p>
      <w:pPr>
        <w:ind w:right="140" w:firstLine="255"/>
        <w:spacing w:after="0" w:line="257"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2" w:name="page113"/>
    <w:bookmarkEnd w:id="112"/>
    <w:p>
      <w:pPr>
        <w:ind w:right="160"/>
        <w:spacing w:after="0" w:line="279" w:lineRule="auto"/>
        <w:rPr>
          <w:sz w:val="20"/>
          <w:szCs w:val="20"/>
          <w:color w:val="auto"/>
        </w:rPr>
      </w:pPr>
      <w:r>
        <w:rPr>
          <w:rFonts w:ascii="Arial" w:cs="Arial" w:eastAsia="Arial" w:hAnsi="Arial"/>
          <w:sz w:val="17"/>
          <w:szCs w:val="17"/>
          <w:color w:val="auto"/>
        </w:rPr>
        <w:t>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1"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Topic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 xml:space="preserve">g, further clarified by the FASB’s issuance of the Accounting Standards Update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which was adopted in 2019 by the Company. For all derivative instruments designated in a hedge accounting relationship, the entire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8" w:lineRule="exact"/>
        <w:rPr>
          <w:sz w:val="20"/>
          <w:szCs w:val="20"/>
          <w:color w:val="auto"/>
        </w:rPr>
      </w:pPr>
    </w:p>
    <w:p>
      <w:pPr>
        <w:ind w:right="220" w:firstLine="255"/>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00" w:right="620" w:hanging="249"/>
        <w:spacing w:after="0" w:line="277"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3" w:name="page114"/>
    <w:bookmarkEnd w:id="113"/>
    <w:p>
      <w:pPr>
        <w:ind w:right="100"/>
        <w:spacing w:after="0" w:line="277" w:lineRule="auto"/>
        <w:rPr>
          <w:sz w:val="20"/>
          <w:szCs w:val="20"/>
          <w:color w:val="auto"/>
        </w:rPr>
      </w:pPr>
      <w:r>
        <w:rPr>
          <w:rFonts w:ascii="Arial" w:cs="Arial" w:eastAsia="Arial" w:hAnsi="Arial"/>
          <w:sz w:val="18"/>
          <w:szCs w:val="18"/>
          <w:color w:val="auto"/>
        </w:rPr>
        <w:t>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0"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40" w:firstLine="255"/>
        <w:spacing w:after="0" w:line="272" w:lineRule="auto"/>
        <w:rPr>
          <w:sz w:val="20"/>
          <w:szCs w:val="20"/>
          <w:color w:val="auto"/>
        </w:rPr>
      </w:pPr>
      <w:r>
        <w:rPr>
          <w:rFonts w:ascii="Arial" w:cs="Arial" w:eastAsia="Arial" w:hAnsi="Arial"/>
          <w:sz w:val="17"/>
          <w:szCs w:val="17"/>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2021, the Company did not have any uncertain tax positions that met the recognition or measurement criteria, nor did the Company have any unrecognized tax benefits. The Company’s 2020, 2019 and 2018 tax year returns remain subject to examination by the relevant federal, state, and local tax authorities.</w:t>
      </w:r>
    </w:p>
    <w:p>
      <w:pPr>
        <w:spacing w:after="0" w:line="177" w:lineRule="exact"/>
        <w:rPr>
          <w:sz w:val="20"/>
          <w:szCs w:val="20"/>
          <w:color w:val="auto"/>
        </w:rPr>
      </w:pPr>
    </w:p>
    <w:p>
      <w:pPr>
        <w:ind w:right="6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For the calendar years ended December 31, 2021, 2020 and 2019 we recorded a net expense of $0.4 million, $5.8 million and $3.8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and Regulatory Updates</w:t>
      </w:r>
    </w:p>
    <w:p>
      <w:pPr>
        <w:spacing w:after="0" w:line="117" w:lineRule="exact"/>
        <w:rPr>
          <w:sz w:val="20"/>
          <w:szCs w:val="20"/>
          <w:color w:val="auto"/>
        </w:rPr>
      </w:pPr>
    </w:p>
    <w:p>
      <w:pPr>
        <w:ind w:right="120" w:firstLine="255"/>
        <w:spacing w:after="0" w:line="255"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is effective for all entities as of March 12, 2020 through December 31, 2022. The Company expects that the adoption of this guidance will not have a material impact on the Company’s financial position, result of operations or cash flows.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i w:val="1"/>
          <w:iCs w:val="1"/>
          <w:color w:val="auto"/>
        </w:rPr>
        <w:t>Accounting Pronouncements Adopted in 2021</w:t>
      </w:r>
    </w:p>
    <w:p>
      <w:pPr>
        <w:spacing w:after="0" w:line="225"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November 2021, the Board renewed the Administration Agreement. Unless earlier terminated as described below, the Administration Agreement will remain in effect until November 2022,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right="40" w:firstLine="255"/>
        <w:spacing w:after="0" w:line="28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68"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For the years ended December 31, 2021, 2020 and 2019, the Company incurred expenses of $4.8 million, $3.8 million and $4.2 million, respectively, for administrative services payable to the Adviser under the terms of the Administration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ind w:right="20"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For the years ended December 31, 2021, 2020 and 2019, Management Fees (gross of waivers) were $37.1 million, $32.1 million and $30.1 million, respectively.</w:t>
      </w:r>
    </w:p>
    <w:p>
      <w:pPr>
        <w:spacing w:after="0" w:line="170" w:lineRule="exact"/>
        <w:rPr>
          <w:sz w:val="20"/>
          <w:szCs w:val="20"/>
          <w:color w:val="auto"/>
        </w:rPr>
      </w:pPr>
    </w:p>
    <w:p>
      <w:pPr>
        <w:ind w:right="20" w:firstLine="255"/>
        <w:spacing w:after="0" w:line="291"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For the year ended December 31, 2021, Management Fees of $0.2 million have been waived pursuant to the Leverage Waiver. The Advisers did not waive any Management Fees for the years ended December 31, 2020 and 2019 pursuant to the Leverage Waiver.</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60" w:hanging="249"/>
        <w:spacing w:after="0" w:line="291" w:lineRule="auto"/>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4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sz w:val="20"/>
          <w:szCs w:val="20"/>
          <w:color w:val="auto"/>
        </w:rPr>
      </w:pPr>
    </w:p>
    <w:p>
      <w:pPr>
        <w:ind w:left="500" w:hanging="242"/>
        <w:spacing w:after="0" w:line="269" w:lineRule="auto"/>
        <w:rPr>
          <w:sz w:val="20"/>
          <w:szCs w:val="20"/>
          <w:color w:val="auto"/>
        </w:rPr>
      </w:pPr>
      <w:r>
        <w:rPr>
          <w:rFonts w:ascii="Arial" w:cs="Arial" w:eastAsia="Arial" w:hAnsi="Arial"/>
          <w:sz w:val="17"/>
          <w:szCs w:val="17"/>
          <w:color w:val="auto"/>
        </w:rPr>
        <w:t>(ii)The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2" w:lineRule="exact"/>
        <w:rPr>
          <w:sz w:val="20"/>
          <w:szCs w:val="20"/>
          <w:color w:val="auto"/>
        </w:rPr>
      </w:pPr>
    </w:p>
    <w:p>
      <w:pPr>
        <w:ind w:right="44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6" w:lineRule="exact"/>
        <w:rPr>
          <w:sz w:val="20"/>
          <w:szCs w:val="20"/>
          <w:color w:val="auto"/>
        </w:rPr>
      </w:pPr>
    </w:p>
    <w:p>
      <w:pPr>
        <w:ind w:right="20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ind w:firstLine="255"/>
        <w:spacing w:after="0" w:line="296" w:lineRule="auto"/>
        <w:rPr>
          <w:sz w:val="20"/>
          <w:szCs w:val="20"/>
          <w:color w:val="auto"/>
        </w:rPr>
      </w:pPr>
      <w:r>
        <w:rPr>
          <w:rFonts w:ascii="Arial" w:cs="Arial" w:eastAsia="Arial" w:hAnsi="Arial"/>
          <w:sz w:val="16"/>
          <w:szCs w:val="16"/>
          <w:color w:val="auto"/>
        </w:rPr>
        <w:t>For the years ended December 31, 2021, 2020 and 2019, Incentive Fees were $46.6 million, $32.9 million and $27.2 million, respectively, of which $33.1 million, $31.5 million, and $27.2 million, respectively, were realized and payable to the Adviser. For the years end December 31, 2021 and 2020, $13.5 million and $1.4 million, respectively, of Incentive Fees were accrued related to cumulative unrealized capital gains in excess of cumulative net realized capital gains less any cumulative unrealized losses and capital gains Incentive Fees paid inception to date. As of December 31, 2021, these accrued Incentive Fees are not contractually payable to the Adviser. For the year ended December 31, 2019, no Incentive Fees were accrued related to capital gains.</w:t>
      </w:r>
    </w:p>
    <w:p>
      <w:pPr>
        <w:spacing w:after="0" w:line="161"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Adviser did not waive any Incentive Fees for the years ended December 31, 2021, 2020 and 2019. Any waived Incentive Fees are not subject to recoupment by the Adviser.</w:t>
      </w:r>
    </w:p>
    <w:p>
      <w:pPr>
        <w:spacing w:after="0" w:line="170"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right="160" w:firstLine="255"/>
        <w:spacing w:after="0" w:line="311" w:lineRule="auto"/>
        <w:rPr>
          <w:sz w:val="20"/>
          <w:szCs w:val="20"/>
          <w:color w:val="auto"/>
        </w:rPr>
      </w:pPr>
      <w:r>
        <w:rPr>
          <w:rFonts w:ascii="Arial" w:cs="Arial" w:eastAsia="Arial" w:hAnsi="Arial"/>
          <w:sz w:val="16"/>
          <w:szCs w:val="16"/>
          <w:color w:val="auto"/>
        </w:rPr>
        <w:t>In November 2021, the Board renewed the Investment Advisory Agreement. Unless earlier terminated as described below, the Investment Advisory Agreement will remain in effect until November 2022,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9"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4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December 31, 2021 and 2020:</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2,265,555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2,298,856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161,459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2,432,012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2,521,593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89,581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2,196,910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2,259,028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80" w:hanging="492"/>
        <w:spacing w:after="0" w:line="277"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8" w:name="page119"/>
    <w:bookmarkEnd w:id="118"/>
    <w:p>
      <w:pPr>
        <w:ind w:left="260"/>
        <w:spacing w:after="0"/>
        <w:rPr>
          <w:sz w:val="20"/>
          <w:szCs w:val="20"/>
          <w:color w:val="auto"/>
        </w:rPr>
      </w:pPr>
      <w:r>
        <w:rPr>
          <w:rFonts w:ascii="Arial" w:cs="Arial" w:eastAsia="Arial" w:hAnsi="Arial"/>
          <w:sz w:val="18"/>
          <w:szCs w:val="18"/>
          <w:color w:val="auto"/>
        </w:rPr>
        <w:t>The industry composition of investments at fair value at December 31, 2021 and 2020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Communications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Financial Services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Insurance</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Marketing Services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Pharmaceuticals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2021 and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94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8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4240" w:type="dxa"/>
            <w:vAlign w:val="bottom"/>
            <w:gridSpan w:val="3"/>
          </w:tcPr>
          <w:p>
            <w:pPr>
              <w:jc w:val="right"/>
              <w:ind w:right="140"/>
              <w:spacing w:after="0"/>
              <w:rPr>
                <w:sz w:val="20"/>
                <w:szCs w:val="20"/>
                <w:color w:val="auto"/>
              </w:rPr>
            </w:pPr>
            <w:r>
              <w:rPr>
                <w:rFonts w:ascii="Arial" w:cs="Arial" w:eastAsia="Arial" w:hAnsi="Arial"/>
                <w:sz w:val="18"/>
                <w:szCs w:val="18"/>
                <w:color w:val="auto"/>
              </w:rPr>
              <w:t>12.5%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42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South</w:t>
            </w:r>
          </w:p>
        </w:tc>
        <w:tc>
          <w:tcPr>
            <w:tcW w:w="4240" w:type="dxa"/>
            <w:vAlign w:val="bottom"/>
            <w:gridSpan w:val="3"/>
          </w:tcPr>
          <w:p>
            <w:pPr>
              <w:jc w:val="right"/>
              <w:ind w:right="140"/>
              <w:spacing w:after="0"/>
              <w:rPr>
                <w:sz w:val="20"/>
                <w:szCs w:val="20"/>
                <w:color w:val="auto"/>
              </w:rPr>
            </w:pPr>
            <w:r>
              <w:rPr>
                <w:rFonts w:ascii="Arial" w:cs="Arial" w:eastAsia="Arial" w:hAnsi="Arial"/>
                <w:sz w:val="18"/>
                <w:szCs w:val="18"/>
                <w:color w:val="auto"/>
              </w:rPr>
              <w:t>23.4%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42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Australia</w:t>
            </w:r>
          </w:p>
        </w:tc>
        <w:tc>
          <w:tcPr>
            <w:tcW w:w="424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28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Canada</w:t>
            </w:r>
          </w:p>
        </w:tc>
        <w:tc>
          <w:tcPr>
            <w:tcW w:w="28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860" w:type="dxa"/>
            <w:vAlign w:val="bottom"/>
            <w:vMerge w:val="restart"/>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360" w:type="dxa"/>
            <w:vAlign w:val="bottom"/>
            <w:vMerge w:val="continue"/>
            <w:shd w:val="clear" w:color="auto" w:fill="CFF0FC"/>
          </w:tcPr>
          <w:p>
            <w:pPr>
              <w:spacing w:after="0"/>
              <w:rPr>
                <w:sz w:val="19"/>
                <w:szCs w:val="19"/>
                <w:color w:val="auto"/>
              </w:rPr>
            </w:pPr>
          </w:p>
        </w:tc>
        <w:tc>
          <w:tcPr>
            <w:tcW w:w="286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28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40" w:type="dxa"/>
            <w:vAlign w:val="bottom"/>
            <w:gridSpan w:val="3"/>
          </w:tcPr>
          <w:p>
            <w:pPr>
              <w:jc w:val="right"/>
              <w:ind w:right="2500"/>
              <w:spacing w:after="0"/>
              <w:rPr>
                <w:sz w:val="20"/>
                <w:szCs w:val="20"/>
                <w:color w:val="auto"/>
              </w:rPr>
            </w:pPr>
            <w:r>
              <w:rPr>
                <w:rFonts w:ascii="Arial" w:cs="Arial" w:eastAsia="Arial" w:hAnsi="Arial"/>
                <w:sz w:val="18"/>
                <w:szCs w:val="18"/>
                <w:color w:val="auto"/>
              </w:rPr>
              <w:t>F-30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jc w:val="both"/>
        <w:ind w:right="180" w:firstLine="255"/>
        <w:spacing w:after="0" w:line="263" w:lineRule="auto"/>
        <w:rPr>
          <w:sz w:val="20"/>
          <w:szCs w:val="20"/>
          <w:color w:val="auto"/>
        </w:rPr>
      </w:pPr>
      <w:r>
        <w:rPr>
          <w:rFonts w:ascii="Arial" w:cs="Arial" w:eastAsia="Arial" w:hAnsi="Arial"/>
          <w:sz w:val="18"/>
          <w:szCs w:val="18"/>
          <w:color w:val="auto"/>
        </w:rPr>
        <w:t>The Company enters into interest rate swap transactions from time to time to hedge fixed rate debt and certain fixed rate investments. The Company’s interest rate swaps are with one counterparty and are centrally cleared through a registered commodities exchange. Refer to the consolidated schedule of investments for additional disclosure regarding these interest rate swaps.</w:t>
      </w:r>
    </w:p>
    <w:p>
      <w:pPr>
        <w:spacing w:after="0" w:line="184"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for the year ended December 31,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3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Notional Amount</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4"/>
                <w:szCs w:val="14"/>
                <w:b w:val="1"/>
                <w:bCs w:val="1"/>
                <w:color w:val="auto"/>
                <w:w w:val="92"/>
              </w:rPr>
              <w:t>For the Year Ended December 31, 2021</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right"/>
              <w:ind w:right="920"/>
              <w:spacing w:after="0" w:line="155" w:lineRule="exact"/>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3"/>
                <w:szCs w:val="13"/>
                <w:color w:val="auto"/>
              </w:rPr>
            </w:pPr>
          </w:p>
        </w:tc>
        <w:tc>
          <w:tcPr>
            <w:tcW w:w="1540" w:type="dxa"/>
            <w:vAlign w:val="bottom"/>
            <w:gridSpan w:val="2"/>
          </w:tcPr>
          <w:p>
            <w:pPr>
              <w:jc w:val="center"/>
              <w:ind w:right="600"/>
              <w:spacing w:after="0" w:line="155" w:lineRule="exact"/>
              <w:rPr>
                <w:sz w:val="20"/>
                <w:szCs w:val="20"/>
                <w:color w:val="auto"/>
              </w:rPr>
            </w:pPr>
            <w:r>
              <w:rPr>
                <w:rFonts w:ascii="Arial" w:cs="Arial" w:eastAsia="Arial" w:hAnsi="Arial"/>
                <w:sz w:val="14"/>
                <w:szCs w:val="14"/>
                <w:b w:val="1"/>
                <w:bCs w:val="1"/>
                <w:color w:val="auto"/>
                <w:w w:val="87"/>
              </w:rPr>
              <w:t>Received</w:t>
            </w:r>
          </w:p>
        </w:tc>
        <w:tc>
          <w:tcPr>
            <w:tcW w:w="400" w:type="dxa"/>
            <w:vAlign w:val="bottom"/>
          </w:tcPr>
          <w:p>
            <w:pPr>
              <w:spacing w:after="0"/>
              <w:rPr>
                <w:sz w:val="13"/>
                <w:szCs w:val="13"/>
                <w:color w:val="auto"/>
              </w:rPr>
            </w:pPr>
          </w:p>
        </w:tc>
        <w:tc>
          <w:tcPr>
            <w:tcW w:w="1180" w:type="dxa"/>
            <w:vAlign w:val="bottom"/>
          </w:tcPr>
          <w:p>
            <w:pPr>
              <w:jc w:val="right"/>
              <w:ind w:right="591"/>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7/30/2022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(2,976)</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27,531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(1,238)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42,819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(3,307)</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(1)(2)</w:t>
            </w:r>
          </w:p>
        </w:tc>
        <w:tc>
          <w:tcPr>
            <w:tcW w:w="1360" w:type="dxa"/>
            <w:vAlign w:val="bottom"/>
          </w:tcPr>
          <w:p>
            <w:pPr>
              <w:jc w:val="right"/>
              <w:spacing w:after="0"/>
              <w:rPr>
                <w:sz w:val="20"/>
                <w:szCs w:val="20"/>
                <w:color w:val="auto"/>
              </w:rPr>
            </w:pPr>
            <w:r>
              <w:rPr>
                <w:rFonts w:ascii="Arial" w:cs="Arial" w:eastAsia="Arial" w:hAnsi="Arial"/>
                <w:sz w:val="18"/>
                <w:szCs w:val="18"/>
                <w:color w:val="auto"/>
              </w:rPr>
              <w:t>6/9/2023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(7,384)</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(5,666)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6,792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1,077,650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180" w:hanging="492"/>
        <w:spacing w:after="0" w:line="258"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of December 31, 2021, these interest rate swaps had either matured or been terminated due to repayment of the underlying investment or security.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3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Notional Amount</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4"/>
                <w:szCs w:val="14"/>
                <w:b w:val="1"/>
                <w:bCs w:val="1"/>
                <w:color w:val="auto"/>
                <w:w w:val="92"/>
              </w:rPr>
              <w:t>For the Year Ended December 31, 2020</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right"/>
              <w:ind w:right="920"/>
              <w:spacing w:after="0" w:line="155" w:lineRule="exact"/>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3"/>
                <w:szCs w:val="13"/>
                <w:color w:val="auto"/>
              </w:rPr>
            </w:pPr>
          </w:p>
        </w:tc>
        <w:tc>
          <w:tcPr>
            <w:tcW w:w="1540" w:type="dxa"/>
            <w:vAlign w:val="bottom"/>
            <w:gridSpan w:val="2"/>
          </w:tcPr>
          <w:p>
            <w:pPr>
              <w:jc w:val="center"/>
              <w:ind w:right="600"/>
              <w:spacing w:after="0" w:line="155" w:lineRule="exact"/>
              <w:rPr>
                <w:sz w:val="20"/>
                <w:szCs w:val="20"/>
                <w:color w:val="auto"/>
              </w:rPr>
            </w:pPr>
            <w:r>
              <w:rPr>
                <w:rFonts w:ascii="Arial" w:cs="Arial" w:eastAsia="Arial" w:hAnsi="Arial"/>
                <w:sz w:val="14"/>
                <w:szCs w:val="14"/>
                <w:b w:val="1"/>
                <w:bCs w:val="1"/>
                <w:color w:val="auto"/>
                <w:w w:val="87"/>
              </w:rPr>
              <w:t>Received</w:t>
            </w:r>
          </w:p>
        </w:tc>
        <w:tc>
          <w:tcPr>
            <w:tcW w:w="400" w:type="dxa"/>
            <w:vAlign w:val="bottom"/>
          </w:tcPr>
          <w:p>
            <w:pPr>
              <w:spacing w:after="0"/>
              <w:rPr>
                <w:sz w:val="13"/>
                <w:szCs w:val="13"/>
                <w:color w:val="auto"/>
              </w:rPr>
            </w:pPr>
          </w:p>
        </w:tc>
        <w:tc>
          <w:tcPr>
            <w:tcW w:w="1180" w:type="dxa"/>
            <w:vAlign w:val="bottom"/>
          </w:tcPr>
          <w:p>
            <w:pPr>
              <w:jc w:val="right"/>
              <w:ind w:right="591"/>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6/25/2020</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7/30/2021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11,700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(1)(2)</w:t>
            </w:r>
          </w:p>
        </w:tc>
        <w:tc>
          <w:tcPr>
            <w:tcW w:w="1360" w:type="dxa"/>
            <w:vAlign w:val="bottom"/>
          </w:tcPr>
          <w:p>
            <w:pPr>
              <w:jc w:val="right"/>
              <w:spacing w:after="0"/>
              <w:rPr>
                <w:sz w:val="20"/>
                <w:szCs w:val="20"/>
                <w:color w:val="auto"/>
              </w:rPr>
            </w:pPr>
            <w:r>
              <w:rPr>
                <w:rFonts w:ascii="Arial" w:cs="Arial" w:eastAsia="Arial" w:hAnsi="Arial"/>
                <w:sz w:val="18"/>
                <w:szCs w:val="18"/>
                <w:color w:val="auto"/>
              </w:rPr>
              <w:t>7/29/2022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(3,889)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27,531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1/22/2023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(4,497)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(9,704)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11,625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(1,460)</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11/1/2024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818,241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180" w:hanging="492"/>
        <w:spacing w:after="0" w:line="258"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As of December 31, 2020, these interest rate swaps had either matured or been terminated due to repayment of the underlying investment or security.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0" w:name="page121"/>
    <w:bookmarkEnd w:id="120"/>
    <w:p>
      <w:pPr>
        <w:ind w:right="120" w:firstLine="255"/>
        <w:spacing w:after="0" w:line="272" w:lineRule="auto"/>
        <w:rPr>
          <w:sz w:val="20"/>
          <w:szCs w:val="20"/>
          <w:color w:val="auto"/>
        </w:rPr>
      </w:pPr>
      <w:r>
        <w:rPr>
          <w:rFonts w:ascii="Arial" w:cs="Arial" w:eastAsia="Arial" w:hAnsi="Arial"/>
          <w:sz w:val="17"/>
          <w:szCs w:val="17"/>
          <w:color w:val="auto"/>
        </w:rPr>
        <w:t>For the years ended December 31, 2021 and 2020, the Company recognized $6.7 million in unrealized losses and $6.8 million in unrealized gains, respectively, in net change in unrealized gains/(losses) on interest rate swaps not designated as hedging instruments in the consolidated statement of operations related to the swap transactions. For the years ended December 31, 2021 and 2020 the Company recognized $22.6 million in unrealized losses and $18.6 million in unrealized gains, respectively, in net change in unrealized gains/(losses) on interest rate swaps designated as hedging instruments as a component of interest expense in the consolidated statement of operations. For the years ended December 31, 2021 and 2020, this amount is offset by a decrease of $12.4 million and an increase of $18.6 million, respectively, for a change in the carrying value of the 2024 Notes and for the year ended December 31, 2021 a decrease of $10.2 million for a change in carrying value of the 2026 Notes.</w:t>
      </w:r>
    </w:p>
    <w:p>
      <w:pPr>
        <w:spacing w:after="0" w:line="177"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As of December 31, 2021, the swap transactions had a fair value of ($1.6) million which is netted against cash collateral on the Company’s consolidated balance sheet. As of December 31, 2020, the swap transactions had a fair value of $28.6 million which is netted against cash collateral on the Company’s consolidated balance sheet.</w:t>
      </w:r>
    </w:p>
    <w:p>
      <w:pPr>
        <w:spacing w:after="0" w:line="184" w:lineRule="exact"/>
        <w:rPr>
          <w:sz w:val="20"/>
          <w:szCs w:val="20"/>
          <w:color w:val="auto"/>
        </w:rPr>
      </w:pPr>
    </w:p>
    <w:p>
      <w:pPr>
        <w:ind w:right="80" w:firstLine="255"/>
        <w:spacing w:after="0" w:line="327" w:lineRule="auto"/>
        <w:rPr>
          <w:sz w:val="20"/>
          <w:szCs w:val="20"/>
          <w:color w:val="auto"/>
        </w:rPr>
      </w:pPr>
      <w:r>
        <w:rPr>
          <w:rFonts w:ascii="Arial" w:cs="Arial" w:eastAsia="Arial" w:hAnsi="Arial"/>
          <w:sz w:val="15"/>
          <w:szCs w:val="15"/>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40" w:lineRule="exact"/>
        <w:rPr>
          <w:sz w:val="20"/>
          <w:szCs w:val="20"/>
          <w:color w:val="auto"/>
        </w:rPr>
      </w:pPr>
    </w:p>
    <w:p>
      <w:pPr>
        <w:ind w:right="700" w:firstLine="255"/>
        <w:spacing w:after="0" w:line="342" w:lineRule="auto"/>
        <w:rPr>
          <w:sz w:val="20"/>
          <w:szCs w:val="20"/>
          <w:color w:val="auto"/>
        </w:rPr>
      </w:pPr>
      <w:r>
        <w:rPr>
          <w:rFonts w:ascii="Arial" w:cs="Arial" w:eastAsia="Arial" w:hAnsi="Arial"/>
          <w:sz w:val="16"/>
          <w:szCs w:val="16"/>
          <w:color w:val="auto"/>
        </w:rPr>
        <w:t>As of December 31, 2021 and 2020, $14.4 million and $10.8 million, respectively, of cash is pledged as collateral under the Company’s derivative instruments and is included in restricted cash as a component of cash and cash equivalents on the Company’s consolidated balance sheet.</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December 31,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40" w:type="dxa"/>
            <w:vAlign w:val="bottom"/>
            <w:gridSpan w:val="7"/>
          </w:tcPr>
          <w:p>
            <w:pPr>
              <w:ind w:left="180"/>
              <w:spacing w:after="0"/>
              <w:rPr>
                <w:sz w:val="20"/>
                <w:szCs w:val="20"/>
                <w:color w:val="auto"/>
              </w:rPr>
            </w:pPr>
            <w:r>
              <w:rPr>
                <w:rFonts w:ascii="Arial" w:cs="Arial" w:eastAsia="Arial" w:hAnsi="Arial"/>
                <w:sz w:val="14"/>
                <w:szCs w:val="14"/>
                <w:b w:val="1"/>
                <w:bCs w:val="1"/>
                <w:color w:val="auto"/>
                <w:w w:val="97"/>
              </w:rPr>
              <w:t>Fair Value Hierarchy at December 31, 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155"/>
        </w:trPr>
        <w:tc>
          <w:tcPr>
            <w:tcW w:w="5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42,729</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18,549</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161,459</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investments at fair value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2,434,638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2,521,593</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(1,601)</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(1,601)</w:t>
            </w: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2,434,638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2,519,992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gridSpan w:val="7"/>
          </w:tcPr>
          <w:p>
            <w:pPr>
              <w:ind w:left="180"/>
              <w:spacing w:after="0"/>
              <w:rPr>
                <w:sz w:val="20"/>
                <w:szCs w:val="20"/>
                <w:color w:val="auto"/>
              </w:rPr>
            </w:pPr>
            <w:r>
              <w:rPr>
                <w:rFonts w:ascii="Arial" w:cs="Arial" w:eastAsia="Arial" w:hAnsi="Arial"/>
                <w:sz w:val="14"/>
                <w:szCs w:val="14"/>
                <w:b w:val="1"/>
                <w:bCs w:val="1"/>
                <w:color w:val="auto"/>
                <w:w w:val="97"/>
              </w:rPr>
              <w:t>Fair Value Hierarchy at December 31, 2020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155"/>
        </w:trPr>
        <w:tc>
          <w:tcPr>
            <w:tcW w:w="5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2,158,551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investments at fair value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2,249,720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28,638</w:t>
            </w:r>
          </w:p>
        </w:tc>
        <w:tc>
          <w:tcPr>
            <w:tcW w:w="100" w:type="dxa"/>
            <w:vAlign w:val="bottom"/>
          </w:tcPr>
          <w:p>
            <w:pPr>
              <w:spacing w:after="0"/>
              <w:rPr>
                <w:sz w:val="19"/>
                <w:szCs w:val="19"/>
                <w:color w:val="auto"/>
              </w:rPr>
            </w:pP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2,249,720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2,327,508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2"/>
              </w:rPr>
              <w:t>As of and for the 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First-lien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Equity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2,158,551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2,249,720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1,083,349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(966,160)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(60,202)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(1,032,153)</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(7,635)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2,298,856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2"/>
              </w:rPr>
              <w:t>As of and for the 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First-lien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Equity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941,629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(960,147)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(38,736)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(1,003,240)</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(15,482)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75,150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255"/>
        <w:spacing w:after="0" w:line="277" w:lineRule="auto"/>
        <w:rPr>
          <w:sz w:val="20"/>
          <w:szCs w:val="20"/>
          <w:color w:val="auto"/>
        </w:rPr>
      </w:pPr>
      <w:r>
        <w:rPr>
          <w:rFonts w:ascii="Arial" w:cs="Arial" w:eastAsia="Arial" w:hAnsi="Arial"/>
          <w:sz w:val="18"/>
          <w:szCs w:val="18"/>
          <w:color w:val="auto"/>
        </w:rPr>
        <w:t>The following table presents information with respect to the net change in unrealized gains or losses on investments for which Level 3 inputs were used in determining fair value that are still held by the Company at December 31,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Net Change in Unrealized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Net Change in Unrealized</w:t>
            </w:r>
          </w:p>
        </w:tc>
        <w:tc>
          <w:tcPr>
            <w:tcW w:w="11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Gains or (Losses)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Gains or (Losses)</w:t>
            </w:r>
          </w:p>
        </w:tc>
        <w:tc>
          <w:tcPr>
            <w:tcW w:w="11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Year Ended</w:t>
            </w:r>
          </w:p>
        </w:tc>
        <w:tc>
          <w:tcPr>
            <w:tcW w:w="11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December 31, 2021 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2020 on</w:t>
            </w:r>
          </w:p>
        </w:tc>
        <w:tc>
          <w:tcPr>
            <w:tcW w:w="11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Investments Held 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Investments Held at</w:t>
            </w:r>
          </w:p>
        </w:tc>
        <w:tc>
          <w:tcPr>
            <w:tcW w:w="11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23,030</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58,150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39,342</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80" w:type="dxa"/>
            <w:vAlign w:val="bottom"/>
            <w:gridSpan w:val="2"/>
          </w:tcPr>
          <w:p>
            <w:pPr>
              <w:jc w:val="right"/>
              <w:ind w:right="167"/>
              <w:spacing w:after="0"/>
              <w:rPr>
                <w:sz w:val="20"/>
                <w:szCs w:val="20"/>
                <w:color w:val="auto"/>
              </w:rPr>
            </w:pPr>
            <w:r>
              <w:rPr>
                <w:rFonts w:ascii="Arial" w:cs="Arial" w:eastAsia="Arial" w:hAnsi="Arial"/>
                <w:sz w:val="18"/>
                <w:szCs w:val="18"/>
                <w:color w:val="auto"/>
              </w:rPr>
              <w:t>F-33</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22" w:name="page123"/>
    <w:bookmarkEnd w:id="122"/>
    <w:p>
      <w:pPr>
        <w:ind w:right="320" w:firstLine="255"/>
        <w:spacing w:after="0" w:line="263" w:lineRule="auto"/>
        <w:rPr>
          <w:sz w:val="20"/>
          <w:szCs w:val="20"/>
          <w:color w:val="auto"/>
        </w:rPr>
      </w:pPr>
      <w:r>
        <w:rPr>
          <w:rFonts w:ascii="Arial" w:cs="Arial" w:eastAsia="Arial" w:hAnsi="Arial"/>
          <w:sz w:val="18"/>
          <w:szCs w:val="18"/>
          <w:color w:val="auto"/>
        </w:rPr>
        <w:t>The following tables present the fair value of Level 3 Investments and the significant unobservable inputs used in the valuations as of December 31, 2021 and 2020. The tables are not intended to be all-inclusive, but instead capture the significant unobservable inputs relevant to the Company’s determination of fair values.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9"/>
              </w:rPr>
              <w:t>December 31, 2021</w:t>
            </w:r>
          </w:p>
        </w:tc>
        <w:tc>
          <w:tcPr>
            <w:tcW w:w="1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1"/>
                <w:szCs w:val="11"/>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800" w:type="dxa"/>
            <w:vAlign w:val="bottom"/>
          </w:tcPr>
          <w:p>
            <w:pPr>
              <w:ind w:left="58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$ 2,298,856</w:t>
            </w:r>
          </w:p>
        </w:tc>
        <w:tc>
          <w:tcPr>
            <w:tcW w:w="2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6.6% — 12.2% (9.6%)</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Mezzanine debt investments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18,549</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(2)</w:t>
            </w:r>
          </w:p>
        </w:tc>
        <w:tc>
          <w:tcPr>
            <w:tcW w:w="2020" w:type="dxa"/>
            <w:vAlign w:val="bottom"/>
            <w:gridSpan w:val="3"/>
          </w:tcPr>
          <w:p>
            <w:pPr>
              <w:ind w:left="100"/>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6.2% — 9.3% (8.5%)</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117,233</w:t>
            </w:r>
          </w:p>
        </w:tc>
        <w:tc>
          <w:tcPr>
            <w:tcW w:w="20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(3)</w:t>
            </w:r>
          </w:p>
        </w:tc>
        <w:tc>
          <w:tcPr>
            <w:tcW w:w="20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Comparable multiple</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4.5x — 9.5x (6.0x)</w:t>
            </w:r>
          </w:p>
        </w:tc>
        <w:tc>
          <w:tcPr>
            <w:tcW w:w="16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2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$ 2,434,638</w:t>
            </w:r>
          </w:p>
        </w:tc>
        <w:tc>
          <w:tcPr>
            <w:tcW w:w="20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105"/>
        </w:numPr>
        <w:rPr>
          <w:rFonts w:ascii="Arial" w:cs="Arial" w:eastAsia="Arial" w:hAnsi="Arial"/>
          <w:sz w:val="18"/>
          <w:szCs w:val="18"/>
          <w:color w:val="auto"/>
        </w:rPr>
      </w:pPr>
      <w:r>
        <w:rPr>
          <w:rFonts w:ascii="Arial" w:cs="Arial" w:eastAsia="Arial" w:hAnsi="Arial"/>
          <w:sz w:val="16"/>
          <w:szCs w:val="16"/>
          <w:color w:val="auto"/>
        </w:rPr>
        <w:t>Includes $19.0 million of first-lien debt investments which were valued using an asset valuation waterfall.</w:t>
      </w:r>
    </w:p>
    <w:p>
      <w:pPr>
        <w:spacing w:after="0" w:line="19" w:lineRule="exact"/>
        <w:rPr>
          <w:rFonts w:ascii="Arial" w:cs="Arial" w:eastAsia="Arial" w:hAnsi="Arial"/>
          <w:sz w:val="18"/>
          <w:szCs w:val="18"/>
          <w:color w:val="auto"/>
        </w:rPr>
      </w:pPr>
    </w:p>
    <w:p>
      <w:pPr>
        <w:ind w:left="500" w:right="120" w:hanging="492"/>
        <w:spacing w:after="0" w:line="257"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6"/>
          <w:szCs w:val="16"/>
          <w:color w:val="auto"/>
        </w:rPr>
        <w:t xml:space="preserve">Includes $2.1 million of debt investments which, </w:t>
      </w:r>
      <w:r>
        <w:rPr>
          <w:rFonts w:ascii="Arial" w:cs="Arial" w:eastAsia="Arial" w:hAnsi="Arial"/>
          <w:sz w:val="17"/>
          <w:szCs w:val="17"/>
          <w:color w:val="auto"/>
        </w:rPr>
        <w:t>due to the proximity of the transactions relative to the measurement date, were valued using the cost of</w:t>
      </w:r>
      <w:r>
        <w:rPr>
          <w:rFonts w:ascii="Arial" w:cs="Arial" w:eastAsia="Arial" w:hAnsi="Arial"/>
          <w:sz w:val="16"/>
          <w:szCs w:val="16"/>
          <w:color w:val="auto"/>
        </w:rPr>
        <w:t xml:space="preserve"> </w:t>
      </w:r>
      <w:r>
        <w:rPr>
          <w:rFonts w:ascii="Arial" w:cs="Arial" w:eastAsia="Arial" w:hAnsi="Arial"/>
          <w:sz w:val="17"/>
          <w:szCs w:val="17"/>
          <w:color w:val="auto"/>
        </w:rPr>
        <w:t xml:space="preserve">the investments </w:t>
      </w:r>
      <w:r>
        <w:rPr>
          <w:rFonts w:ascii="Arial" w:cs="Arial" w:eastAsia="Arial" w:hAnsi="Arial"/>
          <w:sz w:val="16"/>
          <w:szCs w:val="16"/>
          <w:color w:val="auto"/>
        </w:rPr>
        <w:t>and $0.1 million of debt investments which were valued using an asset waterfall.</w:t>
      </w:r>
    </w:p>
    <w:p>
      <w:pPr>
        <w:spacing w:after="0" w:line="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Includes </w:t>
      </w:r>
      <w:r>
        <w:rPr>
          <w:rFonts w:ascii="Arial" w:cs="Arial" w:eastAsia="Arial" w:hAnsi="Arial"/>
          <w:sz w:val="17"/>
          <w:szCs w:val="17"/>
          <w:color w:val="auto"/>
        </w:rPr>
        <w:t xml:space="preserve">$22.0 million of equity investments which were valued using an asset valuation waterfall, $7.7 million of equity investments using a Black-Scholes model, </w:t>
      </w:r>
      <w:r>
        <w:rPr>
          <w:rFonts w:ascii="Arial" w:cs="Arial" w:eastAsia="Arial" w:hAnsi="Arial"/>
          <w:sz w:val="16"/>
          <w:szCs w:val="16"/>
          <w:color w:val="auto"/>
        </w:rPr>
        <w:t>and</w:t>
      </w:r>
      <w:r>
        <w:rPr>
          <w:rFonts w:ascii="Arial" w:cs="Arial" w:eastAsia="Arial" w:hAnsi="Arial"/>
          <w:sz w:val="17"/>
          <w:szCs w:val="17"/>
          <w:color w:val="auto"/>
        </w:rPr>
        <w:t xml:space="preserve"> $26.2 million of equity investments which, due to the proximity of the transactions relative to the measurement date, were valued using the cost of the investments</w:t>
      </w:r>
      <w:r>
        <w:rPr>
          <w:rFonts w:ascii="Arial" w:cs="Arial" w:eastAsia="Arial" w:hAnsi="Arial"/>
          <w:sz w:val="16"/>
          <w:szCs w:val="16"/>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8"/>
              </w:rPr>
              <w:t>December 31, 2020</w:t>
            </w:r>
          </w:p>
        </w:tc>
        <w:tc>
          <w:tcPr>
            <w:tcW w:w="5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Valuation</w:t>
            </w:r>
          </w:p>
        </w:tc>
        <w:tc>
          <w:tcPr>
            <w:tcW w:w="19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Unobservable</w:t>
            </w:r>
          </w:p>
        </w:tc>
        <w:tc>
          <w:tcPr>
            <w:tcW w:w="1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900" w:type="dxa"/>
            <w:vAlign w:val="bottom"/>
            <w:gridSpan w:val="2"/>
          </w:tcPr>
          <w:p>
            <w:pPr>
              <w:ind w:left="580"/>
              <w:spacing w:after="0"/>
              <w:rPr>
                <w:sz w:val="20"/>
                <w:szCs w:val="20"/>
                <w:color w:val="auto"/>
              </w:rPr>
            </w:pPr>
            <w:r>
              <w:rPr>
                <w:rFonts w:ascii="Arial" w:cs="Arial" w:eastAsia="Arial" w:hAnsi="Arial"/>
                <w:sz w:val="14"/>
                <w:szCs w:val="14"/>
                <w:b w:val="1"/>
                <w:bCs w:val="1"/>
                <w:color w:val="auto"/>
              </w:rPr>
              <w:t>Technique</w:t>
            </w:r>
          </w:p>
        </w:tc>
        <w:tc>
          <w:tcPr>
            <w:tcW w:w="1940" w:type="dxa"/>
            <w:vAlign w:val="bottom"/>
            <w:gridSpan w:val="2"/>
          </w:tcPr>
          <w:p>
            <w:pPr>
              <w:ind w:left="740"/>
              <w:spacing w:after="0"/>
              <w:rPr>
                <w:sz w:val="20"/>
                <w:szCs w:val="20"/>
                <w:color w:val="auto"/>
              </w:rPr>
            </w:pPr>
            <w:r>
              <w:rPr>
                <w:rFonts w:ascii="Arial" w:cs="Arial" w:eastAsia="Arial" w:hAnsi="Arial"/>
                <w:sz w:val="14"/>
                <w:szCs w:val="14"/>
                <w:b w:val="1"/>
                <w:bCs w:val="1"/>
                <w:color w:val="auto"/>
              </w:rPr>
              <w:t>Input</w:t>
            </w:r>
          </w:p>
        </w:tc>
        <w:tc>
          <w:tcPr>
            <w:tcW w:w="50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$ 2,158,551</w:t>
            </w:r>
          </w:p>
        </w:tc>
        <w:tc>
          <w:tcPr>
            <w:tcW w:w="2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35.2% (9.4%)</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9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9"/>
              </w:rPr>
              <w:t>— 11.8% (11.8%)</w:t>
            </w:r>
          </w:p>
        </w:tc>
        <w:tc>
          <w:tcPr>
            <w:tcW w:w="156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(2)</w:t>
            </w:r>
          </w:p>
        </w:tc>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10.1%</w:t>
            </w:r>
          </w:p>
        </w:tc>
        <w:tc>
          <w:tcPr>
            <w:tcW w:w="14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 11.9% (10.5%)</w:t>
            </w: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75,150</w:t>
            </w:r>
          </w:p>
        </w:tc>
        <w:tc>
          <w:tcPr>
            <w:tcW w:w="2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(3)</w:t>
            </w:r>
          </w:p>
        </w:tc>
        <w:tc>
          <w:tcPr>
            <w:tcW w:w="194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3.5x — 16.0x (8.7x)</w:t>
            </w:r>
          </w:p>
        </w:tc>
        <w:tc>
          <w:tcPr>
            <w:tcW w:w="1560" w:type="dxa"/>
            <w:vAlign w:val="bottom"/>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$ 2,249,720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Includes $21.6 million of first-lien debt investments which were valued using an asset valuation waterfall.</w:t>
      </w:r>
    </w:p>
    <w:p>
      <w:pPr>
        <w:spacing w:after="0" w:line="22" w:lineRule="exact"/>
        <w:rPr>
          <w:rFonts w:ascii="Arial" w:cs="Arial" w:eastAsia="Arial" w:hAnsi="Arial"/>
          <w:sz w:val="16"/>
          <w:szCs w:val="16"/>
          <w:color w:val="auto"/>
        </w:rPr>
      </w:pPr>
    </w:p>
    <w:p>
      <w:pPr>
        <w:ind w:left="500" w:hanging="492"/>
        <w:spacing w:after="0"/>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Includes $4.5 million of debt investments which were valued using a comparable multiple.</w:t>
      </w:r>
    </w:p>
    <w:p>
      <w:pPr>
        <w:spacing w:after="0" w:line="18" w:lineRule="exact"/>
        <w:rPr>
          <w:rFonts w:ascii="Arial" w:cs="Arial" w:eastAsia="Arial" w:hAnsi="Arial"/>
          <w:sz w:val="16"/>
          <w:szCs w:val="16"/>
          <w:color w:val="auto"/>
        </w:rPr>
      </w:pPr>
    </w:p>
    <w:p>
      <w:pPr>
        <w:ind w:left="500" w:right="120" w:hanging="492"/>
        <w:spacing w:after="0" w:line="276" w:lineRule="auto"/>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Includes $1.3 million of equity investments which were valued using a weighted valuation approach, </w:t>
      </w:r>
      <w:r>
        <w:rPr>
          <w:rFonts w:ascii="Arial" w:cs="Arial" w:eastAsia="Arial" w:hAnsi="Arial"/>
          <w:sz w:val="17"/>
          <w:szCs w:val="17"/>
          <w:color w:val="auto"/>
        </w:rPr>
        <w:t>$3.9 million of equity investments valued using an asset</w:t>
      </w:r>
      <w:r>
        <w:rPr>
          <w:rFonts w:ascii="Arial" w:cs="Arial" w:eastAsia="Arial" w:hAnsi="Arial"/>
          <w:sz w:val="16"/>
          <w:szCs w:val="16"/>
          <w:color w:val="auto"/>
        </w:rPr>
        <w:t xml:space="preserve"> </w:t>
      </w:r>
      <w:r>
        <w:rPr>
          <w:rFonts w:ascii="Arial" w:cs="Arial" w:eastAsia="Arial" w:hAnsi="Arial"/>
          <w:sz w:val="17"/>
          <w:szCs w:val="17"/>
          <w:color w:val="auto"/>
        </w:rPr>
        <w:t xml:space="preserve">valuation waterfall, $3.0 million of equity investments using a Black-Scholes model, $15.8 million of equity investments using a discounted cash flow model </w:t>
      </w:r>
      <w:r>
        <w:rPr>
          <w:rFonts w:ascii="Arial" w:cs="Arial" w:eastAsia="Arial" w:hAnsi="Arial"/>
          <w:sz w:val="16"/>
          <w:szCs w:val="16"/>
          <w:color w:val="auto"/>
        </w:rPr>
        <w:t>and</w:t>
      </w:r>
      <w:r>
        <w:rPr>
          <w:rFonts w:ascii="Arial" w:cs="Arial" w:eastAsia="Arial" w:hAnsi="Arial"/>
          <w:sz w:val="17"/>
          <w:szCs w:val="17"/>
          <w:color w:val="auto"/>
        </w:rPr>
        <w:t xml:space="preserve"> $8.1 million of equity investments which, due to the proximity of the transactions relative to the measurement date, were valued using the cost of the investments</w:t>
      </w:r>
      <w:r>
        <w:rPr>
          <w:rFonts w:ascii="Arial" w:cs="Arial" w:eastAsia="Arial" w:hAnsi="Arial"/>
          <w:sz w:val="16"/>
          <w:szCs w:val="16"/>
          <w:color w:val="auto"/>
        </w:rPr>
        <w:t>.</w:t>
      </w:r>
    </w:p>
    <w:p>
      <w:pPr>
        <w:spacing w:after="0" w:line="172" w:lineRule="exact"/>
        <w:rPr>
          <w:sz w:val="20"/>
          <w:szCs w:val="20"/>
          <w:color w:val="auto"/>
        </w:rPr>
      </w:pPr>
    </w:p>
    <w:p>
      <w:pPr>
        <w:ind w:right="28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24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December 31, 2021 and 2020, approximates its carrying value as the outstanding balance is callable at carrying value.</w:t>
      </w:r>
    </w:p>
    <w:p>
      <w:pPr>
        <w:spacing w:after="0" w:line="62"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The following table presents the fair value of the Company’s 2022 Convertible Notes, 2023 Notes, 2024 Notes and 2026 Notes, as of December 31, 2021 and 2020.</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2020</w:t>
            </w:r>
          </w:p>
        </w:tc>
      </w:tr>
      <w:tr>
        <w:trPr>
          <w:trHeight w:val="133"/>
        </w:trPr>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w w:val="96"/>
              </w:rPr>
              <w:t>Outstanding</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95"/>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w w:val="96"/>
              </w:rPr>
              <w:t>Outstanding</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5"/>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r>
      <w:tr>
        <w:trPr>
          <w:trHeight w:val="171"/>
        </w:trPr>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57"/>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57"/>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w:t>
            </w:r>
          </w:p>
        </w:tc>
      </w:tr>
      <w:tr>
        <w:trPr>
          <w:trHeight w:val="223"/>
        </w:trPr>
        <w:tc>
          <w:tcPr>
            <w:tcW w:w="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29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121,710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2023</w:t>
            </w:r>
          </w:p>
        </w:tc>
        <w:tc>
          <w:tcPr>
            <w:tcW w:w="2960" w:type="dxa"/>
            <w:vAlign w:val="bottom"/>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153,953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155,010</w:t>
            </w:r>
          </w:p>
        </w:tc>
        <w:tc>
          <w:tcPr>
            <w:tcW w:w="8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2024</w:t>
            </w:r>
          </w:p>
        </w:tc>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359,532</w:t>
            </w:r>
          </w:p>
        </w:tc>
        <w:tc>
          <w:tcPr>
            <w:tcW w:w="80" w:type="dxa"/>
            <w:vAlign w:val="bottom"/>
            <w:shd w:val="clear" w:color="auto" w:fill="CFF0FC"/>
          </w:tcPr>
          <w:p>
            <w:pPr>
              <w:spacing w:after="0"/>
              <w:rPr>
                <w:sz w:val="19"/>
                <w:szCs w:val="19"/>
                <w:color w:val="auto"/>
              </w:rPr>
            </w:pPr>
          </w:p>
        </w:tc>
      </w:tr>
      <w:tr>
        <w:trPr>
          <w:trHeight w:val="229"/>
        </w:trPr>
        <w:tc>
          <w:tcPr>
            <w:tcW w:w="3340" w:type="dxa"/>
            <w:vAlign w:val="bottom"/>
            <w:gridSpan w:val="2"/>
          </w:tcPr>
          <w:p>
            <w:pPr>
              <w:spacing w:after="0"/>
              <w:rPr>
                <w:sz w:val="20"/>
                <w:szCs w:val="20"/>
                <w:color w:val="auto"/>
              </w:rPr>
            </w:pPr>
            <w:r>
              <w:rPr>
                <w:rFonts w:ascii="Arial" w:cs="Arial" w:eastAsia="Arial" w:hAnsi="Arial"/>
                <w:sz w:val="18"/>
                <w:szCs w:val="18"/>
                <w:color w:val="auto"/>
              </w:rPr>
              <w:t>2026 Notes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3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897,490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934,886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640,309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fair value is based on broker quotes received by the Company and is categorized as Level 2 within the fair value hierarchy.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60" w:firstLine="255"/>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150% after such borrowing. As of December 31, 2021 and 2020, the Company’s asset coverage was 205.4% and 204.5%, respectively.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Committed</w:t>
            </w:r>
          </w:p>
        </w:tc>
        <w:tc>
          <w:tcPr>
            <w:tcW w:w="10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316,442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1,193,558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8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86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2,407,490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1,213,932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1,193,558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900" w:hanging="492"/>
        <w:spacing w:after="0" w:line="258"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totaling $11.8 million, $0.3 million, $0.7 million, $4.0 million and $5.3 million, respectively.</w:t>
      </w:r>
    </w:p>
    <w:p>
      <w:pPr>
        <w:jc w:val="both"/>
        <w:ind w:left="500" w:right="440" w:hanging="492"/>
        <w:spacing w:after="0" w:line="323" w:lineRule="auto"/>
        <w:tabs>
          <w:tab w:leader="none" w:pos="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$4.4 million and $(10.2) million, respectively, which represents an adjustment in the carrying values of the 2024 Notes and 2026 Notes, each resulting from a hedge accounting relationship.</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4" w:name="page125"/>
    <w:bookmarkEnd w:id="124"/>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Committed</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472,281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8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86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1,112,590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840" w:hanging="492"/>
        <w:spacing w:after="0" w:line="258"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totaling $10.8 million, $1.5 million, $1.3 million and $5.3 million, respectively.</w:t>
      </w:r>
    </w:p>
    <w:p>
      <w:pPr>
        <w:ind w:left="500" w:hanging="492"/>
        <w:spacing w:after="0" w:line="260"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years ended December 31, 2021, 2020 and 2019,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36,495</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39,097</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Commitment fees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2,890</w:t>
            </w:r>
          </w:p>
        </w:tc>
        <w:tc>
          <w:tcPr>
            <w:tcW w:w="18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18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settlements</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(12,087)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180" w:type="dxa"/>
            <w:vAlign w:val="bottom"/>
            <w:shd w:val="clear" w:color="auto" w:fill="CFF0FC"/>
          </w:tcPr>
          <w:p>
            <w:pPr>
              <w:spacing w:after="0"/>
              <w:rPr>
                <w:sz w:val="19"/>
                <w:szCs w:val="19"/>
                <w:color w:val="auto"/>
              </w:rPr>
            </w:pPr>
          </w:p>
        </w:tc>
      </w:tr>
      <w:tr>
        <w:trPr>
          <w:trHeight w:val="263"/>
        </w:trPr>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38,825</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39,402</w:t>
            </w:r>
          </w:p>
        </w:tc>
        <w:tc>
          <w:tcPr>
            <w:tcW w:w="3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180" w:type="dxa"/>
            <w:vAlign w:val="bottom"/>
            <w:tcBorders>
              <w:bottom w:val="single" w:sz="8" w:color="CFF0FC"/>
            </w:tcBorders>
          </w:tcPr>
          <w:p>
            <w:pPr>
              <w:spacing w:after="0"/>
              <w:rPr>
                <w:sz w:val="22"/>
                <w:szCs w:val="22"/>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913.4</w:t>
            </w:r>
          </w:p>
        </w:tc>
        <w:tc>
          <w:tcPr>
            <w:tcW w:w="180" w:type="dxa"/>
            <w:vAlign w:val="bottom"/>
            <w:shd w:val="clear" w:color="auto" w:fill="CFF0FC"/>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160" w:firstLine="255"/>
        <w:spacing w:after="0" w:line="30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the Company, under certain circumstances, to increase the size of the facility to up to $2.0 billion. On September 30, 2021, in accordance with the accordion feature, the aggregate commitments under the facility were increased to $1.510 billion.</w:t>
      </w:r>
    </w:p>
    <w:p>
      <w:pPr>
        <w:spacing w:after="0" w:line="157" w:lineRule="exact"/>
        <w:rPr>
          <w:sz w:val="20"/>
          <w:szCs w:val="20"/>
          <w:color w:val="auto"/>
        </w:rPr>
      </w:pPr>
    </w:p>
    <w:p>
      <w:pPr>
        <w:ind w:right="160" w:firstLine="255"/>
        <w:spacing w:after="0" w:line="254"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the Company,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On September 30, 2021, the aggregate commitments under the facility increased an additional $25.0 million in accordance with the accordion feature. As a result, $1.485 billion of total commitments are subject to these revolving period and stated maturity dates. For the remaining $25.0 million of commitments, the revolving period ends January 31, 2024 and the stated maturity is January 31, 2025.</w:t>
      </w:r>
    </w:p>
    <w:p>
      <w:pPr>
        <w:spacing w:after="0" w:line="195"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On December 21, 2021, the Company entered into an eleventh amendment to the Company’s Second Amended and restated senior secured Revolving Credit Facility, which, among other changes, updates and modifies terms and provisions of the Revolving Credit Facility to reflect alternative reference rates based on the Sterling Overnight Index Average for Sterling loans, the Swiss Average Rate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30" w:right="39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Overnight for Swiss Franc loans, the Tokyo Interbank Offered Rate for Japanese Yen loans and the Euro Interbank Offered Rate for Euro loans.</w:t>
      </w:r>
    </w:p>
    <w:p>
      <w:pPr>
        <w:spacing w:after="0" w:line="237"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2021, the Company had outstanding debt denominated in Australian dollars (AUD) of 60.4 million, British pounds (GBP) of 4.7 million, Canadian dollars (CAD) of 134.1 million, and Euro (EUR) of 9.2 million on its Revolving Credit Facility, included in the Outstanding Principal amount in the table above.</w:t>
      </w:r>
    </w:p>
    <w:p>
      <w:pPr>
        <w:spacing w:after="0" w:line="184" w:lineRule="exact"/>
        <w:rPr>
          <w:sz w:val="20"/>
          <w:szCs w:val="20"/>
          <w:color w:val="auto"/>
        </w:rPr>
      </w:pPr>
    </w:p>
    <w:p>
      <w:pPr>
        <w:ind w:right="20" w:firstLine="255"/>
        <w:spacing w:after="0" w:line="286"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$75 million. As of December 31, 2021 and December 31, 2020,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65"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80" w:firstLine="255"/>
        <w:spacing w:after="0" w:line="286" w:lineRule="auto"/>
        <w:rPr>
          <w:sz w:val="20"/>
          <w:szCs w:val="20"/>
          <w:color w:val="auto"/>
        </w:rPr>
      </w:pPr>
      <w:r>
        <w:rPr>
          <w:rFonts w:ascii="Arial" w:cs="Arial" w:eastAsia="Arial" w:hAnsi="Arial"/>
          <w:sz w:val="17"/>
          <w:szCs w:val="17"/>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5"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44" w:lineRule="exact"/>
        <w:rPr>
          <w:rFonts w:ascii="Arial" w:cs="Arial" w:eastAsia="Arial" w:hAnsi="Arial"/>
          <w:sz w:val="18"/>
          <w:szCs w:val="18"/>
          <w:color w:val="auto"/>
        </w:rPr>
      </w:pPr>
    </w:p>
    <w:p>
      <w:pPr>
        <w:ind w:left="500" w:right="80" w:hanging="249"/>
        <w:spacing w:after="0" w:line="263"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44"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Net proceeds received from the issuance of the 2022 Convertible Notes, 2023 Notes, 2024 Notes and 2026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2021,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December 31, 2021, the estimated adjusted conversion price was approximately $18.07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entered into an interest rate swap to align the interest rates of its liabilities with its investment portfolio, which consists of predominately floating rate loans. The notional amount of the interest rate swap is $115.0 million, which matures on August 1, 2022, matching the maturity date of the 2022 Convertible Notes. As a result of the swap, the Company’s effective interest rate on the original issuance of 2022 Convertible Notes is three-month LIBOR plus 2.37%. See Note 5 for further information related to the Company’s interest rate swaps.</w:t>
      </w:r>
    </w:p>
    <w:p>
      <w:pPr>
        <w:spacing w:after="0" w:line="184"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align the interest rates of its liabilities with its investment portfolio, which consists of predominately floating rate loans. The notional amount of the two interest rates swaps is $50.0 million and $7.5 million, each of which matures on August 1, 2022, matching the maturity date of the 2022 Convertible Notes. As a result of the additional swaps, the Company’s effective interest rate on the additional 2022 Convertible Notes is approximately three-month LIBOR plus 1.60%. See Note 5 for further information related to the Company’s interest rate swaps.</w:t>
      </w:r>
    </w:p>
    <w:p>
      <w:pPr>
        <w:spacing w:after="0" w:line="166"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During the year ended December 31,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the Company’s effective interest rate on the outstanding 2022 Convertible Notes is three-month LIBOR plus 2.11% (on a weighted-average basis).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40" w:firstLine="8"/>
        <w:spacing w:after="0" w:line="292" w:lineRule="auto"/>
        <w:tabs>
          <w:tab w:leader="none" w:pos="2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On September 30, 2021, the Company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the Company elected combination settlement. During the three months ended December 31, 2021, $42.8 million of principal of the 2022 Convertible Notes were converted and were settled with a combination of cash and 2,324,820 shares of the Company’s common stock. In connection with the settlement of the 2022 Convertible Notes, the Company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the Company’s effective interest rate on the outstanding 2022 Convertible Notes is three-month LIBOR plus 2.11% (on a weighted-average basis).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27" w:name="page128"/>
    <w:bookmarkEnd w:id="127"/>
    <w:p>
      <w:pPr>
        <w:ind w:right="540" w:firstLine="255"/>
        <w:spacing w:after="0" w:line="342" w:lineRule="auto"/>
        <w:rPr>
          <w:sz w:val="20"/>
          <w:szCs w:val="20"/>
          <w:color w:val="auto"/>
        </w:rPr>
      </w:pPr>
      <w:r>
        <w:rPr>
          <w:rFonts w:ascii="Arial" w:cs="Arial" w:eastAsia="Arial" w:hAnsi="Arial"/>
          <w:sz w:val="16"/>
          <w:szCs w:val="16"/>
          <w:color w:val="auto"/>
        </w:rPr>
        <w:t>On January 26, 2022, the Company notified the trustee and holders of the 2022 Convertible Notes that the terms of settlement for the notes at the Company’s election are a combination settlement of cash and stock to occur after the 40 day observation period described in the notes indenture.</w:t>
      </w:r>
    </w:p>
    <w:p>
      <w:pPr>
        <w:spacing w:after="0" w:line="124"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years ended December 31, 2021, 2020, and 2019 the components of interest expense related to the Convertible Notes were as follows: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FF0FC"/>
          </w:tcPr>
          <w:p>
            <w:pPr>
              <w:spacing w:after="0"/>
              <w:rPr>
                <w:sz w:val="19"/>
                <w:szCs w:val="19"/>
                <w:color w:val="auto"/>
              </w:rPr>
            </w:pP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15,284</w:t>
            </w:r>
          </w:p>
        </w:tc>
        <w:tc>
          <w:tcPr>
            <w:tcW w:w="1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years ended December 31, 2021, 2020 and 2019, the Company received $8.9 million, $8.4 million, and $12.9 million, respectively, and paid $6.1 million, $6.4 million, and $14.2 million, respectively, related to the quarterly settlement of its interest rate swaps. These net amounts are included in interest expense in the Company’s consolidated statements of operations.</w:t>
      </w:r>
    </w:p>
    <w:p>
      <w:pPr>
        <w:spacing w:after="0" w:line="187" w:lineRule="exact"/>
        <w:rPr>
          <w:sz w:val="20"/>
          <w:szCs w:val="20"/>
          <w:color w:val="auto"/>
        </w:rPr>
      </w:pPr>
    </w:p>
    <w:p>
      <w:pPr>
        <w:ind w:right="120" w:firstLine="255"/>
        <w:spacing w:after="0" w:line="342" w:lineRule="auto"/>
        <w:rPr>
          <w:sz w:val="20"/>
          <w:szCs w:val="20"/>
          <w:color w:val="auto"/>
        </w:rPr>
      </w:pPr>
      <w:r>
        <w:rPr>
          <w:rFonts w:ascii="Arial" w:cs="Arial" w:eastAsia="Arial" w:hAnsi="Arial"/>
          <w:sz w:val="16"/>
          <w:szCs w:val="16"/>
          <w:color w:val="auto"/>
        </w:rPr>
        <w:t>As of December 31, 2021 and 2020 the principal amount of the 2022 Convertible Notes was exceeded by the value of the underlying shares multiplied by the per share closing price of the Company’s common stock. However, the conditions required for conversion prior to maturity had not been satisfied.</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As of December 31, 2021 and 2020, the components of the carrying value of the 2022 Convertible Notes and the stated interest rate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(1,228)</w:t>
            </w: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99,673</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141,297</w:t>
            </w:r>
          </w:p>
        </w:tc>
        <w:tc>
          <w:tcPr>
            <w:tcW w:w="180" w:type="dxa"/>
            <w:vAlign w:val="bottom"/>
            <w:tcBorders>
              <w:bottom w:val="single" w:sz="8" w:color="CFF0FC"/>
            </w:tcBorders>
          </w:tcPr>
          <w:p>
            <w:pPr>
              <w:spacing w:after="0"/>
              <w:rPr>
                <w:sz w:val="22"/>
                <w:szCs w:val="22"/>
                <w:color w:val="auto"/>
              </w:rPr>
            </w:pPr>
          </w:p>
        </w:tc>
      </w:tr>
      <w:tr>
        <w:trPr>
          <w:trHeight w:val="21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is three month LIBOR plus 2.11% (on a weighted average basis) for the 2022 Convertible Notes. Please see Note 5 for further information about the Company’s interest rate swaps.</w:t>
      </w:r>
    </w:p>
    <w:p>
      <w:pPr>
        <w:spacing w:after="0" w:line="184" w:lineRule="exact"/>
        <w:rPr>
          <w:sz w:val="20"/>
          <w:szCs w:val="20"/>
          <w:color w:val="auto"/>
        </w:rPr>
      </w:pPr>
    </w:p>
    <w:p>
      <w:pPr>
        <w:ind w:right="220" w:firstLine="255"/>
        <w:spacing w:after="0" w:line="257"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December 31, 2021, and 2020 the Company was in compliance with the terms of the indenture governing the 2022 Convertible Notes.</w:t>
      </w:r>
    </w:p>
    <w:p>
      <w:pPr>
        <w:spacing w:after="0" w:line="188" w:lineRule="exact"/>
        <w:rPr>
          <w:sz w:val="20"/>
          <w:szCs w:val="20"/>
          <w:color w:val="auto"/>
        </w:rPr>
      </w:pPr>
    </w:p>
    <w:p>
      <w:pPr>
        <w:ind w:right="20" w:firstLine="255"/>
        <w:spacing w:after="0" w:line="327" w:lineRule="auto"/>
        <w:rPr>
          <w:sz w:val="20"/>
          <w:szCs w:val="20"/>
          <w:color w:val="auto"/>
        </w:rPr>
      </w:pPr>
      <w:r>
        <w:rPr>
          <w:rFonts w:ascii="Arial" w:cs="Arial" w:eastAsia="Arial" w:hAnsi="Arial"/>
          <w:sz w:val="15"/>
          <w:szCs w:val="15"/>
          <w:color w:val="auto"/>
        </w:rPr>
        <w:t>The 2022 Convertible Notes are accounted for in accordance with ASC Topic 470-20. During the period ended March 31, 2021, the Company early adopted ASU 2020-06 and in accordance with this guidance reclassed the remaining unamortized discount on the 2022 Convertible Notes from the carrying value of the instrument to “additional paid-in capital” in the accompanying consolidated balance sheet. As a requirement under ASU 2020-06 the Company calculates diluted earnings per shares using the if-converted method which assumes full share settlement for the aggregate value of the 2022 Convertible Notes.</w:t>
      </w:r>
    </w:p>
    <w:p>
      <w:pPr>
        <w:spacing w:after="0" w:line="140"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average daily closing price of the Company’s common stock for the year ended December 31, 2021 was greater than the estimated adjusted conversion price for the 2022 Convertible Notes outstanding as of December 31, 2021. The average daily closing price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ind w:right="600"/>
        <w:spacing w:after="0" w:line="277" w:lineRule="auto"/>
        <w:rPr>
          <w:sz w:val="20"/>
          <w:szCs w:val="20"/>
          <w:color w:val="auto"/>
        </w:rPr>
      </w:pPr>
      <w:r>
        <w:rPr>
          <w:rFonts w:ascii="Arial" w:cs="Arial" w:eastAsia="Arial" w:hAnsi="Arial"/>
          <w:sz w:val="18"/>
          <w:szCs w:val="18"/>
          <w:color w:val="auto"/>
        </w:rPr>
        <w:t>Company’s common stock for the year ended December 31, 2020 was less than the estimated adjusted conversion price for the 2022 Convertible Notes outstanding as of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160" w:firstLine="255"/>
        <w:spacing w:after="0" w:line="275"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6" w:lineRule="exact"/>
        <w:rPr>
          <w:sz w:val="20"/>
          <w:szCs w:val="20"/>
          <w:color w:val="auto"/>
        </w:rPr>
      </w:pPr>
    </w:p>
    <w:p>
      <w:pPr>
        <w:ind w:right="360" w:firstLine="255"/>
        <w:spacing w:after="0" w:line="279" w:lineRule="auto"/>
        <w:rPr>
          <w:sz w:val="20"/>
          <w:szCs w:val="20"/>
          <w:color w:val="auto"/>
        </w:rPr>
      </w:pPr>
      <w:r>
        <w:rPr>
          <w:rFonts w:ascii="Arial" w:cs="Arial" w:eastAsia="Arial" w:hAnsi="Arial"/>
          <w:sz w:val="17"/>
          <w:szCs w:val="17"/>
          <w:color w:val="auto"/>
        </w:rPr>
        <w:t>In connection with the 2023 Notes offering, the Company entered into an interest rate swap to align the interest rates of its liabilities with the Company’s investment portfolio, which consists of predominately floating rate loans. The notional amount of the interest rate swap is $150.0 million, which matures on January 22, 2023, matching the maturity date of the 2023 Notes. As a result of the swap, the Company’s effective interest rate on the 2023 Notes is three-month LIBOR plus 1.99%. See Note 5 for further information about the Company’s interest rate swaps.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6"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8" w:lineRule="exact"/>
        <w:rPr>
          <w:sz w:val="20"/>
          <w:szCs w:val="20"/>
          <w:color w:val="auto"/>
        </w:rPr>
      </w:pPr>
    </w:p>
    <w:p>
      <w:pPr>
        <w:ind w:right="60" w:firstLine="255"/>
        <w:spacing w:after="0" w:line="271" w:lineRule="auto"/>
        <w:rPr>
          <w:sz w:val="20"/>
          <w:szCs w:val="20"/>
          <w:color w:val="auto"/>
        </w:rPr>
      </w:pPr>
      <w:r>
        <w:rPr>
          <w:rFonts w:ascii="Arial" w:cs="Arial" w:eastAsia="Arial" w:hAnsi="Arial"/>
          <w:sz w:val="17"/>
          <w:szCs w:val="17"/>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December 31, 2021, and 2020, the effective hedge interest rate swaps had a fair value of $4.4 million and $16.8 million, respectively, which is offset within interest expense by an equal, but opposite, fair value change for the hedged risk on the 2024 Notes.</w:t>
      </w:r>
    </w:p>
    <w:p>
      <w:pPr>
        <w:spacing w:after="0" w:line="178"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 plus 2.28% (on a weighted average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ind w:right="360"/>
        <w:spacing w:after="0" w:line="277" w:lineRule="auto"/>
        <w:rPr>
          <w:sz w:val="20"/>
          <w:szCs w:val="20"/>
          <w:color w:val="auto"/>
        </w:rPr>
      </w:pPr>
      <w:r>
        <w:rPr>
          <w:rFonts w:ascii="Arial" w:cs="Arial" w:eastAsia="Arial" w:hAnsi="Arial"/>
          <w:sz w:val="18"/>
          <w:szCs w:val="18"/>
          <w:color w:val="auto"/>
        </w:rPr>
        <w:t>discounts and estimated offering costs, were $294.1 million. The Company used the net proceeds of the 2026 Notes to repay outstanding indebtedness under the Revolving Credit Facility.</w:t>
      </w:r>
    </w:p>
    <w:p>
      <w:pPr>
        <w:spacing w:after="0" w:line="170" w:lineRule="exact"/>
        <w:rPr>
          <w:sz w:val="20"/>
          <w:szCs w:val="20"/>
          <w:color w:val="auto"/>
        </w:rPr>
      </w:pPr>
    </w:p>
    <w:p>
      <w:pPr>
        <w:ind w:right="20" w:firstLine="255"/>
        <w:spacing w:after="0" w:line="272" w:lineRule="auto"/>
        <w:rPr>
          <w:sz w:val="20"/>
          <w:szCs w:val="20"/>
          <w:color w:val="auto"/>
        </w:rPr>
      </w:pPr>
      <w:r>
        <w:rPr>
          <w:rFonts w:ascii="Arial" w:cs="Arial" w:eastAsia="Arial" w:hAnsi="Arial"/>
          <w:sz w:val="17"/>
          <w:szCs w:val="17"/>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As of December 31, 2021 the effective hedge interest rate swaps had a fair value of $(10.2) million, which is offset within interest expense by an equal, but opposite, fair value change for the hedged risk on the 2026 Notes.</w:t>
      </w:r>
    </w:p>
    <w:p>
      <w:pPr>
        <w:spacing w:after="0" w:line="177"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For the years ended December 31, 2021, 2020 and 2019, the components of interest expense related to the 2023 Notes, 2024 Notes and 2026 Notes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20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27,086</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30,131</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255"/>
        <w:spacing w:after="0" w:line="257" w:lineRule="auto"/>
        <w:rPr>
          <w:sz w:val="20"/>
          <w:szCs w:val="20"/>
          <w:color w:val="auto"/>
        </w:rPr>
      </w:pPr>
      <w:r>
        <w:rPr>
          <w:rFonts w:ascii="Arial" w:cs="Arial" w:eastAsia="Arial" w:hAnsi="Arial"/>
          <w:sz w:val="18"/>
          <w:szCs w:val="18"/>
          <w:color w:val="auto"/>
        </w:rPr>
        <w:t>Total interest expense in the table above does not include the effect of the interest rate swaps related to the 2023 Notes, 2024 Notes and 2026 Notes. During the years ended December 31, 2021, 2020 and 2019, the Company received $27.2 million, $20.2 million, and $8.5 million, respectively, and paid $17.8 million, $15.7 million and $8.6 million, respectively, related to the settlements of its interest rate swaps related to the 2023 Notes, 2024 Notes and 2026 Notes. These net amounts are included in interest expense in the Company’s consolidated statements of operations. Please see Note 5 for further information about the Company’s interest rate swaps.</w:t>
      </w:r>
    </w:p>
    <w:p>
      <w:pPr>
        <w:spacing w:after="0" w:line="188"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As of December 31, 2021 and 2020, the components of the carrying value of the 2023 Notes, 2024 Notes and 2026 Notes and the stated interest rates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December 31, 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2023 Notes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2024 Notes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2026 Notes</w:t>
            </w:r>
          </w:p>
        </w:tc>
        <w:tc>
          <w:tcPr>
            <w:tcW w:w="6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2023 Notes</w:t>
            </w:r>
          </w:p>
        </w:tc>
        <w:tc>
          <w:tcPr>
            <w:tcW w:w="6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2024 Notes</w:t>
            </w: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w w:val="98"/>
              </w:rPr>
              <w:t>Original issue discount, net of accretion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(1,853)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(2,886)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(3,426)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(1,327)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w w:val="92"/>
              </w:rPr>
              <w:t>Change in fair value of an effective hedge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148,653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358,921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Stated interest rate</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As of December 31, 2021 the Company’s swap-adjusted interest rate on the 2023 Notes, 2024 Notes and 2026 Notes is three month LIBOR plus 1.99%, 2.28% (on a weighted average basis) and 1.91%, respectively. As of December 31, 2020 the Company’s swap-adjusted interest rate on the 2023 Notes and 2024 Notes is three month LIBOR plus 1.99% and 2.28% (on a weighted average basis), respectively.</w:t>
      </w:r>
    </w:p>
    <w:p>
      <w:pPr>
        <w:spacing w:after="0" w:line="187"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As of December 31, 2021 and December 31, 2020, the Company was in compliance with the terms of the indentures governing the 2023 Notes, 2024 Notes and 2026 Notes.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30" w:name="page131"/>
    <w:bookmarkEnd w:id="130"/>
    <w:p>
      <w:pPr>
        <w:spacing w:after="0" w:line="277" w:lineRule="auto"/>
        <w:rPr>
          <w:sz w:val="20"/>
          <w:szCs w:val="20"/>
          <w:color w:val="auto"/>
        </w:rPr>
      </w:pPr>
      <w:r>
        <w:rPr>
          <w:rFonts w:ascii="Arial" w:cs="Arial" w:eastAsia="Arial" w:hAnsi="Arial"/>
          <w:sz w:val="18"/>
          <w:szCs w:val="18"/>
          <w:color w:val="auto"/>
        </w:rPr>
        <w:t>remaining term as the associated loan agreement. Undrawn senior secured delayed draw term loan commitments generally have a shorter availability period than the term of the associated loan agreement.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December 31, 2021 and December 31, 2020, the Company had the following commitments to fund investments in current portfolio companies: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American Achievement, Corp.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Axonify,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Bayshore Intermediate #2, L.P.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Biohaven Pharmaceuticals,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BlueSnap, Inc. - Delayed Draw &amp;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Destiny Solutions Parent Holding Company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6,478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Dye &amp; Durham Corp. - Delayed Draw &amp;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Employment Hero Holdings Pty Ltd. - Delayed Draw &amp;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EMS Linq, Inc.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ExtraHop Networks,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24,389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Factor Systems, Inc. - Delayed Draw</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ForeScout Technologies, Inc.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Ibis Intermediate Co.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 Inc. - Revolver</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IntelePeer Holdings,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InvMetrics Holdings, Inc. - Revolver</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Kyriba Corp. - Delayed Draw &amp;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Lexipol, LLC - Delayed Draw</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Lucidworks, Inc.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3,333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Netwrix Corp. - Delayed Draw &amp;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Neuintel, LLC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Nintex Global, Ltd. - Revolver</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PageUp People, Ltd. - Delayed Draw &amp;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Passport Labs, Inc. - Delayed Draw &amp;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PrimePay Intermediate, LLC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PrimeRevenue, Inc. - Delayed Draw &amp;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Project44, Inc.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ReliaQuest Holdings, LLC - Delayed Draw &amp;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32,089</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ResMan, LLC - Delayed Draw &amp; Revolver</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9,414</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Sprinklr, Inc. - Delayed Draw Convertible Note</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Tango Management Consulting, LLC - Delayed Draw &amp;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TRP Assets, LLC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 &amp; Revolver</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7,778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15,556</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WideOrbit, Inc.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Workwell Acquisition Co. - Delayed Draw</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FF0FC"/>
            </w:tcBorders>
          </w:tcPr>
          <w:p>
            <w:pPr>
              <w:spacing w:after="0"/>
              <w:rPr>
                <w:sz w:val="19"/>
                <w:szCs w:val="19"/>
                <w:color w:val="auto"/>
              </w:rPr>
            </w:pPr>
          </w:p>
        </w:tc>
      </w:tr>
      <w:tr>
        <w:trPr>
          <w:trHeight w:val="223"/>
        </w:trPr>
        <w:tc>
          <w:tcPr>
            <w:tcW w:w="6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332,074</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480" w:hanging="372"/>
        <w:spacing w:after="0" w:line="263" w:lineRule="auto"/>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ind w:left="380" w:right="720" w:hanging="372"/>
        <w:spacing w:after="0" w:line="277" w:lineRule="auto"/>
        <w:tabs>
          <w:tab w:leader="none" w:pos="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of December 31, 2021 and 2020, the Company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140" w:firstLine="255"/>
        <w:spacing w:after="0" w:line="263"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2021 and 2020, management is not aware of any material pending or threatened litigation that would require accounting recognition or financial statement disclosure.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229" w:lineRule="exact"/>
        <w:rPr>
          <w:sz w:val="20"/>
          <w:szCs w:val="20"/>
          <w:color w:val="auto"/>
        </w:rPr>
      </w:pPr>
    </w:p>
    <w:p>
      <w:pPr>
        <w:ind w:right="60" w:firstLine="255"/>
        <w:spacing w:after="0" w:line="286" w:lineRule="auto"/>
        <w:rPr>
          <w:sz w:val="20"/>
          <w:szCs w:val="20"/>
          <w:color w:val="auto"/>
        </w:rPr>
      </w:pPr>
      <w:r>
        <w:rPr>
          <w:rFonts w:ascii="Arial" w:cs="Arial" w:eastAsia="Arial" w:hAnsi="Arial"/>
          <w:sz w:val="17"/>
          <w:szCs w:val="17"/>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165"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In December 2021, the Company issued a total of 2,324,820 shares of common stock as settlement for the conversion of $42.8 million principal amount of the 2022 Convertible Notes.</w:t>
      </w:r>
    </w:p>
    <w:p>
      <w:pPr>
        <w:spacing w:after="0" w:line="170"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1"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2021 and 2020. All shares issued to stockholders in the tables below are newly issued shares.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3"/>
          </w:tcPr>
          <w:p>
            <w:pPr>
              <w:jc w:val="center"/>
              <w:ind w:left="1974"/>
              <w:spacing w:after="0"/>
              <w:rPr>
                <w:sz w:val="20"/>
                <w:szCs w:val="20"/>
                <w:color w:val="auto"/>
              </w:rPr>
            </w:pPr>
            <w:r>
              <w:rPr>
                <w:rFonts w:ascii="Arial" w:cs="Arial" w:eastAsia="Arial" w:hAnsi="Arial"/>
                <w:sz w:val="14"/>
                <w:szCs w:val="14"/>
                <w:b w:val="1"/>
                <w:bCs w:val="1"/>
                <w:color w:val="auto"/>
                <w:w w:val="93"/>
              </w:rPr>
              <w:t>Year Ended</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5"/>
          </w:tcPr>
          <w:p>
            <w:pPr>
              <w:jc w:val="center"/>
              <w:ind w:left="374"/>
              <w:spacing w:after="0"/>
              <w:rPr>
                <w:sz w:val="20"/>
                <w:szCs w:val="20"/>
                <w:color w:val="auto"/>
              </w:rPr>
            </w:pPr>
            <w:r>
              <w:rPr>
                <w:rFonts w:ascii="Arial" w:cs="Arial" w:eastAsia="Arial" w:hAnsi="Arial"/>
                <w:sz w:val="14"/>
                <w:szCs w:val="14"/>
                <w:b w:val="1"/>
                <w:bCs w:val="1"/>
                <w:color w:val="auto"/>
                <w:w w:val="91"/>
              </w:rPr>
              <w:t>December 31, 2021</w:t>
            </w:r>
          </w:p>
        </w:tc>
        <w:tc>
          <w:tcPr>
            <w:tcW w:w="1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2"/>
              </w:rPr>
              <w:t>Date</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860" w:type="dxa"/>
            <w:vAlign w:val="bottom"/>
            <w:gridSpan w:val="3"/>
          </w:tcPr>
          <w:p>
            <w:pPr>
              <w:ind w:left="720"/>
              <w:spacing w:after="0"/>
              <w:rPr>
                <w:sz w:val="20"/>
                <w:szCs w:val="20"/>
                <w:color w:val="auto"/>
              </w:rPr>
            </w:pPr>
            <w:r>
              <w:rPr>
                <w:rFonts w:ascii="Arial" w:cs="Arial" w:eastAsia="Arial" w:hAnsi="Arial"/>
                <w:sz w:val="14"/>
                <w:szCs w:val="14"/>
                <w:b w:val="1"/>
                <w:bCs w:val="1"/>
                <w:color w:val="auto"/>
              </w:rPr>
              <w:t>Record Date</w:t>
            </w: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Shares Issued</w:t>
            </w:r>
          </w:p>
        </w:tc>
        <w:tc>
          <w:tcPr>
            <w:tcW w:w="176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4, 2020</w:t>
            </w:r>
          </w:p>
        </w:tc>
        <w:tc>
          <w:tcPr>
            <w:tcW w:w="3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2020</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2021</w:t>
            </w:r>
          </w:p>
        </w:tc>
        <w:tc>
          <w:tcPr>
            <w:tcW w:w="1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211,904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February 17, 2021</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860" w:type="dxa"/>
            <w:vAlign w:val="bottom"/>
            <w:gridSpan w:val="3"/>
          </w:tcPr>
          <w:p>
            <w:pPr>
              <w:jc w:val="right"/>
              <w:ind w:right="660"/>
              <w:spacing w:after="0"/>
              <w:rPr>
                <w:sz w:val="20"/>
                <w:szCs w:val="20"/>
                <w:color w:val="auto"/>
              </w:rPr>
            </w:pPr>
            <w:r>
              <w:rPr>
                <w:rFonts w:ascii="Arial" w:cs="Arial" w:eastAsia="Arial" w:hAnsi="Arial"/>
                <w:sz w:val="18"/>
                <w:szCs w:val="18"/>
                <w:color w:val="auto"/>
              </w:rPr>
              <w:t>February 26, 2021</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2021</w:t>
            </w:r>
          </w:p>
        </w:tc>
        <w:tc>
          <w:tcPr>
            <w:tcW w:w="1660" w:type="dxa"/>
            <w:vAlign w:val="bottom"/>
          </w:tcPr>
          <w:p>
            <w:pPr>
              <w:jc w:val="right"/>
              <w:spacing w:after="0"/>
              <w:rPr>
                <w:sz w:val="20"/>
                <w:szCs w:val="20"/>
                <w:color w:val="auto"/>
              </w:rPr>
            </w:pPr>
            <w:r>
              <w:rPr>
                <w:rFonts w:ascii="Arial" w:cs="Arial" w:eastAsia="Arial" w:hAnsi="Arial"/>
                <w:sz w:val="18"/>
                <w:szCs w:val="18"/>
                <w:color w:val="auto"/>
              </w:rPr>
              <w:t>24,196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Base</w:t>
            </w:r>
          </w:p>
        </w:tc>
        <w:tc>
          <w:tcPr>
            <w:tcW w:w="28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March 15, 2021</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2021</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February 17, 2021</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Special</w:t>
            </w:r>
          </w:p>
        </w:tc>
        <w:tc>
          <w:tcPr>
            <w:tcW w:w="2860" w:type="dxa"/>
            <w:vAlign w:val="bottom"/>
            <w:gridSpan w:val="3"/>
          </w:tcPr>
          <w:p>
            <w:pPr>
              <w:jc w:val="right"/>
              <w:ind w:right="660"/>
              <w:spacing w:after="0"/>
              <w:rPr>
                <w:sz w:val="20"/>
                <w:szCs w:val="20"/>
                <w:color w:val="auto"/>
              </w:rPr>
            </w:pPr>
            <w:r>
              <w:rPr>
                <w:rFonts w:ascii="Arial" w:cs="Arial" w:eastAsia="Arial" w:hAnsi="Arial"/>
                <w:sz w:val="18"/>
                <w:szCs w:val="18"/>
                <w:color w:val="auto"/>
              </w:rPr>
              <w:t>March 25, 2021</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April 8, 2021</w:t>
            </w:r>
          </w:p>
        </w:tc>
        <w:tc>
          <w:tcPr>
            <w:tcW w:w="1660" w:type="dxa"/>
            <w:vAlign w:val="bottom"/>
          </w:tcPr>
          <w:p>
            <w:pPr>
              <w:jc w:val="right"/>
              <w:spacing w:after="0"/>
              <w:rPr>
                <w:sz w:val="20"/>
                <w:szCs w:val="20"/>
                <w:color w:val="auto"/>
              </w:rPr>
            </w:pPr>
            <w:r>
              <w:rPr>
                <w:rFonts w:ascii="Arial" w:cs="Arial" w:eastAsia="Arial" w:hAnsi="Arial"/>
                <w:sz w:val="18"/>
                <w:szCs w:val="18"/>
                <w:color w:val="auto"/>
              </w:rPr>
              <w:t>483,361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4, 2021</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8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May 28, 2021</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2021</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May 4, 2021</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860" w:type="dxa"/>
            <w:vAlign w:val="bottom"/>
            <w:gridSpan w:val="3"/>
          </w:tcPr>
          <w:p>
            <w:pPr>
              <w:jc w:val="right"/>
              <w:ind w:right="660"/>
              <w:spacing w:after="0"/>
              <w:rPr>
                <w:sz w:val="20"/>
                <w:szCs w:val="20"/>
                <w:color w:val="auto"/>
              </w:rPr>
            </w:pPr>
            <w:r>
              <w:rPr>
                <w:rFonts w:ascii="Arial" w:cs="Arial" w:eastAsia="Arial" w:hAnsi="Arial"/>
                <w:sz w:val="18"/>
                <w:szCs w:val="18"/>
                <w:color w:val="auto"/>
              </w:rPr>
              <w:t>June 15, 2021</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July 15, 2021</w:t>
            </w:r>
          </w:p>
        </w:tc>
        <w:tc>
          <w:tcPr>
            <w:tcW w:w="1660" w:type="dxa"/>
            <w:vAlign w:val="bottom"/>
          </w:tcPr>
          <w:p>
            <w:pPr>
              <w:jc w:val="right"/>
              <w:spacing w:after="0"/>
              <w:rPr>
                <w:sz w:val="20"/>
                <w:szCs w:val="20"/>
                <w:color w:val="auto"/>
              </w:rPr>
            </w:pPr>
            <w:r>
              <w:rPr>
                <w:rFonts w:ascii="Arial" w:cs="Arial" w:eastAsia="Arial" w:hAnsi="Arial"/>
                <w:sz w:val="18"/>
                <w:szCs w:val="18"/>
                <w:color w:val="auto"/>
              </w:rPr>
              <w:t>187,442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3, 2021</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8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August 31, 2021</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88"/>
              </w:rPr>
              <w:t>September 30, 2021</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August 3, 2021</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860" w:type="dxa"/>
            <w:vAlign w:val="bottom"/>
            <w:gridSpan w:val="3"/>
          </w:tcPr>
          <w:p>
            <w:pPr>
              <w:jc w:val="right"/>
              <w:ind w:right="660"/>
              <w:spacing w:after="0"/>
              <w:rPr>
                <w:sz w:val="20"/>
                <w:szCs w:val="20"/>
                <w:color w:val="auto"/>
              </w:rPr>
            </w:pPr>
            <w:r>
              <w:rPr>
                <w:rFonts w:ascii="Arial" w:cs="Arial" w:eastAsia="Arial" w:hAnsi="Arial"/>
                <w:sz w:val="18"/>
                <w:szCs w:val="18"/>
                <w:color w:val="auto"/>
              </w:rPr>
              <w:t>September 15, 2021</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15, 2021</w:t>
            </w:r>
          </w:p>
        </w:tc>
        <w:tc>
          <w:tcPr>
            <w:tcW w:w="1660" w:type="dxa"/>
            <w:vAlign w:val="bottom"/>
          </w:tcPr>
          <w:p>
            <w:pPr>
              <w:jc w:val="right"/>
              <w:spacing w:after="0"/>
              <w:rPr>
                <w:sz w:val="20"/>
                <w:szCs w:val="20"/>
                <w:color w:val="auto"/>
              </w:rPr>
            </w:pPr>
            <w:r>
              <w:rPr>
                <w:rFonts w:ascii="Arial" w:cs="Arial" w:eastAsia="Arial" w:hAnsi="Arial"/>
                <w:sz w:val="18"/>
                <w:szCs w:val="18"/>
                <w:color w:val="auto"/>
              </w:rPr>
              <w:t>254,691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 2021</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8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November 30, 2021</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1"/>
              </w:rPr>
              <w:t>December 31, 2021</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November 2, 2021</w:t>
            </w:r>
          </w:p>
        </w:tc>
        <w:tc>
          <w:tcPr>
            <w:tcW w:w="11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8"/>
              </w:rPr>
              <w:t>Special</w:t>
            </w:r>
          </w:p>
        </w:tc>
        <w:tc>
          <w:tcPr>
            <w:tcW w:w="2860" w:type="dxa"/>
            <w:vAlign w:val="bottom"/>
            <w:tcBorders>
              <w:bottom w:val="single" w:sz="8" w:color="CFF0FC"/>
            </w:tcBorders>
            <w:gridSpan w:val="3"/>
          </w:tcPr>
          <w:p>
            <w:pPr>
              <w:jc w:val="right"/>
              <w:ind w:right="660"/>
              <w:spacing w:after="0"/>
              <w:rPr>
                <w:sz w:val="20"/>
                <w:szCs w:val="20"/>
                <w:color w:val="auto"/>
              </w:rPr>
            </w:pPr>
            <w:r>
              <w:rPr>
                <w:rFonts w:ascii="Arial" w:cs="Arial" w:eastAsia="Arial" w:hAnsi="Arial"/>
                <w:sz w:val="18"/>
                <w:szCs w:val="18"/>
                <w:color w:val="auto"/>
              </w:rPr>
              <w:t>December 7, 2021</w:t>
            </w:r>
          </w:p>
        </w:tc>
        <w:tc>
          <w:tcPr>
            <w:tcW w:w="16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w w:val="91"/>
              </w:rPr>
              <w:t>December 20,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303,561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1,712,824</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vMerge w:val="restart"/>
          </w:tcPr>
          <w:p>
            <w:pPr>
              <w:ind w:left="1000"/>
              <w:spacing w:after="0"/>
              <w:rPr>
                <w:sz w:val="20"/>
                <w:szCs w:val="20"/>
                <w:color w:val="auto"/>
              </w:rPr>
            </w:pPr>
            <w:r>
              <w:rPr>
                <w:rFonts w:ascii="Arial" w:cs="Arial" w:eastAsia="Arial" w:hAnsi="Arial"/>
                <w:sz w:val="18"/>
                <w:szCs w:val="18"/>
                <w:color w:val="auto"/>
              </w:rPr>
              <w:t>F-43</w:t>
            </w: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32" w:name="page133"/>
    <w:bookmarkEnd w:id="132"/>
    <w:tbl>
      <w:tblPr>
        <w:tblLayout w:type="fixed"/>
        <w:tblInd w:w="58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3"/>
          </w:tcPr>
          <w:p>
            <w:pPr>
              <w:jc w:val="center"/>
              <w:ind w:left="1995"/>
              <w:spacing w:after="0"/>
              <w:rPr>
                <w:sz w:val="20"/>
                <w:szCs w:val="20"/>
                <w:color w:val="auto"/>
              </w:rPr>
            </w:pPr>
            <w:r>
              <w:rPr>
                <w:rFonts w:ascii="Arial" w:cs="Arial" w:eastAsia="Arial" w:hAnsi="Arial"/>
                <w:sz w:val="14"/>
                <w:szCs w:val="14"/>
                <w:b w:val="1"/>
                <w:bCs w:val="1"/>
                <w:color w:val="auto"/>
                <w:w w:val="93"/>
              </w:rPr>
              <w:t>Year Ended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5"/>
          </w:tcPr>
          <w:p>
            <w:pPr>
              <w:jc w:val="center"/>
              <w:ind w:left="375"/>
              <w:spacing w:after="0"/>
              <w:rPr>
                <w:sz w:val="20"/>
                <w:szCs w:val="20"/>
                <w:color w:val="auto"/>
              </w:rPr>
            </w:pPr>
            <w:r>
              <w:rPr>
                <w:rFonts w:ascii="Arial" w:cs="Arial" w:eastAsia="Arial" w:hAnsi="Arial"/>
                <w:sz w:val="14"/>
                <w:szCs w:val="14"/>
                <w:b w:val="1"/>
                <w:bCs w:val="1"/>
                <w:color w:val="auto"/>
                <w:w w:val="91"/>
              </w:rPr>
              <w:t>December 31, 2020</w:t>
            </w:r>
          </w:p>
        </w:tc>
        <w:tc>
          <w:tcPr>
            <w:tcW w:w="1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2"/>
              </w:rPr>
              <w:t>Date</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840" w:type="dxa"/>
            <w:vAlign w:val="bottom"/>
            <w:gridSpan w:val="3"/>
          </w:tcPr>
          <w:p>
            <w:pPr>
              <w:ind w:left="720"/>
              <w:spacing w:after="0"/>
              <w:rPr>
                <w:sz w:val="20"/>
                <w:szCs w:val="20"/>
                <w:color w:val="auto"/>
              </w:rPr>
            </w:pPr>
            <w:r>
              <w:rPr>
                <w:rFonts w:ascii="Arial" w:cs="Arial" w:eastAsia="Arial" w:hAnsi="Arial"/>
                <w:sz w:val="14"/>
                <w:szCs w:val="14"/>
                <w:b w:val="1"/>
                <w:bCs w:val="1"/>
                <w:color w:val="auto"/>
              </w:rPr>
              <w:t>Record Date</w:t>
            </w: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Shares Issued</w:t>
            </w:r>
          </w:p>
        </w:tc>
        <w:tc>
          <w:tcPr>
            <w:tcW w:w="176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r>
      <w:tr>
        <w:trPr>
          <w:trHeight w:val="223"/>
        </w:trPr>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3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February 19, 2020</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840" w:type="dxa"/>
            <w:vAlign w:val="bottom"/>
            <w:gridSpan w:val="3"/>
          </w:tcPr>
          <w:p>
            <w:pPr>
              <w:jc w:val="right"/>
              <w:ind w:right="640"/>
              <w:spacing w:after="0"/>
              <w:rPr>
                <w:sz w:val="20"/>
                <w:szCs w:val="20"/>
                <w:color w:val="auto"/>
              </w:rPr>
            </w:pPr>
            <w:r>
              <w:rPr>
                <w:rFonts w:ascii="Arial" w:cs="Arial" w:eastAsia="Arial" w:hAnsi="Arial"/>
                <w:sz w:val="18"/>
                <w:szCs w:val="18"/>
                <w:color w:val="auto"/>
              </w:rPr>
              <w:t>February 28, 2020</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2020</w:t>
            </w:r>
          </w:p>
        </w:tc>
        <w:tc>
          <w:tcPr>
            <w:tcW w:w="1660" w:type="dxa"/>
            <w:vAlign w:val="bottom"/>
          </w:tcPr>
          <w:p>
            <w:pPr>
              <w:jc w:val="right"/>
              <w:spacing w:after="0"/>
              <w:rPr>
                <w:sz w:val="20"/>
                <w:szCs w:val="20"/>
                <w:color w:val="auto"/>
              </w:rPr>
            </w:pPr>
            <w:r>
              <w:rPr>
                <w:rFonts w:ascii="Arial" w:cs="Arial" w:eastAsia="Arial" w:hAnsi="Arial"/>
                <w:sz w:val="18"/>
                <w:szCs w:val="18"/>
                <w:color w:val="auto"/>
              </w:rPr>
              <w:t>57,674</w:t>
            </w:r>
          </w:p>
        </w:tc>
        <w:tc>
          <w:tcPr>
            <w:tcW w:w="100" w:type="dxa"/>
            <w:vAlign w:val="bottom"/>
          </w:tcPr>
          <w:p>
            <w:pPr>
              <w:spacing w:after="0"/>
              <w:rPr>
                <w:sz w:val="19"/>
                <w:szCs w:val="19"/>
                <w:color w:val="auto"/>
              </w:rPr>
            </w:pPr>
          </w:p>
        </w:tc>
      </w:tr>
      <w:tr>
        <w:trPr>
          <w:trHeight w:val="229"/>
        </w:trPr>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Base</w:t>
            </w:r>
          </w:p>
        </w:tc>
        <w:tc>
          <w:tcPr>
            <w:tcW w:w="28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March 13, 2020</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2020</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299,058</w:t>
            </w:r>
          </w:p>
        </w:tc>
        <w:tc>
          <w:tcPr>
            <w:tcW w:w="100" w:type="dxa"/>
            <w:vAlign w:val="bottom"/>
            <w:shd w:val="clear" w:color="auto" w:fill="CFF0FC"/>
          </w:tcPr>
          <w:p>
            <w:pPr>
              <w:spacing w:after="0"/>
              <w:rPr>
                <w:sz w:val="19"/>
                <w:szCs w:val="19"/>
                <w:color w:val="auto"/>
              </w:rPr>
            </w:pPr>
          </w:p>
        </w:tc>
      </w:tr>
      <w:tr>
        <w:trPr>
          <w:trHeight w:val="229"/>
        </w:trPr>
        <w:tc>
          <w:tcPr>
            <w:tcW w:w="2700" w:type="dxa"/>
            <w:vAlign w:val="bottom"/>
            <w:gridSpan w:val="2"/>
          </w:tcPr>
          <w:p>
            <w:pPr>
              <w:spacing w:after="0"/>
              <w:rPr>
                <w:sz w:val="20"/>
                <w:szCs w:val="20"/>
                <w:color w:val="auto"/>
              </w:rPr>
            </w:pPr>
            <w:r>
              <w:rPr>
                <w:rFonts w:ascii="Arial" w:cs="Arial" w:eastAsia="Arial" w:hAnsi="Arial"/>
                <w:sz w:val="18"/>
                <w:szCs w:val="18"/>
                <w:color w:val="auto"/>
              </w:rPr>
              <w:t>February 19, 2020</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Special</w:t>
            </w:r>
          </w:p>
        </w:tc>
        <w:tc>
          <w:tcPr>
            <w:tcW w:w="2840" w:type="dxa"/>
            <w:vAlign w:val="bottom"/>
            <w:gridSpan w:val="3"/>
          </w:tcPr>
          <w:p>
            <w:pPr>
              <w:jc w:val="right"/>
              <w:ind w:right="640"/>
              <w:spacing w:after="0"/>
              <w:rPr>
                <w:sz w:val="20"/>
                <w:szCs w:val="20"/>
                <w:color w:val="auto"/>
              </w:rPr>
            </w:pPr>
            <w:r>
              <w:rPr>
                <w:rFonts w:ascii="Arial" w:cs="Arial" w:eastAsia="Arial" w:hAnsi="Arial"/>
                <w:sz w:val="18"/>
                <w:szCs w:val="18"/>
                <w:color w:val="auto"/>
              </w:rPr>
              <w:t>April 15, 2020</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April 30, 2020</w:t>
            </w:r>
          </w:p>
        </w:tc>
        <w:tc>
          <w:tcPr>
            <w:tcW w:w="1660" w:type="dxa"/>
            <w:vAlign w:val="bottom"/>
          </w:tcPr>
          <w:p>
            <w:pPr>
              <w:jc w:val="right"/>
              <w:spacing w:after="0"/>
              <w:rPr>
                <w:sz w:val="20"/>
                <w:szCs w:val="20"/>
                <w:color w:val="auto"/>
              </w:rPr>
            </w:pPr>
            <w:r>
              <w:rPr>
                <w:rFonts w:ascii="Arial" w:cs="Arial" w:eastAsia="Arial" w:hAnsi="Arial"/>
                <w:sz w:val="18"/>
                <w:szCs w:val="18"/>
                <w:color w:val="auto"/>
              </w:rPr>
              <w:t>193,723</w:t>
            </w:r>
          </w:p>
        </w:tc>
        <w:tc>
          <w:tcPr>
            <w:tcW w:w="100" w:type="dxa"/>
            <w:vAlign w:val="bottom"/>
          </w:tcPr>
          <w:p>
            <w:pPr>
              <w:spacing w:after="0"/>
              <w:rPr>
                <w:sz w:val="19"/>
                <w:szCs w:val="19"/>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Special</w:t>
            </w:r>
          </w:p>
        </w:tc>
        <w:tc>
          <w:tcPr>
            <w:tcW w:w="28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June 15, 2020</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2020</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279,861</w:t>
            </w:r>
          </w:p>
        </w:tc>
        <w:tc>
          <w:tcPr>
            <w:tcW w:w="100" w:type="dxa"/>
            <w:vAlign w:val="bottom"/>
            <w:shd w:val="clear" w:color="auto" w:fill="CFF0FC"/>
          </w:tcPr>
          <w:p>
            <w:pPr>
              <w:spacing w:after="0"/>
              <w:rPr>
                <w:sz w:val="19"/>
                <w:szCs w:val="19"/>
                <w:color w:val="auto"/>
              </w:rPr>
            </w:pPr>
          </w:p>
        </w:tc>
      </w:tr>
      <w:tr>
        <w:trPr>
          <w:trHeight w:val="229"/>
        </w:trPr>
        <w:tc>
          <w:tcPr>
            <w:tcW w:w="2700" w:type="dxa"/>
            <w:vAlign w:val="bottom"/>
            <w:gridSpan w:val="2"/>
          </w:tcPr>
          <w:p>
            <w:pPr>
              <w:spacing w:after="0"/>
              <w:rPr>
                <w:sz w:val="20"/>
                <w:szCs w:val="20"/>
                <w:color w:val="auto"/>
              </w:rPr>
            </w:pPr>
            <w:r>
              <w:rPr>
                <w:rFonts w:ascii="Arial" w:cs="Arial" w:eastAsia="Arial" w:hAnsi="Arial"/>
                <w:sz w:val="18"/>
                <w:szCs w:val="18"/>
                <w:color w:val="auto"/>
              </w:rPr>
              <w:t>May 5, 2020</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840" w:type="dxa"/>
            <w:vAlign w:val="bottom"/>
            <w:gridSpan w:val="3"/>
          </w:tcPr>
          <w:p>
            <w:pPr>
              <w:jc w:val="right"/>
              <w:ind w:right="640"/>
              <w:spacing w:after="0"/>
              <w:rPr>
                <w:sz w:val="20"/>
                <w:szCs w:val="20"/>
                <w:color w:val="auto"/>
              </w:rPr>
            </w:pPr>
            <w:r>
              <w:rPr>
                <w:rFonts w:ascii="Arial" w:cs="Arial" w:eastAsia="Arial" w:hAnsi="Arial"/>
                <w:sz w:val="18"/>
                <w:szCs w:val="18"/>
                <w:color w:val="auto"/>
              </w:rPr>
              <w:t>June 15, 2020</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July 15, 2020</w:t>
            </w:r>
          </w:p>
        </w:tc>
        <w:tc>
          <w:tcPr>
            <w:tcW w:w="1660" w:type="dxa"/>
            <w:vAlign w:val="bottom"/>
          </w:tcPr>
          <w:p>
            <w:pPr>
              <w:jc w:val="right"/>
              <w:spacing w:after="0"/>
              <w:rPr>
                <w:sz w:val="20"/>
                <w:szCs w:val="20"/>
                <w:color w:val="auto"/>
              </w:rPr>
            </w:pPr>
            <w:r>
              <w:rPr>
                <w:rFonts w:ascii="Arial" w:cs="Arial" w:eastAsia="Arial" w:hAnsi="Arial"/>
                <w:sz w:val="18"/>
                <w:szCs w:val="18"/>
                <w:color w:val="auto"/>
              </w:rPr>
              <w:t>285,727</w:t>
            </w:r>
          </w:p>
        </w:tc>
        <w:tc>
          <w:tcPr>
            <w:tcW w:w="100" w:type="dxa"/>
            <w:vAlign w:val="bottom"/>
          </w:tcPr>
          <w:p>
            <w:pPr>
              <w:spacing w:after="0"/>
              <w:rPr>
                <w:sz w:val="19"/>
                <w:szCs w:val="19"/>
                <w:color w:val="auto"/>
              </w:rPr>
            </w:pPr>
          </w:p>
        </w:tc>
      </w:tr>
      <w:tr>
        <w:trPr>
          <w:trHeight w:val="229"/>
        </w:trPr>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4, 2020</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Base</w:t>
            </w:r>
          </w:p>
        </w:tc>
        <w:tc>
          <w:tcPr>
            <w:tcW w:w="28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September 15, 2020</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89"/>
              </w:rPr>
              <w:t xml:space="preserve">October 15, 2020 </w:t>
            </w:r>
            <w:r>
              <w:rPr>
                <w:rFonts w:ascii="Arial" w:cs="Arial" w:eastAsia="Arial" w:hAnsi="Arial"/>
                <w:sz w:val="15"/>
                <w:szCs w:val="15"/>
                <w:color w:val="auto"/>
                <w:w w:val="89"/>
              </w:rPr>
              <w:t>(2)</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November 4, 2020</w:t>
            </w:r>
          </w:p>
        </w:tc>
        <w:tc>
          <w:tcPr>
            <w:tcW w:w="11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840" w:type="dxa"/>
            <w:vAlign w:val="bottom"/>
            <w:tcBorders>
              <w:bottom w:val="single" w:sz="8" w:color="CFF0FC"/>
            </w:tcBorders>
            <w:gridSpan w:val="3"/>
          </w:tcPr>
          <w:p>
            <w:pPr>
              <w:jc w:val="right"/>
              <w:ind w:right="640"/>
              <w:spacing w:after="0"/>
              <w:rPr>
                <w:sz w:val="20"/>
                <w:szCs w:val="20"/>
                <w:color w:val="auto"/>
              </w:rPr>
            </w:pPr>
            <w:r>
              <w:rPr>
                <w:rFonts w:ascii="Arial" w:cs="Arial" w:eastAsia="Arial" w:hAnsi="Arial"/>
                <w:sz w:val="18"/>
                <w:szCs w:val="18"/>
                <w:color w:val="auto"/>
              </w:rPr>
              <w:t>November 30, 2020</w:t>
            </w:r>
          </w:p>
        </w:tc>
        <w:tc>
          <w:tcPr>
            <w:tcW w:w="16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w w:val="92"/>
              </w:rPr>
              <w:t>December 31, 2020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56,069</w:t>
            </w:r>
          </w:p>
        </w:tc>
        <w:tc>
          <w:tcPr>
            <w:tcW w:w="100" w:type="dxa"/>
            <w:vAlign w:val="bottom"/>
            <w:tcBorders>
              <w:bottom w:val="single" w:sz="8" w:color="CFF0FC"/>
            </w:tcBorders>
          </w:tcPr>
          <w:p>
            <w:pPr>
              <w:spacing w:after="0"/>
              <w:rPr>
                <w:sz w:val="19"/>
                <w:szCs w:val="19"/>
                <w:color w:val="auto"/>
              </w:rPr>
            </w:pPr>
          </w:p>
        </w:tc>
      </w:tr>
      <w:tr>
        <w:trPr>
          <w:trHeight w:val="223"/>
        </w:trPr>
        <w:tc>
          <w:tcPr>
            <w:tcW w:w="27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1,366,582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See Note 11 for further information on base, supplemental and special dividends.</w:t>
      </w:r>
    </w:p>
    <w:p>
      <w:pPr>
        <w:spacing w:after="0" w:line="23"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Due to a technical error by the Company’s dividend reinvestment plan administrator, all shareholders received the dividend for the October 15, 2020 payment date in cash.</w:t>
      </w:r>
    </w:p>
    <w:p>
      <w:pPr>
        <w:spacing w:after="0" w:line="185" w:lineRule="exact"/>
        <w:rPr>
          <w:sz w:val="20"/>
          <w:szCs w:val="20"/>
          <w:color w:val="auto"/>
        </w:rPr>
      </w:pPr>
    </w:p>
    <w:p>
      <w:pPr>
        <w:ind w:right="140" w:firstLine="255"/>
        <w:spacing w:after="0" w:line="257" w:lineRule="auto"/>
        <w:rPr>
          <w:sz w:val="20"/>
          <w:szCs w:val="20"/>
          <w:color w:val="auto"/>
        </w:rPr>
      </w:pPr>
      <w:r>
        <w:rPr>
          <w:rFonts w:ascii="Arial" w:cs="Arial" w:eastAsia="Arial" w:hAnsi="Arial"/>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2, 2021. The amount and timing of stock repurchases under the program may vary depending on market conditions, and no assurance can be given that any particular amount of common stock will be repurchased.</w:t>
      </w:r>
    </w:p>
    <w:p>
      <w:pPr>
        <w:spacing w:after="0" w:line="188"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During the year ended December 31, 2020, the Company repurchased 206,964 shares at a weighted average price per share of $14.17 inclusive of commissions, for a total cost of $2.9 million. For the year end December 31, 2021, no shares were repurchased.</w:t>
      </w:r>
    </w:p>
    <w:p>
      <w:pPr>
        <w:spacing w:after="0" w:line="355" w:lineRule="exact"/>
        <w:rPr>
          <w:sz w:val="20"/>
          <w:szCs w:val="20"/>
          <w:color w:val="auto"/>
        </w:rPr>
      </w:pPr>
    </w:p>
    <w:p>
      <w:pPr>
        <w:ind w:left="280" w:hanging="272"/>
        <w:spacing w:after="0"/>
        <w:tabs>
          <w:tab w:leader="none" w:pos="2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3"/>
                <w:szCs w:val="13"/>
                <w:color w:val="auto"/>
              </w:rPr>
            </w:pPr>
          </w:p>
        </w:tc>
        <w:tc>
          <w:tcPr>
            <w:tcW w:w="16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3"/>
                <w:szCs w:val="13"/>
                <w:color w:val="auto"/>
              </w:rPr>
            </w:pPr>
          </w:p>
        </w:tc>
        <w:tc>
          <w:tcPr>
            <w:tcW w:w="136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10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share—basic</w:t>
            </w: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Numerator for 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211,780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178,108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154,583</w:t>
            </w:r>
          </w:p>
        </w:tc>
        <w:tc>
          <w:tcPr>
            <w:tcW w:w="100" w:type="dxa"/>
            <w:vAlign w:val="bottom"/>
          </w:tcPr>
          <w:p>
            <w:pPr>
              <w:spacing w:after="0"/>
              <w:rPr>
                <w:sz w:val="19"/>
                <w:szCs w:val="19"/>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72,169,488</w:t>
            </w:r>
          </w:p>
        </w:tc>
        <w:tc>
          <w:tcPr>
            <w:tcW w:w="2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67,209,078</w:t>
            </w:r>
          </w:p>
        </w:tc>
        <w:tc>
          <w:tcPr>
            <w:tcW w:w="2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66,069,305</w:t>
            </w:r>
          </w:p>
        </w:tc>
        <w:tc>
          <w:tcPr>
            <w:tcW w:w="100" w:type="dxa"/>
            <w:vAlign w:val="bottom"/>
            <w:shd w:val="clear" w:color="auto" w:fill="CFF0FC"/>
          </w:tcPr>
          <w:p>
            <w:pPr>
              <w:spacing w:after="0"/>
              <w:rPr>
                <w:sz w:val="20"/>
                <w:szCs w:val="20"/>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per common share—basic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Numerator for increase in net assets per</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tcPr>
          <w:p>
            <w:pPr>
              <w:ind w:left="80"/>
              <w:spacing w:after="0"/>
              <w:rPr>
                <w:sz w:val="20"/>
                <w:szCs w:val="20"/>
                <w:color w:val="auto"/>
              </w:rPr>
            </w:pPr>
            <w:r>
              <w:rPr>
                <w:rFonts w:ascii="Arial" w:cs="Arial" w:eastAsia="Arial" w:hAnsi="Arial"/>
                <w:sz w:val="18"/>
                <w:szCs w:val="18"/>
                <w:color w:val="auto"/>
              </w:rPr>
              <w:t>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211,780</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178,108</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154,583</w:t>
            </w:r>
          </w:p>
        </w:tc>
        <w:tc>
          <w:tcPr>
            <w:tcW w:w="100" w:type="dxa"/>
            <w:vAlign w:val="bottom"/>
          </w:tcPr>
          <w:p>
            <w:pPr>
              <w:spacing w:after="0"/>
              <w:rPr>
                <w:sz w:val="20"/>
                <w:szCs w:val="20"/>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Adjustment for interest expense and</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deferred financing costs on Convertible</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Notes, incentive fee and excise tax, net</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Numerator for diluted earnings per share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216,974</w:t>
            </w: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178,108</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154,583</w:t>
            </w:r>
          </w:p>
        </w:tc>
        <w:tc>
          <w:tcPr>
            <w:tcW w:w="100" w:type="dxa"/>
            <w:vAlign w:val="bottom"/>
          </w:tcPr>
          <w:p>
            <w:pPr>
              <w:spacing w:after="0"/>
              <w:rPr>
                <w:sz w:val="19"/>
                <w:szCs w:val="19"/>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72,169,488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67,209,078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66,069,305</w:t>
            </w:r>
          </w:p>
        </w:tc>
        <w:tc>
          <w:tcPr>
            <w:tcW w:w="100" w:type="dxa"/>
            <w:vAlign w:val="bottom"/>
            <w:shd w:val="clear" w:color="auto" w:fill="CFF0FC"/>
          </w:tcPr>
          <w:p>
            <w:pPr>
              <w:spacing w:after="0"/>
              <w:rPr>
                <w:sz w:val="20"/>
                <w:szCs w:val="20"/>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Adjustment for dilutive effect of Convertible Notes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5,532,770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weighted average</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77,702,258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67,209,078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66,069,305</w:t>
            </w:r>
          </w:p>
        </w:tc>
        <w:tc>
          <w:tcPr>
            <w:tcW w:w="100" w:type="dxa"/>
            <w:vAlign w:val="bottom"/>
            <w:shd w:val="clear" w:color="auto" w:fill="CFF0FC"/>
          </w:tcPr>
          <w:p>
            <w:pPr>
              <w:spacing w:after="0"/>
              <w:rPr>
                <w:sz w:val="20"/>
                <w:szCs w:val="20"/>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Earnings per common share—diluted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 certain circumstances, the 2022 Convertible Notes will be convertible into cash, shares of the Company’s common stock or a combination of cash and shares of the Company’s common stock, at the Company’s election which can be dilutive to common stockholders. Diluted earnings (loss) per share is the amount of earnings (loss)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33" w:name="page134"/>
    <w:bookmarkEnd w:id="133"/>
    <w:p>
      <w:pPr>
        <w:ind w:right="500"/>
        <w:spacing w:after="0" w:line="263" w:lineRule="auto"/>
        <w:rPr>
          <w:sz w:val="20"/>
          <w:szCs w:val="20"/>
          <w:color w:val="auto"/>
        </w:rPr>
      </w:pPr>
      <w:r>
        <w:rPr>
          <w:rFonts w:ascii="Arial" w:cs="Arial" w:eastAsia="Arial" w:hAnsi="Arial"/>
          <w:sz w:val="18"/>
          <w:szCs w:val="18"/>
          <w:color w:val="auto"/>
        </w:rPr>
        <w:t>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spacing w:after="0" w:line="184" w:lineRule="exact"/>
        <w:rPr>
          <w:sz w:val="20"/>
          <w:szCs w:val="20"/>
          <w:color w:val="auto"/>
        </w:rPr>
      </w:pPr>
    </w:p>
    <w:p>
      <w:pPr>
        <w:ind w:right="480" w:firstLine="255"/>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2021 was greater than the estimated adjusted conversion price for the 2022 Convertible Notes outstanding as of December 31, 2021. Therefore, for this period presented in the consolidated financial statements the Company applied the if-converted method for purposes of calculating diluted earnings per common share.</w:t>
      </w:r>
    </w:p>
    <w:p>
      <w:pPr>
        <w:spacing w:after="0" w:line="187"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daily closing prices of the Company’s common stock for the years ended December 31, 2020 and 2019 were less than the estimated adjusted conversion prices for the 2022 Convertible Notes outstanding as of December 31, 2020 and 2019, respectively. Therefore, for these periods presented in the consolidated financial statements, the 2022 Convertible Notes have no impact on the computation of diluted earnings per common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700" w:firstLine="255"/>
        <w:spacing w:after="0" w:line="342"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years ended December 31, 2021,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60" w:type="dxa"/>
            <w:vAlign w:val="bottom"/>
            <w:gridSpan w:val="2"/>
          </w:tcPr>
          <w:p>
            <w:pPr>
              <w:jc w:val="center"/>
              <w:ind w:right="1612"/>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vMerge w:val="continue"/>
          </w:tcPr>
          <w:p>
            <w:pPr>
              <w:spacing w:after="0"/>
              <w:rPr>
                <w:sz w:val="13"/>
                <w:szCs w:val="13"/>
                <w:color w:val="auto"/>
              </w:rPr>
            </w:pPr>
          </w:p>
        </w:tc>
        <w:tc>
          <w:tcPr>
            <w:tcW w:w="11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Dividend</w:t>
            </w:r>
          </w:p>
        </w:tc>
        <w:tc>
          <w:tcPr>
            <w:tcW w:w="2180" w:type="dxa"/>
            <w:vAlign w:val="bottom"/>
          </w:tcPr>
          <w:p>
            <w:pPr>
              <w:jc w:val="right"/>
              <w:ind w:right="613"/>
              <w:spacing w:after="0" w:line="155" w:lineRule="exact"/>
              <w:rPr>
                <w:sz w:val="20"/>
                <w:szCs w:val="20"/>
                <w:color w:val="auto"/>
              </w:rPr>
            </w:pPr>
            <w:r>
              <w:rPr>
                <w:rFonts w:ascii="Arial" w:cs="Arial" w:eastAsia="Arial" w:hAnsi="Arial"/>
                <w:sz w:val="14"/>
                <w:szCs w:val="14"/>
                <w:b w:val="1"/>
                <w:bCs w:val="1"/>
                <w:color w:val="auto"/>
              </w:rPr>
              <w:t>Record Date</w:t>
            </w:r>
          </w:p>
        </w:tc>
        <w:tc>
          <w:tcPr>
            <w:tcW w:w="140" w:type="dxa"/>
            <w:vAlign w:val="bottom"/>
          </w:tcPr>
          <w:p>
            <w:pPr>
              <w:spacing w:after="0"/>
              <w:rPr>
                <w:sz w:val="13"/>
                <w:szCs w:val="13"/>
                <w:color w:val="auto"/>
              </w:rPr>
            </w:pPr>
          </w:p>
        </w:tc>
        <w:tc>
          <w:tcPr>
            <w:tcW w:w="2320" w:type="dxa"/>
            <w:vAlign w:val="bottom"/>
          </w:tcPr>
          <w:p>
            <w:pPr>
              <w:jc w:val="right"/>
              <w:ind w:right="652"/>
              <w:spacing w:after="0" w:line="155"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26, 2021</w:t>
            </w:r>
          </w:p>
        </w:tc>
        <w:tc>
          <w:tcPr>
            <w:tcW w:w="14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February 17, 2021</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tcPr>
          <w:p>
            <w:pPr>
              <w:jc w:val="right"/>
              <w:spacing w:after="0"/>
              <w:rPr>
                <w:sz w:val="20"/>
                <w:szCs w:val="20"/>
                <w:color w:val="auto"/>
              </w:rPr>
            </w:pPr>
            <w:r>
              <w:rPr>
                <w:rFonts w:ascii="Arial" w:cs="Arial" w:eastAsia="Arial" w:hAnsi="Arial"/>
                <w:sz w:val="18"/>
                <w:szCs w:val="18"/>
                <w:color w:val="auto"/>
              </w:rPr>
              <w:t>March 15, 2021</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April 15, 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Special</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25, 2021</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8, 2021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May 4, 2021</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180" w:type="dxa"/>
            <w:vAlign w:val="bottom"/>
          </w:tcPr>
          <w:p>
            <w:pPr>
              <w:jc w:val="right"/>
              <w:spacing w:after="0"/>
              <w:rPr>
                <w:sz w:val="20"/>
                <w:szCs w:val="20"/>
                <w:color w:val="auto"/>
              </w:rPr>
            </w:pPr>
            <w:r>
              <w:rPr>
                <w:rFonts w:ascii="Arial" w:cs="Arial" w:eastAsia="Arial" w:hAnsi="Arial"/>
                <w:sz w:val="18"/>
                <w:szCs w:val="18"/>
                <w:color w:val="auto"/>
              </w:rPr>
              <w:t>May 28, 2021</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May 4, 2021</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15, 2021</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August 3, 2021</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180" w:type="dxa"/>
            <w:vAlign w:val="bottom"/>
          </w:tcPr>
          <w:p>
            <w:pPr>
              <w:jc w:val="right"/>
              <w:spacing w:after="0"/>
              <w:rPr>
                <w:sz w:val="20"/>
                <w:szCs w:val="20"/>
                <w:color w:val="auto"/>
              </w:rPr>
            </w:pPr>
            <w:r>
              <w:rPr>
                <w:rFonts w:ascii="Arial" w:cs="Arial" w:eastAsia="Arial" w:hAnsi="Arial"/>
                <w:sz w:val="18"/>
                <w:szCs w:val="18"/>
                <w:color w:val="auto"/>
              </w:rPr>
              <w:t>August 31, 2021</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August 3, 2021</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15, 2021</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15, 2021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November 2, 2021</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180" w:type="dxa"/>
            <w:vAlign w:val="bottom"/>
          </w:tcPr>
          <w:p>
            <w:pPr>
              <w:jc w:val="right"/>
              <w:spacing w:after="0"/>
              <w:rPr>
                <w:sz w:val="20"/>
                <w:szCs w:val="20"/>
                <w:color w:val="auto"/>
              </w:rPr>
            </w:pPr>
            <w:r>
              <w:rPr>
                <w:rFonts w:ascii="Arial" w:cs="Arial" w:eastAsia="Arial" w:hAnsi="Arial"/>
                <w:sz w:val="18"/>
                <w:szCs w:val="18"/>
                <w:color w:val="auto"/>
              </w:rPr>
              <w:t>November 30, 2021</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December 31, 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November 2, 2021</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Special</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7, 2021</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20, 2021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2, 2021</w:t>
            </w:r>
          </w:p>
        </w:tc>
        <w:tc>
          <w:tcPr>
            <w:tcW w:w="114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December 15, 2021</w:t>
            </w:r>
          </w:p>
        </w:tc>
        <w:tc>
          <w:tcPr>
            <w:tcW w:w="1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14, 2022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gridSpan w:val="2"/>
            <w:vMerge w:val="restart"/>
          </w:tcPr>
          <w:p>
            <w:pPr>
              <w:jc w:val="center"/>
              <w:ind w:right="1612"/>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vMerge w:val="continue"/>
          </w:tcPr>
          <w:p>
            <w:pPr>
              <w:spacing w:after="0"/>
              <w:rPr>
                <w:sz w:val="13"/>
                <w:szCs w:val="13"/>
                <w:color w:val="auto"/>
              </w:rPr>
            </w:pPr>
          </w:p>
        </w:tc>
        <w:tc>
          <w:tcPr>
            <w:tcW w:w="11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Dividend</w:t>
            </w:r>
          </w:p>
        </w:tc>
        <w:tc>
          <w:tcPr>
            <w:tcW w:w="2180" w:type="dxa"/>
            <w:vAlign w:val="bottom"/>
          </w:tcPr>
          <w:p>
            <w:pPr>
              <w:jc w:val="right"/>
              <w:ind w:right="613"/>
              <w:spacing w:after="0" w:line="155" w:lineRule="exact"/>
              <w:rPr>
                <w:sz w:val="20"/>
                <w:szCs w:val="20"/>
                <w:color w:val="auto"/>
              </w:rPr>
            </w:pPr>
            <w:r>
              <w:rPr>
                <w:rFonts w:ascii="Arial" w:cs="Arial" w:eastAsia="Arial" w:hAnsi="Arial"/>
                <w:sz w:val="14"/>
                <w:szCs w:val="14"/>
                <w:b w:val="1"/>
                <w:bCs w:val="1"/>
                <w:color w:val="auto"/>
              </w:rPr>
              <w:t>Record Date</w:t>
            </w:r>
          </w:p>
        </w:tc>
        <w:tc>
          <w:tcPr>
            <w:tcW w:w="140" w:type="dxa"/>
            <w:vAlign w:val="bottom"/>
          </w:tcPr>
          <w:p>
            <w:pPr>
              <w:spacing w:after="0"/>
              <w:rPr>
                <w:sz w:val="13"/>
                <w:szCs w:val="13"/>
                <w:color w:val="auto"/>
              </w:rPr>
            </w:pPr>
          </w:p>
        </w:tc>
        <w:tc>
          <w:tcPr>
            <w:tcW w:w="2320" w:type="dxa"/>
            <w:vAlign w:val="bottom"/>
          </w:tcPr>
          <w:p>
            <w:pPr>
              <w:jc w:val="right"/>
              <w:ind w:right="652"/>
              <w:spacing w:after="0" w:line="155"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2020</w:t>
            </w:r>
          </w:p>
        </w:tc>
        <w:tc>
          <w:tcPr>
            <w:tcW w:w="14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February 19, 2020</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April 15, 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Special</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15, 2020</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February 19, 2020</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Special</w:t>
            </w:r>
          </w:p>
        </w:tc>
        <w:tc>
          <w:tcPr>
            <w:tcW w:w="2180" w:type="dxa"/>
            <w:vAlign w:val="bottom"/>
          </w:tcPr>
          <w:p>
            <w:pPr>
              <w:jc w:val="right"/>
              <w:spacing w:after="0"/>
              <w:rPr>
                <w:sz w:val="20"/>
                <w:szCs w:val="20"/>
                <w:color w:val="auto"/>
              </w:rPr>
            </w:pPr>
            <w:r>
              <w:rPr>
                <w:rFonts w:ascii="Arial" w:cs="Arial" w:eastAsia="Arial" w:hAnsi="Arial"/>
                <w:sz w:val="18"/>
                <w:szCs w:val="18"/>
                <w:color w:val="auto"/>
              </w:rPr>
              <w:t>June 15, 2020</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May 5, 2020</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15, 2020</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August 4, 2020</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tcPr>
          <w:p>
            <w:pPr>
              <w:jc w:val="right"/>
              <w:spacing w:after="0"/>
              <w:rPr>
                <w:sz w:val="20"/>
                <w:szCs w:val="20"/>
                <w:color w:val="auto"/>
              </w:rPr>
            </w:pPr>
            <w:r>
              <w:rPr>
                <w:rFonts w:ascii="Arial" w:cs="Arial" w:eastAsia="Arial" w:hAnsi="Arial"/>
                <w:sz w:val="18"/>
                <w:szCs w:val="18"/>
                <w:color w:val="auto"/>
              </w:rPr>
              <w:t>September 15, 2020</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October 15, 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November 4, 2020</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Supplemental</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30, 2020</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4, 2020</w:t>
            </w:r>
          </w:p>
        </w:tc>
        <w:tc>
          <w:tcPr>
            <w:tcW w:w="114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7"/>
              </w:rPr>
              <w:t>Base</w:t>
            </w:r>
          </w:p>
        </w:tc>
        <w:tc>
          <w:tcPr>
            <w:tcW w:w="2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December 15, 2020</w:t>
            </w:r>
          </w:p>
        </w:tc>
        <w:tc>
          <w:tcPr>
            <w:tcW w:w="1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15, 2021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vMerge w:val="restart"/>
          </w:tcPr>
          <w:p>
            <w:pPr>
              <w:jc w:val="right"/>
              <w:ind w:right="1153"/>
              <w:spacing w:after="0"/>
              <w:rPr>
                <w:sz w:val="20"/>
                <w:szCs w:val="20"/>
                <w:color w:val="auto"/>
              </w:rPr>
            </w:pPr>
            <w:r>
              <w:rPr>
                <w:rFonts w:ascii="Arial" w:cs="Arial" w:eastAsia="Arial" w:hAnsi="Arial"/>
                <w:sz w:val="18"/>
                <w:szCs w:val="18"/>
                <w:color w:val="auto"/>
              </w:rPr>
              <w:t>F-45</w:t>
            </w: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jc w:val="right"/>
              <w:ind w:right="1055"/>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vMerge w:val="continue"/>
          </w:tcPr>
          <w:p>
            <w:pPr>
              <w:spacing w:after="0"/>
              <w:rPr>
                <w:sz w:val="13"/>
                <w:szCs w:val="13"/>
                <w:color w:val="auto"/>
              </w:rPr>
            </w:pPr>
          </w:p>
        </w:tc>
        <w:tc>
          <w:tcPr>
            <w:tcW w:w="11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Dividend</w:t>
            </w:r>
          </w:p>
        </w:tc>
        <w:tc>
          <w:tcPr>
            <w:tcW w:w="2300" w:type="dxa"/>
            <w:vAlign w:val="bottom"/>
            <w:gridSpan w:val="2"/>
          </w:tcPr>
          <w:p>
            <w:pPr>
              <w:ind w:left="680"/>
              <w:spacing w:after="0" w:line="155" w:lineRule="exact"/>
              <w:rPr>
                <w:sz w:val="20"/>
                <w:szCs w:val="20"/>
                <w:color w:val="auto"/>
              </w:rPr>
            </w:pPr>
            <w:r>
              <w:rPr>
                <w:rFonts w:ascii="Arial" w:cs="Arial" w:eastAsia="Arial" w:hAnsi="Arial"/>
                <w:sz w:val="14"/>
                <w:szCs w:val="14"/>
                <w:b w:val="1"/>
                <w:bCs w:val="1"/>
                <w:color w:val="auto"/>
              </w:rPr>
              <w:t>Record Date</w:t>
            </w:r>
          </w:p>
        </w:tc>
        <w:tc>
          <w:tcPr>
            <w:tcW w:w="2320" w:type="dxa"/>
            <w:vAlign w:val="bottom"/>
          </w:tcPr>
          <w:p>
            <w:pPr>
              <w:jc w:val="right"/>
              <w:ind w:right="655"/>
              <w:spacing w:after="0" w:line="155"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4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2019</w:t>
            </w:r>
          </w:p>
        </w:tc>
        <w:tc>
          <w:tcPr>
            <w:tcW w:w="14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February 20, 2019</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2"/>
              </w:rPr>
              <w:t>Base</w:t>
            </w: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March 15, 2019</w:t>
            </w:r>
          </w:p>
        </w:tc>
        <w:tc>
          <w:tcPr>
            <w:tcW w:w="2320" w:type="dxa"/>
            <w:vAlign w:val="bottom"/>
          </w:tcPr>
          <w:p>
            <w:pPr>
              <w:jc w:val="right"/>
              <w:spacing w:after="0"/>
              <w:rPr>
                <w:sz w:val="20"/>
                <w:szCs w:val="20"/>
                <w:color w:val="auto"/>
              </w:rPr>
            </w:pPr>
            <w:r>
              <w:rPr>
                <w:rFonts w:ascii="Arial" w:cs="Arial" w:eastAsia="Arial" w:hAnsi="Arial"/>
                <w:sz w:val="18"/>
                <w:szCs w:val="18"/>
                <w:color w:val="auto"/>
              </w:rPr>
              <w:t>April 15, 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11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May 31, 2019</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28, 2019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May 2, 2019</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2"/>
              </w:rPr>
              <w:t>Base</w:t>
            </w: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June 14, 2019</w:t>
            </w:r>
          </w:p>
        </w:tc>
        <w:tc>
          <w:tcPr>
            <w:tcW w:w="2320" w:type="dxa"/>
            <w:vAlign w:val="bottom"/>
          </w:tcPr>
          <w:p>
            <w:pPr>
              <w:jc w:val="right"/>
              <w:spacing w:after="0"/>
              <w:rPr>
                <w:sz w:val="20"/>
                <w:szCs w:val="20"/>
                <w:color w:val="auto"/>
              </w:rPr>
            </w:pPr>
            <w:r>
              <w:rPr>
                <w:rFonts w:ascii="Arial" w:cs="Arial" w:eastAsia="Arial" w:hAnsi="Arial"/>
                <w:sz w:val="18"/>
                <w:szCs w:val="18"/>
                <w:color w:val="auto"/>
              </w:rPr>
              <w:t>July 15, 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July 31, 2019</w:t>
            </w:r>
          </w:p>
        </w:tc>
        <w:tc>
          <w:tcPr>
            <w:tcW w:w="11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August 30, 2019</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30, 2019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July 31, 2019</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2"/>
              </w:rPr>
              <w:t>Base</w:t>
            </w: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13, 2019</w:t>
            </w:r>
          </w:p>
        </w:tc>
        <w:tc>
          <w:tcPr>
            <w:tcW w:w="2320" w:type="dxa"/>
            <w:vAlign w:val="bottom"/>
          </w:tcPr>
          <w:p>
            <w:pPr>
              <w:jc w:val="right"/>
              <w:spacing w:after="0"/>
              <w:rPr>
                <w:sz w:val="20"/>
                <w:szCs w:val="20"/>
                <w:color w:val="auto"/>
              </w:rPr>
            </w:pPr>
            <w:r>
              <w:rPr>
                <w:rFonts w:ascii="Arial" w:cs="Arial" w:eastAsia="Arial" w:hAnsi="Arial"/>
                <w:sz w:val="18"/>
                <w:szCs w:val="18"/>
                <w:color w:val="auto"/>
              </w:rPr>
              <w:t>October 15, 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11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November 29, 2019</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31, 2019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5, 2019</w:t>
            </w:r>
          </w:p>
        </w:tc>
        <w:tc>
          <w:tcPr>
            <w:tcW w:w="114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2"/>
              </w:rPr>
              <w:t>Base</w:t>
            </w:r>
          </w:p>
        </w:tc>
        <w:tc>
          <w:tcPr>
            <w:tcW w:w="23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13, 2019</w:t>
            </w:r>
          </w:p>
        </w:tc>
        <w:tc>
          <w:tcPr>
            <w:tcW w:w="2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15, 2020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80" w:firstLine="255"/>
        <w:spacing w:after="0" w:line="277" w:lineRule="auto"/>
        <w:rPr>
          <w:sz w:val="20"/>
          <w:szCs w:val="20"/>
          <w:color w:val="auto"/>
        </w:rPr>
      </w:pPr>
      <w:r>
        <w:rPr>
          <w:rFonts w:ascii="Arial" w:cs="Arial" w:eastAsia="Arial" w:hAnsi="Arial"/>
          <w:sz w:val="18"/>
          <w:szCs w:val="18"/>
          <w:color w:val="auto"/>
        </w:rPr>
        <w:t>The dividends declared during the years ended December 31, 2021, 2020 and 2019 were derived from net investment income and long-term capital gains, determined on a tax basis.</w:t>
      </w:r>
    </w:p>
    <w:p>
      <w:pPr>
        <w:spacing w:after="0" w:line="355"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fiscal years ended December 31, 2021, 2020 and 2019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w:t>
            </w:r>
          </w:p>
        </w:tc>
      </w:tr>
      <w:tr>
        <w:trPr>
          <w:trHeight w:val="155"/>
        </w:trPr>
        <w:tc>
          <w:tcPr>
            <w:tcW w:w="4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0"/>
              </w:rPr>
              <w:t>December 31, 2020</w:t>
            </w: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Long-Term Capital Gains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400" w:hanging="492"/>
        <w:spacing w:after="0" w:line="277"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the years ended December 31, 2021, 2020 and 2019, 84.46%, 80.87%, and 80.49% of ordinary income qualified as interest related dividend which is exempt from U.S. withholding tax applicable to non-U.S. shareholders.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basis components of distributable earnings for the years ended December 31, 2021, 2020 and 2019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56"/>
        </w:trPr>
        <w:tc>
          <w:tcPr>
            <w:tcW w:w="4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0"/>
              </w:rPr>
              <w:t>December 31, 2020</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 - tax basis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124,292</w:t>
            </w:r>
          </w:p>
        </w:tc>
        <w:tc>
          <w:tcPr>
            <w:tcW w:w="100" w:type="dxa"/>
            <w:vAlign w:val="bottom"/>
            <w:shd w:val="clear" w:color="auto" w:fill="CFF0FC"/>
          </w:tcPr>
          <w:p>
            <w:pPr>
              <w:spacing w:after="0"/>
              <w:rPr>
                <w:sz w:val="19"/>
                <w:szCs w:val="19"/>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Undistributed net realized gains (losses) - tax</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basis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0"/>
                <w:szCs w:val="20"/>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8,908</w:t>
            </w:r>
          </w:p>
        </w:tc>
        <w:tc>
          <w:tcPr>
            <w:tcW w:w="10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1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(19,144)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(5,737)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(30,343)</w:t>
            </w: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distributable earnings - book basis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20" w:firstLine="255"/>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2021, 2020 and 2019, to taxable income at December 31, 2021,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0"/>
              </w:rPr>
              <w:t>December 31, 2020</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178,108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154,583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(40,546)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(33,695)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(24,262)</w:t>
            </w:r>
          </w:p>
        </w:tc>
        <w:tc>
          <w:tcPr>
            <w:tcW w:w="114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Other income for tax purposes, not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book</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28,096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(3,771)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(9,021)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5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Taxable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145,750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40" w:type="dxa"/>
            <w:vAlign w:val="bottom"/>
            <w:gridSpan w:val="3"/>
          </w:tcPr>
          <w:p>
            <w:pPr>
              <w:jc w:val="right"/>
              <w:ind w:right="1140"/>
              <w:spacing w:after="0"/>
              <w:rPr>
                <w:sz w:val="20"/>
                <w:szCs w:val="20"/>
                <w:color w:val="auto"/>
              </w:rPr>
            </w:pPr>
            <w:r>
              <w:rPr>
                <w:rFonts w:ascii="Arial" w:cs="Arial" w:eastAsia="Arial" w:hAnsi="Arial"/>
                <w:sz w:val="18"/>
                <w:szCs w:val="18"/>
                <w:color w:val="auto"/>
              </w:rPr>
              <w:t>F-46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75" w:right="319" w:bottom="1440" w:gutter="0" w:footer="0" w:header="0"/>
        </w:sectPr>
      </w:pPr>
    </w:p>
    <w:bookmarkStart w:id="135" w:name="page136"/>
    <w:bookmarkEnd w:id="135"/>
    <w:p>
      <w:pPr>
        <w:ind w:left="260"/>
        <w:spacing w:after="0"/>
        <w:rPr>
          <w:sz w:val="20"/>
          <w:szCs w:val="20"/>
          <w:color w:val="auto"/>
        </w:rPr>
      </w:pPr>
      <w:r>
        <w:rPr>
          <w:rFonts w:ascii="Arial" w:cs="Arial" w:eastAsia="Arial" w:hAnsi="Arial"/>
          <w:sz w:val="16"/>
          <w:szCs w:val="16"/>
          <w:color w:val="auto"/>
        </w:rPr>
        <w:t>Note: Taxable income is an estimate and is not fully determined until the Company’s tax return is filed. The Company’s tax year end is March 31</w:t>
      </w:r>
      <w:r>
        <w:rPr>
          <w:rFonts w:ascii="Arial" w:cs="Arial" w:eastAsia="Arial" w:hAnsi="Arial"/>
          <w:sz w:val="13"/>
          <w:szCs w:val="13"/>
          <w:color w:val="auto"/>
        </w:rPr>
        <w:t>st</w:t>
      </w:r>
      <w:r>
        <w:rPr>
          <w:rFonts w:ascii="Arial" w:cs="Arial" w:eastAsia="Arial" w:hAnsi="Arial"/>
          <w:sz w:val="16"/>
          <w:szCs w:val="16"/>
          <w:color w:val="auto"/>
        </w:rPr>
        <w:t>.</w:t>
      </w:r>
    </w:p>
    <w:p>
      <w:pPr>
        <w:spacing w:after="0" w:line="248"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4"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During the period April 1, 2021 through December 31, 2021, the Company decreased distributable earnings and increased additional paid in capital by less than $0.1 million primarily attributable to U.S. federal excise taxes.</w:t>
      </w:r>
    </w:p>
    <w:p>
      <w:pPr>
        <w:spacing w:after="0" w:line="170"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During the period April 1, 2020 through December 31, 2020, the Company increased distributable earnings and decreased additional paid in capital by $4.0 million which was primarily attributable to U.S. federal excise taxes.</w:t>
      </w:r>
    </w:p>
    <w:p>
      <w:pPr>
        <w:spacing w:after="0" w:line="170"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During the period April 1, 2019 through December 31, 2019, the Company increased distributable earnings and decreased additional paid in capital by $3.5 million attributable to U.S. federal excise taxes.</w:t>
      </w:r>
    </w:p>
    <w:p>
      <w:pPr>
        <w:spacing w:after="0" w:line="170"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7" w:lineRule="exact"/>
        <w:rPr>
          <w:sz w:val="20"/>
          <w:szCs w:val="20"/>
          <w:color w:val="auto"/>
        </w:rPr>
      </w:pPr>
    </w:p>
    <w:p>
      <w:pPr>
        <w:ind w:right="180" w:firstLine="255"/>
        <w:spacing w:after="0" w:line="311" w:lineRule="auto"/>
        <w:rPr>
          <w:sz w:val="20"/>
          <w:szCs w:val="20"/>
          <w:color w:val="auto"/>
        </w:rPr>
      </w:pPr>
      <w:r>
        <w:rPr>
          <w:rFonts w:ascii="Arial" w:cs="Arial" w:eastAsia="Arial" w:hAnsi="Arial"/>
          <w:sz w:val="16"/>
          <w:szCs w:val="16"/>
          <w:color w:val="auto"/>
        </w:rPr>
        <w:t>As of December 31, 2021, the Company had a deferred tax liability of $2.8 million pertaining to unrealized gains, related to six of its investments. Given the unrealized gains generated by the entity, the deferred tax liability has been offset by a deferred tax asset of $0.9 million pertaining to operating losses. The Company carried back a portion of its operating losses to the previous tax years generating a $0.3 million tax refund.</w:t>
      </w:r>
    </w:p>
    <w:p>
      <w:pPr>
        <w:spacing w:after="0" w:line="149"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As of December 31, 2020, the Company had a deferred tax asset of $0.4 million pertaining to operating losses, related to one of its investments. Given the losses generated by the entity, the deferred tax asset has been offset by a valuation allowance of $0.4 million.</w:t>
      </w:r>
    </w:p>
    <w:p>
      <w:pPr>
        <w:spacing w:after="0" w:line="170"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As of December 31, 2019, the Company had a deferred tax asset of $5.9 million pertaining to operating losses, related to one of its investments. Given the losses generated by the entity, the deferred tax asset has been offset by a valuation allowance of $5.9 million.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tax cost of the Company’s investments as of December 31, 2021 was $2,445,863, resulting in estimated gross unrealized gains and losses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$156,819 and $79,599, respectively. The tax cost of the Company’s investments as of December 31, 2020 was $2,285,393, resulting in estimated gross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gains and losses of $125,374 and $101,215, respectively. The tax cost of the Company’s investments as of December 31, 2019 was $2,230,116,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estimated gross unrealized gains and losses of $87,386 and $78,478,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300" w:firstLine="255"/>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2021, 2020, 2019, 2018 and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2021</w:t>
            </w:r>
          </w:p>
        </w:tc>
        <w:tc>
          <w:tcPr>
            <w:tcW w:w="15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December 31, 2020</w:t>
            </w: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2018</w:t>
            </w: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December 31, 2017</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17.16</w:t>
            </w:r>
          </w:p>
        </w:tc>
        <w:tc>
          <w:tcPr>
            <w:tcW w:w="3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16.25</w:t>
            </w:r>
          </w:p>
        </w:tc>
        <w:tc>
          <w:tcPr>
            <w:tcW w:w="240" w:type="dxa"/>
            <w:vAlign w:val="bottom"/>
          </w:tcPr>
          <w:p>
            <w:pPr>
              <w:spacing w:after="0"/>
              <w:rPr>
                <w:sz w:val="19"/>
                <w:szCs w:val="19"/>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c>
          <w:tcPr>
            <w:tcW w:w="3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r>
      <w:tr>
        <w:trPr>
          <w:trHeight w:val="229"/>
        </w:trPr>
        <w:tc>
          <w:tcPr>
            <w:tcW w:w="3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gains (losses) </w:t>
            </w:r>
            <w:r>
              <w:rPr>
                <w:rFonts w:ascii="Arial" w:cs="Arial" w:eastAsia="Arial" w:hAnsi="Arial"/>
                <w:sz w:val="15"/>
                <w:szCs w:val="15"/>
                <w:color w:val="auto"/>
              </w:rPr>
              <w:t>(1)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(0.14)</w:t>
            </w:r>
          </w:p>
        </w:tc>
      </w:tr>
      <w:tr>
        <w:trPr>
          <w:trHeight w:val="223"/>
        </w:trPr>
        <w:tc>
          <w:tcPr>
            <w:tcW w:w="3000" w:type="dxa"/>
            <w:vAlign w:val="bottom"/>
          </w:tcPr>
          <w:p>
            <w:pPr>
              <w:ind w:left="260"/>
              <w:spacing w:after="0"/>
              <w:rPr>
                <w:sz w:val="20"/>
                <w:szCs w:val="20"/>
                <w:color w:val="auto"/>
              </w:rPr>
            </w:pPr>
            <w:r>
              <w:rPr>
                <w:rFonts w:ascii="Arial" w:cs="Arial" w:eastAsia="Arial" w:hAnsi="Arial"/>
                <w:sz w:val="18"/>
                <w:szCs w:val="18"/>
                <w:color w:val="auto"/>
              </w:rPr>
              <w:t>Total from operations</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FF0FC"/>
          </w:tcPr>
          <w:p>
            <w:pPr>
              <w:spacing w:after="0"/>
              <w:rPr>
                <w:sz w:val="20"/>
                <w:szCs w:val="20"/>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Settlement of convertible notes </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net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Dividends declared from realized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 xml:space="preserve">gains </w:t>
            </w:r>
            <w:r>
              <w:rPr>
                <w:rFonts w:ascii="Arial" w:cs="Arial" w:eastAsia="Arial" w:hAnsi="Arial"/>
                <w:sz w:val="15"/>
                <w:szCs w:val="15"/>
                <w:color w:val="auto"/>
              </w:rPr>
              <w:t>(2)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r>
      <w:tr>
        <w:trPr>
          <w:trHeight w:val="209"/>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(decrease) in net</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FF0FC"/>
          </w:tcPr>
          <w:p>
            <w:pPr>
              <w:spacing w:after="0"/>
              <w:rPr>
                <w:sz w:val="20"/>
                <w:szCs w:val="20"/>
                <w:color w:val="auto"/>
              </w:rPr>
            </w:pPr>
          </w:p>
        </w:tc>
      </w:tr>
      <w:tr>
        <w:trPr>
          <w:trHeight w:val="223"/>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Asset Value, End of Period</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3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3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Borders>
              <w:bottom w:val="single" w:sz="8" w:color="CFF0FC"/>
            </w:tcBorders>
          </w:tcPr>
          <w:p>
            <w:pPr>
              <w:spacing w:after="0"/>
              <w:rPr>
                <w:sz w:val="19"/>
                <w:szCs w:val="19"/>
                <w:color w:val="auto"/>
              </w:rPr>
            </w:pPr>
          </w:p>
        </w:tc>
      </w:tr>
      <w:tr>
        <w:trPr>
          <w:trHeight w:val="209"/>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4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2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2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80" w:type="dxa"/>
            <w:vAlign w:val="bottom"/>
            <w:shd w:val="clear" w:color="auto" w:fill="CFF0FC"/>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Total return based on market value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 xml:space="preserve">with reinvestment of dividends </w:t>
            </w:r>
            <w:r>
              <w:rPr>
                <w:rFonts w:ascii="Arial" w:cs="Arial" w:eastAsia="Arial" w:hAnsi="Arial"/>
                <w:sz w:val="15"/>
                <w:szCs w:val="15"/>
                <w:color w:val="auto"/>
              </w:rPr>
              <w:t>(3)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32.80%</w:t>
            </w: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15.75%</w:t>
            </w: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Total return based on market value </w:t>
            </w:r>
            <w:r>
              <w:rPr>
                <w:rFonts w:ascii="Arial" w:cs="Arial" w:eastAsia="Arial" w:hAnsi="Arial"/>
                <w:sz w:val="15"/>
                <w:szCs w:val="15"/>
                <w:color w:val="auto"/>
                <w:w w:val="98"/>
              </w:rPr>
              <w:t>(4)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30.02%</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28.69%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15.36%</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Total return based on net asset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19.06%</w:t>
            </w: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12.06%</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11.87%</w:t>
            </w: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75,771,542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67,684,209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66,524,591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65,412,817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60,247,201</w:t>
            </w:r>
          </w:p>
        </w:tc>
        <w:tc>
          <w:tcPr>
            <w:tcW w:w="18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assets</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11.32%</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9.41%</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Ratio of net investment income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to average net 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13.80%</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12.49%</w:t>
            </w: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44.23%</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30.89%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44.57%</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58.08%</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4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1,275,848</w:t>
            </w:r>
          </w:p>
        </w:tc>
        <w:tc>
          <w:tcPr>
            <w:tcW w:w="3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1,161,315</w:t>
            </w:r>
          </w:p>
        </w:tc>
        <w:tc>
          <w:tcPr>
            <w:tcW w:w="2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1,119,297</w:t>
            </w:r>
          </w:p>
        </w:tc>
        <w:tc>
          <w:tcPr>
            <w:tcW w:w="240" w:type="dxa"/>
            <w:vAlign w:val="bottom"/>
          </w:tcPr>
          <w:p>
            <w:pPr>
              <w:spacing w:after="0"/>
              <w:rPr>
                <w:sz w:val="20"/>
                <w:szCs w:val="20"/>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1,063,202</w:t>
            </w:r>
          </w:p>
        </w:tc>
        <w:tc>
          <w:tcPr>
            <w:tcW w:w="3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969,284</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ind w:left="500" w:hanging="492"/>
        <w:spacing w:after="0"/>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500" w:right="60" w:hanging="492"/>
        <w:spacing w:after="0" w:line="250"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00" w:right="420" w:hanging="492"/>
        <w:spacing w:after="0" w:line="260"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7" w:name="page138"/>
    <w:bookmarkEnd w:id="137"/>
    <w:p>
      <w:pPr>
        <w:ind w:left="500" w:hanging="492"/>
        <w:spacing w:after="0" w:line="268" w:lineRule="auto"/>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ratio of net expenses to average net assets in the table above reflects the Adviser’s waivers of its right to receive a portion of the Management Fee pursuant to the Leverage Waiver for the year ended December 31, 2021 and the Adviser’s waivers of its right to receive a portion of the Management and Incentive Fees with respect to the Company’s ownership of shares of common stock of Oxford Square Capital Corp. and Triangle Capital Corp for the years ended December 31, 2018 and 2017. Excluding the effects of the waivers, the ratio of net expenses to average net assets would have been 11.19%, 11.33%, and 9.42% for the years ended December 31, 2021, 2018, and 2017, respectively. The Adviser did not waive any Management Fees or Incentive Fees for the years ended December 31, 2020 and 2019.</w:t>
      </w:r>
    </w:p>
    <w:p>
      <w:pPr>
        <w:ind w:left="500" w:hanging="492"/>
        <w:spacing w:after="0"/>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Q4</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Q3</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Q2</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78,323</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71,200</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62,828</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34,730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35,440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33,932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(4,373)</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30,966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41,818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Q4</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Q3</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Q2</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62,217</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71,316</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70,234</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66,270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41,104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40,753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56,401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(86,761)</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95,870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(53,099)</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Q2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66,531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70,050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62,427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52,487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32,771</w:t>
            </w: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33,307</w:t>
            </w:r>
          </w:p>
        </w:tc>
        <w:tc>
          <w:tcPr>
            <w:tcW w:w="22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31,285</w:t>
            </w:r>
          </w:p>
        </w:tc>
        <w:tc>
          <w:tcPr>
            <w:tcW w:w="22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25,849</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33,760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36,743</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31,142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26,638</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Total unrealized and realized losses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(6,402)</w:t>
            </w: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16,653</w:t>
            </w:r>
          </w:p>
        </w:tc>
        <w:tc>
          <w:tcPr>
            <w:tcW w:w="22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12,107</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37,702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30,341</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47,795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38,745</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c>
          <w:tcPr>
            <w:tcW w:w="220" w:type="dxa"/>
            <w:vAlign w:val="bottom"/>
          </w:tcPr>
          <w:p>
            <w:pPr>
              <w:spacing w:after="0"/>
              <w:rPr>
                <w:sz w:val="20"/>
                <w:szCs w:val="20"/>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16.68</w:t>
            </w:r>
          </w:p>
        </w:tc>
        <w:tc>
          <w:tcPr>
            <w:tcW w:w="220" w:type="dxa"/>
            <w:vAlign w:val="bottom"/>
          </w:tcPr>
          <w:p>
            <w:pPr>
              <w:spacing w:after="0"/>
              <w:rPr>
                <w:sz w:val="20"/>
                <w:szCs w:val="20"/>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00" w:hanging="492"/>
        <w:spacing w:after="0"/>
        <w:tabs>
          <w:tab w:leader="none" w:pos="50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Net expenses include income taxes, including excise taxes.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jc w:val="both"/>
        <w:ind w:right="240" w:firstLine="255"/>
        <w:spacing w:after="0" w:line="311" w:lineRule="auto"/>
        <w:rPr>
          <w:sz w:val="20"/>
          <w:szCs w:val="20"/>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right="240"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ind w:right="280" w:firstLine="255"/>
        <w:spacing w:after="0" w:line="293" w:lineRule="auto"/>
        <w:rPr>
          <w:sz w:val="20"/>
          <w:szCs w:val="20"/>
          <w:color w:val="auto"/>
        </w:rPr>
      </w:pPr>
      <w:r>
        <w:rPr>
          <w:rFonts w:ascii="Arial" w:cs="Arial" w:eastAsia="Arial" w:hAnsi="Arial"/>
          <w:sz w:val="16"/>
          <w:szCs w:val="16"/>
          <w:b w:val="1"/>
          <w:bCs w:val="1"/>
          <w:i w:val="1"/>
          <w:i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 adequate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(2013 COSO Framework). Based on our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management concluded that our internal control over financial reporting was effective as of December 31, 2021.</w:t>
      </w:r>
    </w:p>
    <w:p>
      <w:pPr>
        <w:spacing w:after="0" w:line="16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right="420" w:firstLine="255"/>
        <w:spacing w:after="0" w:line="263" w:lineRule="auto"/>
        <w:rPr>
          <w:sz w:val="20"/>
          <w:szCs w:val="20"/>
          <w:color w:val="auto"/>
        </w:rPr>
      </w:pPr>
      <w:r>
        <w:rPr>
          <w:rFonts w:ascii="Arial" w:cs="Arial" w:eastAsia="Arial" w:hAnsi="Arial"/>
          <w:sz w:val="18"/>
          <w:szCs w:val="18"/>
          <w:b w:val="1"/>
          <w:bCs w:val="1"/>
          <w:i w:val="1"/>
          <w:iCs w:val="1"/>
          <w:color w:val="auto"/>
        </w:rPr>
        <w:t xml:space="preserve">Attestation Report of the Independent Registered Public Accounting Firm. </w:t>
      </w:r>
      <w:r>
        <w:rPr>
          <w:rFonts w:ascii="Arial" w:cs="Arial" w:eastAsia="Arial" w:hAnsi="Arial"/>
          <w:sz w:val="18"/>
          <w:szCs w:val="18"/>
          <w:color w:val="auto"/>
        </w:rPr>
        <w:t>Our independent registered public accounting firm, KPMG LLP,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 audit report on the effectiveness of our internal control over financial reporting, which is set forth under the heading “Report of Independent Registered Public Accounting Firm” on page F-2.</w:t>
      </w:r>
    </w:p>
    <w:p>
      <w:pPr>
        <w:spacing w:after="0" w:line="184" w:lineRule="exact"/>
        <w:rPr>
          <w:sz w:val="20"/>
          <w:szCs w:val="20"/>
          <w:color w:val="auto"/>
        </w:rPr>
      </w:pPr>
    </w:p>
    <w:p>
      <w:pPr>
        <w:jc w:val="both"/>
        <w:ind w:right="44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9" w:name="page140"/>
    <w:bookmarkEnd w:id="139"/>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60" w:firstLine="255"/>
        <w:spacing w:after="0" w:line="286" w:lineRule="auto"/>
        <w:rPr>
          <w:sz w:val="20"/>
          <w:szCs w:val="20"/>
          <w:color w:val="auto"/>
        </w:rPr>
      </w:pPr>
      <w:r>
        <w:rPr>
          <w:rFonts w:ascii="Arial" w:cs="Arial" w:eastAsia="Arial" w:hAnsi="Arial"/>
          <w:sz w:val="17"/>
          <w:szCs w:val="17"/>
          <w:color w:val="auto"/>
        </w:rPr>
        <w:t>Except for the information regarding the SOX Code of Business Conduct and Ethics (which is set forth below), information in response to this item is incorporated by reference from our Proxy Statement relating to our 2022 annual meeting of stockholders. The Proxy Statement will be filed with the SEC within 120 days after the end of the fiscal year covered by this Form 10-K pursuant to Regulation 14A under the Exchange Act.</w:t>
      </w:r>
    </w:p>
    <w:p>
      <w:pPr>
        <w:spacing w:after="0" w:line="16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2022 annual meeting of stockholders.</w:t>
      </w:r>
    </w:p>
    <w:p>
      <w:pPr>
        <w:spacing w:after="0" w:line="200" w:lineRule="exact"/>
        <w:rPr>
          <w:sz w:val="20"/>
          <w:szCs w:val="20"/>
          <w:color w:val="auto"/>
        </w:rPr>
      </w:pPr>
    </w:p>
    <w:p>
      <w:pPr>
        <w:spacing w:after="0" w:line="22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2022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2022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140" w:name="page141"/>
    <w:bookmarkEnd w:id="140"/>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260" w:right="340" w:hanging="252"/>
        <w:spacing w:after="0" w:line="277" w:lineRule="auto"/>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62" w:lineRule="exact"/>
        <w:rPr>
          <w:rFonts w:ascii="Arial" w:cs="Arial" w:eastAsia="Arial" w:hAnsi="Arial"/>
          <w:sz w:val="18"/>
          <w:szCs w:val="18"/>
          <w:color w:val="auto"/>
        </w:rPr>
      </w:pPr>
    </w:p>
    <w:p>
      <w:pPr>
        <w:ind w:left="260" w:right="80" w:hanging="252"/>
        <w:spacing w:after="0" w:line="263" w:lineRule="auto"/>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Exhibits—The following is a list of all exhibits filed as a part of this annual report on Form 10-K, including those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160" w:type="dxa"/>
            <w:vAlign w:val="bottom"/>
            <w:gridSpan w:val="20"/>
          </w:tcPr>
          <w:p>
            <w:pPr>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4"/>
                <w:szCs w:val="14"/>
                <w:color w:val="auto"/>
              </w:rPr>
            </w:pPr>
          </w:p>
        </w:tc>
      </w:tr>
      <w:tr>
        <w:trPr>
          <w:trHeight w:val="290"/>
        </w:trPr>
        <w:tc>
          <w:tcPr>
            <w:tcW w:w="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86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Restated Certificate of Incorporation (incorporated by reference to Exhibit 3.2 to Amendment No. 1 to the Company’s Current Report on</w:t>
              </w:r>
            </w:hyperlink>
          </w:p>
        </w:tc>
        <w:tc>
          <w:tcPr>
            <w:tcW w:w="300" w:type="dxa"/>
            <w:vAlign w:val="bottom"/>
            <w:tcBorders>
              <w:top w:val="single" w:sz="8" w:color="auto"/>
            </w:tcBorders>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20"/>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Form 8-K filed on June 19, 2020).</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Amended and Restated Bylaws of Sixth Street Specialty Lending, Inc., effective as of June 15, 2020 (incorporated by reference to Exhibit</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3.</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the Company’s Current Report on Form 8-K filed on June 19, 2020).</w:t>
              </w:r>
            </w:hyperlink>
          </w:p>
        </w:tc>
        <w:tc>
          <w:tcPr>
            <w:tcW w:w="2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160" w:type="dxa"/>
            <w:vAlign w:val="bottom"/>
            <w:tcBorders>
              <w:bottom w:val="single" w:sz="8" w:color="0000EE"/>
            </w:tcBorders>
            <w:gridSpan w:val="20"/>
          </w:tcPr>
          <w:p>
            <w:pPr>
              <w:spacing w:after="0"/>
              <w:rPr>
                <w:rFonts w:ascii="Arial" w:cs="Arial" w:eastAsia="Arial" w:hAnsi="Arial"/>
                <w:sz w:val="18"/>
                <w:szCs w:val="18"/>
                <w:color w:val="0000EE"/>
                <w:w w:val="92"/>
              </w:rPr>
            </w:pPr>
            <w:hyperlink r:id="rId169">
              <w:r>
                <w:rPr>
                  <w:rFonts w:ascii="Arial" w:cs="Arial" w:eastAsia="Arial" w:hAnsi="Arial"/>
                  <w:sz w:val="18"/>
                  <w:szCs w:val="18"/>
                  <w:color w:val="0000EE"/>
                  <w:w w:val="92"/>
                </w:rPr>
                <w:t>Form of Common Stock Certificate (incorporated by reference to Exhibit 4.2 to the Company’s Annual Report on Form 10-K filed on March</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69">
              <w:r>
                <w:rPr>
                  <w:rFonts w:ascii="Arial" w:cs="Arial" w:eastAsia="Arial" w:hAnsi="Arial"/>
                  <w:sz w:val="18"/>
                  <w:szCs w:val="18"/>
                  <w:color w:val="0000EE"/>
                  <w:w w:val="86"/>
                </w:rPr>
                <w:t>22, 2012).</w:t>
              </w:r>
            </w:hyperlink>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9700" w:type="dxa"/>
            <w:vAlign w:val="bottom"/>
            <w:tcBorders>
              <w:bottom w:val="single" w:sz="8" w:color="0000EE"/>
            </w:tcBorders>
            <w:gridSpan w:val="12"/>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Indenture, dated as of February 1, 2017, between TPG Specialty Lending, Inc. and Wells Fargo Bank, National Association, as Trustee</w:t>
              </w:r>
            </w:hyperlink>
          </w:p>
        </w:tc>
        <w:tc>
          <w:tcPr>
            <w:tcW w:w="4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20"/>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(incorporated by reference to Exhibit 4.1 to the Company’s Current Report on Form 8-K filed on February 1,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10140" w:type="dxa"/>
            <w:vAlign w:val="bottom"/>
            <w:tcBorders>
              <w:bottom w:val="single" w:sz="8" w:color="0000EE"/>
            </w:tcBorders>
            <w:gridSpan w:val="19"/>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Form of 4.50% Convertible Note Due 2022 (incorporated by reference to Exhibit 4.2 to the Company’s Current Report on Form 8-K filed on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February 1, 2017).</w:t>
              </w:r>
            </w:hyperlink>
          </w:p>
        </w:tc>
        <w:tc>
          <w:tcPr>
            <w:tcW w:w="88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9700" w:type="dxa"/>
            <w:vAlign w:val="bottom"/>
            <w:tcBorders>
              <w:bottom w:val="single" w:sz="8" w:color="0000EE"/>
            </w:tcBorders>
            <w:gridSpan w:val="12"/>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Indenture, dated as of January 22, 2018, between TPG Specialty Lending, Inc. and Wells Fargo Bank, National Association, as Trustee</w:t>
              </w:r>
            </w:hyperlink>
          </w:p>
        </w:tc>
        <w:tc>
          <w:tcPr>
            <w:tcW w:w="4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20"/>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(incorporated by reference to Exhibit 4.1 to the Company’s Current Report on Form 8-K filed on January 22, 2018).</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9400" w:type="dxa"/>
            <w:vAlign w:val="bottom"/>
            <w:tcBorders>
              <w:bottom w:val="single" w:sz="8" w:color="0000EE"/>
            </w:tcBorders>
            <w:gridSpan w:val="10"/>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First Supplemental Indenture, dated as of January 22, 2018, between TPG Specialty Lending, Inc. and Wells Fargo Bank, National</w:t>
              </w:r>
            </w:hyperlink>
          </w:p>
        </w:tc>
        <w:tc>
          <w:tcPr>
            <w:tcW w:w="76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Association, as Trustee (incorporated by reference to Exhibit 4.2 to the Company’s Current Report on Form 8-K filed on January 22, 2018).</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3"/>
              </w:rPr>
            </w:pPr>
            <w:hyperlink r:id="rId172">
              <w:r>
                <w:rPr>
                  <w:rFonts w:ascii="Arial" w:cs="Arial" w:eastAsia="Arial" w:hAnsi="Arial"/>
                  <w:sz w:val="18"/>
                  <w:szCs w:val="18"/>
                  <w:color w:val="0000EE"/>
                  <w:w w:val="93"/>
                </w:rPr>
                <w:t>Form of 4.500% Note Due 2023 (incorporated by reference to Exhibit 4.3 to the Company’s Current Report on Form 8-K filed on January</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72">
              <w:r>
                <w:rPr>
                  <w:rFonts w:ascii="Arial" w:cs="Arial" w:eastAsia="Arial" w:hAnsi="Arial"/>
                  <w:sz w:val="18"/>
                  <w:szCs w:val="18"/>
                  <w:color w:val="0000EE"/>
                  <w:w w:val="86"/>
                </w:rPr>
                <w:t>22, 2018).</w:t>
              </w:r>
            </w:hyperlink>
          </w:p>
        </w:tc>
        <w:tc>
          <w:tcPr>
            <w:tcW w:w="6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First Supplemental Indenture, dated as of June 19, 2018, between TPG Specialty Lending, Inc. and Wells Fargo Bank, National Association,</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as Trustee (incorporated by reference to Exhibit 4.1 to the Company’s Current Report on Form 8-K filed on June 19, 2018).</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4"/>
              </w:rPr>
            </w:pPr>
            <w:hyperlink r:id="rId174">
              <w:r>
                <w:rPr>
                  <w:rFonts w:ascii="Arial" w:cs="Arial" w:eastAsia="Arial" w:hAnsi="Arial"/>
                  <w:sz w:val="18"/>
                  <w:szCs w:val="18"/>
                  <w:color w:val="0000EE"/>
                  <w:w w:val="94"/>
                </w:rPr>
                <w:t>Second Supplemental Indenture, dated as of November 1, 2019, between TPG Specialty Lending, Inc. and Wells Fargo Bank, National</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Association, as Trustee (incorporated by reference to Exhibit 4.2 to the Company’s Current Report on Form 8-K filed on November 1,</w:t>
              </w:r>
            </w:hyperlink>
          </w:p>
        </w:tc>
        <w:tc>
          <w:tcPr>
            <w:tcW w:w="4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4">
              <w:r>
                <w:rPr>
                  <w:rFonts w:ascii="Arial" w:cs="Arial" w:eastAsia="Arial" w:hAnsi="Arial"/>
                  <w:sz w:val="18"/>
                  <w:szCs w:val="18"/>
                  <w:color w:val="0000EE"/>
                  <w:w w:val="86"/>
                </w:rPr>
                <w:t>2019).</w:t>
              </w:r>
            </w:hyperlink>
          </w:p>
        </w:tc>
        <w:tc>
          <w:tcPr>
            <w:tcW w:w="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0080" w:type="dxa"/>
            <w:vAlign w:val="bottom"/>
            <w:tcBorders>
              <w:bottom w:val="single" w:sz="8" w:color="0000EE"/>
            </w:tcBorders>
            <w:gridSpan w:val="17"/>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Form of 3.875% Note (incorporated by reference to Exhibit 4.2 to the Company’s Current Report on Form 8-K filed on November 1, 2019).</w:t>
              </w:r>
            </w:hyperlink>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Third Supplemental Indenture, dated as of February 3, 2021, between Sixth Street Specialty Lending, Inc. and Wells Fargo Bank, National</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286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Association, as Trustee (incorporated by reference to Exhibit 4.2 to the Company’s Current Report on Form 8-K filed on February 3, 2021).</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880" w:type="dxa"/>
            <w:vAlign w:val="bottom"/>
          </w:tcPr>
          <w:p>
            <w:pPr>
              <w:ind w:left="10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Form of 2.500% Note (incorporated by reference to Exhibit 4.2 to the Company’s Current Report on Form 8-K filed on February 3, 2021).</w:t>
              </w:r>
            </w:hyperlink>
          </w:p>
        </w:tc>
        <w:tc>
          <w:tcPr>
            <w:tcW w:w="20" w:type="dxa"/>
            <w:vAlign w:val="bottom"/>
          </w:tcPr>
          <w:p>
            <w:pPr>
              <w:spacing w:after="0"/>
              <w:rPr>
                <w:sz w:val="24"/>
                <w:szCs w:val="24"/>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4"/>
                <w:szCs w:val="24"/>
                <w:color w:val="auto"/>
              </w:rPr>
            </w:pPr>
          </w:p>
        </w:tc>
        <w:tc>
          <w:tcPr>
            <w:tcW w:w="9960" w:type="dxa"/>
            <w:vAlign w:val="bottom"/>
            <w:tcBorders>
              <w:top w:val="single" w:sz="8" w:color="0000EE"/>
            </w:tcBorders>
            <w:gridSpan w:val="15"/>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Description of Securities</w:t>
              </w:r>
            </w:hyperlink>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960" w:type="dxa"/>
            <w:vAlign w:val="bottom"/>
            <w:tcBorders>
              <w:bottom w:val="single" w:sz="8" w:color="0000EE"/>
            </w:tcBorders>
            <w:gridSpan w:val="15"/>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Form of Indemnification Agreement between the Company and certain officers and directors (incorporated by reference to Exhibit 10.3 to</w:t>
              </w:r>
            </w:hyperlink>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20"/>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Amendment No. 1 to the Company’s Registration Statement on Form 10 filed on March 14, 2011).</w:t>
              </w:r>
            </w:hyperlink>
          </w:p>
        </w:tc>
        <w:tc>
          <w:tcPr>
            <w:tcW w:w="20" w:type="dxa"/>
            <w:vAlign w:val="bottom"/>
          </w:tcPr>
          <w:p>
            <w:pPr>
              <w:spacing w:after="0"/>
              <w:rPr>
                <w:sz w:val="17"/>
                <w:szCs w:val="17"/>
                <w:color w:val="auto"/>
              </w:rPr>
            </w:pPr>
          </w:p>
        </w:tc>
      </w:tr>
      <w:tr>
        <w:trPr>
          <w:trHeight w:val="574"/>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tcBorders>
              <w:top w:val="single" w:sz="8" w:color="0000EE"/>
            </w:tcBorders>
            <w:gridSpan w:val="6"/>
          </w:tcPr>
          <w:p>
            <w:pPr>
              <w:ind w:left="4460"/>
              <w:spacing w:after="0"/>
              <w:rPr>
                <w:sz w:val="20"/>
                <w:szCs w:val="20"/>
                <w:color w:val="auto"/>
              </w:rPr>
            </w:pPr>
            <w:r>
              <w:rPr>
                <w:rFonts w:ascii="Arial" w:cs="Arial" w:eastAsia="Arial" w:hAnsi="Arial"/>
                <w:sz w:val="18"/>
                <w:szCs w:val="18"/>
                <w:color w:val="auto"/>
              </w:rPr>
              <w:t>91</w:t>
            </w:r>
          </w:p>
        </w:tc>
        <w:tc>
          <w:tcPr>
            <w:tcW w:w="170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41" w:name="page142"/>
    <w:bookmarkEnd w:id="141"/>
    <w:p>
      <w:pPr>
        <w:spacing w:after="0"/>
        <w:tabs>
          <w:tab w:leader="none" w:pos="106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9560" w:type="dxa"/>
            <w:vAlign w:val="bottom"/>
            <w:tcBorders>
              <w:bottom w:val="single" w:sz="8" w:color="0000EE"/>
            </w:tcBorders>
            <w:gridSpan w:val="13"/>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Amended and Restated Investment Advisory and Management Agreement, dated December 12, 2011, between the Company and the</w:t>
              </w:r>
            </w:hyperlink>
          </w:p>
        </w:tc>
        <w:tc>
          <w:tcPr>
            <w:tcW w:w="62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Adviser (incorporated by reference to Exhibit 10.1 to the Company’s Current Report on Form 8-K filed on December 13, 2011).</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10000" w:type="dxa"/>
            <w:vAlign w:val="bottom"/>
            <w:tcBorders>
              <w:bottom w:val="single" w:sz="8" w:color="0000EE"/>
            </w:tcBorders>
            <w:gridSpan w:val="24"/>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Custodian Agreement dated November 29, 2012 (incorporated by reference to Exhibit 10.1 to the Company’s Current Report on Form 8-K</w:t>
              </w:r>
            </w:hyperlink>
          </w:p>
        </w:tc>
        <w:tc>
          <w:tcPr>
            <w:tcW w:w="180" w:type="dxa"/>
            <w:vAlign w:val="bottom"/>
            <w:gridSpan w:val="6"/>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filed on December 4, 2012).</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89"/>
              </w:rPr>
            </w:pPr>
            <w:hyperlink r:id="rId182">
              <w:r>
                <w:rPr>
                  <w:rFonts w:ascii="Arial" w:cs="Arial" w:eastAsia="Arial" w:hAnsi="Arial"/>
                  <w:sz w:val="18"/>
                  <w:szCs w:val="18"/>
                  <w:color w:val="0000EE"/>
                  <w:w w:val="89"/>
                </w:rPr>
                <w:t>Second Amended and Restated Senior Secured Credit Agreement, dated February 27, 2014, among TPG Specialty Lending, Inc., as</w:t>
              </w:r>
            </w:hyperlink>
          </w:p>
        </w:tc>
        <w:tc>
          <w:tcPr>
            <w:tcW w:w="640" w:type="dxa"/>
            <w:vAlign w:val="bottom"/>
            <w:gridSpan w:val="1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Borrower, the Lenders Party Hereto and Truist Bank (as successor by merger to SunTrust Bank), as Administrative Agent, and JPMorgan</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Chase Bank, N.A., as Syndication Agent (incorporated by reference to Exhibit 10.20 to the Company’s Annual Report on Form 10-K filed</w:t>
              </w:r>
            </w:hyperlink>
          </w:p>
        </w:tc>
        <w:tc>
          <w:tcPr>
            <w:tcW w:w="20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on March 4, 2014).</w:t>
              </w:r>
            </w:hyperlink>
          </w:p>
        </w:tc>
        <w:tc>
          <w:tcPr>
            <w:tcW w:w="8800" w:type="dxa"/>
            <w:vAlign w:val="bottom"/>
            <w:gridSpan w:val="27"/>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Borders>
              <w:bottom w:val="single" w:sz="8" w:color="0000EE"/>
            </w:tcBorders>
            <w:gridSpan w:val="27"/>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Dividend Reinvestment Plan of TPG Specialty Lending, Inc. (incorporated by reference to Exhibit (e) to Pre-Effective Amendment No. 4 to</w:t>
              </w:r>
            </w:hyperlink>
          </w:p>
        </w:tc>
        <w:tc>
          <w:tcPr>
            <w:tcW w:w="10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the Company’s Registration Statement on Form N-2 filed on March 17, 2014).</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0020" w:type="dxa"/>
            <w:vAlign w:val="bottom"/>
            <w:tcBorders>
              <w:bottom w:val="single" w:sz="8" w:color="0000EE"/>
            </w:tcBorders>
            <w:gridSpan w:val="25"/>
          </w:tcPr>
          <w:p>
            <w:pPr>
              <w:spacing w:after="0"/>
              <w:rPr>
                <w:rFonts w:ascii="Arial" w:cs="Arial" w:eastAsia="Arial" w:hAnsi="Arial"/>
                <w:sz w:val="18"/>
                <w:szCs w:val="18"/>
                <w:color w:val="0000EE"/>
                <w:w w:val="89"/>
              </w:rPr>
            </w:pPr>
            <w:hyperlink r:id="rId184">
              <w:r>
                <w:rPr>
                  <w:rFonts w:ascii="Arial" w:cs="Arial" w:eastAsia="Arial" w:hAnsi="Arial"/>
                  <w:sz w:val="18"/>
                  <w:szCs w:val="18"/>
                  <w:color w:val="0000EE"/>
                  <w:w w:val="89"/>
                </w:rPr>
                <w:t>Form of Increase Letter pursuant to the Second Amended and Restated Senior Secured Credit Agreement, dated February 27, 2014, among</w:t>
              </w:r>
            </w:hyperlink>
          </w:p>
        </w:tc>
        <w:tc>
          <w:tcPr>
            <w:tcW w:w="16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5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TPG Specialty Lending, Inc., as Borrower, the Lenders Party Hereto and Truist Bank (as successor by merger to SunTrust Bank), as</w:t>
              </w:r>
            </w:hyperlink>
          </w:p>
        </w:tc>
        <w:tc>
          <w:tcPr>
            <w:tcW w:w="66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Administrative Agent, and JPMorgan Chase Bank, N.A., as Syndication Agent (incorporated by reference to Exhibit 10.3 to the Company’s</w:t>
              </w:r>
            </w:hyperlink>
          </w:p>
        </w:tc>
        <w:tc>
          <w:tcPr>
            <w:tcW w:w="12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Quarterly Annual Report on Form 10-Q filed on August 4, 2014).</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10180" w:type="dxa"/>
            <w:vAlign w:val="bottom"/>
            <w:gridSpan w:val="30"/>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First Amendment to Second Amended and Restated Senior Secured Revolving Credit Agreement, dated June 3, 2014, among TPG Specialty</w:t>
              </w:r>
            </w:hyperlink>
          </w:p>
        </w:tc>
      </w:tr>
      <w:tr>
        <w:trPr>
          <w:trHeight w:val="196"/>
        </w:trPr>
        <w:tc>
          <w:tcPr>
            <w:tcW w:w="108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Lending, Inc., as Borrower, the Lenders party thereto and Truist Bank (as successor by merger to SunTrust Bank), as Administrative Agent</w:t>
              </w:r>
            </w:hyperlink>
          </w:p>
        </w:tc>
        <w:tc>
          <w:tcPr>
            <w:tcW w:w="12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and Collateral Agent (incorporated by reference to Exhibit 10.4 to the Company’s Quarterly Report on Form 10-Q filed on August 4, 2014).</w:t>
              </w:r>
            </w:hyperlink>
          </w:p>
        </w:tc>
        <w:tc>
          <w:tcPr>
            <w:tcW w:w="100" w:type="dxa"/>
            <w:vAlign w:val="bottom"/>
            <w:gridSpan w:val="3"/>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9700" w:type="dxa"/>
            <w:vAlign w:val="bottom"/>
            <w:tcBorders>
              <w:bottom w:val="single" w:sz="8" w:color="0000EE"/>
            </w:tcBorders>
            <w:gridSpan w:val="15"/>
          </w:tcPr>
          <w:p>
            <w:pPr>
              <w:spacing w:after="0"/>
              <w:rPr>
                <w:rFonts w:ascii="Arial" w:cs="Arial" w:eastAsia="Arial" w:hAnsi="Arial"/>
                <w:sz w:val="18"/>
                <w:szCs w:val="18"/>
                <w:color w:val="0000EE"/>
                <w:w w:val="89"/>
              </w:rPr>
            </w:pPr>
            <w:hyperlink r:id="rId186">
              <w:r>
                <w:rPr>
                  <w:rFonts w:ascii="Arial" w:cs="Arial" w:eastAsia="Arial" w:hAnsi="Arial"/>
                  <w:sz w:val="18"/>
                  <w:szCs w:val="18"/>
                  <w:color w:val="0000EE"/>
                  <w:w w:val="89"/>
                </w:rPr>
                <w:t>Second Amendment to Second Amended and Restated Senior Secured Revolving Credit Agreement, dated June 27, 2014, among TPG</w:t>
              </w:r>
            </w:hyperlink>
          </w:p>
        </w:tc>
        <w:tc>
          <w:tcPr>
            <w:tcW w:w="480" w:type="dxa"/>
            <w:vAlign w:val="bottom"/>
            <w:gridSpan w:val="1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Specialty Lending, Inc., as Borrower, Morgan Stanley Bank, N.A., as a Lender, and Truist Bank (as successor by merger to SunTrust Bank),</w:t>
              </w:r>
            </w:hyperlink>
          </w:p>
        </w:tc>
        <w:tc>
          <w:tcPr>
            <w:tcW w:w="10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5"/>
              </w:rPr>
            </w:pPr>
            <w:hyperlink r:id="rId186">
              <w:r>
                <w:rPr>
                  <w:rFonts w:ascii="Arial" w:cs="Arial" w:eastAsia="Arial" w:hAnsi="Arial"/>
                  <w:sz w:val="18"/>
                  <w:szCs w:val="18"/>
                  <w:color w:val="0000EE"/>
                  <w:w w:val="95"/>
                </w:rPr>
                <w:t>as Administrative Agent (incorporated by reference to Exhibit 10.5 to the Company’s Quarterly Report on Form 10-Q filed on August 4,</w:t>
              </w:r>
            </w:hyperlink>
          </w:p>
        </w:tc>
      </w:tr>
      <w:tr>
        <w:trPr>
          <w:trHeight w:val="196"/>
        </w:trPr>
        <w:tc>
          <w:tcPr>
            <w:tcW w:w="10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2014).</w:t>
              </w:r>
            </w:hyperlink>
          </w:p>
        </w:tc>
        <w:tc>
          <w:tcPr>
            <w:tcW w:w="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9820" w:type="dxa"/>
            <w:vAlign w:val="bottom"/>
            <w:tcBorders>
              <w:bottom w:val="single" w:sz="8" w:color="0000EE"/>
            </w:tcBorders>
            <w:gridSpan w:val="18"/>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Third Amendment to Second Amended and Restated Senior Secured Revolving Credit Agreement, dated October 17, 2014, among TPG</w:t>
              </w:r>
            </w:hyperlink>
          </w:p>
        </w:tc>
        <w:tc>
          <w:tcPr>
            <w:tcW w:w="360" w:type="dxa"/>
            <w:vAlign w:val="bottom"/>
            <w:gridSpan w:val="1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Specialty Lending, Inc., as Borrower, the Lenders party thereto and Truist Bank (as successor by merger to SunTrust Bank), as</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4"/>
              </w:rPr>
            </w:pPr>
            <w:hyperlink r:id="rId187">
              <w:r>
                <w:rPr>
                  <w:rFonts w:ascii="Arial" w:cs="Arial" w:eastAsia="Arial" w:hAnsi="Arial"/>
                  <w:sz w:val="18"/>
                  <w:szCs w:val="18"/>
                  <w:color w:val="0000EE"/>
                  <w:w w:val="94"/>
                </w:rPr>
                <w:t>Administrative Agent (incorporated by reference to Exhibit 10.1 to the Company’s Quarterly Report on Form 10-Q filed on November 3,</w:t>
              </w:r>
            </w:hyperlink>
          </w:p>
        </w:tc>
      </w:tr>
      <w:tr>
        <w:trPr>
          <w:trHeight w:val="196"/>
        </w:trPr>
        <w:tc>
          <w:tcPr>
            <w:tcW w:w="10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2014).</w:t>
              </w:r>
            </w:hyperlink>
          </w:p>
        </w:tc>
        <w:tc>
          <w:tcPr>
            <w:tcW w:w="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10180" w:type="dxa"/>
            <w:vAlign w:val="bottom"/>
            <w:gridSpan w:val="30"/>
          </w:tcPr>
          <w:p>
            <w:pPr>
              <w:spacing w:after="0"/>
              <w:rPr>
                <w:rFonts w:ascii="Arial" w:cs="Arial" w:eastAsia="Arial" w:hAnsi="Arial"/>
                <w:sz w:val="18"/>
                <w:szCs w:val="18"/>
                <w:color w:val="0000EE"/>
                <w:w w:val="92"/>
              </w:rPr>
            </w:pPr>
            <w:hyperlink r:id="rId188">
              <w:r>
                <w:rPr>
                  <w:rFonts w:ascii="Arial" w:cs="Arial" w:eastAsia="Arial" w:hAnsi="Arial"/>
                  <w:sz w:val="18"/>
                  <w:szCs w:val="18"/>
                  <w:color w:val="0000EE"/>
                  <w:w w:val="92"/>
                </w:rPr>
                <w:t>Second Amended and Restated Credit and Security Agreement, dated as of March 27, 2015, among TPG SL SPV, LLC, as Borrower, the</w:t>
              </w:r>
            </w:hyperlink>
          </w:p>
        </w:tc>
      </w:tr>
      <w:tr>
        <w:trPr>
          <w:trHeight w:val="196"/>
        </w:trPr>
        <w:tc>
          <w:tcPr>
            <w:tcW w:w="1080" w:type="dxa"/>
            <w:vAlign w:val="bottom"/>
          </w:tcPr>
          <w:p>
            <w:pPr>
              <w:spacing w:after="0"/>
              <w:rPr>
                <w:sz w:val="17"/>
                <w:szCs w:val="17"/>
                <w:color w:val="auto"/>
              </w:rPr>
            </w:pPr>
          </w:p>
        </w:tc>
        <w:tc>
          <w:tcPr>
            <w:tcW w:w="988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Lenders from time to time parties thereto, Natixis, New York Branch, as Facility Agent and State Street Bank and Trust Company, as</w:t>
              </w:r>
            </w:hyperlink>
          </w:p>
        </w:tc>
        <w:tc>
          <w:tcPr>
            <w:tcW w:w="300" w:type="dxa"/>
            <w:vAlign w:val="bottom"/>
            <w:gridSpan w:val="10"/>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7"/>
              </w:rPr>
            </w:pPr>
            <w:hyperlink r:id="rId188">
              <w:r>
                <w:rPr>
                  <w:rFonts w:ascii="Arial" w:cs="Arial" w:eastAsia="Arial" w:hAnsi="Arial"/>
                  <w:sz w:val="18"/>
                  <w:szCs w:val="18"/>
                  <w:color w:val="0000EE"/>
                  <w:w w:val="97"/>
                </w:rPr>
                <w:t>Collateral Agent (incorporated by reference to Exhibit 10.1 to the Company’s Current Report on Form 8-K filed on March 30, 2015).</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10180" w:type="dxa"/>
            <w:vAlign w:val="bottom"/>
            <w:gridSpan w:val="30"/>
          </w:tcPr>
          <w:p>
            <w:pPr>
              <w:spacing w:after="0"/>
              <w:rPr>
                <w:rFonts w:ascii="Arial" w:cs="Arial" w:eastAsia="Arial" w:hAnsi="Arial"/>
                <w:sz w:val="18"/>
                <w:szCs w:val="18"/>
                <w:color w:val="0000EE"/>
                <w:w w:val="93"/>
              </w:rPr>
            </w:pPr>
            <w:hyperlink r:id="rId189">
              <w:r>
                <w:rPr>
                  <w:rFonts w:ascii="Arial" w:cs="Arial" w:eastAsia="Arial" w:hAnsi="Arial"/>
                  <w:sz w:val="18"/>
                  <w:szCs w:val="18"/>
                  <w:color w:val="0000EE"/>
                  <w:w w:val="93"/>
                </w:rPr>
                <w:t>Fourth Amendment to Second Amended and Restated Senior Secured Revolving Credit Agreement, dated October 2, 2015, among TPG</w:t>
              </w:r>
            </w:hyperlink>
          </w:p>
        </w:tc>
      </w:tr>
      <w:tr>
        <w:trPr>
          <w:trHeight w:val="196"/>
        </w:trPr>
        <w:tc>
          <w:tcPr>
            <w:tcW w:w="108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189">
              <w:r>
                <w:rPr>
                  <w:rFonts w:ascii="Arial" w:cs="Arial" w:eastAsia="Arial" w:hAnsi="Arial"/>
                  <w:sz w:val="18"/>
                  <w:szCs w:val="18"/>
                  <w:color w:val="0000EE"/>
                  <w:w w:val="96"/>
                </w:rPr>
                <w:t>Specialty Lending, Inc., as Borrower, the Lenders party thereto and Truist Bank (as successor by merger to SunTrust Bank), as</w:t>
              </w:r>
            </w:hyperlink>
          </w:p>
        </w:tc>
        <w:tc>
          <w:tcPr>
            <w:tcW w:w="380" w:type="dxa"/>
            <w:vAlign w:val="bottom"/>
            <w:gridSpan w:val="1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4"/>
              </w:rPr>
            </w:pPr>
            <w:hyperlink r:id="rId189">
              <w:r>
                <w:rPr>
                  <w:rFonts w:ascii="Arial" w:cs="Arial" w:eastAsia="Arial" w:hAnsi="Arial"/>
                  <w:sz w:val="18"/>
                  <w:szCs w:val="18"/>
                  <w:color w:val="0000EE"/>
                  <w:w w:val="94"/>
                </w:rPr>
                <w:t>Administrative Agent (incorporated by reference to Exhibit 10.1 to the Company’s Quarterly Report on Form 10-Q filed on November 3,</w:t>
              </w:r>
            </w:hyperlink>
          </w:p>
        </w:tc>
      </w:tr>
      <w:tr>
        <w:trPr>
          <w:trHeight w:val="196"/>
        </w:trPr>
        <w:tc>
          <w:tcPr>
            <w:tcW w:w="10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2015).</w:t>
              </w:r>
            </w:hyperlink>
          </w:p>
        </w:tc>
        <w:tc>
          <w:tcPr>
            <w:tcW w:w="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10180" w:type="dxa"/>
            <w:vAlign w:val="bottom"/>
            <w:gridSpan w:val="30"/>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Fifth Amendment to Second Amended and Restated Senior Secured Revolving Credit Agreement, dated December 22, 2016, among TPG</w:t>
              </w:r>
            </w:hyperlink>
          </w:p>
        </w:tc>
      </w:tr>
      <w:tr>
        <w:trPr>
          <w:trHeight w:val="196"/>
        </w:trPr>
        <w:tc>
          <w:tcPr>
            <w:tcW w:w="1080" w:type="dxa"/>
            <w:vAlign w:val="bottom"/>
          </w:tcPr>
          <w:p>
            <w:pPr>
              <w:spacing w:after="0"/>
              <w:rPr>
                <w:sz w:val="17"/>
                <w:szCs w:val="17"/>
                <w:color w:val="auto"/>
              </w:rPr>
            </w:pPr>
          </w:p>
        </w:tc>
        <w:tc>
          <w:tcPr>
            <w:tcW w:w="9920" w:type="dxa"/>
            <w:vAlign w:val="bottom"/>
            <w:tcBorders>
              <w:top w:val="single" w:sz="8" w:color="0000EE"/>
            </w:tcBorders>
            <w:gridSpan w:val="21"/>
          </w:tcPr>
          <w:p>
            <w:pPr>
              <w:spacing w:after="0" w:line="196" w:lineRule="exact"/>
              <w:rPr>
                <w:rFonts w:ascii="Arial" w:cs="Arial" w:eastAsia="Arial" w:hAnsi="Arial"/>
                <w:sz w:val="18"/>
                <w:szCs w:val="18"/>
                <w:color w:val="0000EE"/>
                <w:w w:val="97"/>
              </w:rPr>
            </w:pPr>
            <w:hyperlink r:id="rId190">
              <w:r>
                <w:rPr>
                  <w:rFonts w:ascii="Arial" w:cs="Arial" w:eastAsia="Arial" w:hAnsi="Arial"/>
                  <w:sz w:val="18"/>
                  <w:szCs w:val="18"/>
                  <w:color w:val="0000EE"/>
                  <w:w w:val="97"/>
                </w:rPr>
                <w:t>Specialty Lending, Inc., as Borrower, the Lenders party thereto and Truist Bank (as successor by merger to SunTrust Bank), as</w:t>
              </w:r>
            </w:hyperlink>
          </w:p>
        </w:tc>
        <w:tc>
          <w:tcPr>
            <w:tcW w:w="260" w:type="dxa"/>
            <w:vAlign w:val="bottom"/>
            <w:gridSpan w:val="9"/>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5"/>
              </w:rPr>
            </w:pPr>
            <w:hyperlink r:id="rId190">
              <w:r>
                <w:rPr>
                  <w:rFonts w:ascii="Arial" w:cs="Arial" w:eastAsia="Arial" w:hAnsi="Arial"/>
                  <w:sz w:val="18"/>
                  <w:szCs w:val="18"/>
                  <w:color w:val="0000EE"/>
                  <w:w w:val="95"/>
                </w:rPr>
                <w:t>Administrative Agent (incorporated by reference to Exhibit 10.15 to the Company’s Annual Report on Form 10-K filed on February 22,</w:t>
              </w:r>
            </w:hyperlink>
          </w:p>
        </w:tc>
      </w:tr>
      <w:tr>
        <w:trPr>
          <w:trHeight w:val="196"/>
        </w:trPr>
        <w:tc>
          <w:tcPr>
            <w:tcW w:w="10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2017).</w:t>
              </w:r>
            </w:hyperlink>
          </w:p>
        </w:tc>
        <w:tc>
          <w:tcPr>
            <w:tcW w:w="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9960" w:type="dxa"/>
            <w:vAlign w:val="bottom"/>
            <w:tcBorders>
              <w:bottom w:val="single" w:sz="8" w:color="0000EE"/>
            </w:tcBorders>
            <w:gridSpan w:val="22"/>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Amended and Restated Administration Agreement, dated as of February 22, 2017 between the Company and the Adviser (incorporated by</w:t>
              </w:r>
            </w:hyperlink>
          </w:p>
        </w:tc>
        <w:tc>
          <w:tcPr>
            <w:tcW w:w="220" w:type="dxa"/>
            <w:vAlign w:val="bottom"/>
            <w:gridSpan w:val="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reference to Exhibit 10.16 to the Company’s Annual Report on Form 10-K filed on February 22, 2017).</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10180" w:type="dxa"/>
            <w:vAlign w:val="bottom"/>
            <w:gridSpan w:val="30"/>
          </w:tcPr>
          <w:p>
            <w:pPr>
              <w:spacing w:after="0"/>
              <w:rPr>
                <w:rFonts w:ascii="Arial" w:cs="Arial" w:eastAsia="Arial" w:hAnsi="Arial"/>
                <w:sz w:val="18"/>
                <w:szCs w:val="18"/>
                <w:color w:val="0000EE"/>
                <w:w w:val="92"/>
              </w:rPr>
            </w:pPr>
            <w:hyperlink r:id="rId192">
              <w:r>
                <w:rPr>
                  <w:rFonts w:ascii="Arial" w:cs="Arial" w:eastAsia="Arial" w:hAnsi="Arial"/>
                  <w:sz w:val="18"/>
                  <w:szCs w:val="18"/>
                  <w:color w:val="0000EE"/>
                  <w:w w:val="92"/>
                </w:rPr>
                <w:t>Sixth Amendment to Second Amended and Restated Senior Secured Revolving Credit Agreement, dated February 20, 2018, among TPG</w:t>
              </w:r>
            </w:hyperlink>
          </w:p>
        </w:tc>
      </w:tr>
      <w:tr>
        <w:trPr>
          <w:trHeight w:val="196"/>
        </w:trPr>
        <w:tc>
          <w:tcPr>
            <w:tcW w:w="1080" w:type="dxa"/>
            <w:vAlign w:val="bottom"/>
          </w:tcPr>
          <w:p>
            <w:pPr>
              <w:spacing w:after="0"/>
              <w:rPr>
                <w:sz w:val="17"/>
                <w:szCs w:val="17"/>
                <w:color w:val="auto"/>
              </w:rPr>
            </w:pPr>
          </w:p>
        </w:tc>
        <w:tc>
          <w:tcPr>
            <w:tcW w:w="9880" w:type="dxa"/>
            <w:vAlign w:val="bottom"/>
            <w:tcBorders>
              <w:top w:val="single" w:sz="8" w:color="0000EE"/>
            </w:tcBorders>
            <w:gridSpan w:val="20"/>
          </w:tcPr>
          <w:p>
            <w:pPr>
              <w:spacing w:after="0" w:line="196" w:lineRule="exact"/>
              <w:rPr>
                <w:rFonts w:ascii="Arial" w:cs="Arial" w:eastAsia="Arial" w:hAnsi="Arial"/>
                <w:sz w:val="18"/>
                <w:szCs w:val="18"/>
                <w:color w:val="0000EE"/>
                <w:w w:val="97"/>
              </w:rPr>
            </w:pPr>
            <w:hyperlink r:id="rId192">
              <w:r>
                <w:rPr>
                  <w:rFonts w:ascii="Arial" w:cs="Arial" w:eastAsia="Arial" w:hAnsi="Arial"/>
                  <w:sz w:val="18"/>
                  <w:szCs w:val="18"/>
                  <w:color w:val="0000EE"/>
                  <w:w w:val="97"/>
                </w:rPr>
                <w:t>Specialty Lending, Inc., as Borrower, the Lenders party thereto and Truist Bank (as successor by merger to SunTrust Bank), as</w:t>
              </w:r>
            </w:hyperlink>
          </w:p>
        </w:tc>
        <w:tc>
          <w:tcPr>
            <w:tcW w:w="300" w:type="dxa"/>
            <w:vAlign w:val="bottom"/>
            <w:gridSpan w:val="10"/>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40" w:type="dxa"/>
            <w:vAlign w:val="bottom"/>
            <w:gridSpan w:val="7"/>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5"/>
              </w:rPr>
            </w:pPr>
            <w:hyperlink r:id="rId192">
              <w:r>
                <w:rPr>
                  <w:rFonts w:ascii="Arial" w:cs="Arial" w:eastAsia="Arial" w:hAnsi="Arial"/>
                  <w:sz w:val="18"/>
                  <w:szCs w:val="18"/>
                  <w:color w:val="0000EE"/>
                  <w:w w:val="95"/>
                </w:rPr>
                <w:t>Administrative Agent (incorporated by reference to Exhibit 10.16 to the Company’s Annual Report on Form 10-K filed on February 21,</w:t>
              </w:r>
            </w:hyperlink>
          </w:p>
        </w:tc>
      </w:tr>
      <w:tr>
        <w:trPr>
          <w:trHeight w:val="196"/>
        </w:trPr>
        <w:tc>
          <w:tcPr>
            <w:tcW w:w="10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2018).</w:t>
              </w:r>
            </w:hyperlink>
          </w:p>
        </w:tc>
        <w:tc>
          <w:tcPr>
            <w:tcW w:w="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10100" w:type="dxa"/>
            <w:vAlign w:val="bottom"/>
            <w:tcBorders>
              <w:bottom w:val="single" w:sz="8" w:color="0000EE"/>
            </w:tcBorders>
            <w:gridSpan w:val="28"/>
          </w:tcPr>
          <w:p>
            <w:pPr>
              <w:spacing w:after="0"/>
              <w:rPr>
                <w:rFonts w:ascii="Arial" w:cs="Arial" w:eastAsia="Arial" w:hAnsi="Arial"/>
                <w:sz w:val="18"/>
                <w:szCs w:val="18"/>
                <w:color w:val="0000EE"/>
                <w:w w:val="89"/>
              </w:rPr>
            </w:pPr>
            <w:hyperlink r:id="rId193">
              <w:r>
                <w:rPr>
                  <w:rFonts w:ascii="Arial" w:cs="Arial" w:eastAsia="Arial" w:hAnsi="Arial"/>
                  <w:sz w:val="18"/>
                  <w:szCs w:val="18"/>
                  <w:color w:val="0000EE"/>
                  <w:w w:val="89"/>
                </w:rPr>
                <w:t>Seventh Amendment to Second Amended and Restated Senior Secured Revolving Credit Agreement, dated as of November 5, 2018, among</w:t>
              </w:r>
            </w:hyperlink>
          </w:p>
        </w:tc>
        <w:tc>
          <w:tcPr>
            <w:tcW w:w="8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TPG Specialty Lending, Inc., as Borrower, the Lenders party thereto and Truist Bank (as successor by merger to SunTrust Bank), as</w:t>
              </w:r>
            </w:hyperlink>
          </w:p>
        </w:tc>
        <w:tc>
          <w:tcPr>
            <w:tcW w:w="680" w:type="dxa"/>
            <w:vAlign w:val="bottom"/>
            <w:gridSpan w:val="2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Administrative Agent (incorporated by reference to Exhibit 10.1 to the Company's Quarterly Report on Form 10-Q filed on November 6,</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3">
              <w:r>
                <w:rPr>
                  <w:rFonts w:ascii="Arial" w:cs="Arial" w:eastAsia="Arial" w:hAnsi="Arial"/>
                  <w:sz w:val="18"/>
                  <w:szCs w:val="18"/>
                  <w:color w:val="0000EE"/>
                  <w:w w:val="86"/>
                </w:rPr>
                <w:t>2018).</w:t>
              </w:r>
            </w:hyperlink>
          </w:p>
        </w:tc>
        <w:tc>
          <w:tcPr>
            <w:tcW w:w="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74"/>
        </w:trPr>
        <w:tc>
          <w:tcPr>
            <w:tcW w:w="1080" w:type="dxa"/>
            <w:vAlign w:val="bottom"/>
          </w:tcPr>
          <w:p>
            <w:pPr>
              <w:spacing w:after="0"/>
              <w:rPr>
                <w:sz w:val="24"/>
                <w:szCs w:val="24"/>
                <w:color w:val="auto"/>
              </w:rPr>
            </w:pPr>
          </w:p>
        </w:tc>
        <w:tc>
          <w:tcPr>
            <w:tcW w:w="4720" w:type="dxa"/>
            <w:vAlign w:val="bottom"/>
            <w:gridSpan w:val="5"/>
          </w:tcPr>
          <w:p>
            <w:pPr>
              <w:ind w:left="4460"/>
              <w:spacing w:after="0"/>
              <w:rPr>
                <w:sz w:val="20"/>
                <w:szCs w:val="20"/>
                <w:color w:val="auto"/>
              </w:rPr>
            </w:pPr>
            <w:r>
              <w:rPr>
                <w:rFonts w:ascii="Arial" w:cs="Arial" w:eastAsia="Arial" w:hAnsi="Arial"/>
                <w:sz w:val="18"/>
                <w:szCs w:val="18"/>
                <w:color w:val="auto"/>
              </w:rPr>
              <w:t>92</w:t>
            </w: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160" w:type="dxa"/>
            <w:vAlign w:val="bottom"/>
            <w:gridSpan w:val="17"/>
          </w:tcPr>
          <w:p>
            <w:pPr>
              <w:spacing w:after="0"/>
              <w:rPr>
                <w:sz w:val="20"/>
                <w:szCs w:val="20"/>
                <w:color w:val="auto"/>
              </w:rPr>
            </w:pPr>
            <w:r>
              <w:rPr>
                <w:rFonts w:ascii="Arial" w:cs="Arial" w:eastAsia="Arial" w:hAnsi="Arial"/>
                <w:sz w:val="14"/>
                <w:szCs w:val="14"/>
                <w:color w:val="auto"/>
              </w:rPr>
              <w:t>Description of Exhibits</w:t>
            </w:r>
          </w:p>
        </w:tc>
      </w:tr>
      <w:tr>
        <w:trPr>
          <w:trHeight w:val="291"/>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9980" w:type="dxa"/>
            <w:vAlign w:val="bottom"/>
            <w:tcBorders>
              <w:top w:val="single" w:sz="8" w:color="auto"/>
              <w:bottom w:val="single" w:sz="8" w:color="0000EE"/>
            </w:tcBorders>
            <w:gridSpan w:val="13"/>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Eighth Amendment to Second Amended and Restated Senior Secured Revolving Credit Agreement, dated as of February 14, 2019, among</w:t>
              </w:r>
            </w:hyperlink>
          </w:p>
        </w:tc>
        <w:tc>
          <w:tcPr>
            <w:tcW w:w="180" w:type="dxa"/>
            <w:vAlign w:val="bottom"/>
            <w:tcBorders>
              <w:top w:val="single" w:sz="8" w:color="auto"/>
            </w:tcBorders>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TPG Specialty Lending, Inc., as Borrower, the Lenders party thereto and Truist Bank (as successor by merger to SunTrust Bank), as</w:t>
              </w:r>
            </w:hyperlink>
          </w:p>
        </w:tc>
        <w:tc>
          <w:tcPr>
            <w:tcW w:w="66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5"/>
              </w:rPr>
            </w:pPr>
            <w:hyperlink r:id="rId196">
              <w:r>
                <w:rPr>
                  <w:rFonts w:ascii="Arial" w:cs="Arial" w:eastAsia="Arial" w:hAnsi="Arial"/>
                  <w:sz w:val="18"/>
                  <w:szCs w:val="18"/>
                  <w:color w:val="0000EE"/>
                  <w:w w:val="95"/>
                </w:rPr>
                <w:t>Administrative Agent. (incorporated by reference to Exhibit 10.16 to the Company’s Annual Report on Form 10-K filed on February 20,</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6">
              <w:r>
                <w:rPr>
                  <w:rFonts w:ascii="Arial" w:cs="Arial" w:eastAsia="Arial" w:hAnsi="Arial"/>
                  <w:sz w:val="18"/>
                  <w:szCs w:val="18"/>
                  <w:color w:val="0000EE"/>
                  <w:w w:val="86"/>
                </w:rPr>
                <w:t>2019).</w:t>
              </w:r>
            </w:hyperlink>
          </w:p>
        </w:tc>
        <w:tc>
          <w:tcPr>
            <w:tcW w:w="1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9840" w:type="dxa"/>
            <w:vAlign w:val="bottom"/>
            <w:tcBorders>
              <w:bottom w:val="single" w:sz="8" w:color="0000EE"/>
            </w:tcBorders>
            <w:gridSpan w:val="11"/>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Ninth Amendment to Second Amended and Restated Senior Secured Revolving Credit Agreement, dated as of January 31, 2020, among</w:t>
              </w:r>
            </w:hyperlink>
          </w:p>
        </w:tc>
        <w:tc>
          <w:tcPr>
            <w:tcW w:w="32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TPG Specialty Lending, Inc., as Borrower, the Lenders party thereto and Truist Bank (as successor by merger to SunTrust Bank), as</w:t>
              </w:r>
            </w:hyperlink>
          </w:p>
        </w:tc>
        <w:tc>
          <w:tcPr>
            <w:tcW w:w="66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5"/>
              </w:rPr>
            </w:pPr>
            <w:hyperlink r:id="rId197">
              <w:r>
                <w:rPr>
                  <w:rFonts w:ascii="Arial" w:cs="Arial" w:eastAsia="Arial" w:hAnsi="Arial"/>
                  <w:sz w:val="18"/>
                  <w:szCs w:val="18"/>
                  <w:color w:val="0000EE"/>
                  <w:w w:val="95"/>
                </w:rPr>
                <w:t>Administrative Agent. (incorporated by reference to Exhibit 10.17 to the Company’s Annual Report on Form 10-K filed on February 19,</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7">
              <w:r>
                <w:rPr>
                  <w:rFonts w:ascii="Arial" w:cs="Arial" w:eastAsia="Arial" w:hAnsi="Arial"/>
                  <w:sz w:val="18"/>
                  <w:szCs w:val="18"/>
                  <w:color w:val="0000EE"/>
                  <w:w w:val="86"/>
                </w:rPr>
                <w:t>2020).</w:t>
              </w:r>
            </w:hyperlink>
          </w:p>
        </w:tc>
        <w:tc>
          <w:tcPr>
            <w:tcW w:w="1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9820" w:type="dxa"/>
            <w:vAlign w:val="bottom"/>
            <w:tcBorders>
              <w:bottom w:val="single" w:sz="8" w:color="0000EE"/>
            </w:tcBorders>
            <w:gridSpan w:val="10"/>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Tenth Amendment to Second Amended and Restated Senior Secured Revolving Credit Agreement, dated as of February 5, 2021, among</w:t>
              </w:r>
            </w:hyperlink>
          </w:p>
        </w:tc>
        <w:tc>
          <w:tcPr>
            <w:tcW w:w="34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Sixth Street Specialty Lending, Inc., as Borrower, the Lenders party thereto and Truist Bank (as successor by merger to SunTrust Bank), as</w:t>
              </w:r>
            </w:hyperlink>
          </w:p>
        </w:tc>
        <w:tc>
          <w:tcPr>
            <w:tcW w:w="16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5"/>
              </w:rPr>
            </w:pPr>
            <w:hyperlink r:id="rId198">
              <w:r>
                <w:rPr>
                  <w:rFonts w:ascii="Arial" w:cs="Arial" w:eastAsia="Arial" w:hAnsi="Arial"/>
                  <w:sz w:val="18"/>
                  <w:szCs w:val="18"/>
                  <w:color w:val="0000EE"/>
                  <w:w w:val="95"/>
                </w:rPr>
                <w:t>Administrative Agent (incorporated by reference to Exhibit 10.18 to the Company’s Annual Report on Form 10-K filed on February 17,</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8">
              <w:r>
                <w:rPr>
                  <w:rFonts w:ascii="Arial" w:cs="Arial" w:eastAsia="Arial" w:hAnsi="Arial"/>
                  <w:sz w:val="18"/>
                  <w:szCs w:val="18"/>
                  <w:color w:val="0000EE"/>
                  <w:w w:val="86"/>
                </w:rPr>
                <w:t>2021).</w:t>
              </w:r>
            </w:hyperlink>
          </w:p>
        </w:tc>
        <w:tc>
          <w:tcPr>
            <w:tcW w:w="1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Eleventh Amendment to Second Amended and Restated Senior Secured Revolving Credit Agreement, dated as of December 21, 2021,</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3"/>
              </w:rPr>
            </w:pPr>
            <w:hyperlink w:anchor="page149">
              <w:r>
                <w:rPr>
                  <w:rFonts w:ascii="Arial" w:cs="Arial" w:eastAsia="Arial" w:hAnsi="Arial"/>
                  <w:sz w:val="18"/>
                  <w:szCs w:val="18"/>
                  <w:color w:val="0000EE"/>
                  <w:w w:val="93"/>
                </w:rPr>
                <w:t>among Sixth Street Specialty Lending, Inc., as Borrower, the Lenders party thereto and Truist Bank (as successor by merger to SunTrust</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Bank), as Administrative Agent.</w:t>
              </w:r>
            </w:hyperlink>
          </w:p>
        </w:tc>
        <w:tc>
          <w:tcPr>
            <w:tcW w:w="360" w:type="dxa"/>
            <w:vAlign w:val="bottom"/>
            <w:gridSpan w:val="8"/>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rPr>
            </w:pPr>
            <w:hyperlink w:anchor="page302">
              <w:r>
                <w:rPr>
                  <w:rFonts w:ascii="Arial" w:cs="Arial" w:eastAsia="Arial" w:hAnsi="Arial"/>
                  <w:sz w:val="18"/>
                  <w:szCs w:val="18"/>
                  <w:color w:val="0000EE"/>
                </w:rPr>
                <w:t>Subsidiaries of Sixth Street Specialty Lending, Inc.</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03">
              <w:r>
                <w:rPr>
                  <w:rFonts w:ascii="Arial" w:cs="Arial" w:eastAsia="Arial" w:hAnsi="Arial"/>
                  <w:sz w:val="18"/>
                  <w:szCs w:val="18"/>
                  <w:color w:val="0000EE"/>
                  <w:w w:val="90"/>
                </w:rPr>
                <w:t>Consent of Independent Registered Public Accounting Firm</w:t>
              </w:r>
            </w:hyperlink>
          </w:p>
        </w:tc>
        <w:tc>
          <w:tcPr>
            <w:tcW w:w="5840" w:type="dxa"/>
            <w:vAlign w:val="bottom"/>
            <w:gridSpan w:val="12"/>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304">
              <w:r>
                <w:rPr>
                  <w:rFonts w:ascii="Arial" w:cs="Arial" w:eastAsia="Arial" w:hAnsi="Arial"/>
                  <w:sz w:val="18"/>
                  <w:szCs w:val="18"/>
                  <w:color w:val="0000EE"/>
                  <w:w w:val="91"/>
                </w:rPr>
                <w:t>Certification of Chief Executive Officer Pursuant to 18 U.S.C. Section 1350, as Adopted Pursuant to Section 302 of the Sarbanes-Oxley Act</w:t>
              </w:r>
            </w:hyperlink>
          </w:p>
        </w:tc>
        <w:tc>
          <w:tcPr>
            <w:tcW w:w="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04">
              <w:r>
                <w:rPr>
                  <w:rFonts w:ascii="Arial" w:cs="Arial" w:eastAsia="Arial" w:hAnsi="Arial"/>
                  <w:sz w:val="18"/>
                  <w:szCs w:val="18"/>
                  <w:color w:val="0000EE"/>
                  <w:w w:val="89"/>
                </w:rPr>
                <w:t>of 2002.</w:t>
              </w:r>
            </w:hyperlink>
          </w:p>
        </w:tc>
        <w:tc>
          <w:tcPr>
            <w:tcW w:w="9560" w:type="dxa"/>
            <w:vAlign w:val="bottom"/>
            <w:gridSpan w:val="15"/>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2"/>
              </w:rPr>
            </w:pPr>
            <w:hyperlink w:anchor="page305">
              <w:r>
                <w:rPr>
                  <w:rFonts w:ascii="Arial" w:cs="Arial" w:eastAsia="Arial" w:hAnsi="Arial"/>
                  <w:sz w:val="18"/>
                  <w:szCs w:val="18"/>
                  <w:color w:val="0000EE"/>
                  <w:w w:val="92"/>
                </w:rPr>
                <w:t>Certification of Chief Financial Officer Pursuant to 18 U.S.C. Section 1350, as Adopted Pursuant to Section 302 of the Sarbanes-Oxley Act</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05">
              <w:r>
                <w:rPr>
                  <w:rFonts w:ascii="Arial" w:cs="Arial" w:eastAsia="Arial" w:hAnsi="Arial"/>
                  <w:sz w:val="18"/>
                  <w:szCs w:val="18"/>
                  <w:color w:val="0000EE"/>
                  <w:w w:val="89"/>
                </w:rPr>
                <w:t>of 2002.</w:t>
              </w:r>
            </w:hyperlink>
          </w:p>
        </w:tc>
        <w:tc>
          <w:tcPr>
            <w:tcW w:w="944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r>
    </w:tbl>
    <w:p>
      <w:pPr>
        <w:spacing w:after="0" w:line="134" w:lineRule="exact"/>
        <w:rPr>
          <w:sz w:val="20"/>
          <w:szCs w:val="20"/>
          <w:color w:val="auto"/>
        </w:rPr>
      </w:pPr>
    </w:p>
    <w:p>
      <w:pPr>
        <w:ind w:left="1080" w:hanging="1072"/>
        <w:spacing w:after="0"/>
        <w:tabs>
          <w:tab w:leader="none" w:pos="1080" w:val="left"/>
        </w:tabs>
        <w:numPr>
          <w:ilvl w:val="0"/>
          <w:numId w:val="121"/>
        </w:numPr>
        <w:rPr>
          <w:rFonts w:ascii="Arial" w:cs="Arial" w:eastAsia="Arial" w:hAnsi="Arial"/>
          <w:sz w:val="16"/>
          <w:szCs w:val="16"/>
          <w:u w:val="single" w:color="auto"/>
          <w:color w:val="0000EE"/>
        </w:rPr>
      </w:pPr>
      <w:hyperlink w:anchor="page306">
        <w:r>
          <w:rPr>
            <w:rFonts w:ascii="Arial" w:cs="Arial" w:eastAsia="Arial" w:hAnsi="Arial"/>
            <w:sz w:val="16"/>
            <w:szCs w:val="16"/>
            <w:u w:val="single" w:color="auto"/>
            <w:color w:val="0000EE"/>
          </w:rPr>
          <w:t>Certification of CEO and CFO Pursuant to 18 U.S.C. Section 1350, as Adopted Pursuant to Section 906 of the Sarbanes-Oxley Act of 2002.</w:t>
        </w:r>
      </w:hyperlink>
    </w:p>
    <w:p>
      <w:pPr>
        <w:spacing w:after="0" w:line="154"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07">
        <w:r>
          <w:rPr>
            <w:rFonts w:ascii="Arial" w:cs="Arial" w:eastAsia="Arial" w:hAnsi="Arial"/>
            <w:sz w:val="16"/>
            <w:szCs w:val="16"/>
            <w:u w:val="single" w:color="auto"/>
            <w:color w:val="0000EE"/>
          </w:rPr>
          <w:t>Report of Independent Registered Public Accounting Firm on Supplemental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9512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8"/>
          <w:szCs w:val="18"/>
          <w:b w:val="1"/>
          <w:bCs w:val="1"/>
          <w:color w:val="auto"/>
        </w:rPr>
        <w:t>SIXTH STREET SPECIALTY LENDING, INC.</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ind w:right="40" w:firstLine="255"/>
        <w:spacing w:after="0" w:line="271" w:lineRule="auto"/>
        <w:rPr>
          <w:sz w:val="20"/>
          <w:szCs w:val="20"/>
          <w:color w:val="auto"/>
        </w:rPr>
      </w:pPr>
      <w:r>
        <w:rPr>
          <w:rFonts w:ascii="Arial" w:cs="Arial" w:eastAsia="Arial" w:hAnsi="Arial"/>
          <w:sz w:val="17"/>
          <w:szCs w:val="17"/>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2021,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78" w:lineRule="exact"/>
        <w:rPr>
          <w:sz w:val="20"/>
          <w:szCs w:val="20"/>
          <w:color w:val="auto"/>
        </w:rPr>
      </w:pPr>
    </w:p>
    <w:p>
      <w:pPr>
        <w:ind w:right="5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17,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640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Title</w:t>
            </w:r>
          </w:p>
        </w:tc>
      </w:tr>
      <w:tr>
        <w:trPr>
          <w:trHeight w:val="399"/>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Executive Officer, Director and Chairman of the Board of Directors</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Joshua Easterly</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Ian Simmonds</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Graf</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Deputy Chief Financial Officer (Principal Accounting Officer)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Michael Graf</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Ross</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John A. Ross</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Hurley Doddy</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Hurley Doddy</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Michael Fishman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Gordon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Jennifer Gordon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Higginbotham</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Richard A. Higginbotham</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Judy Slotkin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Judy Slotkin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Stiepleman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David Stiepleman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K. Tanemura</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Ronald K. Tanemura</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45"/>
        </w:trPr>
        <w:tc>
          <w:tcPr>
            <w:tcW w:w="4740" w:type="dxa"/>
            <w:vAlign w:val="bottom"/>
          </w:tcPr>
          <w:p>
            <w:pPr>
              <w:spacing w:after="0"/>
              <w:rPr>
                <w:sz w:val="24"/>
                <w:szCs w:val="24"/>
                <w:color w:val="auto"/>
              </w:rPr>
            </w:pPr>
          </w:p>
        </w:tc>
        <w:tc>
          <w:tcPr>
            <w:tcW w:w="6500" w:type="dxa"/>
            <w:vAlign w:val="bottom"/>
            <w:gridSpan w:val="2"/>
          </w:tcPr>
          <w:p>
            <w:pPr>
              <w:jc w:val="right"/>
              <w:ind w:right="5432"/>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240"/>
          </w:cols>
          <w:pgMar w:left="320" w:top="553"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presents our outstanding classes of securities as of February 17,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Amount Held by Us or for Our</w:t>
            </w: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4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Amount Authorized</w:t>
            </w:r>
          </w:p>
        </w:tc>
        <w:tc>
          <w:tcPr>
            <w:tcW w:w="14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Amount Held by Us or for Our</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Account</w:t>
            </w:r>
          </w:p>
        </w:tc>
        <w:tc>
          <w:tcPr>
            <w:tcW w:w="140" w:type="dxa"/>
            <w:vAlign w:val="bottom"/>
          </w:tcPr>
          <w:p>
            <w:pPr>
              <w:spacing w:after="0"/>
              <w:rPr>
                <w:sz w:val="14"/>
                <w:szCs w:val="1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Account</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Common Stock</w:t>
            </w:r>
          </w:p>
        </w:tc>
        <w:tc>
          <w:tcPr>
            <w:tcW w:w="1900" w:type="dxa"/>
            <w:vAlign w:val="bottom"/>
            <w:gridSpan w:val="2"/>
          </w:tcPr>
          <w:p>
            <w:pPr>
              <w:jc w:val="right"/>
              <w:ind w:right="368"/>
              <w:spacing w:after="0"/>
              <w:rPr>
                <w:sz w:val="20"/>
                <w:szCs w:val="20"/>
                <w:color w:val="auto"/>
              </w:rPr>
            </w:pPr>
            <w:r>
              <w:rPr>
                <w:rFonts w:ascii="Arial" w:cs="Arial" w:eastAsia="Arial" w:hAnsi="Arial"/>
                <w:sz w:val="18"/>
                <w:szCs w:val="18"/>
                <w:color w:val="auto"/>
              </w:rPr>
              <w:t>400,000,000</w:t>
            </w:r>
          </w:p>
        </w:tc>
        <w:tc>
          <w:tcPr>
            <w:tcW w:w="30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296,044</w:t>
            </w:r>
          </w:p>
        </w:tc>
        <w:tc>
          <w:tcPr>
            <w:tcW w:w="3020" w:type="dxa"/>
            <w:vAlign w:val="bottom"/>
            <w:gridSpan w:val="2"/>
          </w:tcPr>
          <w:p>
            <w:pPr>
              <w:jc w:val="center"/>
              <w:ind w:left="55"/>
              <w:spacing w:after="0"/>
              <w:rPr>
                <w:sz w:val="20"/>
                <w:szCs w:val="20"/>
                <w:color w:val="auto"/>
              </w:rPr>
            </w:pPr>
            <w:r>
              <w:rPr>
                <w:rFonts w:ascii="Arial" w:cs="Arial" w:eastAsia="Arial" w:hAnsi="Arial"/>
                <w:sz w:val="17"/>
                <w:szCs w:val="17"/>
                <w:color w:val="auto"/>
                <w:w w:val="89"/>
              </w:rPr>
              <w:t>76,005,084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The following description is based on relevant portions of the Delaware General Corporate Law, or the DGCL, and on our Amended and Restated Certificate of Incorporation (the “certificate of incorporation”) and our Amended and Restated Bylaws (the “bylaws”), both incorporated by reference to our Annual Report on Form 10-K. This summary is not necessarily complete, and we refer you to the DGCL and our certificate of incorporation and bylaws for a more detailed description of the provisions summarized below. As of February 17, 2022, there are no outstanding shares of preferred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Common Stock</w:t>
      </w:r>
    </w:p>
    <w:p>
      <w:pPr>
        <w:spacing w:after="0" w:line="117"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of directors (the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ind w:firstLine="589"/>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17" w:lineRule="exact"/>
        <w:rPr>
          <w:sz w:val="20"/>
          <w:szCs w:val="20"/>
          <w:color w:val="auto"/>
        </w:rPr>
      </w:pPr>
    </w:p>
    <w:p>
      <w:pPr>
        <w:ind w:left="1160" w:right="300" w:hanging="423"/>
        <w:spacing w:after="0" w:line="277" w:lineRule="auto"/>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62" w:lineRule="exact"/>
        <w:rPr>
          <w:rFonts w:ascii="Arial" w:cs="Arial" w:eastAsia="Arial" w:hAnsi="Arial"/>
          <w:sz w:val="18"/>
          <w:szCs w:val="18"/>
          <w:color w:val="auto"/>
        </w:rPr>
      </w:pPr>
    </w:p>
    <w:p>
      <w:pPr>
        <w:ind w:left="1160" w:right="80" w:hanging="423"/>
        <w:spacing w:after="0" w:line="277" w:lineRule="auto"/>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160" w:right="140" w:hanging="423"/>
        <w:spacing w:after="0" w:line="277" w:lineRule="auto"/>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bylaws also provide that:</w:t>
      </w:r>
    </w:p>
    <w:p>
      <w:pPr>
        <w:spacing w:after="0" w:line="117" w:lineRule="exact"/>
        <w:rPr>
          <w:sz w:val="20"/>
          <w:szCs w:val="20"/>
          <w:color w:val="auto"/>
        </w:rPr>
      </w:pPr>
    </w:p>
    <w:p>
      <w:pPr>
        <w:ind w:left="1160" w:right="40" w:hanging="423"/>
        <w:spacing w:after="0" w:line="277" w:lineRule="auto"/>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62" w:lineRule="exact"/>
        <w:rPr>
          <w:rFonts w:ascii="Arial" w:cs="Arial" w:eastAsia="Arial" w:hAnsi="Arial"/>
          <w:sz w:val="18"/>
          <w:szCs w:val="18"/>
          <w:color w:val="auto"/>
        </w:rPr>
      </w:pPr>
    </w:p>
    <w:p>
      <w:pPr>
        <w:ind w:left="1160" w:hanging="423"/>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1"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6" w:name="page147"/>
    <w:bookmarkEnd w:id="146"/>
    <w:p>
      <w:pPr>
        <w:ind w:firstLine="589"/>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Investment Company Act of 1940, as amended, or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17" w:lineRule="exact"/>
        <w:rPr>
          <w:sz w:val="20"/>
          <w:szCs w:val="20"/>
          <w:color w:val="auto"/>
        </w:rPr>
      </w:pPr>
    </w:p>
    <w:p>
      <w:pPr>
        <w:ind w:left="1160" w:hanging="423"/>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17" w:lineRule="exact"/>
        <w:rPr>
          <w:rFonts w:ascii="Arial" w:cs="Arial" w:eastAsia="Arial" w:hAnsi="Arial"/>
          <w:sz w:val="18"/>
          <w:szCs w:val="18"/>
          <w:color w:val="auto"/>
        </w:rPr>
      </w:pPr>
    </w:p>
    <w:p>
      <w:pPr>
        <w:ind w:left="1160" w:right="140" w:hanging="423"/>
        <w:spacing w:after="0" w:line="311" w:lineRule="auto"/>
        <w:tabs>
          <w:tab w:leader="none" w:pos="11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40" w:lineRule="exact"/>
        <w:rPr>
          <w:rFonts w:ascii="Arial" w:cs="Arial" w:eastAsia="Arial" w:hAnsi="Arial"/>
          <w:sz w:val="16"/>
          <w:szCs w:val="16"/>
          <w:color w:val="auto"/>
        </w:rPr>
      </w:pPr>
    </w:p>
    <w:p>
      <w:pPr>
        <w:ind w:left="1160" w:right="80" w:hanging="423"/>
        <w:spacing w:after="0" w:line="263" w:lineRule="auto"/>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75" w:lineRule="exact"/>
        <w:rPr>
          <w:rFonts w:ascii="Arial" w:cs="Arial" w:eastAsia="Arial" w:hAnsi="Arial"/>
          <w:sz w:val="18"/>
          <w:szCs w:val="18"/>
          <w:color w:val="auto"/>
        </w:rPr>
      </w:pPr>
    </w:p>
    <w:p>
      <w:pPr>
        <w:ind w:left="1160" w:right="20" w:hanging="423"/>
        <w:spacing w:after="0" w:line="263" w:lineRule="auto"/>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4"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17" w:lineRule="exact"/>
        <w:rPr>
          <w:sz w:val="20"/>
          <w:szCs w:val="20"/>
          <w:color w:val="auto"/>
        </w:rPr>
      </w:pPr>
    </w:p>
    <w:p>
      <w:pPr>
        <w:ind w:left="1160" w:right="120" w:hanging="423"/>
        <w:spacing w:after="0" w:line="277" w:lineRule="auto"/>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62" w:lineRule="exact"/>
        <w:rPr>
          <w:rFonts w:ascii="Arial" w:cs="Arial" w:eastAsia="Arial" w:hAnsi="Arial"/>
          <w:sz w:val="18"/>
          <w:szCs w:val="18"/>
          <w:color w:val="auto"/>
        </w:rPr>
      </w:pPr>
    </w:p>
    <w:p>
      <w:pPr>
        <w:ind w:left="1160" w:hanging="423"/>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7" w:name="page148"/>
    <w:bookmarkEnd w:id="147"/>
    <w:p>
      <w:pPr>
        <w:ind w:firstLine="589"/>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540" w:firstLine="589"/>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ectPr>
          <w:pgSz w:w="11900" w:h="16838" w:orient="portrait"/>
          <w:cols w:equalWidth="0" w:num="1">
            <w:col w:w="11200"/>
          </w:cols>
          <w:pgMar w:left="320" w:top="881" w:right="37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10.19</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ELEVENTH AMENDMENT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SECOND AMENDED AND RESTATED SENIOR SECURED REVOLVING CREDIT AGREEMENT</w:t>
      </w:r>
    </w:p>
    <w:p>
      <w:pPr>
        <w:spacing w:after="0" w:line="18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THIS ELEVENTH AMENDMENT TO SECOND AMENDED AND RESTATED SENIOR SECURED REVOLVING CREDIT AGREEMENT, dated as of December 14, 2021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to the Existing Credit Agreement (capitalized terms used herein and not otherwise defined shall have the meanings given to such terms in </w:t>
      </w:r>
      <w:r>
        <w:rPr>
          <w:rFonts w:ascii="Arial" w:cs="Arial" w:eastAsia="Arial" w:hAnsi="Arial"/>
          <w:sz w:val="22"/>
          <w:szCs w:val="22"/>
          <w:u w:val="single" w:color="auto"/>
          <w:color w:val="auto"/>
        </w:rPr>
        <w:t>Article I</w:t>
      </w:r>
      <w:r>
        <w:rPr>
          <w:rFonts w:ascii="Arial" w:cs="Arial" w:eastAsia="Arial" w:hAnsi="Arial"/>
          <w:sz w:val="22"/>
          <w:szCs w:val="22"/>
          <w:color w:val="auto"/>
        </w:rPr>
        <w:t>) is among SIXTH STREET SPECIALTY LENDING, INC. (F/K/A TPG Specialty Lending,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hereto and TRUIST BANK, as Administrative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and the Tenth Amendment to Second Amended and Restated Senior Secured Revolving Credit Agreement, dated as of February 5, 2021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by this Amendment and as the same may be further amended, supplemented,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6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WHEREAS, on March 5, 2021, the ICE Benchmark Administration (the “</w:t>
      </w:r>
      <w:r>
        <w:rPr>
          <w:rFonts w:ascii="Arial" w:cs="Arial" w:eastAsia="Arial" w:hAnsi="Arial"/>
          <w:sz w:val="22"/>
          <w:szCs w:val="22"/>
          <w:u w:val="single" w:color="auto"/>
          <w:color w:val="auto"/>
        </w:rPr>
        <w:t>IBA</w:t>
      </w:r>
      <w:r>
        <w:rPr>
          <w:rFonts w:ascii="Arial" w:cs="Arial" w:eastAsia="Arial" w:hAnsi="Arial"/>
          <w:sz w:val="22"/>
          <w:szCs w:val="22"/>
          <w:color w:val="auto"/>
        </w:rPr>
        <w:t>”), the benchmark administrator for the London Interbank Offered Rate (“</w:t>
      </w:r>
      <w:r>
        <w:rPr>
          <w:rFonts w:ascii="Arial" w:cs="Arial" w:eastAsia="Arial" w:hAnsi="Arial"/>
          <w:sz w:val="22"/>
          <w:szCs w:val="22"/>
          <w:u w:val="single" w:color="auto"/>
          <w:color w:val="auto"/>
        </w:rPr>
        <w:t>LIBOR</w:t>
      </w:r>
      <w:r>
        <w:rPr>
          <w:rFonts w:ascii="Arial" w:cs="Arial" w:eastAsia="Arial" w:hAnsi="Arial"/>
          <w:sz w:val="22"/>
          <w:szCs w:val="22"/>
          <w:color w:val="auto"/>
        </w:rPr>
        <w:t>”), and the UK Financial Conduct Authority, the regulatory supervisor of the IBA, announced that, after December 31, 2021, LIBOR for loans denominated in Sterling, Swiss Francs, Japanese Yen and Euros (each, an “</w:t>
      </w:r>
      <w:r>
        <w:rPr>
          <w:rFonts w:ascii="Arial" w:cs="Arial" w:eastAsia="Arial" w:hAnsi="Arial"/>
          <w:sz w:val="22"/>
          <w:szCs w:val="22"/>
          <w:u w:val="single" w:color="auto"/>
          <w:color w:val="auto"/>
        </w:rPr>
        <w:t>Impacted Currency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Impacted Currencies</w:t>
      </w:r>
      <w:r>
        <w:rPr>
          <w:rFonts w:ascii="Arial" w:cs="Arial" w:eastAsia="Arial" w:hAnsi="Arial"/>
          <w:sz w:val="22"/>
          <w:szCs w:val="22"/>
          <w:color w:val="auto"/>
        </w:rPr>
        <w:t>”) will no longer be available (the “</w:t>
      </w:r>
      <w:r>
        <w:rPr>
          <w:rFonts w:ascii="Arial" w:cs="Arial" w:eastAsia="Arial" w:hAnsi="Arial"/>
          <w:sz w:val="22"/>
          <w:szCs w:val="22"/>
          <w:u w:val="single" w:color="auto"/>
          <w:color w:val="auto"/>
        </w:rPr>
        <w:t>Impacted Currency</w:t>
      </w:r>
      <w:r>
        <w:rPr>
          <w:rFonts w:ascii="Arial" w:cs="Arial" w:eastAsia="Arial" w:hAnsi="Arial"/>
          <w:sz w:val="22"/>
          <w:szCs w:val="22"/>
          <w:color w:val="auto"/>
        </w:rPr>
        <w:t xml:space="preserve"> </w:t>
      </w:r>
      <w:r>
        <w:rPr>
          <w:rFonts w:ascii="Arial" w:cs="Arial" w:eastAsia="Arial" w:hAnsi="Arial"/>
          <w:sz w:val="22"/>
          <w:szCs w:val="22"/>
          <w:u w:val="single" w:color="auto"/>
          <w:color w:val="auto"/>
        </w:rPr>
        <w:t>Event</w:t>
      </w:r>
      <w:r>
        <w:rPr>
          <w:rFonts w:ascii="Arial" w:cs="Arial" w:eastAsia="Arial" w:hAnsi="Arial"/>
          <w:sz w:val="22"/>
          <w:szCs w:val="22"/>
          <w:color w:val="auto"/>
        </w:rPr>
        <w:t>”);</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certain loans and/or other extensions of credit under the Existing Credit Agreement denominated in the Impacted Currencies incur or are permitted to incur interest, fees, commissions or other amounts based on LIBOR in accordance with the terms and conditions of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jc w:val="both"/>
        <w:ind w:firstLine="864"/>
        <w:spacing w:after="0" w:line="277" w:lineRule="auto"/>
        <w:rPr>
          <w:sz w:val="20"/>
          <w:szCs w:val="20"/>
          <w:color w:val="auto"/>
        </w:rPr>
      </w:pPr>
      <w:r>
        <w:rPr>
          <w:rFonts w:ascii="Arial" w:cs="Arial" w:eastAsia="Arial" w:hAnsi="Arial"/>
          <w:sz w:val="19"/>
          <w:szCs w:val="19"/>
          <w:color w:val="auto"/>
        </w:rPr>
        <w:t>WHEREAS, pursuant to Section 2.22(a) of the Existing Credit Agreement, upon the occurrence of a Benchmark Transition Event the Administrative Agent and the Borrower may amend the Existing Credit Agreement to replace LIBOR with a Benchmark Replacement and make other Benchmark Replacement Conforming Changes, which such amendment will become effective at 5:00 p.m. on the fifth (5th) Business Day after the Administrative Agent has posted such proposed amendment to all Lenders and the Borrower (such time, the “</w:t>
      </w:r>
      <w:r>
        <w:rPr>
          <w:rFonts w:ascii="Arial" w:cs="Arial" w:eastAsia="Arial" w:hAnsi="Arial"/>
          <w:sz w:val="19"/>
          <w:szCs w:val="19"/>
          <w:u w:val="single" w:color="auto"/>
          <w:color w:val="auto"/>
        </w:rPr>
        <w:t>Negative Consent Effective Time</w:t>
      </w:r>
      <w:r>
        <w:rPr>
          <w:rFonts w:ascii="Arial" w:cs="Arial" w:eastAsia="Arial" w:hAnsi="Arial"/>
          <w:sz w:val="19"/>
          <w:szCs w:val="19"/>
          <w:color w:val="auto"/>
        </w:rPr>
        <w:t>”) so long as the Administrative Agent has not received, by such time, written notice of objection to such amendment from Lenders comprising the Required Lenders of each Class (such written notice by the Required Lenders, the “</w:t>
      </w:r>
      <w:r>
        <w:rPr>
          <w:rFonts w:ascii="Arial" w:cs="Arial" w:eastAsia="Arial" w:hAnsi="Arial"/>
          <w:sz w:val="19"/>
          <w:szCs w:val="19"/>
          <w:u w:val="single" w:color="auto"/>
          <w:color w:val="auto"/>
        </w:rPr>
        <w:t>Negative Consent Notice</w:t>
      </w:r>
      <w:r>
        <w:rPr>
          <w:rFonts w:ascii="Arial" w:cs="Arial" w:eastAsia="Arial" w:hAnsi="Arial"/>
          <w:sz w:val="19"/>
          <w:szCs w:val="19"/>
          <w:color w:val="auto"/>
        </w:rPr>
        <w:t>”); and</w:t>
      </w:r>
    </w:p>
    <w:p>
      <w:pPr>
        <w:spacing w:after="0" w:line="15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WHEREAS, the Administrative Agent and the Borrower have determined that the Impacted Currency Event constitutes a Benchmark Transition Event and that Loans made, continued or converted under the Existing Credit Agreement denominated in Impacted Currencies on or after the Eleventh Amendment Effective Date (as defined below) that would otherwise bear interest based on LIBOR shall be replaced with a Benchmark Replacement for all purposes under the Credit Agreement and under any other Loan Document, subject to the terms and conditions set forth in this Amendment.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the parties hereto hereby covenant and agree as follows:</w:t>
      </w:r>
    </w:p>
    <w:p>
      <w:pPr>
        <w:spacing w:after="0" w:line="20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The following terms when used in this Amendment shall have the following meanings (such meanings to be equally applicable to the singular and plural forms thereof):</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Eleventh Amendment Effective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IBA</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second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Currency</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second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Currency Event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second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second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Negative Consent Effective Time</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fourth recital</w:t>
      </w:r>
      <w:r>
        <w:rPr>
          <w:rFonts w:ascii="Arial" w:cs="Arial" w:eastAsia="Arial" w:hAnsi="Arial"/>
          <w:sz w:val="22"/>
          <w:szCs w:val="22"/>
          <w:color w:val="auto"/>
        </w:rPr>
        <w:t>.</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0" w:name="page151"/>
    <w:bookmarkEnd w:id="150"/>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Negative Consent Notice</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fourth recital</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32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Definitions</w:t>
      </w:r>
      <w:r>
        <w:rPr>
          <w:rFonts w:ascii="Arial" w:cs="Arial" w:eastAsia="Arial" w:hAnsi="Arial"/>
          <w:sz w:val="19"/>
          <w:szCs w:val="19"/>
          <w:color w:val="auto"/>
        </w:rPr>
        <w:t>. Capitalized terms for which meanings are provided in the Existing Credit Agreement are, unless otherwise defined herein or the context otherwise requires, used in this Amendment with such meanings.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TO EXISTING CREDIT AGREEMENT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Subject to the occurrence of the Eleventh Amendment Effective Date, the Existing Credit Agreement is amended in accordance with this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Amendments to Credit Agreement</w:t>
      </w:r>
      <w:r>
        <w:rPr>
          <w:rFonts w:ascii="Arial" w:cs="Arial" w:eastAsia="Arial" w:hAnsi="Arial"/>
          <w:sz w:val="21"/>
          <w:szCs w:val="21"/>
          <w:color w:val="auto"/>
        </w:rPr>
        <w:t xml:space="preserve">. The Existing Credit Agreement (excluding the Exhibits and Schedules thereto) is hereby amended in its entirety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Language being inserted into the applicable section of the Existing Credit Agreement is evidenced by blue underlined text. Language being deleted from the applicable section of the Existing Credit Agreement is evidenced by red strike-through text.</w:t>
      </w:r>
    </w:p>
    <w:p>
      <w:pPr>
        <w:spacing w:after="0" w:line="17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EFFECTIVENESS</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This Amendment shall become effective on the earlier of (a) receipt by the Administrative Agent of counterparts of this Amendment duly executed and delivered on behalf of the Lenders constituting the Required Lenders and (b) the Negative Consent Effective Time shall occur and the Administrative Agent shall not have received the Negative Consent Notice on or prior to such date (the earlier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the “</w:t>
      </w:r>
      <w:r>
        <w:rPr>
          <w:rFonts w:ascii="Arial" w:cs="Arial" w:eastAsia="Arial" w:hAnsi="Arial"/>
          <w:sz w:val="22"/>
          <w:szCs w:val="22"/>
          <w:u w:val="single" w:color="auto"/>
          <w:color w:val="auto"/>
        </w:rPr>
        <w:t>Eleventh Amendment 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87"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Representations</w:t>
      </w:r>
      <w:r>
        <w:rPr>
          <w:rFonts w:ascii="Arial" w:cs="Arial" w:eastAsia="Arial" w:hAnsi="Arial"/>
          <w:sz w:val="22"/>
          <w:szCs w:val="22"/>
          <w:color w:val="auto"/>
        </w:rPr>
        <w:t>. The Borrower hereby represents and warrants that this Amendment constitutes a legal, valid and binding obligation of it, enforceable against it in accordance with its terms.</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Cross-References</w:t>
      </w:r>
      <w:r>
        <w:rPr>
          <w:rFonts w:ascii="Arial" w:cs="Arial" w:eastAsia="Arial" w:hAnsi="Arial"/>
          <w:sz w:val="22"/>
          <w:szCs w:val="22"/>
          <w:color w:val="auto"/>
        </w:rPr>
        <w:t>. References in this Amendment to any Article or Section are, unless otherwise specified, to such Article or Section of this Amendment.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Loan Document Pursuant to Existing Credit Agreement</w:t>
      </w:r>
      <w:r>
        <w:rPr>
          <w:rFonts w:ascii="Arial" w:cs="Arial" w:eastAsia="Arial" w:hAnsi="Arial"/>
          <w:sz w:val="22"/>
          <w:szCs w:val="22"/>
          <w:color w:val="auto"/>
        </w:rPr>
        <w:t>. This Amendment is a Loan Document executed pursuant to the Existing Credit Agreement and shall (unless otherwise expressly indicated therein) be construed, administered and applied in accordance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all of the terms and provisions of the Existing Credit Agreement, as amended hereby, including Article IX thereof.</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this Amendment shall be binding upon and inure to the benefit of the parties hereto and their respective successors and assigns.</w:t>
      </w:r>
    </w:p>
    <w:p>
      <w:pPr>
        <w:spacing w:after="0" w:line="17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74"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Full Force and Effect; Limited Amendment</w:t>
      </w:r>
      <w:r>
        <w:rPr>
          <w:rFonts w:ascii="Arial" w:cs="Arial" w:eastAsia="Arial" w:hAnsi="Arial"/>
          <w:sz w:val="19"/>
          <w:szCs w:val="19"/>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6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Existing Borrowings</w:t>
      </w:r>
      <w:r>
        <w:rPr>
          <w:rFonts w:ascii="Arial" w:cs="Arial" w:eastAsia="Arial" w:hAnsi="Arial"/>
          <w:sz w:val="22"/>
          <w:szCs w:val="22"/>
          <w:color w:val="auto"/>
        </w:rPr>
        <w:t>. For the avoidance of doubt, any Loans outstanding as of the Eleventh Amendment Effective Date denominated in Sterling or Euros will continue using the LIBO Rate (as defined in the Existing Credit Agreement) in effect as of the date such Loan was made notwithstanding any amendments made to the Credit Agreement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2" w:name="page153"/>
    <w:bookmarkEnd w:id="152"/>
    <w:p>
      <w:pPr>
        <w:ind w:left="1740"/>
        <w:spacing w:after="0"/>
        <w:rPr>
          <w:sz w:val="20"/>
          <w:szCs w:val="20"/>
          <w:color w:val="auto"/>
        </w:rPr>
      </w:pPr>
      <w:r>
        <w:rPr>
          <w:rFonts w:ascii="Arial" w:cs="Arial" w:eastAsia="Arial" w:hAnsi="Arial"/>
          <w:sz w:val="19"/>
          <w:szCs w:val="19"/>
          <w:color w:val="auto"/>
        </w:rPr>
        <w:t>IN WITNESS WHEREOF, the parties hereto have executed and delivered this Amendment as of the date first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280" w:type="dxa"/>
            <w:vAlign w:val="bottom"/>
            <w:gridSpan w:val="2"/>
          </w:tcPr>
          <w:p>
            <w:pPr>
              <w:spacing w:after="0"/>
              <w:rPr>
                <w:sz w:val="20"/>
                <w:szCs w:val="20"/>
                <w:color w:val="auto"/>
              </w:rPr>
            </w:pPr>
            <w:r>
              <w:rPr>
                <w:rFonts w:ascii="Arial" w:cs="Arial" w:eastAsia="Arial" w:hAnsi="Arial"/>
                <w:sz w:val="22"/>
                <w:szCs w:val="22"/>
                <w:color w:val="auto"/>
              </w:rPr>
              <w:t>above written.</w:t>
            </w:r>
          </w:p>
        </w:tc>
        <w:tc>
          <w:tcPr>
            <w:tcW w:w="258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90"/>
        </w:trPr>
        <w:tc>
          <w:tcPr>
            <w:tcW w:w="3280" w:type="dxa"/>
            <w:vAlign w:val="bottom"/>
            <w:gridSpan w:val="2"/>
          </w:tcPr>
          <w:p>
            <w:pPr>
              <w:spacing w:after="0"/>
              <w:rPr>
                <w:sz w:val="20"/>
                <w:szCs w:val="20"/>
                <w:color w:val="auto"/>
              </w:rPr>
            </w:pPr>
            <w:r>
              <w:rPr>
                <w:rFonts w:ascii="Arial" w:cs="Arial" w:eastAsia="Arial" w:hAnsi="Arial"/>
                <w:sz w:val="22"/>
                <w:szCs w:val="22"/>
                <w:color w:val="auto"/>
              </w:rPr>
              <w:t>BORROWER</w:t>
            </w:r>
            <w:r>
              <w:rPr>
                <w:rFonts w:ascii="Arial" w:cs="Arial" w:eastAsia="Arial" w:hAnsi="Arial"/>
                <w:sz w:val="17"/>
                <w:szCs w:val="17"/>
                <w:color w:val="auto"/>
              </w:rPr>
              <w:t>:</w:t>
            </w:r>
          </w:p>
        </w:tc>
        <w:tc>
          <w:tcPr>
            <w:tcW w:w="7960" w:type="dxa"/>
            <w:vAlign w:val="bottom"/>
            <w:gridSpan w:val="2"/>
          </w:tcPr>
          <w:p>
            <w:pPr>
              <w:ind w:left="2000"/>
              <w:spacing w:after="0"/>
              <w:rPr>
                <w:sz w:val="20"/>
                <w:szCs w:val="20"/>
                <w:color w:val="auto"/>
              </w:rPr>
            </w:pPr>
            <w:r>
              <w:rPr>
                <w:rFonts w:ascii="Arial" w:cs="Arial" w:eastAsia="Arial" w:hAnsi="Arial"/>
                <w:sz w:val="22"/>
                <w:szCs w:val="22"/>
                <w:b w:val="1"/>
                <w:bCs w:val="1"/>
                <w:color w:val="auto"/>
              </w:rPr>
              <w:t>SIXTH STREET SPECIALTY LENDING, INC.</w:t>
            </w:r>
          </w:p>
        </w:tc>
        <w:tc>
          <w:tcPr>
            <w:tcW w:w="20" w:type="dxa"/>
            <w:vAlign w:val="bottom"/>
          </w:tcPr>
          <w:p>
            <w:pPr>
              <w:spacing w:after="0"/>
              <w:rPr>
                <w:sz w:val="24"/>
                <w:szCs w:val="24"/>
                <w:color w:val="auto"/>
              </w:rPr>
            </w:pPr>
          </w:p>
        </w:tc>
      </w:tr>
      <w:tr>
        <w:trPr>
          <w:trHeight w:val="460"/>
        </w:trPr>
        <w:tc>
          <w:tcPr>
            <w:tcW w:w="124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c>
          <w:tcPr>
            <w:tcW w:w="20" w:type="dxa"/>
            <w:vAlign w:val="bottom"/>
          </w:tcPr>
          <w:p>
            <w:pPr>
              <w:spacing w:after="0"/>
              <w:rPr>
                <w:sz w:val="24"/>
                <w:szCs w:val="24"/>
                <w:color w:val="auto"/>
              </w:rPr>
            </w:pPr>
          </w:p>
        </w:tc>
      </w:tr>
      <w:tr>
        <w:trPr>
          <w:trHeight w:val="202"/>
        </w:trPr>
        <w:tc>
          <w:tcPr>
            <w:tcW w:w="1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58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380" w:type="dxa"/>
            <w:vAlign w:val="bottom"/>
          </w:tcPr>
          <w:p>
            <w:pPr>
              <w:spacing w:after="0" w:line="201" w:lineRule="exact"/>
              <w:rPr>
                <w:sz w:val="20"/>
                <w:szCs w:val="20"/>
                <w:color w:val="auto"/>
              </w:rPr>
            </w:pPr>
            <w:r>
              <w:rPr>
                <w:rFonts w:ascii="Arial" w:cs="Arial" w:eastAsia="Arial" w:hAnsi="Arial"/>
                <w:sz w:val="18"/>
                <w:szCs w:val="18"/>
                <w:color w:val="auto"/>
              </w:rPr>
              <w:t>Ian Simmonds</w:t>
            </w:r>
          </w:p>
        </w:tc>
        <w:tc>
          <w:tcPr>
            <w:tcW w:w="20" w:type="dxa"/>
            <w:vAlign w:val="bottom"/>
          </w:tcPr>
          <w:p>
            <w:pPr>
              <w:spacing w:after="0"/>
              <w:rPr>
                <w:sz w:val="17"/>
                <w:szCs w:val="17"/>
                <w:color w:val="auto"/>
              </w:rPr>
            </w:pPr>
          </w:p>
        </w:tc>
      </w:tr>
      <w:tr>
        <w:trPr>
          <w:trHeight w:val="230"/>
        </w:trPr>
        <w:tc>
          <w:tcPr>
            <w:tcW w:w="1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Title:</w:t>
            </w:r>
          </w:p>
        </w:tc>
        <w:tc>
          <w:tcPr>
            <w:tcW w:w="53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1640"/>
        </w:trPr>
        <w:tc>
          <w:tcPr>
            <w:tcW w:w="12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1" w:right="3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53"/>
        </w:trPr>
        <w:tc>
          <w:tcPr>
            <w:tcW w:w="3980" w:type="dxa"/>
            <w:vAlign w:val="bottom"/>
            <w:gridSpan w:val="2"/>
          </w:tcPr>
          <w:p>
            <w:pPr>
              <w:spacing w:after="0"/>
              <w:rPr>
                <w:sz w:val="20"/>
                <w:szCs w:val="20"/>
                <w:color w:val="auto"/>
              </w:rPr>
            </w:pPr>
            <w:r>
              <w:rPr>
                <w:rFonts w:ascii="Arial" w:cs="Arial" w:eastAsia="Arial" w:hAnsi="Arial"/>
                <w:sz w:val="22"/>
                <w:szCs w:val="22"/>
                <w:color w:val="auto"/>
              </w:rPr>
              <w:t>ADMINISTRATIVE AGENT</w:t>
            </w:r>
            <w:r>
              <w:rPr>
                <w:rFonts w:ascii="Arial" w:cs="Arial" w:eastAsia="Arial" w:hAnsi="Arial"/>
                <w:sz w:val="17"/>
                <w:szCs w:val="17"/>
                <w:color w:val="auto"/>
              </w:rPr>
              <w:t>:</w:t>
            </w:r>
          </w:p>
        </w:tc>
        <w:tc>
          <w:tcPr>
            <w:tcW w:w="7260" w:type="dxa"/>
            <w:vAlign w:val="bottom"/>
            <w:gridSpan w:val="2"/>
          </w:tcPr>
          <w:p>
            <w:pPr>
              <w:ind w:left="1300"/>
              <w:spacing w:after="0"/>
              <w:rPr>
                <w:sz w:val="20"/>
                <w:szCs w:val="20"/>
                <w:color w:val="auto"/>
              </w:rPr>
            </w:pPr>
            <w:r>
              <w:rPr>
                <w:rFonts w:ascii="Arial" w:cs="Arial" w:eastAsia="Arial" w:hAnsi="Arial"/>
                <w:sz w:val="22"/>
                <w:szCs w:val="22"/>
                <w:b w:val="1"/>
                <w:bCs w:val="1"/>
                <w:color w:val="auto"/>
              </w:rPr>
              <w:t>TRUIST BANK</w:t>
            </w: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7"/>
        </w:trPr>
        <w:tc>
          <w:tcPr>
            <w:tcW w:w="262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7260" w:type="dxa"/>
            <w:vAlign w:val="bottom"/>
            <w:gridSpan w:val="2"/>
          </w:tcPr>
          <w:p>
            <w:pPr>
              <w:ind w:left="1300"/>
              <w:spacing w:after="0"/>
              <w:rPr>
                <w:sz w:val="20"/>
                <w:szCs w:val="20"/>
                <w:color w:val="auto"/>
              </w:rPr>
            </w:pPr>
            <w:r>
              <w:rPr>
                <w:rFonts w:ascii="Arial" w:cs="Arial" w:eastAsia="Arial" w:hAnsi="Arial"/>
                <w:sz w:val="18"/>
                <w:szCs w:val="18"/>
                <w:color w:val="auto"/>
              </w:rPr>
              <w:t>as Administrative Agent</w:t>
            </w:r>
          </w:p>
        </w:tc>
        <w:tc>
          <w:tcPr>
            <w:tcW w:w="20" w:type="dxa"/>
            <w:vAlign w:val="bottom"/>
          </w:tcPr>
          <w:p>
            <w:pPr>
              <w:spacing w:after="0"/>
              <w:rPr>
                <w:sz w:val="20"/>
                <w:szCs w:val="20"/>
                <w:color w:val="auto"/>
              </w:rPr>
            </w:pPr>
          </w:p>
        </w:tc>
      </w:tr>
      <w:tr>
        <w:trPr>
          <w:trHeight w:val="439"/>
        </w:trPr>
        <w:tc>
          <w:tcPr>
            <w:tcW w:w="2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Hays Wood</w:t>
            </w:r>
          </w:p>
        </w:tc>
        <w:tc>
          <w:tcPr>
            <w:tcW w:w="20" w:type="dxa"/>
            <w:vAlign w:val="bottom"/>
          </w:tcPr>
          <w:p>
            <w:pPr>
              <w:spacing w:after="0"/>
              <w:rPr>
                <w:sz w:val="24"/>
                <w:szCs w:val="24"/>
                <w:color w:val="auto"/>
              </w:rPr>
            </w:pPr>
          </w:p>
        </w:tc>
      </w:tr>
      <w:tr>
        <w:trPr>
          <w:trHeight w:val="202"/>
        </w:trPr>
        <w:tc>
          <w:tcPr>
            <w:tcW w:w="2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00" w:type="dxa"/>
            <w:vAlign w:val="bottom"/>
          </w:tcPr>
          <w:p>
            <w:pPr>
              <w:ind w:left="1300"/>
              <w:spacing w:after="0" w:line="201"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Hays Wood</w:t>
            </w:r>
          </w:p>
        </w:tc>
        <w:tc>
          <w:tcPr>
            <w:tcW w:w="2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1870"/>
        </w:trPr>
        <w:tc>
          <w:tcPr>
            <w:tcW w:w="2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2"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250825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267970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SECOND AMENDED AND RESTATED</w:t>
      </w:r>
    </w:p>
    <w:p>
      <w:pPr>
        <w:jc w:val="center"/>
        <w:ind w:right="40"/>
        <w:spacing w:after="0" w:line="238" w:lineRule="auto"/>
        <w:rPr>
          <w:sz w:val="20"/>
          <w:szCs w:val="20"/>
          <w:color w:val="auto"/>
        </w:rPr>
      </w:pPr>
      <w:r>
        <w:rPr>
          <w:rFonts w:ascii="Arial" w:cs="Arial" w:eastAsia="Arial" w:hAnsi="Arial"/>
          <w:sz w:val="22"/>
          <w:szCs w:val="22"/>
          <w:color w:val="auto"/>
        </w:rPr>
        <w:t>SENIOR SECURED</w:t>
      </w:r>
    </w:p>
    <w:p>
      <w:pPr>
        <w:jc w:val="center"/>
        <w:ind w:right="40"/>
        <w:spacing w:after="0" w:line="230" w:lineRule="auto"/>
        <w:rPr>
          <w:sz w:val="20"/>
          <w:szCs w:val="20"/>
          <w:color w:val="auto"/>
        </w:rPr>
      </w:pPr>
      <w:r>
        <w:rPr>
          <w:rFonts w:ascii="Arial" w:cs="Arial" w:eastAsia="Arial" w:hAnsi="Arial"/>
          <w:sz w:val="22"/>
          <w:szCs w:val="22"/>
          <w:color w:val="auto"/>
        </w:rPr>
        <w:t>REVOLVING CREDIT AGREEMENT</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dated as of</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February 27, 2014</w:t>
      </w:r>
    </w:p>
    <w:p>
      <w:pPr>
        <w:spacing w:after="0" w:line="206" w:lineRule="exact"/>
        <w:rPr>
          <w:sz w:val="20"/>
          <w:szCs w:val="20"/>
          <w:color w:val="auto"/>
        </w:rPr>
      </w:pPr>
    </w:p>
    <w:p>
      <w:pPr>
        <w:jc w:val="center"/>
        <w:ind w:right="40"/>
        <w:spacing w:after="0" w:line="273" w:lineRule="auto"/>
        <w:rPr>
          <w:sz w:val="20"/>
          <w:szCs w:val="20"/>
          <w:color w:val="auto"/>
        </w:rPr>
      </w:pPr>
      <w:r>
        <w:rPr>
          <w:rFonts w:ascii="Arial" w:cs="Arial" w:eastAsia="Arial" w:hAnsi="Arial"/>
          <w:sz w:val="19"/>
          <w:szCs w:val="19"/>
          <w:color w:val="auto"/>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262255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60" w:top="342" w:right="339" w:bottom="1440" w:gutter="0" w:footer="0" w:header="0"/>
        </w:sectPr>
      </w:pPr>
    </w:p>
    <w:bookmarkStart w:id="155" w:name="page156"/>
    <w:bookmarkEnd w:id="155"/>
    <w:p>
      <w:pPr>
        <w:jc w:val="center"/>
        <w:spacing w:after="0" w:line="250" w:lineRule="auto"/>
        <w:rPr>
          <w:sz w:val="20"/>
          <w:szCs w:val="20"/>
          <w:color w:val="auto"/>
        </w:rPr>
      </w:pPr>
      <w:r>
        <w:rPr>
          <w:rFonts w:ascii="Arial" w:cs="Arial" w:eastAsia="Arial" w:hAnsi="Arial"/>
          <w:sz w:val="22"/>
          <w:szCs w:val="22"/>
          <w:color w:val="auto"/>
        </w:rPr>
        <w:t>Agreement dated as of February 5, 2021 and the Eleventh Amendment to Second Amended and Restated Senior Secured Revolving Credit Agreement dated as of December 14, 2021</w:t>
      </w:r>
    </w:p>
    <w:p>
      <w:pPr>
        <w:spacing w:after="0" w:line="17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SIXTH STREET SPECIALTY LENDING, INC. (F/K/A TPG Specialty Lending, Inc.)</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The LENDERS Party Hereto</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TRUIST BANK</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$1,510,000,000</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__________________</w:t>
      </w:r>
    </w:p>
    <w:p>
      <w:pPr>
        <w:spacing w:after="0" w:line="18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15875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12700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29845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MUFG UNION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15875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 Joint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15875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33020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349885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367030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946150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40"/>
          </w:cols>
          <w:pgMar w:left="720" w:top="361" w:right="7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4" w:lineRule="exact"/>
        <w:rPr>
          <w:sz w:val="20"/>
          <w:szCs w:val="20"/>
          <w:color w:val="auto"/>
        </w:rPr>
      </w:pPr>
    </w:p>
    <w:p>
      <w:pPr>
        <w:ind w:left="10680"/>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80" w:type="dxa"/>
            <w:vAlign w:val="bottom"/>
          </w:tcPr>
          <w:p>
            <w:pPr>
              <w:spacing w:after="0"/>
              <w:rPr>
                <w:sz w:val="20"/>
                <w:szCs w:val="20"/>
                <w:color w:val="auto"/>
              </w:rPr>
            </w:pPr>
            <w:r>
              <w:rPr>
                <w:rFonts w:ascii="Arial" w:cs="Arial" w:eastAsia="Arial" w:hAnsi="Arial"/>
                <w:sz w:val="22"/>
                <w:szCs w:val="22"/>
                <w:color w:val="auto"/>
              </w:rPr>
              <w:t>ARTICLE I</w:t>
            </w:r>
          </w:p>
        </w:tc>
        <w:tc>
          <w:tcPr>
            <w:tcW w:w="1860" w:type="dxa"/>
            <w:vAlign w:val="bottom"/>
          </w:tcPr>
          <w:p>
            <w:pPr>
              <w:ind w:left="420"/>
              <w:spacing w:after="0"/>
              <w:rPr>
                <w:sz w:val="20"/>
                <w:szCs w:val="20"/>
                <w:color w:val="auto"/>
              </w:rPr>
            </w:pPr>
            <w:r>
              <w:rPr>
                <w:rFonts w:ascii="Arial" w:cs="Arial" w:eastAsia="Arial" w:hAnsi="Arial"/>
                <w:sz w:val="22"/>
                <w:szCs w:val="22"/>
                <w:color w:val="auto"/>
                <w:w w:val="93"/>
              </w:rPr>
              <w:t>DEFINITIONS2</w:t>
            </w:r>
          </w:p>
        </w:tc>
        <w:tc>
          <w:tcPr>
            <w:tcW w:w="7820" w:type="dxa"/>
            <w:vAlign w:val="bottom"/>
          </w:tcPr>
          <w:p>
            <w:pPr>
              <w:spacing w:after="0"/>
              <w:rPr>
                <w:sz w:val="23"/>
                <w:szCs w:val="23"/>
                <w:color w:val="auto"/>
              </w:rPr>
            </w:pPr>
          </w:p>
        </w:tc>
      </w:tr>
      <w:tr>
        <w:trPr>
          <w:trHeight w:val="320"/>
        </w:trPr>
        <w:tc>
          <w:tcPr>
            <w:tcW w:w="3440" w:type="dxa"/>
            <w:vAlign w:val="bottom"/>
            <w:gridSpan w:val="2"/>
          </w:tcPr>
          <w:p>
            <w:pPr>
              <w:ind w:left="860"/>
              <w:spacing w:after="0"/>
              <w:rPr>
                <w:sz w:val="20"/>
                <w:szCs w:val="20"/>
                <w:color w:val="auto"/>
              </w:rPr>
            </w:pPr>
            <w:r>
              <w:rPr>
                <w:rFonts w:ascii="Arial" w:cs="Arial" w:eastAsia="Arial" w:hAnsi="Arial"/>
                <w:sz w:val="22"/>
                <w:szCs w:val="22"/>
                <w:color w:val="auto"/>
              </w:rPr>
              <w:t>SECTION 1.01.</w:t>
            </w:r>
          </w:p>
        </w:tc>
        <w:tc>
          <w:tcPr>
            <w:tcW w:w="7820" w:type="dxa"/>
            <w:vAlign w:val="bottom"/>
          </w:tcPr>
          <w:p>
            <w:pPr>
              <w:ind w:left="20"/>
              <w:spacing w:after="0"/>
              <w:rPr>
                <w:sz w:val="20"/>
                <w:szCs w:val="20"/>
                <w:color w:val="auto"/>
              </w:rPr>
            </w:pPr>
            <w:r>
              <w:rPr>
                <w:rFonts w:ascii="Arial" w:cs="Arial" w:eastAsia="Arial" w:hAnsi="Arial"/>
                <w:sz w:val="22"/>
                <w:szCs w:val="22"/>
                <w:color w:val="auto"/>
              </w:rPr>
              <w:t>Defined Terms2</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1.02.</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Classification of Loans and Borrowings40</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1.03.</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Terms Generally40</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1.04.</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Accounting Terms; GAAP41</w:t>
            </w:r>
          </w:p>
        </w:tc>
      </w:tr>
      <w:tr>
        <w:trPr>
          <w:trHeight w:val="274"/>
        </w:trPr>
        <w:tc>
          <w:tcPr>
            <w:tcW w:w="3440" w:type="dxa"/>
            <w:vAlign w:val="bottom"/>
            <w:gridSpan w:val="2"/>
          </w:tcPr>
          <w:p>
            <w:pPr>
              <w:ind w:left="860"/>
              <w:spacing w:after="0"/>
              <w:rPr>
                <w:sz w:val="20"/>
                <w:szCs w:val="20"/>
                <w:color w:val="auto"/>
              </w:rPr>
            </w:pPr>
            <w:r>
              <w:rPr>
                <w:rFonts w:ascii="Arial" w:cs="Arial" w:eastAsia="Arial" w:hAnsi="Arial"/>
                <w:sz w:val="22"/>
                <w:szCs w:val="22"/>
                <w:color w:val="auto"/>
              </w:rPr>
              <w:t>SECTION 1.05.</w:t>
            </w:r>
          </w:p>
        </w:tc>
        <w:tc>
          <w:tcPr>
            <w:tcW w:w="7820" w:type="dxa"/>
            <w:vAlign w:val="bottom"/>
          </w:tcPr>
          <w:p>
            <w:pPr>
              <w:ind w:left="20"/>
              <w:spacing w:after="0"/>
              <w:rPr>
                <w:sz w:val="20"/>
                <w:szCs w:val="20"/>
                <w:color w:val="auto"/>
              </w:rPr>
            </w:pPr>
            <w:r>
              <w:rPr>
                <w:rFonts w:ascii="Arial" w:cs="Arial" w:eastAsia="Arial" w:hAnsi="Arial"/>
                <w:sz w:val="22"/>
                <w:szCs w:val="22"/>
                <w:color w:val="auto"/>
              </w:rPr>
              <w:t>Currencies; Currency Equivalents41</w:t>
            </w:r>
          </w:p>
        </w:tc>
      </w:tr>
      <w:tr>
        <w:trPr>
          <w:trHeight w:val="351"/>
        </w:trPr>
        <w:tc>
          <w:tcPr>
            <w:tcW w:w="1580" w:type="dxa"/>
            <w:vAlign w:val="bottom"/>
          </w:tcPr>
          <w:p>
            <w:pPr>
              <w:spacing w:after="0"/>
              <w:rPr>
                <w:sz w:val="20"/>
                <w:szCs w:val="20"/>
                <w:color w:val="auto"/>
              </w:rPr>
            </w:pPr>
            <w:r>
              <w:rPr>
                <w:rFonts w:ascii="Arial" w:cs="Arial" w:eastAsia="Arial" w:hAnsi="Arial"/>
                <w:sz w:val="22"/>
                <w:szCs w:val="22"/>
                <w:color w:val="auto"/>
              </w:rPr>
              <w:t>ARTICLE II</w:t>
            </w:r>
          </w:p>
        </w:tc>
        <w:tc>
          <w:tcPr>
            <w:tcW w:w="9680" w:type="dxa"/>
            <w:vAlign w:val="bottom"/>
            <w:gridSpan w:val="2"/>
          </w:tcPr>
          <w:p>
            <w:pPr>
              <w:ind w:left="420"/>
              <w:spacing w:after="0"/>
              <w:rPr>
                <w:sz w:val="20"/>
                <w:szCs w:val="20"/>
                <w:color w:val="auto"/>
              </w:rPr>
            </w:pPr>
            <w:r>
              <w:rPr>
                <w:rFonts w:ascii="Arial" w:cs="Arial" w:eastAsia="Arial" w:hAnsi="Arial"/>
                <w:sz w:val="22"/>
                <w:szCs w:val="22"/>
                <w:color w:val="auto"/>
              </w:rPr>
              <w:t>THE CREDITS43</w:t>
            </w:r>
          </w:p>
        </w:tc>
      </w:tr>
      <w:tr>
        <w:trPr>
          <w:trHeight w:val="320"/>
        </w:trPr>
        <w:tc>
          <w:tcPr>
            <w:tcW w:w="3440" w:type="dxa"/>
            <w:vAlign w:val="bottom"/>
            <w:gridSpan w:val="2"/>
          </w:tcPr>
          <w:p>
            <w:pPr>
              <w:ind w:left="860"/>
              <w:spacing w:after="0"/>
              <w:rPr>
                <w:sz w:val="20"/>
                <w:szCs w:val="20"/>
                <w:color w:val="auto"/>
              </w:rPr>
            </w:pPr>
            <w:r>
              <w:rPr>
                <w:rFonts w:ascii="Arial" w:cs="Arial" w:eastAsia="Arial" w:hAnsi="Arial"/>
                <w:sz w:val="22"/>
                <w:szCs w:val="22"/>
                <w:color w:val="auto"/>
              </w:rPr>
              <w:t>SECTION 2.01.</w:t>
            </w:r>
          </w:p>
        </w:tc>
        <w:tc>
          <w:tcPr>
            <w:tcW w:w="7820" w:type="dxa"/>
            <w:vAlign w:val="bottom"/>
          </w:tcPr>
          <w:p>
            <w:pPr>
              <w:ind w:left="20"/>
              <w:spacing w:after="0"/>
              <w:rPr>
                <w:sz w:val="20"/>
                <w:szCs w:val="20"/>
                <w:color w:val="auto"/>
              </w:rPr>
            </w:pPr>
            <w:r>
              <w:rPr>
                <w:rFonts w:ascii="Arial" w:cs="Arial" w:eastAsia="Arial" w:hAnsi="Arial"/>
                <w:sz w:val="22"/>
                <w:szCs w:val="22"/>
                <w:color w:val="auto"/>
              </w:rPr>
              <w:t>The Commitments43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2.02.</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Loans and Borrowings43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2.03.</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Requests for Syndicated Borrowings44</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2.04.</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Swingline Loans45</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2.05.</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Letters of Credit47</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2.06.</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Funding of Borrowings53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2.07.</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Interest Elections53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2.08.</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Termination, Reduction or Increase of the Commitments55</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2.09.</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Repayment of Loans; Evidence of Debt58</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2.10.</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Prepayment of Loans59</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2.11.</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Fees63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2.12.</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Interest64</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2.13.</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Inability to Determine Interest Rates65</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2.14.</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Increased Costs66</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2.15.</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Break Funding Payments67</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2.16.</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Taxes68</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2.17.</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Payments Generally; Pro Rata Treatment: Sharing of Set-offs72</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2.18.</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Mitigation Obligations; Replacement of Lenders74</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2.19.</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Defaulting Lenders75</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2.20.</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Reallocation Following a Non-Extended Commitment Termination Date79</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2.21.</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Assignment and Reallocation of Existing Commitments and Existing Loans80</w:t>
            </w:r>
          </w:p>
        </w:tc>
      </w:tr>
      <w:tr>
        <w:trPr>
          <w:trHeight w:val="274"/>
        </w:trPr>
        <w:tc>
          <w:tcPr>
            <w:tcW w:w="3440" w:type="dxa"/>
            <w:vAlign w:val="bottom"/>
            <w:gridSpan w:val="2"/>
          </w:tcPr>
          <w:p>
            <w:pPr>
              <w:ind w:left="860"/>
              <w:spacing w:after="0"/>
              <w:rPr>
                <w:sz w:val="20"/>
                <w:szCs w:val="20"/>
                <w:color w:val="auto"/>
              </w:rPr>
            </w:pPr>
            <w:r>
              <w:rPr>
                <w:rFonts w:ascii="Arial" w:cs="Arial" w:eastAsia="Arial" w:hAnsi="Arial"/>
                <w:sz w:val="22"/>
                <w:szCs w:val="22"/>
                <w:color w:val="auto"/>
              </w:rPr>
              <w:t>SECTION 2.22.</w:t>
            </w:r>
          </w:p>
        </w:tc>
        <w:tc>
          <w:tcPr>
            <w:tcW w:w="7820" w:type="dxa"/>
            <w:vAlign w:val="bottom"/>
          </w:tcPr>
          <w:p>
            <w:pPr>
              <w:ind w:left="20"/>
              <w:spacing w:after="0"/>
              <w:rPr>
                <w:sz w:val="20"/>
                <w:szCs w:val="20"/>
                <w:color w:val="auto"/>
              </w:rPr>
            </w:pPr>
            <w:r>
              <w:rPr>
                <w:rFonts w:ascii="Arial" w:cs="Arial" w:eastAsia="Arial" w:hAnsi="Arial"/>
                <w:sz w:val="22"/>
                <w:szCs w:val="22"/>
                <w:color w:val="auto"/>
              </w:rPr>
              <w:t>Effect of Benchmark Transition Event81</w:t>
            </w:r>
          </w:p>
        </w:tc>
      </w:tr>
      <w:tr>
        <w:trPr>
          <w:trHeight w:val="351"/>
        </w:trPr>
        <w:tc>
          <w:tcPr>
            <w:tcW w:w="1580" w:type="dxa"/>
            <w:vAlign w:val="bottom"/>
          </w:tcPr>
          <w:p>
            <w:pPr>
              <w:spacing w:after="0"/>
              <w:rPr>
                <w:sz w:val="20"/>
                <w:szCs w:val="20"/>
                <w:color w:val="auto"/>
              </w:rPr>
            </w:pPr>
            <w:r>
              <w:rPr>
                <w:rFonts w:ascii="Arial" w:cs="Arial" w:eastAsia="Arial" w:hAnsi="Arial"/>
                <w:sz w:val="22"/>
                <w:szCs w:val="22"/>
                <w:color w:val="auto"/>
              </w:rPr>
              <w:t>ARTICLE III</w:t>
            </w:r>
          </w:p>
        </w:tc>
        <w:tc>
          <w:tcPr>
            <w:tcW w:w="9680" w:type="dxa"/>
            <w:vAlign w:val="bottom"/>
            <w:gridSpan w:val="2"/>
          </w:tcPr>
          <w:p>
            <w:pPr>
              <w:ind w:left="420"/>
              <w:spacing w:after="0"/>
              <w:rPr>
                <w:sz w:val="20"/>
                <w:szCs w:val="20"/>
                <w:color w:val="auto"/>
              </w:rPr>
            </w:pPr>
            <w:r>
              <w:rPr>
                <w:rFonts w:ascii="Arial" w:cs="Arial" w:eastAsia="Arial" w:hAnsi="Arial"/>
                <w:sz w:val="22"/>
                <w:szCs w:val="22"/>
                <w:color w:val="auto"/>
              </w:rPr>
              <w:t>REPRESENTATIONS AND WARRANTIES82</w:t>
            </w:r>
          </w:p>
        </w:tc>
      </w:tr>
      <w:tr>
        <w:trPr>
          <w:trHeight w:val="320"/>
        </w:trPr>
        <w:tc>
          <w:tcPr>
            <w:tcW w:w="3440" w:type="dxa"/>
            <w:vAlign w:val="bottom"/>
            <w:gridSpan w:val="2"/>
          </w:tcPr>
          <w:p>
            <w:pPr>
              <w:ind w:left="860"/>
              <w:spacing w:after="0"/>
              <w:rPr>
                <w:sz w:val="20"/>
                <w:szCs w:val="20"/>
                <w:color w:val="auto"/>
              </w:rPr>
            </w:pPr>
            <w:r>
              <w:rPr>
                <w:rFonts w:ascii="Arial" w:cs="Arial" w:eastAsia="Arial" w:hAnsi="Arial"/>
                <w:sz w:val="22"/>
                <w:szCs w:val="22"/>
                <w:color w:val="auto"/>
              </w:rPr>
              <w:t>SECTION 3.01.</w:t>
            </w:r>
          </w:p>
        </w:tc>
        <w:tc>
          <w:tcPr>
            <w:tcW w:w="7820" w:type="dxa"/>
            <w:vAlign w:val="bottom"/>
          </w:tcPr>
          <w:p>
            <w:pPr>
              <w:ind w:left="20"/>
              <w:spacing w:after="0"/>
              <w:rPr>
                <w:sz w:val="20"/>
                <w:szCs w:val="20"/>
                <w:color w:val="auto"/>
              </w:rPr>
            </w:pPr>
            <w:r>
              <w:rPr>
                <w:rFonts w:ascii="Arial" w:cs="Arial" w:eastAsia="Arial" w:hAnsi="Arial"/>
                <w:sz w:val="22"/>
                <w:szCs w:val="22"/>
                <w:color w:val="auto"/>
              </w:rPr>
              <w:t>Organization; Powers82</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3.02.</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Authorization; Enforceability82</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3.03.</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Governmental Approvals; No Conflicts83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3.04.</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Financial Condition; No Material Adverse Change83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3.05.</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Litigation83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3.06.</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Compliance with Laws and Agreements83</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3.07.</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Taxes84</w:t>
            </w:r>
          </w:p>
        </w:tc>
      </w:tr>
      <w:tr>
        <w:trPr>
          <w:trHeight w:val="243"/>
        </w:trPr>
        <w:tc>
          <w:tcPr>
            <w:tcW w:w="344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3.08.</w:t>
            </w:r>
          </w:p>
        </w:tc>
        <w:tc>
          <w:tcPr>
            <w:tcW w:w="7820" w:type="dxa"/>
            <w:vAlign w:val="bottom"/>
          </w:tcPr>
          <w:p>
            <w:pPr>
              <w:ind w:left="20"/>
              <w:spacing w:after="0" w:line="243" w:lineRule="exact"/>
              <w:rPr>
                <w:sz w:val="20"/>
                <w:szCs w:val="20"/>
                <w:color w:val="auto"/>
              </w:rPr>
            </w:pPr>
            <w:r>
              <w:rPr>
                <w:rFonts w:ascii="Arial" w:cs="Arial" w:eastAsia="Arial" w:hAnsi="Arial"/>
                <w:sz w:val="22"/>
                <w:szCs w:val="22"/>
                <w:color w:val="auto"/>
              </w:rPr>
              <w:t>ERISA84</w:t>
            </w:r>
          </w:p>
        </w:tc>
      </w:tr>
      <w:tr>
        <w:trPr>
          <w:trHeight w:val="274"/>
        </w:trPr>
        <w:tc>
          <w:tcPr>
            <w:tcW w:w="15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820" w:type="dxa"/>
            <w:vAlign w:val="bottom"/>
          </w:tcPr>
          <w:p>
            <w:pPr>
              <w:ind w:left="2080"/>
              <w:spacing w:after="0"/>
              <w:rPr>
                <w:sz w:val="20"/>
                <w:szCs w:val="20"/>
                <w:color w:val="auto"/>
              </w:rPr>
            </w:pPr>
            <w:r>
              <w:rPr>
                <w:rFonts w:ascii="Arial" w:cs="Arial" w:eastAsia="Arial" w:hAnsi="Arial"/>
                <w:sz w:val="22"/>
                <w:szCs w:val="22"/>
                <w:color w:val="auto"/>
              </w:rPr>
              <w:t>-i-</w:t>
            </w:r>
          </w:p>
        </w:tc>
      </w:tr>
      <w:tr>
        <w:trPr>
          <w:trHeight w:val="469"/>
        </w:trPr>
        <w:tc>
          <w:tcPr>
            <w:tcW w:w="15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ind w:left="10680"/>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3.09.</w:t>
            </w:r>
          </w:p>
        </w:tc>
        <w:tc>
          <w:tcPr>
            <w:tcW w:w="8400" w:type="dxa"/>
            <w:vAlign w:val="bottom"/>
          </w:tcPr>
          <w:p>
            <w:pPr>
              <w:ind w:left="600"/>
              <w:spacing w:after="0"/>
              <w:rPr>
                <w:sz w:val="20"/>
                <w:szCs w:val="20"/>
                <w:color w:val="auto"/>
              </w:rPr>
            </w:pPr>
            <w:r>
              <w:rPr>
                <w:rFonts w:ascii="Arial" w:cs="Arial" w:eastAsia="Arial" w:hAnsi="Arial"/>
                <w:sz w:val="22"/>
                <w:szCs w:val="22"/>
                <w:color w:val="auto"/>
              </w:rPr>
              <w:t>Disclosure84</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3.10.</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Investment Company Act; Margin Regulations84</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3.11.</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Material Agreements and Liens85</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3.12.</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Subsidiaries and Investments85</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3.13.</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Properties85</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3.14.</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Affiliate Agreements86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3.15.</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Sanctions86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3.16.</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Patriot Act86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3.17.</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Collateral Documents86</w:t>
            </w:r>
          </w:p>
        </w:tc>
      </w:tr>
      <w:tr>
        <w:trPr>
          <w:trHeight w:val="274"/>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3.18.</w:t>
            </w:r>
          </w:p>
        </w:tc>
        <w:tc>
          <w:tcPr>
            <w:tcW w:w="8400" w:type="dxa"/>
            <w:vAlign w:val="bottom"/>
          </w:tcPr>
          <w:p>
            <w:pPr>
              <w:ind w:left="600"/>
              <w:spacing w:after="0"/>
              <w:rPr>
                <w:sz w:val="20"/>
                <w:szCs w:val="20"/>
                <w:color w:val="auto"/>
              </w:rPr>
            </w:pPr>
            <w:r>
              <w:rPr>
                <w:rFonts w:ascii="Arial" w:cs="Arial" w:eastAsia="Arial" w:hAnsi="Arial"/>
                <w:sz w:val="22"/>
                <w:szCs w:val="22"/>
                <w:color w:val="auto"/>
              </w:rPr>
              <w:t>EEA Financial Institutions87</w:t>
            </w:r>
          </w:p>
        </w:tc>
      </w:tr>
      <w:tr>
        <w:trPr>
          <w:trHeight w:val="351"/>
        </w:trPr>
        <w:tc>
          <w:tcPr>
            <w:tcW w:w="1600" w:type="dxa"/>
            <w:vAlign w:val="bottom"/>
          </w:tcPr>
          <w:p>
            <w:pPr>
              <w:spacing w:after="0"/>
              <w:rPr>
                <w:sz w:val="20"/>
                <w:szCs w:val="20"/>
                <w:color w:val="auto"/>
              </w:rPr>
            </w:pPr>
            <w:r>
              <w:rPr>
                <w:rFonts w:ascii="Arial" w:cs="Arial" w:eastAsia="Arial" w:hAnsi="Arial"/>
                <w:sz w:val="22"/>
                <w:szCs w:val="22"/>
                <w:color w:val="auto"/>
              </w:rPr>
              <w:t>ARTICLE IV</w:t>
            </w:r>
          </w:p>
        </w:tc>
        <w:tc>
          <w:tcPr>
            <w:tcW w:w="9660" w:type="dxa"/>
            <w:vAlign w:val="bottom"/>
            <w:gridSpan w:val="2"/>
          </w:tcPr>
          <w:p>
            <w:pPr>
              <w:ind w:left="400"/>
              <w:spacing w:after="0"/>
              <w:rPr>
                <w:sz w:val="20"/>
                <w:szCs w:val="20"/>
                <w:color w:val="auto"/>
              </w:rPr>
            </w:pPr>
            <w:r>
              <w:rPr>
                <w:rFonts w:ascii="Arial" w:cs="Arial" w:eastAsia="Arial" w:hAnsi="Arial"/>
                <w:sz w:val="22"/>
                <w:szCs w:val="22"/>
                <w:color w:val="auto"/>
              </w:rPr>
              <w:t>CONDITIONS87</w:t>
            </w:r>
          </w:p>
        </w:tc>
      </w:tr>
      <w:tr>
        <w:trPr>
          <w:trHeight w:val="320"/>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4.01.</w:t>
            </w:r>
          </w:p>
        </w:tc>
        <w:tc>
          <w:tcPr>
            <w:tcW w:w="8400" w:type="dxa"/>
            <w:vAlign w:val="bottom"/>
          </w:tcPr>
          <w:p>
            <w:pPr>
              <w:ind w:left="600"/>
              <w:spacing w:after="0"/>
              <w:rPr>
                <w:sz w:val="20"/>
                <w:szCs w:val="20"/>
                <w:color w:val="auto"/>
              </w:rPr>
            </w:pPr>
            <w:r>
              <w:rPr>
                <w:rFonts w:ascii="Arial" w:cs="Arial" w:eastAsia="Arial" w:hAnsi="Arial"/>
                <w:sz w:val="22"/>
                <w:szCs w:val="22"/>
                <w:color w:val="auto"/>
              </w:rPr>
              <w:t>Effective Date87</w:t>
            </w:r>
          </w:p>
        </w:tc>
      </w:tr>
      <w:tr>
        <w:trPr>
          <w:trHeight w:val="274"/>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4.02.</w:t>
            </w:r>
          </w:p>
        </w:tc>
        <w:tc>
          <w:tcPr>
            <w:tcW w:w="8400" w:type="dxa"/>
            <w:vAlign w:val="bottom"/>
          </w:tcPr>
          <w:p>
            <w:pPr>
              <w:ind w:left="600"/>
              <w:spacing w:after="0"/>
              <w:rPr>
                <w:sz w:val="20"/>
                <w:szCs w:val="20"/>
                <w:color w:val="auto"/>
              </w:rPr>
            </w:pPr>
            <w:r>
              <w:rPr>
                <w:rFonts w:ascii="Arial" w:cs="Arial" w:eastAsia="Arial" w:hAnsi="Arial"/>
                <w:sz w:val="22"/>
                <w:szCs w:val="22"/>
                <w:color w:val="auto"/>
              </w:rPr>
              <w:t>Each Credit Event88</w:t>
            </w:r>
          </w:p>
        </w:tc>
      </w:tr>
      <w:tr>
        <w:trPr>
          <w:trHeight w:val="351"/>
        </w:trPr>
        <w:tc>
          <w:tcPr>
            <w:tcW w:w="1600" w:type="dxa"/>
            <w:vAlign w:val="bottom"/>
          </w:tcPr>
          <w:p>
            <w:pPr>
              <w:spacing w:after="0"/>
              <w:rPr>
                <w:sz w:val="20"/>
                <w:szCs w:val="20"/>
                <w:color w:val="auto"/>
              </w:rPr>
            </w:pPr>
            <w:r>
              <w:rPr>
                <w:rFonts w:ascii="Arial" w:cs="Arial" w:eastAsia="Arial" w:hAnsi="Arial"/>
                <w:sz w:val="22"/>
                <w:szCs w:val="22"/>
                <w:color w:val="auto"/>
              </w:rPr>
              <w:t>ARTICLE V</w:t>
            </w:r>
          </w:p>
        </w:tc>
        <w:tc>
          <w:tcPr>
            <w:tcW w:w="9660" w:type="dxa"/>
            <w:vAlign w:val="bottom"/>
            <w:gridSpan w:val="2"/>
          </w:tcPr>
          <w:p>
            <w:pPr>
              <w:ind w:left="400"/>
              <w:spacing w:after="0"/>
              <w:rPr>
                <w:sz w:val="20"/>
                <w:szCs w:val="20"/>
                <w:color w:val="auto"/>
              </w:rPr>
            </w:pPr>
            <w:r>
              <w:rPr>
                <w:rFonts w:ascii="Arial" w:cs="Arial" w:eastAsia="Arial" w:hAnsi="Arial"/>
                <w:sz w:val="22"/>
                <w:szCs w:val="22"/>
                <w:color w:val="auto"/>
              </w:rPr>
              <w:t>AFFIRMATIVE COVENANTS88</w:t>
            </w:r>
          </w:p>
        </w:tc>
      </w:tr>
      <w:tr>
        <w:trPr>
          <w:trHeight w:val="320"/>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5.01.</w:t>
            </w:r>
          </w:p>
        </w:tc>
        <w:tc>
          <w:tcPr>
            <w:tcW w:w="8400" w:type="dxa"/>
            <w:vAlign w:val="bottom"/>
          </w:tcPr>
          <w:p>
            <w:pPr>
              <w:ind w:left="600"/>
              <w:spacing w:after="0"/>
              <w:rPr>
                <w:sz w:val="20"/>
                <w:szCs w:val="20"/>
                <w:color w:val="auto"/>
              </w:rPr>
            </w:pPr>
            <w:r>
              <w:rPr>
                <w:rFonts w:ascii="Arial" w:cs="Arial" w:eastAsia="Arial" w:hAnsi="Arial"/>
                <w:sz w:val="22"/>
                <w:szCs w:val="22"/>
                <w:color w:val="auto"/>
              </w:rPr>
              <w:t>Financial Statements and Other Information88</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5.02.</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Notices of Material Events90</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5.03.</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Existence: Conduct of Business91</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5.04.</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Payment of Obligations91</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5.05.</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Maintenance of Properties; Insurance91</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5.06.</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Books and Records; Inspection and Audit Rights91</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5.07.</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Compliance with Laws92</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5.08.</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Certain Obligations Respecting Subsidiaries; Further Assurances92</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5.09.</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Use of Proceeds93</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5.10.</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Status of RIC and BDC93</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5.11.</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Investment Policies93</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5.12.</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Portfolio Valuation and Diversification Etc93</w:t>
            </w:r>
          </w:p>
        </w:tc>
      </w:tr>
      <w:tr>
        <w:trPr>
          <w:trHeight w:val="274"/>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5.13.</w:t>
            </w:r>
          </w:p>
        </w:tc>
        <w:tc>
          <w:tcPr>
            <w:tcW w:w="8400" w:type="dxa"/>
            <w:vAlign w:val="bottom"/>
          </w:tcPr>
          <w:p>
            <w:pPr>
              <w:ind w:left="600"/>
              <w:spacing w:after="0"/>
              <w:rPr>
                <w:sz w:val="20"/>
                <w:szCs w:val="20"/>
                <w:color w:val="auto"/>
              </w:rPr>
            </w:pPr>
            <w:r>
              <w:rPr>
                <w:rFonts w:ascii="Arial" w:cs="Arial" w:eastAsia="Arial" w:hAnsi="Arial"/>
                <w:sz w:val="22"/>
                <w:szCs w:val="22"/>
                <w:color w:val="auto"/>
              </w:rPr>
              <w:t>Calculation of Borrowing Base97</w:t>
            </w:r>
          </w:p>
        </w:tc>
      </w:tr>
      <w:tr>
        <w:trPr>
          <w:trHeight w:val="351"/>
        </w:trPr>
        <w:tc>
          <w:tcPr>
            <w:tcW w:w="1600" w:type="dxa"/>
            <w:vAlign w:val="bottom"/>
          </w:tcPr>
          <w:p>
            <w:pPr>
              <w:spacing w:after="0"/>
              <w:rPr>
                <w:sz w:val="20"/>
                <w:szCs w:val="20"/>
                <w:color w:val="auto"/>
              </w:rPr>
            </w:pPr>
            <w:r>
              <w:rPr>
                <w:rFonts w:ascii="Arial" w:cs="Arial" w:eastAsia="Arial" w:hAnsi="Arial"/>
                <w:sz w:val="22"/>
                <w:szCs w:val="22"/>
                <w:color w:val="auto"/>
              </w:rPr>
              <w:t>ARTICLE VI</w:t>
            </w:r>
          </w:p>
        </w:tc>
        <w:tc>
          <w:tcPr>
            <w:tcW w:w="9660" w:type="dxa"/>
            <w:vAlign w:val="bottom"/>
            <w:gridSpan w:val="2"/>
          </w:tcPr>
          <w:p>
            <w:pPr>
              <w:ind w:left="400"/>
              <w:spacing w:after="0"/>
              <w:rPr>
                <w:sz w:val="20"/>
                <w:szCs w:val="20"/>
                <w:color w:val="auto"/>
              </w:rPr>
            </w:pPr>
            <w:r>
              <w:rPr>
                <w:rFonts w:ascii="Arial" w:cs="Arial" w:eastAsia="Arial" w:hAnsi="Arial"/>
                <w:sz w:val="22"/>
                <w:szCs w:val="22"/>
                <w:color w:val="auto"/>
              </w:rPr>
              <w:t>NEGATIVE COVENANTS102</w:t>
            </w:r>
          </w:p>
        </w:tc>
      </w:tr>
      <w:tr>
        <w:trPr>
          <w:trHeight w:val="320"/>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6.01.</w:t>
            </w:r>
          </w:p>
        </w:tc>
        <w:tc>
          <w:tcPr>
            <w:tcW w:w="8400" w:type="dxa"/>
            <w:vAlign w:val="bottom"/>
          </w:tcPr>
          <w:p>
            <w:pPr>
              <w:ind w:left="600"/>
              <w:spacing w:after="0"/>
              <w:rPr>
                <w:sz w:val="20"/>
                <w:szCs w:val="20"/>
                <w:color w:val="auto"/>
              </w:rPr>
            </w:pPr>
            <w:r>
              <w:rPr>
                <w:rFonts w:ascii="Arial" w:cs="Arial" w:eastAsia="Arial" w:hAnsi="Arial"/>
                <w:sz w:val="22"/>
                <w:szCs w:val="22"/>
                <w:color w:val="auto"/>
              </w:rPr>
              <w:t>Indebtedness102</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6.02.</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Liens104</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6.03.</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Fundamental Changes105</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6.04.</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Investments106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6.05.</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Restricted Payments107</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6.06.</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Certain Restrictions on Subsidiaries108</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6.07.</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Certain Financial Covenants108</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6.08.</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Transactions with Affiliates109</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6.09.</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Lines of Business109</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6.10.</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No Further Negative Pledge109</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6.11.</w:t>
            </w:r>
          </w:p>
        </w:tc>
        <w:tc>
          <w:tcPr>
            <w:tcW w:w="8400" w:type="dxa"/>
            <w:vAlign w:val="bottom"/>
          </w:tcPr>
          <w:p>
            <w:pPr>
              <w:ind w:left="600"/>
              <w:spacing w:after="0" w:line="243" w:lineRule="exact"/>
              <w:rPr>
                <w:sz w:val="20"/>
                <w:szCs w:val="20"/>
                <w:color w:val="auto"/>
              </w:rPr>
            </w:pPr>
            <w:r>
              <w:rPr>
                <w:rFonts w:ascii="Arial" w:cs="Arial" w:eastAsia="Arial" w:hAnsi="Arial"/>
                <w:sz w:val="22"/>
                <w:szCs w:val="22"/>
                <w:color w:val="auto"/>
              </w:rPr>
              <w:t>Modifications of Longer-Term Indebtedness Documents110</w:t>
            </w:r>
          </w:p>
        </w:tc>
      </w:tr>
      <w:tr>
        <w:trPr>
          <w:trHeight w:val="274"/>
        </w:trPr>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0" w:type="dxa"/>
            <w:vAlign w:val="bottom"/>
          </w:tcPr>
          <w:p>
            <w:pPr>
              <w:ind w:left="2620"/>
              <w:spacing w:after="0"/>
              <w:rPr>
                <w:sz w:val="20"/>
                <w:szCs w:val="20"/>
                <w:color w:val="auto"/>
              </w:rPr>
            </w:pPr>
            <w:r>
              <w:rPr>
                <w:rFonts w:ascii="Arial" w:cs="Arial" w:eastAsia="Arial" w:hAnsi="Arial"/>
                <w:sz w:val="22"/>
                <w:szCs w:val="22"/>
                <w:color w:val="auto"/>
              </w:rPr>
              <w:t>-ii-</w:t>
            </w:r>
          </w:p>
        </w:tc>
      </w:tr>
      <w:tr>
        <w:trPr>
          <w:trHeight w:val="469"/>
        </w:trPr>
        <w:tc>
          <w:tcPr>
            <w:tcW w:w="1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58" w:name="page159"/>
    <w:bookmarkEnd w:id="158"/>
    <w:p>
      <w:pPr>
        <w:jc w:val="center"/>
        <w:ind w:right="-13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(continued)</w:t>
      </w: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6.12.</w:t>
            </w:r>
          </w:p>
        </w:tc>
        <w:tc>
          <w:tcPr>
            <w:tcW w:w="7400" w:type="dxa"/>
            <w:vAlign w:val="bottom"/>
          </w:tcPr>
          <w:p>
            <w:pPr>
              <w:ind w:left="600"/>
              <w:spacing w:after="0"/>
              <w:rPr>
                <w:sz w:val="20"/>
                <w:szCs w:val="20"/>
                <w:color w:val="auto"/>
              </w:rPr>
            </w:pPr>
            <w:r>
              <w:rPr>
                <w:rFonts w:ascii="Arial" w:cs="Arial" w:eastAsia="Arial" w:hAnsi="Arial"/>
                <w:sz w:val="22"/>
                <w:szCs w:val="22"/>
                <w:color w:val="auto"/>
                <w:w w:val="88"/>
              </w:rPr>
              <w:t>Payments of Longer-Term Indebtedness, the 2022 Convertible Notes, the 2023</w:t>
            </w:r>
          </w:p>
        </w:tc>
      </w:tr>
      <w:tr>
        <w:trPr>
          <w:trHeight w:val="243"/>
        </w:trPr>
        <w:tc>
          <w:tcPr>
            <w:tcW w:w="1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Notes, the 2024 Notes and the 2026 Notes110</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6.13.</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Accounting Changes111</w:t>
            </w:r>
          </w:p>
        </w:tc>
      </w:tr>
      <w:tr>
        <w:trPr>
          <w:trHeight w:val="274"/>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6.14.</w:t>
            </w:r>
          </w:p>
        </w:tc>
        <w:tc>
          <w:tcPr>
            <w:tcW w:w="7400" w:type="dxa"/>
            <w:vAlign w:val="bottom"/>
          </w:tcPr>
          <w:p>
            <w:pPr>
              <w:ind w:left="600"/>
              <w:spacing w:after="0"/>
              <w:rPr>
                <w:sz w:val="20"/>
                <w:szCs w:val="20"/>
                <w:color w:val="auto"/>
              </w:rPr>
            </w:pPr>
            <w:r>
              <w:rPr>
                <w:rFonts w:ascii="Arial" w:cs="Arial" w:eastAsia="Arial" w:hAnsi="Arial"/>
                <w:sz w:val="22"/>
                <w:szCs w:val="22"/>
                <w:color w:val="auto"/>
              </w:rPr>
              <w:t>SBIC Guarantee111</w:t>
            </w:r>
          </w:p>
        </w:tc>
      </w:tr>
      <w:tr>
        <w:trPr>
          <w:trHeight w:val="320"/>
        </w:trPr>
        <w:tc>
          <w:tcPr>
            <w:tcW w:w="1660" w:type="dxa"/>
            <w:vAlign w:val="bottom"/>
          </w:tcPr>
          <w:p>
            <w:pPr>
              <w:spacing w:after="0"/>
              <w:rPr>
                <w:sz w:val="20"/>
                <w:szCs w:val="20"/>
                <w:color w:val="auto"/>
              </w:rPr>
            </w:pPr>
            <w:r>
              <w:rPr>
                <w:rFonts w:ascii="Arial" w:cs="Arial" w:eastAsia="Arial" w:hAnsi="Arial"/>
                <w:sz w:val="22"/>
                <w:szCs w:val="22"/>
                <w:color w:val="auto"/>
              </w:rPr>
              <w:t>ARTICLE VII</w:t>
            </w:r>
          </w:p>
        </w:tc>
        <w:tc>
          <w:tcPr>
            <w:tcW w:w="8600" w:type="dxa"/>
            <w:vAlign w:val="bottom"/>
            <w:gridSpan w:val="2"/>
          </w:tcPr>
          <w:p>
            <w:pPr>
              <w:ind w:left="340"/>
              <w:spacing w:after="0"/>
              <w:rPr>
                <w:sz w:val="20"/>
                <w:szCs w:val="20"/>
                <w:color w:val="auto"/>
              </w:rPr>
            </w:pPr>
            <w:r>
              <w:rPr>
                <w:rFonts w:ascii="Arial" w:cs="Arial" w:eastAsia="Arial" w:hAnsi="Arial"/>
                <w:sz w:val="22"/>
                <w:szCs w:val="22"/>
                <w:color w:val="auto"/>
              </w:rPr>
              <w:t>EVENTS OF DEFAULT111</w:t>
            </w:r>
          </w:p>
        </w:tc>
      </w:t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ARTICLE VIII</w:t>
            </w:r>
          </w:p>
        </w:tc>
        <w:tc>
          <w:tcPr>
            <w:tcW w:w="8600" w:type="dxa"/>
            <w:vAlign w:val="bottom"/>
            <w:gridSpan w:val="2"/>
          </w:tcPr>
          <w:p>
            <w:pPr>
              <w:ind w:left="340"/>
              <w:spacing w:after="0"/>
              <w:rPr>
                <w:sz w:val="20"/>
                <w:szCs w:val="20"/>
                <w:color w:val="auto"/>
              </w:rPr>
            </w:pPr>
            <w:r>
              <w:rPr>
                <w:rFonts w:ascii="Arial" w:cs="Arial" w:eastAsia="Arial" w:hAnsi="Arial"/>
                <w:sz w:val="22"/>
                <w:szCs w:val="22"/>
                <w:color w:val="auto"/>
              </w:rPr>
              <w:t>THE ADMINISTRATIVE AGENT116</w:t>
            </w:r>
          </w:p>
        </w:tc>
      </w:tr>
      <w:tr>
        <w:trPr>
          <w:trHeight w:val="320"/>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8.01.</w:t>
            </w:r>
          </w:p>
        </w:tc>
        <w:tc>
          <w:tcPr>
            <w:tcW w:w="7400" w:type="dxa"/>
            <w:vAlign w:val="bottom"/>
          </w:tcPr>
          <w:p>
            <w:pPr>
              <w:ind w:left="600"/>
              <w:spacing w:after="0"/>
              <w:rPr>
                <w:sz w:val="20"/>
                <w:szCs w:val="20"/>
                <w:color w:val="auto"/>
              </w:rPr>
            </w:pPr>
            <w:r>
              <w:rPr>
                <w:rFonts w:ascii="Arial" w:cs="Arial" w:eastAsia="Arial" w:hAnsi="Arial"/>
                <w:sz w:val="22"/>
                <w:szCs w:val="22"/>
                <w:color w:val="auto"/>
              </w:rPr>
              <w:t>Appointment of the Administrative Agent116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8.02.</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Capacity as Lender116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8.03.</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Limitation of Duties; Exculpation116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8.04.</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Reliance117</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8.05.</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Sub-Agents117</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8.06.</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Resignation; Successor Administrative Agent117</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8.07.</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Reliance by Lenders118</w:t>
            </w:r>
          </w:p>
        </w:tc>
      </w:tr>
      <w:tr>
        <w:trPr>
          <w:trHeight w:val="274"/>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8.08.</w:t>
            </w:r>
          </w:p>
        </w:tc>
        <w:tc>
          <w:tcPr>
            <w:tcW w:w="7400" w:type="dxa"/>
            <w:vAlign w:val="bottom"/>
          </w:tcPr>
          <w:p>
            <w:pPr>
              <w:ind w:left="600"/>
              <w:spacing w:after="0"/>
              <w:rPr>
                <w:sz w:val="20"/>
                <w:szCs w:val="20"/>
                <w:color w:val="auto"/>
              </w:rPr>
            </w:pPr>
            <w:r>
              <w:rPr>
                <w:rFonts w:ascii="Arial" w:cs="Arial" w:eastAsia="Arial" w:hAnsi="Arial"/>
                <w:sz w:val="22"/>
                <w:szCs w:val="22"/>
                <w:color w:val="auto"/>
              </w:rPr>
              <w:t>Modifications to Loan Documents118</w:t>
            </w:r>
          </w:p>
        </w:tc>
      </w:tr>
      <w:tr>
        <w:trPr>
          <w:trHeight w:val="351"/>
        </w:trPr>
        <w:tc>
          <w:tcPr>
            <w:tcW w:w="1660" w:type="dxa"/>
            <w:vAlign w:val="bottom"/>
          </w:tcPr>
          <w:p>
            <w:pPr>
              <w:spacing w:after="0"/>
              <w:rPr>
                <w:sz w:val="20"/>
                <w:szCs w:val="20"/>
                <w:color w:val="auto"/>
              </w:rPr>
            </w:pPr>
            <w:r>
              <w:rPr>
                <w:rFonts w:ascii="Arial" w:cs="Arial" w:eastAsia="Arial" w:hAnsi="Arial"/>
                <w:sz w:val="22"/>
                <w:szCs w:val="22"/>
                <w:color w:val="auto"/>
              </w:rPr>
              <w:t>ARTICLE IX</w:t>
            </w:r>
          </w:p>
        </w:tc>
        <w:tc>
          <w:tcPr>
            <w:tcW w:w="8600" w:type="dxa"/>
            <w:vAlign w:val="bottom"/>
            <w:gridSpan w:val="2"/>
          </w:tcPr>
          <w:p>
            <w:pPr>
              <w:ind w:left="340"/>
              <w:spacing w:after="0"/>
              <w:rPr>
                <w:sz w:val="20"/>
                <w:szCs w:val="20"/>
                <w:color w:val="auto"/>
              </w:rPr>
            </w:pPr>
            <w:r>
              <w:rPr>
                <w:rFonts w:ascii="Arial" w:cs="Arial" w:eastAsia="Arial" w:hAnsi="Arial"/>
                <w:sz w:val="22"/>
                <w:szCs w:val="22"/>
                <w:color w:val="auto"/>
              </w:rPr>
              <w:t>MISCELLANEOUS119</w:t>
            </w:r>
          </w:p>
        </w:tc>
      </w:tr>
      <w:tr>
        <w:trPr>
          <w:trHeight w:val="320"/>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9.01.</w:t>
            </w:r>
          </w:p>
        </w:tc>
        <w:tc>
          <w:tcPr>
            <w:tcW w:w="7400" w:type="dxa"/>
            <w:vAlign w:val="bottom"/>
          </w:tcPr>
          <w:p>
            <w:pPr>
              <w:ind w:left="600"/>
              <w:spacing w:after="0"/>
              <w:rPr>
                <w:sz w:val="20"/>
                <w:szCs w:val="20"/>
                <w:color w:val="auto"/>
              </w:rPr>
            </w:pPr>
            <w:r>
              <w:rPr>
                <w:rFonts w:ascii="Arial" w:cs="Arial" w:eastAsia="Arial" w:hAnsi="Arial"/>
                <w:sz w:val="22"/>
                <w:szCs w:val="22"/>
                <w:color w:val="auto"/>
              </w:rPr>
              <w:t>Notices; Electronic Communications119</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9.02.</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Waivers; Amendments121</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9.03.</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Expenses; Indemnity; Damage Waiver123</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9.04.</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Successors and Assigns125</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9.05.</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Survival131</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9.06.</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Counterparts; Integration; Effectiveness; Electronic Execution131</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9.07.</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Severability132</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9.08.</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Right of Setoff132</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9.09.</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Governing Law; Jurisdiction; Etc132</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9.10.</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WAIVER OF JURY TRIAL133</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9.11.</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Judgment Currency133</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9.12.</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Headings134</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9.13.</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w w:val="97"/>
              </w:rPr>
              <w:t>Treatment of Certain Information; No Fiduciary Duty; Confidentiality134</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9.14.</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USA PATRIOT Act135</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9.15.</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w w:val="91"/>
              </w:rPr>
              <w:t>Effect of Amendment and Restatement of the Existing Credit Agreement136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9.16.</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Reaffirmation of Guarantee and Security Agreement136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9.17.</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w w:val="94"/>
              </w:rPr>
              <w:t>Acknowledgement and Consent to Bail-In of EEA Financial Institutions136</w:t>
            </w:r>
          </w:p>
        </w:tc>
      </w:tr>
      <w:tr>
        <w:trPr>
          <w:trHeight w:val="243"/>
        </w:trPr>
        <w:tc>
          <w:tcPr>
            <w:tcW w:w="286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9.18.</w:t>
            </w:r>
          </w:p>
        </w:tc>
        <w:tc>
          <w:tcPr>
            <w:tcW w:w="7400" w:type="dxa"/>
            <w:vAlign w:val="bottom"/>
          </w:tcPr>
          <w:p>
            <w:pPr>
              <w:ind w:left="600"/>
              <w:spacing w:after="0" w:line="243" w:lineRule="exact"/>
              <w:rPr>
                <w:sz w:val="20"/>
                <w:szCs w:val="20"/>
                <w:color w:val="auto"/>
              </w:rPr>
            </w:pPr>
            <w:r>
              <w:rPr>
                <w:rFonts w:ascii="Arial" w:cs="Arial" w:eastAsia="Arial" w:hAnsi="Arial"/>
                <w:sz w:val="22"/>
                <w:szCs w:val="22"/>
                <w:color w:val="auto"/>
              </w:rPr>
              <w:t>Certain ERISA Matters137</w:t>
            </w:r>
          </w:p>
        </w:tc>
      </w:tr>
      <w:tr>
        <w:trPr>
          <w:trHeight w:val="274"/>
        </w:trPr>
        <w:tc>
          <w:tcPr>
            <w:tcW w:w="2860" w:type="dxa"/>
            <w:vAlign w:val="bottom"/>
            <w:gridSpan w:val="2"/>
          </w:tcPr>
          <w:p>
            <w:pPr>
              <w:ind w:left="860"/>
              <w:spacing w:after="0"/>
              <w:rPr>
                <w:sz w:val="20"/>
                <w:szCs w:val="20"/>
                <w:color w:val="auto"/>
              </w:rPr>
            </w:pPr>
            <w:r>
              <w:rPr>
                <w:rFonts w:ascii="Arial" w:cs="Arial" w:eastAsia="Arial" w:hAnsi="Arial"/>
                <w:sz w:val="22"/>
                <w:szCs w:val="22"/>
                <w:color w:val="auto"/>
              </w:rPr>
              <w:t>SECTION 9.19.</w:t>
            </w:r>
          </w:p>
        </w:tc>
        <w:tc>
          <w:tcPr>
            <w:tcW w:w="7400" w:type="dxa"/>
            <w:vAlign w:val="bottom"/>
          </w:tcPr>
          <w:p>
            <w:pPr>
              <w:ind w:left="600"/>
              <w:spacing w:after="0"/>
              <w:rPr>
                <w:sz w:val="20"/>
                <w:szCs w:val="20"/>
                <w:color w:val="auto"/>
              </w:rPr>
            </w:pPr>
            <w:r>
              <w:rPr>
                <w:rFonts w:ascii="Arial" w:cs="Arial" w:eastAsia="Arial" w:hAnsi="Arial"/>
                <w:sz w:val="22"/>
                <w:szCs w:val="22"/>
                <w:color w:val="auto"/>
              </w:rPr>
              <w:t>Acknowledgement Regarding Any Supported QFCs139</w:t>
            </w: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53"/>
        </w:trPr>
        <w:tc>
          <w:tcPr>
            <w:tcW w:w="2020" w:type="dxa"/>
            <w:vAlign w:val="bottom"/>
            <w:gridSpan w:val="2"/>
          </w:tcPr>
          <w:p>
            <w:pPr>
              <w:spacing w:after="0"/>
              <w:rPr>
                <w:sz w:val="20"/>
                <w:szCs w:val="20"/>
                <w:color w:val="auto"/>
              </w:rPr>
            </w:pPr>
            <w:r>
              <w:rPr>
                <w:rFonts w:ascii="Arial" w:cs="Arial" w:eastAsia="Arial" w:hAnsi="Arial"/>
                <w:sz w:val="22"/>
                <w:szCs w:val="22"/>
                <w:color w:val="auto"/>
              </w:rPr>
              <w:t>SCHEDULE 1.01(a)</w:t>
            </w:r>
          </w:p>
        </w:tc>
        <w:tc>
          <w:tcPr>
            <w:tcW w:w="360" w:type="dxa"/>
            <w:vAlign w:val="bottom"/>
          </w:tcPr>
          <w:p>
            <w:pPr>
              <w:spacing w:after="0"/>
              <w:rPr>
                <w:sz w:val="21"/>
                <w:szCs w:val="21"/>
                <w:color w:val="auto"/>
              </w:rPr>
            </w:pPr>
          </w:p>
        </w:tc>
        <w:tc>
          <w:tcPr>
            <w:tcW w:w="8880" w:type="dxa"/>
            <w:vAlign w:val="bottom"/>
          </w:tcPr>
          <w:p>
            <w:pPr>
              <w:ind w:left="80"/>
              <w:spacing w:after="0"/>
              <w:rPr>
                <w:sz w:val="20"/>
                <w:szCs w:val="20"/>
                <w:color w:val="auto"/>
              </w:rPr>
            </w:pPr>
            <w:r>
              <w:rPr>
                <w:rFonts w:ascii="Arial" w:cs="Arial" w:eastAsia="Arial" w:hAnsi="Arial"/>
                <w:sz w:val="22"/>
                <w:szCs w:val="22"/>
                <w:color w:val="auto"/>
              </w:rPr>
              <w:t>-Approved Dealers and Approved Pricing Services</w:t>
            </w:r>
          </w:p>
        </w:tc>
      </w:tr>
      <w:tr>
        <w:trPr>
          <w:trHeight w:val="243"/>
        </w:trPr>
        <w:tc>
          <w:tcPr>
            <w:tcW w:w="2020" w:type="dxa"/>
            <w:vAlign w:val="bottom"/>
            <w:gridSpan w:val="2"/>
          </w:tcPr>
          <w:p>
            <w:pPr>
              <w:spacing w:after="0" w:line="243" w:lineRule="exact"/>
              <w:rPr>
                <w:sz w:val="20"/>
                <w:szCs w:val="20"/>
                <w:color w:val="auto"/>
              </w:rPr>
            </w:pPr>
            <w:r>
              <w:rPr>
                <w:rFonts w:ascii="Arial" w:cs="Arial" w:eastAsia="Arial" w:hAnsi="Arial"/>
                <w:sz w:val="22"/>
                <w:szCs w:val="22"/>
                <w:color w:val="auto"/>
              </w:rPr>
              <w:t>SCHEDULE 1.01(b)</w:t>
            </w:r>
          </w:p>
        </w:tc>
        <w:tc>
          <w:tcPr>
            <w:tcW w:w="360" w:type="dxa"/>
            <w:vAlign w:val="bottom"/>
          </w:tcPr>
          <w:p>
            <w:pPr>
              <w:spacing w:after="0"/>
              <w:rPr>
                <w:sz w:val="21"/>
                <w:szCs w:val="21"/>
                <w:color w:val="auto"/>
              </w:rPr>
            </w:pPr>
          </w:p>
        </w:tc>
        <w:tc>
          <w:tcPr>
            <w:tcW w:w="8880" w:type="dxa"/>
            <w:vAlign w:val="bottom"/>
          </w:tcPr>
          <w:p>
            <w:pPr>
              <w:ind w:left="80"/>
              <w:spacing w:after="0" w:line="243" w:lineRule="exact"/>
              <w:rPr>
                <w:sz w:val="20"/>
                <w:szCs w:val="20"/>
                <w:color w:val="auto"/>
              </w:rPr>
            </w:pPr>
            <w:r>
              <w:rPr>
                <w:rFonts w:ascii="Arial" w:cs="Arial" w:eastAsia="Arial" w:hAnsi="Arial"/>
                <w:sz w:val="22"/>
                <w:szCs w:val="22"/>
                <w:color w:val="auto"/>
              </w:rPr>
              <w:t>-Commitments</w:t>
            </w:r>
          </w:p>
        </w:tc>
      </w:tr>
      <w:tr>
        <w:trPr>
          <w:trHeight w:val="243"/>
        </w:trPr>
        <w:tc>
          <w:tcPr>
            <w:tcW w:w="2020" w:type="dxa"/>
            <w:vAlign w:val="bottom"/>
            <w:gridSpan w:val="2"/>
          </w:tcPr>
          <w:p>
            <w:pPr>
              <w:spacing w:after="0" w:line="243" w:lineRule="exact"/>
              <w:rPr>
                <w:sz w:val="20"/>
                <w:szCs w:val="20"/>
                <w:color w:val="auto"/>
              </w:rPr>
            </w:pPr>
            <w:r>
              <w:rPr>
                <w:rFonts w:ascii="Arial" w:cs="Arial" w:eastAsia="Arial" w:hAnsi="Arial"/>
                <w:sz w:val="22"/>
                <w:szCs w:val="22"/>
                <w:color w:val="auto"/>
              </w:rPr>
              <w:t>SCHEDULE 1.01(c)</w:t>
            </w:r>
          </w:p>
        </w:tc>
        <w:tc>
          <w:tcPr>
            <w:tcW w:w="360" w:type="dxa"/>
            <w:vAlign w:val="bottom"/>
          </w:tcPr>
          <w:p>
            <w:pPr>
              <w:spacing w:after="0"/>
              <w:rPr>
                <w:sz w:val="21"/>
                <w:szCs w:val="21"/>
                <w:color w:val="auto"/>
              </w:rPr>
            </w:pPr>
          </w:p>
        </w:tc>
        <w:tc>
          <w:tcPr>
            <w:tcW w:w="8880" w:type="dxa"/>
            <w:vAlign w:val="bottom"/>
          </w:tcPr>
          <w:p>
            <w:pPr>
              <w:ind w:left="80"/>
              <w:spacing w:after="0" w:line="243" w:lineRule="exact"/>
              <w:rPr>
                <w:sz w:val="20"/>
                <w:szCs w:val="20"/>
                <w:color w:val="auto"/>
              </w:rPr>
            </w:pPr>
            <w:r>
              <w:rPr>
                <w:rFonts w:ascii="Arial" w:cs="Arial" w:eastAsia="Arial" w:hAnsi="Arial"/>
                <w:sz w:val="22"/>
                <w:szCs w:val="22"/>
                <w:color w:val="auto"/>
              </w:rPr>
              <w:t>-Industry Classification Group List</w:t>
            </w:r>
          </w:p>
        </w:tc>
      </w:tr>
      <w:tr>
        <w:trPr>
          <w:trHeight w:val="243"/>
        </w:trPr>
        <w:tc>
          <w:tcPr>
            <w:tcW w:w="1640" w:type="dxa"/>
            <w:vAlign w:val="bottom"/>
          </w:tcPr>
          <w:p>
            <w:pPr>
              <w:spacing w:after="0" w:line="243" w:lineRule="exact"/>
              <w:rPr>
                <w:sz w:val="20"/>
                <w:szCs w:val="20"/>
                <w:color w:val="auto"/>
              </w:rPr>
            </w:pPr>
            <w:r>
              <w:rPr>
                <w:rFonts w:ascii="Arial" w:cs="Arial" w:eastAsia="Arial" w:hAnsi="Arial"/>
                <w:sz w:val="22"/>
                <w:szCs w:val="22"/>
                <w:color w:val="auto"/>
                <w:w w:val="95"/>
              </w:rPr>
              <w:t>SCHEDULE 2.05</w:t>
            </w:r>
          </w:p>
        </w:tc>
        <w:tc>
          <w:tcPr>
            <w:tcW w:w="380" w:type="dxa"/>
            <w:vAlign w:val="bottom"/>
          </w:tcPr>
          <w:p>
            <w:pPr>
              <w:spacing w:after="0"/>
              <w:rPr>
                <w:sz w:val="21"/>
                <w:szCs w:val="21"/>
                <w:color w:val="auto"/>
              </w:rPr>
            </w:pPr>
          </w:p>
        </w:tc>
        <w:tc>
          <w:tcPr>
            <w:tcW w:w="924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-Issuing Bank LC Exposure</w:t>
            </w:r>
          </w:p>
        </w:tc>
      </w:tr>
      <w:tr>
        <w:trPr>
          <w:trHeight w:val="243"/>
        </w:trPr>
        <w:tc>
          <w:tcPr>
            <w:tcW w:w="1640" w:type="dxa"/>
            <w:vAlign w:val="bottom"/>
          </w:tcPr>
          <w:p>
            <w:pPr>
              <w:spacing w:after="0" w:line="243" w:lineRule="exact"/>
              <w:rPr>
                <w:sz w:val="20"/>
                <w:szCs w:val="20"/>
                <w:color w:val="auto"/>
              </w:rPr>
            </w:pPr>
            <w:r>
              <w:rPr>
                <w:rFonts w:ascii="Arial" w:cs="Arial" w:eastAsia="Arial" w:hAnsi="Arial"/>
                <w:sz w:val="22"/>
                <w:szCs w:val="22"/>
                <w:color w:val="auto"/>
                <w:w w:val="95"/>
              </w:rPr>
              <w:t>SCHEDULE 3.11</w:t>
            </w:r>
          </w:p>
        </w:tc>
        <w:tc>
          <w:tcPr>
            <w:tcW w:w="380" w:type="dxa"/>
            <w:vAlign w:val="bottom"/>
          </w:tcPr>
          <w:p>
            <w:pPr>
              <w:spacing w:after="0"/>
              <w:rPr>
                <w:sz w:val="21"/>
                <w:szCs w:val="21"/>
                <w:color w:val="auto"/>
              </w:rPr>
            </w:pPr>
          </w:p>
        </w:tc>
        <w:tc>
          <w:tcPr>
            <w:tcW w:w="92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-Material Agreements and Liens</w:t>
            </w:r>
          </w:p>
        </w:tc>
      </w:tr>
      <w:tr>
        <w:trPr>
          <w:trHeight w:val="243"/>
        </w:trPr>
        <w:tc>
          <w:tcPr>
            <w:tcW w:w="2020" w:type="dxa"/>
            <w:vAlign w:val="bottom"/>
            <w:gridSpan w:val="2"/>
          </w:tcPr>
          <w:p>
            <w:pPr>
              <w:spacing w:after="0" w:line="243" w:lineRule="exact"/>
              <w:rPr>
                <w:sz w:val="20"/>
                <w:szCs w:val="20"/>
                <w:color w:val="auto"/>
              </w:rPr>
            </w:pPr>
            <w:r>
              <w:rPr>
                <w:rFonts w:ascii="Arial" w:cs="Arial" w:eastAsia="Arial" w:hAnsi="Arial"/>
                <w:sz w:val="22"/>
                <w:szCs w:val="22"/>
                <w:color w:val="auto"/>
              </w:rPr>
              <w:t>SCHEDULE 3.12(a)</w:t>
            </w:r>
          </w:p>
        </w:tc>
        <w:tc>
          <w:tcPr>
            <w:tcW w:w="360" w:type="dxa"/>
            <w:vAlign w:val="bottom"/>
          </w:tcPr>
          <w:p>
            <w:pPr>
              <w:spacing w:after="0"/>
              <w:rPr>
                <w:sz w:val="21"/>
                <w:szCs w:val="21"/>
                <w:color w:val="auto"/>
              </w:rPr>
            </w:pPr>
          </w:p>
        </w:tc>
        <w:tc>
          <w:tcPr>
            <w:tcW w:w="8880" w:type="dxa"/>
            <w:vAlign w:val="bottom"/>
          </w:tcPr>
          <w:p>
            <w:pPr>
              <w:ind w:left="80"/>
              <w:spacing w:after="0" w:line="243" w:lineRule="exact"/>
              <w:rPr>
                <w:sz w:val="20"/>
                <w:szCs w:val="20"/>
                <w:color w:val="auto"/>
              </w:rPr>
            </w:pPr>
            <w:r>
              <w:rPr>
                <w:rFonts w:ascii="Arial" w:cs="Arial" w:eastAsia="Arial" w:hAnsi="Arial"/>
                <w:sz w:val="22"/>
                <w:szCs w:val="22"/>
                <w:color w:val="auto"/>
              </w:rPr>
              <w:t>-Subsidiaries</w:t>
            </w:r>
          </w:p>
        </w:tc>
      </w:tr>
      <w:tr>
        <w:trPr>
          <w:trHeight w:val="243"/>
        </w:trPr>
        <w:tc>
          <w:tcPr>
            <w:tcW w:w="2020" w:type="dxa"/>
            <w:vAlign w:val="bottom"/>
            <w:gridSpan w:val="2"/>
          </w:tcPr>
          <w:p>
            <w:pPr>
              <w:spacing w:after="0" w:line="243" w:lineRule="exact"/>
              <w:rPr>
                <w:sz w:val="20"/>
                <w:szCs w:val="20"/>
                <w:color w:val="auto"/>
              </w:rPr>
            </w:pPr>
            <w:r>
              <w:rPr>
                <w:rFonts w:ascii="Arial" w:cs="Arial" w:eastAsia="Arial" w:hAnsi="Arial"/>
                <w:sz w:val="22"/>
                <w:szCs w:val="22"/>
                <w:color w:val="auto"/>
              </w:rPr>
              <w:t>SCHEDULE 3.12(b)</w:t>
            </w:r>
          </w:p>
        </w:tc>
        <w:tc>
          <w:tcPr>
            <w:tcW w:w="360" w:type="dxa"/>
            <w:vAlign w:val="bottom"/>
          </w:tcPr>
          <w:p>
            <w:pPr>
              <w:spacing w:after="0"/>
              <w:rPr>
                <w:sz w:val="21"/>
                <w:szCs w:val="21"/>
                <w:color w:val="auto"/>
              </w:rPr>
            </w:pPr>
          </w:p>
        </w:tc>
        <w:tc>
          <w:tcPr>
            <w:tcW w:w="8880" w:type="dxa"/>
            <w:vAlign w:val="bottom"/>
          </w:tcPr>
          <w:p>
            <w:pPr>
              <w:ind w:left="80"/>
              <w:spacing w:after="0" w:line="243" w:lineRule="exact"/>
              <w:rPr>
                <w:sz w:val="20"/>
                <w:szCs w:val="20"/>
                <w:color w:val="auto"/>
              </w:rPr>
            </w:pPr>
            <w:r>
              <w:rPr>
                <w:rFonts w:ascii="Arial" w:cs="Arial" w:eastAsia="Arial" w:hAnsi="Arial"/>
                <w:sz w:val="22"/>
                <w:szCs w:val="22"/>
                <w:color w:val="auto"/>
              </w:rPr>
              <w:t>-Investments</w:t>
            </w:r>
          </w:p>
        </w:tc>
      </w:tr>
      <w:tr>
        <w:trPr>
          <w:trHeight w:val="274"/>
        </w:trPr>
        <w:tc>
          <w:tcPr>
            <w:tcW w:w="1640" w:type="dxa"/>
            <w:vAlign w:val="bottom"/>
          </w:tcPr>
          <w:p>
            <w:pPr>
              <w:spacing w:after="0"/>
              <w:rPr>
                <w:sz w:val="20"/>
                <w:szCs w:val="20"/>
                <w:color w:val="auto"/>
              </w:rPr>
            </w:pPr>
            <w:r>
              <w:rPr>
                <w:rFonts w:ascii="Arial" w:cs="Arial" w:eastAsia="Arial" w:hAnsi="Arial"/>
                <w:sz w:val="22"/>
                <w:szCs w:val="22"/>
                <w:color w:val="auto"/>
                <w:w w:val="95"/>
              </w:rPr>
              <w:t>SCHEDULE 6.08</w:t>
            </w:r>
          </w:p>
        </w:tc>
        <w:tc>
          <w:tcPr>
            <w:tcW w:w="380" w:type="dxa"/>
            <w:vAlign w:val="bottom"/>
          </w:tcPr>
          <w:p>
            <w:pPr>
              <w:spacing w:after="0"/>
              <w:rPr>
                <w:sz w:val="23"/>
                <w:szCs w:val="23"/>
                <w:color w:val="auto"/>
              </w:rPr>
            </w:pPr>
          </w:p>
        </w:tc>
        <w:tc>
          <w:tcPr>
            <w:tcW w:w="360" w:type="dxa"/>
            <w:vAlign w:val="bottom"/>
          </w:tcPr>
          <w:p>
            <w:pPr>
              <w:ind w:left="200"/>
              <w:spacing w:after="0"/>
              <w:rPr>
                <w:sz w:val="20"/>
                <w:szCs w:val="20"/>
                <w:color w:val="auto"/>
              </w:rPr>
            </w:pPr>
            <w:r>
              <w:rPr>
                <w:rFonts w:ascii="Arial" w:cs="Arial" w:eastAsia="Arial" w:hAnsi="Arial"/>
                <w:sz w:val="22"/>
                <w:szCs w:val="22"/>
                <w:color w:val="auto"/>
              </w:rPr>
              <w:t>-</w:t>
            </w:r>
          </w:p>
        </w:tc>
        <w:tc>
          <w:tcPr>
            <w:tcW w:w="8880" w:type="dxa"/>
            <w:vAlign w:val="bottom"/>
          </w:tcPr>
          <w:p>
            <w:pPr>
              <w:ind w:left="560"/>
              <w:spacing w:after="0"/>
              <w:rPr>
                <w:sz w:val="20"/>
                <w:szCs w:val="20"/>
                <w:color w:val="auto"/>
              </w:rPr>
            </w:pPr>
            <w:r>
              <w:rPr>
                <w:rFonts w:ascii="Arial" w:cs="Arial" w:eastAsia="Arial" w:hAnsi="Arial"/>
                <w:sz w:val="22"/>
                <w:szCs w:val="22"/>
                <w:color w:val="auto"/>
              </w:rPr>
              <w:t>Transactions with Affiliates</w:t>
            </w:r>
          </w:p>
        </w:tc>
      </w:tr>
      <w:tr>
        <w:trPr>
          <w:trHeight w:val="941"/>
        </w:trPr>
        <w:tc>
          <w:tcPr>
            <w:tcW w:w="1640" w:type="dxa"/>
            <w:vAlign w:val="bottom"/>
          </w:tcPr>
          <w:p>
            <w:pPr>
              <w:spacing w:after="0"/>
              <w:rPr>
                <w:sz w:val="20"/>
                <w:szCs w:val="20"/>
                <w:color w:val="auto"/>
              </w:rPr>
            </w:pPr>
            <w:r>
              <w:rPr>
                <w:rFonts w:ascii="Arial" w:cs="Arial" w:eastAsia="Arial" w:hAnsi="Arial"/>
                <w:sz w:val="22"/>
                <w:szCs w:val="22"/>
                <w:color w:val="auto"/>
              </w:rPr>
              <w:t>EXHIBIT A</w:t>
            </w:r>
          </w:p>
        </w:tc>
        <w:tc>
          <w:tcPr>
            <w:tcW w:w="9620" w:type="dxa"/>
            <w:vAlign w:val="bottom"/>
            <w:gridSpan w:val="3"/>
          </w:tcPr>
          <w:p>
            <w:pPr>
              <w:ind w:left="80"/>
              <w:spacing w:after="0"/>
              <w:rPr>
                <w:sz w:val="20"/>
                <w:szCs w:val="20"/>
                <w:color w:val="auto"/>
              </w:rPr>
            </w:pPr>
            <w:r>
              <w:rPr>
                <w:rFonts w:ascii="Arial" w:cs="Arial" w:eastAsia="Arial" w:hAnsi="Arial"/>
                <w:sz w:val="22"/>
                <w:szCs w:val="22"/>
                <w:color w:val="auto"/>
              </w:rPr>
              <w:t>-Form of Assignment and Assumption</w:t>
            </w:r>
          </w:p>
        </w:tc>
      </w:tr>
      <w:tr>
        <w:trPr>
          <w:trHeight w:val="243"/>
        </w:trPr>
        <w:tc>
          <w:tcPr>
            <w:tcW w:w="164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962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-Form of Borrowing Base Certificate</w:t>
            </w:r>
          </w:p>
        </w:tc>
      </w:tr>
      <w:tr>
        <w:trPr>
          <w:trHeight w:val="274"/>
        </w:trPr>
        <w:tc>
          <w:tcPr>
            <w:tcW w:w="1640" w:type="dxa"/>
            <w:vAlign w:val="bottom"/>
          </w:tcPr>
          <w:p>
            <w:pPr>
              <w:spacing w:after="0"/>
              <w:rPr>
                <w:sz w:val="20"/>
                <w:szCs w:val="20"/>
                <w:color w:val="auto"/>
              </w:rPr>
            </w:pPr>
            <w:r>
              <w:rPr>
                <w:rFonts w:ascii="Arial" w:cs="Arial" w:eastAsia="Arial" w:hAnsi="Arial"/>
                <w:sz w:val="22"/>
                <w:szCs w:val="22"/>
                <w:color w:val="auto"/>
              </w:rPr>
              <w:t>EXHIBIT C</w:t>
            </w:r>
          </w:p>
        </w:tc>
        <w:tc>
          <w:tcPr>
            <w:tcW w:w="9620" w:type="dxa"/>
            <w:vAlign w:val="bottom"/>
            <w:gridSpan w:val="3"/>
          </w:tcPr>
          <w:p>
            <w:pPr>
              <w:ind w:left="80"/>
              <w:spacing w:after="0"/>
              <w:rPr>
                <w:sz w:val="20"/>
                <w:szCs w:val="20"/>
                <w:color w:val="auto"/>
              </w:rPr>
            </w:pPr>
            <w:r>
              <w:rPr>
                <w:rFonts w:ascii="Arial" w:cs="Arial" w:eastAsia="Arial" w:hAnsi="Arial"/>
                <w:sz w:val="22"/>
                <w:szCs w:val="22"/>
                <w:color w:val="auto"/>
              </w:rPr>
              <w:t>-Form of Borrowing Request</w:t>
            </w:r>
          </w:p>
        </w:tc>
      </w:tr>
      <w:tr>
        <w:trPr>
          <w:trHeight w:val="928"/>
        </w:trPr>
        <w:tc>
          <w:tcPr>
            <w:tcW w:w="1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160" w:name="page161"/>
    <w:bookmarkEnd w:id="160"/>
    <w:p>
      <w:pPr>
        <w:jc w:val="both"/>
        <w:ind w:firstLine="1727"/>
        <w:spacing w:after="0" w:line="282" w:lineRule="auto"/>
        <w:rPr>
          <w:sz w:val="20"/>
          <w:szCs w:val="20"/>
          <w:color w:val="auto"/>
        </w:rPr>
      </w:pPr>
      <w:r>
        <w:rPr>
          <w:rFonts w:ascii="Arial" w:cs="Arial" w:eastAsia="Arial" w:hAnsi="Arial"/>
          <w:sz w:val="19"/>
          <w:szCs w:val="19"/>
          <w:color w:val="auto"/>
        </w:rPr>
        <w:t>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and as of January 31, 2020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SIXTH STREET SPECIALTY LENDING, INC. (F/K/A TPG Specialty Lending,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hereto, and TRUIST BANK, as Administrative Agent.</w:t>
      </w:r>
    </w:p>
    <w:p>
      <w:pPr>
        <w:spacing w:after="0" w:line="147"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among the Borrower, the lenders party thereto (collectively, the “</w:t>
      </w:r>
      <w:r>
        <w:rPr>
          <w:rFonts w:ascii="Arial" w:cs="Arial" w:eastAsia="Arial" w:hAnsi="Arial"/>
          <w:sz w:val="22"/>
          <w:szCs w:val="22"/>
          <w:u w:val="single" w:color="auto"/>
          <w:color w:val="auto"/>
        </w:rPr>
        <w:t>Existing Lenders</w:t>
      </w:r>
      <w:r>
        <w:rPr>
          <w:rFonts w:ascii="Arial" w:cs="Arial" w:eastAsia="Arial" w:hAnsi="Arial"/>
          <w:sz w:val="22"/>
          <w:szCs w:val="22"/>
          <w:color w:val="auto"/>
        </w:rPr>
        <w:t>”) and the Administrative Agent, the Existing Lenders agreed to make extensions of credit to the Borrower on the terms and conditions set forth therein, including making loans (the “</w:t>
      </w:r>
      <w:r>
        <w:rPr>
          <w:rFonts w:ascii="Arial" w:cs="Arial" w:eastAsia="Arial" w:hAnsi="Arial"/>
          <w:sz w:val="22"/>
          <w:szCs w:val="22"/>
          <w:u w:val="single" w:color="auto"/>
          <w:color w:val="auto"/>
        </w:rPr>
        <w:t>Existing Loans</w:t>
      </w:r>
      <w:r>
        <w:rPr>
          <w:rFonts w:ascii="Arial" w:cs="Arial" w:eastAsia="Arial" w:hAnsi="Arial"/>
          <w:sz w:val="22"/>
          <w:szCs w:val="22"/>
          <w:color w:val="auto"/>
        </w:rPr>
        <w:t>”) to the Borrower.</w:t>
      </w:r>
    </w:p>
    <w:p>
      <w:pPr>
        <w:spacing w:after="0" w:line="188"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6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The parties hereto hereby agree to amend and restate the Existing Credit Agreement, and the Existing Credit Agreement is hereby amended and restated in its entirety as follows:</w:t>
      </w:r>
    </w:p>
    <w:p>
      <w:pPr>
        <w:spacing w:after="0" w:line="17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specified below:</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2022 Convertible Notes</w:t>
      </w:r>
      <w:r>
        <w:rPr>
          <w:rFonts w:ascii="Arial" w:cs="Arial" w:eastAsia="Arial" w:hAnsi="Arial"/>
          <w:sz w:val="19"/>
          <w:szCs w:val="19"/>
          <w:color w:val="auto"/>
        </w:rPr>
        <w:t>” means the Borrower’s $172,500,000 aggregate principal amount convertible notes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due August 2022.</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61" w:name="page162"/>
    <w:bookmarkEnd w:id="161"/>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2023 Notes</w:t>
      </w:r>
      <w:r>
        <w:rPr>
          <w:rFonts w:ascii="Arial" w:cs="Arial" w:eastAsia="Arial" w:hAnsi="Arial"/>
          <w:sz w:val="19"/>
          <w:szCs w:val="19"/>
          <w:color w:val="auto"/>
        </w:rPr>
        <w:t>” means the Borrower’s $150,000,000 aggregate principal amount notes due January 2023 issued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 January 2018.</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2024 Notes</w:t>
      </w:r>
      <w:r>
        <w:rPr>
          <w:rFonts w:ascii="Arial" w:cs="Arial" w:eastAsia="Arial" w:hAnsi="Arial"/>
          <w:sz w:val="19"/>
          <w:szCs w:val="19"/>
          <w:color w:val="auto"/>
        </w:rPr>
        <w:t>” means the Borrower’s $350,000,000 aggregate principal amount notes due November 2024.</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2026 Notes</w:t>
      </w:r>
      <w:r>
        <w:rPr>
          <w:rFonts w:ascii="Arial" w:cs="Arial" w:eastAsia="Arial" w:hAnsi="Arial"/>
          <w:sz w:val="19"/>
          <w:szCs w:val="19"/>
          <w:color w:val="auto"/>
        </w:rPr>
        <w:t>” means the Borrower’s $300,000,000 aggregate principal amount notes due August 2026.</w:t>
      </w:r>
    </w:p>
    <w:p>
      <w:pPr>
        <w:spacing w:after="0" w:line="24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Borrowing Base</w:t>
      </w:r>
      <w:r>
        <w:rPr>
          <w:rFonts w:ascii="Arial" w:cs="Arial" w:eastAsia="Arial" w:hAnsi="Arial"/>
          <w:sz w:val="22"/>
          <w:szCs w:val="22"/>
          <w:color w:val="auto"/>
        </w:rPr>
        <w:t xml:space="preserve">” means the Borrowing Base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Covered Debt Balance</w:t>
      </w:r>
      <w:r>
        <w:rPr>
          <w:rFonts w:ascii="Arial" w:cs="Arial" w:eastAsia="Arial" w:hAnsi="Arial"/>
          <w:sz w:val="19"/>
          <w:szCs w:val="19"/>
          <w:color w:val="auto"/>
        </w:rPr>
        <w:t xml:space="preserve">” means, on any date, the aggregate Covered Debt Amount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34"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Eurocurrency Rate</w:t>
      </w:r>
      <w:r>
        <w:rPr>
          <w:rFonts w:ascii="Arial" w:cs="Arial" w:eastAsia="Arial" w:hAnsi="Arial"/>
          <w:sz w:val="22"/>
          <w:szCs w:val="22"/>
          <w:color w:val="auto"/>
        </w:rPr>
        <w:t xml:space="preserve">” means (a) for the Interest Period for any Eurocurrency Borrowing denominated in Dollars, an interest rate per annum (rounded upwards, if necessary, to the next 1/16 of 1%) equal to (i) the Eurocurrency Rate for such Interest Period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the Statutory Reserve Rate for such Interest Period and (b) for the Interest Period for any Eurocurrency Borrowing denominated in a Currency (other than Dollars) an interest rate per annum (rounded upwards, if necessary, to the next 1/100 of 1%) equal to the Eurocurrency Rate for such Interest Period for such Currency.</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means Truist, in its capacity as administrative agent for the Lenders hereunder.</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 Appraisal Testing Period</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5.12(b)</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(ii)(E)(y)</w:t>
      </w:r>
      <w:r>
        <w:rPr>
          <w:rFonts w:ascii="Arial" w:cs="Arial" w:eastAsia="Arial" w:hAnsi="Arial"/>
          <w:sz w:val="22"/>
          <w:szCs w:val="22"/>
          <w:color w:val="auto"/>
        </w:rPr>
        <w:t>.</w:t>
      </w:r>
    </w:p>
    <w:p>
      <w:pPr>
        <w:spacing w:after="0" w:line="188"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Account</w:t>
      </w:r>
      <w:r>
        <w:rPr>
          <w:rFonts w:ascii="Arial" w:cs="Arial" w:eastAsia="Arial" w:hAnsi="Arial"/>
          <w:sz w:val="22"/>
          <w:szCs w:val="22"/>
          <w:color w:val="auto"/>
        </w:rPr>
        <w:t>” means, for each Currency, an account in respect of such Currency designated by the Administrative Agent in a notice to the Borrower and the Lenders.</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87"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85"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Agreed Foreign Currency</w:t>
      </w:r>
      <w:r>
        <w:rPr>
          <w:rFonts w:ascii="Arial" w:cs="Arial" w:eastAsia="Arial" w:hAnsi="Arial"/>
          <w:sz w:val="19"/>
          <w:szCs w:val="19"/>
          <w:color w:val="auto"/>
        </w:rPr>
        <w:t>” 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or the relevant local market, if applicable, and</w:t>
      </w:r>
    </w:p>
    <w:p>
      <w:pPr>
        <w:spacing w:after="0" w:line="4" w:lineRule="exact"/>
        <w:rPr>
          <w:sz w:val="20"/>
          <w:szCs w:val="20"/>
          <w:color w:val="auto"/>
        </w:rPr>
      </w:pPr>
    </w:p>
    <w:p>
      <w:pPr>
        <w:jc w:val="both"/>
        <w:ind w:firstLine="8"/>
        <w:spacing w:after="0" w:line="280" w:lineRule="auto"/>
        <w:tabs>
          <w:tab w:leader="none" w:pos="29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preamble</w:t>
      </w:r>
      <w:r>
        <w:rPr>
          <w:rFonts w:ascii="Arial" w:cs="Arial" w:eastAsia="Arial" w:hAnsi="Arial"/>
          <w:sz w:val="22"/>
          <w:szCs w:val="22"/>
          <w:color w:val="auto"/>
        </w:rPr>
        <w:t xml:space="preserve"> to this Agreement</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zero, (b) the Prime Rate in effect on such day, (c) the Federal Funds Effective Rate for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and (d) the rate per annum equal to 1%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5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Credit Adjustment Spread</w:t>
      </w:r>
      <w:r>
        <w:rPr>
          <w:rFonts w:ascii="Arial" w:cs="Arial" w:eastAsia="Arial" w:hAnsi="Arial"/>
          <w:sz w:val="22"/>
          <w:szCs w:val="22"/>
          <w:color w:val="auto"/>
        </w:rPr>
        <w:t>” means, (a) with respect to RFR Loans denominated in Sterling (i) with an Interest Period of three months, 0.1193% and (ii) with an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3" w:name="page164"/>
    <w:bookmarkEnd w:id="163"/>
    <w:p>
      <w:pPr>
        <w:jc w:val="both"/>
        <w:spacing w:after="0" w:line="250" w:lineRule="auto"/>
        <w:rPr>
          <w:sz w:val="20"/>
          <w:szCs w:val="20"/>
          <w:color w:val="auto"/>
        </w:rPr>
      </w:pPr>
      <w:r>
        <w:rPr>
          <w:rFonts w:ascii="Arial" w:cs="Arial" w:eastAsia="Arial" w:hAnsi="Arial"/>
          <w:sz w:val="22"/>
          <w:szCs w:val="22"/>
          <w:color w:val="auto"/>
        </w:rPr>
        <w:t xml:space="preserve">Interest Period of one month, 0.0326%, and (b) with respect to RFR Loans denominated in Swiss Francs (i) with an Interest Period of three months, 0.0031% and (ii) with an Interest Period of one month, </w:t>
      </w:r>
      <w:r>
        <w:rPr>
          <w:rFonts w:ascii="Arial" w:cs="Arial" w:eastAsia="Arial" w:hAnsi="Arial"/>
          <w:sz w:val="22"/>
          <w:szCs w:val="22"/>
          <w:b w:val="1"/>
          <w:bCs w:val="1"/>
          <w:color w:val="auto"/>
        </w:rPr>
        <w:t>-</w:t>
      </w:r>
      <w:r>
        <w:rPr>
          <w:rFonts w:ascii="Arial" w:cs="Arial" w:eastAsia="Arial" w:hAnsi="Arial"/>
          <w:sz w:val="22"/>
          <w:szCs w:val="22"/>
          <w:color w:val="auto"/>
        </w:rPr>
        <w:t>0.0571%.</w:t>
      </w:r>
    </w:p>
    <w:p>
      <w:pPr>
        <w:spacing w:after="0" w:line="175"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Dollar Percentage</w:t>
      </w:r>
      <w:r>
        <w:rPr>
          <w:rFonts w:ascii="Arial" w:cs="Arial" w:eastAsia="Arial" w:hAnsi="Arial"/>
          <w:sz w:val="19"/>
          <w:szCs w:val="19"/>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47"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Financial Statements</w:t>
      </w:r>
      <w:r>
        <w:rPr>
          <w:rFonts w:ascii="Arial" w:cs="Arial" w:eastAsia="Arial" w:hAnsi="Arial"/>
          <w:sz w:val="21"/>
          <w:szCs w:val="21"/>
          <w:color w:val="auto"/>
        </w:rPr>
        <w:t xml:space="preserve">” means, as at any date, the most-recent audited financial statements of the Borrower delivered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immediately prior to the delivery to the Lenders of new audited financial statements of the Borrower a Material Adverse Change (the “</w:t>
      </w:r>
      <w:r>
        <w:rPr>
          <w:rFonts w:ascii="Arial" w:cs="Arial" w:eastAsia="Arial" w:hAnsi="Arial"/>
          <w:sz w:val="21"/>
          <w:szCs w:val="21"/>
          <w:u w:val="single" w:color="auto"/>
          <w:color w:val="auto"/>
        </w:rPr>
        <w:t>Pre-existing MAC</w:t>
      </w:r>
      <w:r>
        <w:rPr>
          <w:rFonts w:ascii="Arial" w:cs="Arial" w:eastAsia="Arial" w:hAnsi="Arial"/>
          <w:sz w:val="21"/>
          <w:szCs w:val="21"/>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8"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Multicurrency Percentage</w:t>
      </w:r>
      <w:r>
        <w:rPr>
          <w:rFonts w:ascii="Arial" w:cs="Arial" w:eastAsia="Arial" w:hAnsi="Arial"/>
          <w:sz w:val="19"/>
          <w:szCs w:val="19"/>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50"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on and after the Non-Extended Commitment Termination Date for any Non-Extending Lender, the Applicable Percentage of such Non-Extending Lender shall be 0%.</w:t>
      </w:r>
    </w:p>
    <w:p>
      <w:pPr>
        <w:spacing w:after="0" w:line="178"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Dealer</w:t>
      </w:r>
      <w:r>
        <w:rPr>
          <w:rFonts w:ascii="Arial" w:cs="Arial" w:eastAsia="Arial" w:hAnsi="Arial"/>
          <w:sz w:val="21"/>
          <w:szCs w:val="21"/>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as set forth on </w:t>
      </w:r>
      <w:r>
        <w:rPr>
          <w:rFonts w:ascii="Arial" w:cs="Arial" w:eastAsia="Arial" w:hAnsi="Arial"/>
          <w:sz w:val="21"/>
          <w:szCs w:val="21"/>
          <w:u w:val="single" w:color="auto"/>
          <w:color w:val="auto"/>
        </w:rPr>
        <w:t>Schedule 1.01(a)</w:t>
      </w:r>
      <w:r>
        <w:rPr>
          <w:rFonts w:ascii="Arial" w:cs="Arial" w:eastAsia="Arial" w:hAnsi="Arial"/>
          <w:sz w:val="21"/>
          <w:szCs w:val="21"/>
          <w:color w:val="auto"/>
        </w:rPr>
        <w:t xml:space="preserve"> or any other bank or broker-dealer acceptable to the Administrative Agent in its reasonable determination.</w:t>
      </w:r>
    </w:p>
    <w:p>
      <w:pPr>
        <w:spacing w:after="0" w:line="177"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Pricing Service</w:t>
      </w:r>
      <w:r>
        <w:rPr>
          <w:rFonts w:ascii="Arial" w:cs="Arial" w:eastAsia="Arial" w:hAnsi="Arial"/>
          <w:sz w:val="22"/>
          <w:szCs w:val="22"/>
          <w:color w:val="auto"/>
        </w:rPr>
        <w:t xml:space="preserve">” means a pricing or quotation service as set forth in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or any other pricing or quotation service approved by the Board of Directors of</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4" w:name="page165"/>
    <w:bookmarkEnd w:id="164"/>
    <w:p>
      <w:pPr>
        <w:spacing w:after="0" w:line="328" w:lineRule="auto"/>
        <w:rPr>
          <w:sz w:val="20"/>
          <w:szCs w:val="20"/>
          <w:color w:val="auto"/>
        </w:rPr>
      </w:pPr>
      <w:r>
        <w:rPr>
          <w:rFonts w:ascii="Arial" w:cs="Arial" w:eastAsia="Arial" w:hAnsi="Arial"/>
          <w:sz w:val="19"/>
          <w:szCs w:val="19"/>
          <w:color w:val="auto"/>
        </w:rPr>
        <w:t>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Third-Party Appraiser</w:t>
      </w:r>
      <w:r>
        <w:rPr>
          <w:rFonts w:ascii="Arial" w:cs="Arial" w:eastAsia="Arial" w:hAnsi="Arial"/>
          <w:sz w:val="19"/>
          <w:szCs w:val="19"/>
          <w:color w:val="auto"/>
        </w:rPr>
        <w:t>” means any Independent nationally recognized third-party appraisal firm</w:t>
      </w:r>
    </w:p>
    <w:p>
      <w:pPr>
        <w:spacing w:after="0" w:line="43" w:lineRule="exact"/>
        <w:rPr>
          <w:sz w:val="20"/>
          <w:szCs w:val="20"/>
          <w:color w:val="auto"/>
        </w:rPr>
      </w:pPr>
    </w:p>
    <w:p>
      <w:pPr>
        <w:jc w:val="both"/>
        <w:ind w:firstLine="8"/>
        <w:spacing w:after="0" w:line="231" w:lineRule="auto"/>
        <w:tabs>
          <w:tab w:leader="none" w:pos="30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93"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assignee (with the consent of any party whose consent is required by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accepted by the Administrative Agent,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Australian Dollars</w:t>
      </w:r>
      <w:r>
        <w:rPr>
          <w:rFonts w:ascii="Arial" w:cs="Arial" w:eastAsia="Arial" w:hAnsi="Arial"/>
          <w:sz w:val="22"/>
          <w:szCs w:val="22"/>
          <w:color w:val="auto"/>
        </w:rPr>
        <w:t>” means the lawful currency of The Commonwealth of Australia.</w:t>
      </w:r>
    </w:p>
    <w:p>
      <w:pPr>
        <w:spacing w:after="0" w:line="20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spacing w:after="0" w:line="134"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means, initially, with respect to (a) Sterling or Swiss Francs, the Daily Simple RFR for such Currency, and (b) each other Agreed Foreign Currency and Dollars, the Adjusted Eurocurrency Rate for such Currency; provided that if a Benchmark Transition Event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5" w:name="page166"/>
    <w:bookmarkEnd w:id="165"/>
    <w:p>
      <w:pPr>
        <w:jc w:val="both"/>
        <w:spacing w:after="0" w:line="238" w:lineRule="auto"/>
        <w:rPr>
          <w:sz w:val="20"/>
          <w:szCs w:val="20"/>
          <w:color w:val="auto"/>
        </w:rPr>
      </w:pPr>
      <w:r>
        <w:rPr>
          <w:rFonts w:ascii="Arial" w:cs="Arial" w:eastAsia="Arial" w:hAnsi="Arial"/>
          <w:sz w:val="22"/>
          <w:szCs w:val="22"/>
          <w:color w:val="auto"/>
        </w:rPr>
        <w:t xml:space="preserve">or an Early Opt-in Election, as applicable, and its related Benchmark Replacement Date have occurred with respect to the Daily Simple RFR or the Adjusted Eurocurrency Rate for such Currency or the then-current Benchmark, then “Benchmark” means the applicable Benchmark Replacement to the extent that such Benchmark Replacement has replaced such prior benchmark rate pursuant to clause (a) or clause (b) of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185"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w:t>
      </w:r>
      <w:r>
        <w:rPr>
          <w:rFonts w:ascii="Arial" w:cs="Arial" w:eastAsia="Arial" w:hAnsi="Arial"/>
          <w:sz w:val="21"/>
          <w:szCs w:val="21"/>
          <w:color w:val="auto"/>
        </w:rPr>
        <w:t>” means the sum of: (a) the alternate benchmark rate (which may include Term SOFR) that has been selected by the Administrative Agent and the Borrower as the replacement for the then-current Benchmark for the applicable Currency giving due consideration to (i) any selection or recommendation of a replacement rate or the mechanism for determining such a rate by the Relevant Governmental Body or (ii) any evolving or then-prevailing market convention for determining a rate of interest as a replacement to the then-current Benchmark for Dollar-denominated syndicated credit facilities denominated in the applicable Currency at such time and (b) the related Benchmark Replacement Adjustment; provided that, if the Benchmark Replacement as so determined would be less than zero, the Benchmark Replacement will be deemed to be zero for the purposes of this Agreement.</w:t>
      </w:r>
    </w:p>
    <w:p>
      <w:pPr>
        <w:spacing w:after="0" w:line="180"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means, with respect to any replacement of the then-current Benchmark for a Currency with an Unadjusted Benchmark Replacement for any applicable Interest Period, the spread adjustment, or method for calculating or determining such spread adjustment, (which may be a positive or negative value or zero) that has been selected by the Administrative Agent and the Borrower for the applicable Interest Period and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in the applicable Currency.</w:t>
      </w:r>
    </w:p>
    <w:p>
      <w:pPr>
        <w:spacing w:after="0" w:line="158"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(after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(after consultation with the Borrower) decides is reasonably necessary in connection with the administration of this Agreement).</w:t>
      </w:r>
    </w:p>
    <w:p>
      <w:pPr>
        <w:spacing w:after="0" w:line="158"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earlier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such Benchmark or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6" w:name="page167"/>
    <w:bookmarkEnd w:id="166"/>
    <w:p>
      <w:pPr>
        <w:jc w:val="both"/>
        <w:spacing w:after="0" w:line="250" w:lineRule="auto"/>
        <w:rPr>
          <w:sz w:val="20"/>
          <w:szCs w:val="20"/>
          <w:color w:val="auto"/>
        </w:rPr>
      </w:pPr>
      <w:r>
        <w:rPr>
          <w:rFonts w:ascii="Arial" w:cs="Arial" w:eastAsia="Arial" w:hAnsi="Arial"/>
          <w:sz w:val="22"/>
          <w:szCs w:val="22"/>
          <w:color w:val="auto"/>
        </w:rPr>
        <w:t>indefinitely ceases to provide such Benchmark; or (2) in the case of clause (3) of the definition of “Benchmark Transition Event,” the date of the public statement or publication of information referenced therein.</w:t>
      </w:r>
    </w:p>
    <w:p>
      <w:pPr>
        <w:spacing w:after="0" w:line="175"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then-current Benchmark: (1) a public statement or publication of information by or on behalf of the administrator of such Benchmark announcing that such administrator has ceased or will cease to provide such Benchmark, permanently or indefinitely, provided that, at the time of such statement or publication, there is no successor administrator that will continue to provide such Benchmark; (2) a public statement or publication of information by the regulatory supervisor for the administrator of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of such Benchmark has ceased or will cease to provide such Benchmark permanently or indefinitely, provided that, at the time of such statement or publication, there is no successor administrator that will continue to provide such Benchmark; or (3) a public statement or publication of information by the regulatory supervisor for the administrator of such Benchmark announcing that such Benchmark is no longer representative.</w:t>
      </w:r>
    </w:p>
    <w:p>
      <w:pPr>
        <w:spacing w:after="0" w:line="200" w:lineRule="exact"/>
        <w:rPr>
          <w:sz w:val="20"/>
          <w:szCs w:val="20"/>
          <w:color w:val="auto"/>
        </w:rPr>
      </w:pPr>
    </w:p>
    <w:p>
      <w:pPr>
        <w:spacing w:after="0" w:line="208"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Start Date</w:t>
      </w:r>
      <w:r>
        <w:rPr>
          <w:rFonts w:ascii="Arial" w:cs="Arial" w:eastAsia="Arial" w:hAnsi="Arial"/>
          <w:sz w:val="21"/>
          <w:szCs w:val="21"/>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17"/>
          <w:szCs w:val="17"/>
          <w:color w:val="auto"/>
        </w:rPr>
        <w:t>th</w:t>
      </w:r>
      <w:r>
        <w:rPr>
          <w:rFonts w:ascii="Arial" w:cs="Arial" w:eastAsia="Arial" w:hAnsi="Arial"/>
          <w:sz w:val="21"/>
          <w:szCs w:val="21"/>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84"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xml:space="preserve">” means, if a Benchmark Transition Event and its related Benchmark Replacement Date have occurred with respect to any then-current Benchmark and solely to the extent such Benchmark has not been replaced with a Benchmark Replacement, the period (if any) (x) beginning at the time that a Benchmark Replacement Date has occurred with respect to such Benchmark if, at such time, no Benchmark Replacement has replaced such Benchmark for all purposes hereunder in accordance with </w:t>
      </w:r>
      <w:r>
        <w:rPr>
          <w:rFonts w:ascii="Arial" w:cs="Arial" w:eastAsia="Arial" w:hAnsi="Arial"/>
          <w:sz w:val="21"/>
          <w:szCs w:val="21"/>
          <w:u w:val="single" w:color="auto"/>
          <w:color w:val="auto"/>
        </w:rPr>
        <w:t>Section 2.22</w:t>
      </w:r>
      <w:r>
        <w:rPr>
          <w:rFonts w:ascii="Arial" w:cs="Arial" w:eastAsia="Arial" w:hAnsi="Arial"/>
          <w:sz w:val="21"/>
          <w:szCs w:val="21"/>
          <w:color w:val="auto"/>
        </w:rPr>
        <w:t xml:space="preserve"> and (y) ending at the time that a Benchmark Replacement has replaced such Benchmark for all purposes pursuant to </w:t>
      </w:r>
      <w:r>
        <w:rPr>
          <w:rFonts w:ascii="Arial" w:cs="Arial" w:eastAsia="Arial" w:hAnsi="Arial"/>
          <w:sz w:val="21"/>
          <w:szCs w:val="21"/>
          <w:u w:val="single" w:color="auto"/>
          <w:color w:val="auto"/>
        </w:rPr>
        <w:t>Section 2.22</w:t>
      </w:r>
      <w:r>
        <w:rPr>
          <w:rFonts w:ascii="Arial" w:cs="Arial" w:eastAsia="Arial" w:hAnsi="Arial"/>
          <w:sz w:val="21"/>
          <w:szCs w:val="21"/>
          <w:color w:val="auto"/>
        </w:rPr>
        <w:t>.</w:t>
      </w:r>
    </w:p>
    <w:p>
      <w:pPr>
        <w:spacing w:after="0" w:line="177"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of America.</w:t>
      </w:r>
    </w:p>
    <w:p>
      <w:pPr>
        <w:spacing w:after="0" w:line="2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7" w:name="page168"/>
    <w:bookmarkEnd w:id="167"/>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Asset Coverage Ratio</w:t>
      </w:r>
      <w:r>
        <w:rPr>
          <w:rFonts w:ascii="Arial" w:cs="Arial" w:eastAsia="Arial" w:hAnsi="Arial"/>
          <w:sz w:val="22"/>
          <w:szCs w:val="22"/>
          <w:color w:val="auto"/>
        </w:rPr>
        <w:t>” means the ratio, determined on a consolidated basis for the Obligors, without duplication, of (a) (i) Total Assets minus (ii) Total Assets Concentration Limitation to (b) (i) Total Secured Debt plus (ii) the aggregate amount of senior securities representing unsecured indebtedness of the Obligors as of such date of determination with a maturity date that is within 90 days of such date of determination.</w:t>
      </w:r>
    </w:p>
    <w:p>
      <w:pPr>
        <w:spacing w:after="0" w:line="185"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u w:val="single" w:color="auto"/>
          <w:color w:val="auto"/>
        </w:rPr>
        <w:t>“Borrower Net Worth</w:t>
      </w:r>
      <w:r>
        <w:rPr>
          <w:rFonts w:ascii="Arial" w:cs="Arial" w:eastAsia="Arial" w:hAnsi="Arial"/>
          <w:sz w:val="21"/>
          <w:szCs w:val="21"/>
          <w:color w:val="auto"/>
        </w:rPr>
        <w:t xml:space="preserve">” means, as of any date of determination, (a) Total Assets as of such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sum of (i) Total Assets Concentration Limitation as of such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Total Secured Debt as of such date.</w:t>
      </w:r>
    </w:p>
    <w:p>
      <w:pPr>
        <w:spacing w:after="0" w:line="151"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all Syndicated ABR Loans of the same Class made, converted or continued on the same date, (b) all Eurocurrency Loans of the same Class denominated in the same Currency that have the same Interest Period,</w:t>
      </w:r>
    </w:p>
    <w:p>
      <w:pPr>
        <w:spacing w:after="0" w:line="1" w:lineRule="exact"/>
        <w:rPr>
          <w:sz w:val="20"/>
          <w:szCs w:val="20"/>
          <w:color w:val="auto"/>
        </w:rPr>
      </w:pPr>
    </w:p>
    <w:p>
      <w:pPr>
        <w:ind w:firstLine="8"/>
        <w:spacing w:after="0" w:line="236" w:lineRule="auto"/>
        <w:tabs>
          <w:tab w:leader="none" w:pos="31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all RFR Loans of the same Class denominated in the same Currency that have the same Interest Period or (d) a Swingline Loan.</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xml:space="preserve">” means a certificate of a Financial Officer of the Borrower,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appropriately completed.</w:t>
      </w:r>
    </w:p>
    <w:p>
      <w:pPr>
        <w:spacing w:after="0" w:line="17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Deficiency</w:t>
      </w:r>
      <w:r>
        <w:rPr>
          <w:rFonts w:ascii="Arial" w:cs="Arial" w:eastAsia="Arial" w:hAnsi="Arial"/>
          <w:sz w:val="22"/>
          <w:szCs w:val="22"/>
          <w:color w:val="auto"/>
        </w:rPr>
        <w:t>” means, at any date on which the same is determined, the amount, if any, that (a) the aggregate Covered Debt Amount as of such date exceeds (b) the Borrowing Base as of such date.</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the Borrower for a Syndicated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that is not a Saturday, Sunday or other day on which commercial banks in Atlanta, Georgia are authorized or required by law to remain closed, provided that (a) when used in relation to a Eurocurrency Loan or a Eurocurrency Borrowing denominated in a Currency or in the calculation or computation of the Eurocurrency Rate for such Currency, the term “Business Day” shall also exclude any day that is not a Eurocurrency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Calculation Amount</w:t>
      </w:r>
      <w:r>
        <w:rPr>
          <w:rFonts w:ascii="Arial" w:cs="Arial" w:eastAsia="Arial" w:hAnsi="Arial"/>
          <w:sz w:val="19"/>
          <w:szCs w:val="19"/>
          <w:color w:val="auto"/>
        </w:rPr>
        <w:t>” shall mean, as of the end of any Testing Period, an amount equal to the greater of: (a)</w:t>
      </w:r>
    </w:p>
    <w:p>
      <w:pPr>
        <w:spacing w:after="0" w:line="43" w:lineRule="exact"/>
        <w:rPr>
          <w:sz w:val="20"/>
          <w:szCs w:val="20"/>
          <w:color w:val="auto"/>
        </w:rPr>
      </w:pPr>
    </w:p>
    <w:p>
      <w:pPr>
        <w:jc w:val="both"/>
        <w:ind w:firstLine="8"/>
        <w:spacing w:after="0" w:line="233" w:lineRule="auto"/>
        <w:tabs>
          <w:tab w:leader="none" w:pos="28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125% of the Adjusted Covered Debt Balance (as of the end of such Testing Period)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more than 25% (or, if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applies, 10%, or as near thereto as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jc w:val="both"/>
        <w:ind w:right="20"/>
        <w:spacing w:after="0" w:line="250" w:lineRule="auto"/>
        <w:rPr>
          <w:sz w:val="20"/>
          <w:szCs w:val="20"/>
          <w:color w:val="auto"/>
        </w:rPr>
      </w:pPr>
      <w:r>
        <w:rPr>
          <w:rFonts w:ascii="Arial" w:cs="Arial" w:eastAsia="Arial" w:hAnsi="Arial"/>
          <w:sz w:val="22"/>
          <w:szCs w:val="22"/>
          <w:color w:val="auto"/>
        </w:rPr>
        <w:t>reasonably practicable) of the aggregate Value of the Unquoted Investments in the Borrowing Base be tested in respect of any applicable Testing Period.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w:t>
      </w:r>
      <w:r>
        <w:rPr>
          <w:rFonts w:ascii="Arial" w:cs="Arial" w:eastAsia="Arial" w:hAnsi="Arial"/>
          <w:sz w:val="22"/>
          <w:szCs w:val="22"/>
          <w:color w:val="auto"/>
        </w:rPr>
        <w:t xml:space="preserve">” means the exchange of the Lenders’ interests provided for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 Date</w:t>
      </w:r>
      <w:r>
        <w:rPr>
          <w:rFonts w:ascii="Arial" w:cs="Arial" w:eastAsia="Arial" w:hAnsi="Arial"/>
          <w:sz w:val="22"/>
          <w:szCs w:val="22"/>
          <w:color w:val="auto"/>
        </w:rPr>
        <w:t xml:space="preserve">” means the date on which any Event of Default referred to in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shall occur or the date on which the Borrower receives written notice from the Administrative Agent that any Event of Default referred to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has occurred.</w:t>
      </w:r>
    </w:p>
    <w:p>
      <w:pPr>
        <w:spacing w:after="0" w:line="186" w:lineRule="exact"/>
        <w:rPr>
          <w:sz w:val="20"/>
          <w:szCs w:val="20"/>
          <w:color w:val="auto"/>
        </w:rPr>
      </w:pPr>
    </w:p>
    <w:p>
      <w:pPr>
        <w:jc w:val="both"/>
        <w:ind w:right="2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Percentage</w:t>
      </w:r>
      <w:r>
        <w:rPr>
          <w:rFonts w:ascii="Arial" w:cs="Arial" w:eastAsia="Arial" w:hAnsi="Arial"/>
          <w:sz w:val="22"/>
          <w:szCs w:val="22"/>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means the single currency of Canada.</w:t>
      </w:r>
    </w:p>
    <w:p>
      <w:pPr>
        <w:spacing w:after="0" w:line="206" w:lineRule="exact"/>
        <w:rPr>
          <w:sz w:val="20"/>
          <w:szCs w:val="20"/>
          <w:color w:val="auto"/>
        </w:rPr>
      </w:pPr>
    </w:p>
    <w:p>
      <w:pPr>
        <w:jc w:val="both"/>
        <w:ind w:right="20"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any immediately available funds in Dollars or in any currency other than Dollars (measured in terms of the Dollar Equivalent thereof) which is a freely convertible currency.</w:t>
      </w:r>
    </w:p>
    <w:p>
      <w:pPr>
        <w:spacing w:after="0" w:line="17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xml:space="preserve">” means, in respect of a Letter of Credit or any obligation hereunder, to provide and pledge cash collateral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at a location and pursuant to documentation in form and substance reasonably satisfactory to Administrative Agent and each Issuing Bank. “</w:t>
      </w:r>
      <w:r>
        <w:rPr>
          <w:rFonts w:ascii="Arial" w:cs="Arial" w:eastAsia="Arial" w:hAnsi="Arial"/>
          <w:sz w:val="22"/>
          <w:szCs w:val="22"/>
          <w:u w:val="single" w:color="auto"/>
          <w:color w:val="auto"/>
        </w:rPr>
        <w:t>Cash Collateral</w:t>
      </w:r>
      <w:r>
        <w:rPr>
          <w:rFonts w:ascii="Arial" w:cs="Arial" w:eastAsia="Arial" w:hAnsi="Arial"/>
          <w:sz w:val="22"/>
          <w:szCs w:val="22"/>
          <w:color w:val="auto"/>
        </w:rPr>
        <w:t>” shall have a meaning correlative to the foregoing and shall include the proceeds of such cash collateral and other credit support.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0660" w:type="dxa"/>
            <w:vAlign w:val="bottom"/>
            <w:gridSpan w:val="3"/>
          </w:tcPr>
          <w:p>
            <w:pPr>
              <w:ind w:left="1140"/>
              <w:spacing w:after="0"/>
              <w:rPr>
                <w:sz w:val="20"/>
                <w:szCs w:val="20"/>
                <w:color w:val="auto"/>
              </w:rPr>
            </w:pPr>
            <w:r>
              <w:rPr>
                <w:rFonts w:ascii="Arial" w:cs="Arial" w:eastAsia="Arial" w:hAnsi="Arial"/>
                <w:sz w:val="22"/>
                <w:szCs w:val="22"/>
                <w:color w:val="auto"/>
                <w:w w:val="91"/>
              </w:rPr>
              <w:t>“Cash Equivalents” means investments (other than Cash) that are one or more of the following obligations:</w:t>
            </w:r>
          </w:p>
        </w:tc>
      </w:tr>
      <w:tr>
        <w:trPr>
          <w:trHeight w:val="20"/>
        </w:trPr>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490"/>
        </w:trPr>
        <w:tc>
          <w:tcPr>
            <w:tcW w:w="600" w:type="dxa"/>
            <w:vAlign w:val="bottom"/>
          </w:tcPr>
          <w:p>
            <w:pPr>
              <w:ind w:left="80"/>
              <w:spacing w:after="0"/>
              <w:rPr>
                <w:sz w:val="20"/>
                <w:szCs w:val="20"/>
                <w:color w:val="auto"/>
              </w:rPr>
            </w:pPr>
            <w:r>
              <w:rPr>
                <w:rFonts w:ascii="Arial" w:cs="Arial" w:eastAsia="Arial" w:hAnsi="Arial"/>
                <w:sz w:val="22"/>
                <w:szCs w:val="22"/>
                <w:color w:val="auto"/>
              </w:rPr>
              <w:t>(a)</w:t>
            </w:r>
          </w:p>
        </w:tc>
        <w:tc>
          <w:tcPr>
            <w:tcW w:w="10660" w:type="dxa"/>
            <w:vAlign w:val="bottom"/>
            <w:gridSpan w:val="3"/>
          </w:tcPr>
          <w:p>
            <w:pPr>
              <w:ind w:left="1060"/>
              <w:spacing w:after="0"/>
              <w:rPr>
                <w:sz w:val="20"/>
                <w:szCs w:val="20"/>
                <w:color w:val="auto"/>
              </w:rPr>
            </w:pPr>
            <w:r>
              <w:rPr>
                <w:rFonts w:ascii="Arial" w:cs="Arial" w:eastAsia="Arial" w:hAnsi="Arial"/>
                <w:sz w:val="22"/>
                <w:szCs w:val="22"/>
                <w:color w:val="auto"/>
                <w:w w:val="95"/>
              </w:rPr>
              <w:t>U.S. Government Securities, in each case maturing within one year from the date of acquisition thereof;</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gridSpan w:val="3"/>
          </w:tcPr>
          <w:p>
            <w:pPr>
              <w:ind w:left="1060"/>
              <w:spacing w:after="0"/>
              <w:rPr>
                <w:sz w:val="20"/>
                <w:szCs w:val="20"/>
                <w:color w:val="auto"/>
              </w:rPr>
            </w:pPr>
            <w:r>
              <w:rPr>
                <w:rFonts w:ascii="Arial" w:cs="Arial" w:eastAsia="Arial" w:hAnsi="Arial"/>
                <w:sz w:val="22"/>
                <w:szCs w:val="22"/>
                <w:color w:val="auto"/>
                <w:w w:val="90"/>
              </w:rPr>
              <w:t>investments in commercial paper maturing within 270 days from the date of acquisition thereof and having, at</w:t>
            </w:r>
          </w:p>
        </w:tc>
      </w:tr>
      <w:tr>
        <w:trPr>
          <w:trHeight w:val="243"/>
        </w:trPr>
        <w:tc>
          <w:tcPr>
            <w:tcW w:w="600" w:type="dxa"/>
            <w:vAlign w:val="bottom"/>
          </w:tcPr>
          <w:p>
            <w:pPr>
              <w:spacing w:after="0"/>
              <w:rPr>
                <w:sz w:val="21"/>
                <w:szCs w:val="21"/>
                <w:color w:val="auto"/>
              </w:rPr>
            </w:pPr>
          </w:p>
        </w:tc>
        <w:tc>
          <w:tcPr>
            <w:tcW w:w="1066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such date of acquisition, a credit rating of at least A</w:t>
            </w:r>
            <w:r>
              <w:rPr>
                <w:rFonts w:ascii="MS PGothic" w:cs="MS PGothic" w:eastAsia="MS PGothic" w:hAnsi="MS PGothic"/>
                <w:sz w:val="22"/>
                <w:szCs w:val="22"/>
                <w:color w:val="auto"/>
                <w:w w:val="91"/>
              </w:rPr>
              <w:t>‑</w:t>
            </w:r>
            <w:r>
              <w:rPr>
                <w:rFonts w:ascii="Arial" w:cs="Arial" w:eastAsia="Arial" w:hAnsi="Arial"/>
                <w:sz w:val="22"/>
                <w:szCs w:val="22"/>
                <w:color w:val="auto"/>
                <w:w w:val="91"/>
              </w:rPr>
              <w:t>1 from S&amp;P and at least P</w:t>
            </w:r>
            <w:r>
              <w:rPr>
                <w:rFonts w:ascii="MS PGothic" w:cs="MS PGothic" w:eastAsia="MS PGothic" w:hAnsi="MS PGothic"/>
                <w:sz w:val="22"/>
                <w:szCs w:val="22"/>
                <w:color w:val="auto"/>
                <w:w w:val="91"/>
              </w:rPr>
              <w:t>‑</w:t>
            </w:r>
            <w:r>
              <w:rPr>
                <w:rFonts w:ascii="Arial" w:cs="Arial" w:eastAsia="Arial" w:hAnsi="Arial"/>
                <w:sz w:val="22"/>
                <w:szCs w:val="22"/>
                <w:color w:val="auto"/>
                <w:w w:val="91"/>
              </w:rPr>
              <w:t>1 from Moody’s (or if only one of S&amp;P</w:t>
            </w:r>
          </w:p>
        </w:tc>
      </w:tr>
      <w:tr>
        <w:trPr>
          <w:trHeight w:val="243"/>
        </w:trPr>
        <w:tc>
          <w:tcPr>
            <w:tcW w:w="600" w:type="dxa"/>
            <w:vAlign w:val="bottom"/>
          </w:tcPr>
          <w:p>
            <w:pPr>
              <w:spacing w:after="0"/>
              <w:rPr>
                <w:sz w:val="21"/>
                <w:szCs w:val="21"/>
                <w:color w:val="auto"/>
              </w:rPr>
            </w:pPr>
          </w:p>
        </w:tc>
        <w:tc>
          <w:tcPr>
            <w:tcW w:w="1066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4"/>
              </w:rPr>
              <w:t>or Moody’s provides such rating, such investment shall also have an equivalent credit rating from any other rating</w:t>
            </w:r>
          </w:p>
        </w:tc>
      </w:tr>
      <w:tr>
        <w:trPr>
          <w:trHeight w:val="274"/>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2"/>
                <w:szCs w:val="22"/>
                <w:color w:val="auto"/>
              </w:rPr>
              <w:t>agency);</w:t>
            </w:r>
          </w:p>
        </w:tc>
      </w:tr>
      <w:tr>
        <w:trPr>
          <w:trHeight w:val="585"/>
        </w:trPr>
        <w:tc>
          <w:tcPr>
            <w:tcW w:w="60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14"/>
                <w:szCs w:val="14"/>
                <w:color w:val="auto"/>
              </w:rPr>
              <w:t>10</w:t>
            </w:r>
          </w:p>
        </w:tc>
        <w:tc>
          <w:tcPr>
            <w:tcW w:w="1500" w:type="dxa"/>
            <w:vAlign w:val="bottom"/>
          </w:tcPr>
          <w:p>
            <w:pPr>
              <w:spacing w:after="0"/>
              <w:rPr>
                <w:sz w:val="24"/>
                <w:szCs w:val="24"/>
                <w:color w:val="auto"/>
              </w:rPr>
            </w:pPr>
          </w:p>
        </w:tc>
        <w:tc>
          <w:tcPr>
            <w:tcW w:w="7920" w:type="dxa"/>
            <w:vAlign w:val="bottom"/>
          </w:tcPr>
          <w:p>
            <w:pPr>
              <w:spacing w:after="0"/>
              <w:rPr>
                <w:sz w:val="24"/>
                <w:szCs w:val="24"/>
                <w:color w:val="auto"/>
              </w:rPr>
            </w:pPr>
          </w:p>
        </w:tc>
      </w:tr>
      <w:tr>
        <w:trPr>
          <w:trHeight w:val="100"/>
        </w:trPr>
        <w:tc>
          <w:tcPr>
            <w:tcW w:w="6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7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69" w:name="page170"/>
    <w:bookmarkEnd w:id="169"/>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(c)</w:t>
            </w:r>
          </w:p>
        </w:tc>
        <w:tc>
          <w:tcPr>
            <w:tcW w:w="480" w:type="dxa"/>
            <w:vAlign w:val="bottom"/>
          </w:tcPr>
          <w:p>
            <w:pPr>
              <w:spacing w:after="0"/>
              <w:rPr>
                <w:sz w:val="21"/>
                <w:szCs w:val="21"/>
                <w:color w:val="auto"/>
              </w:rPr>
            </w:pPr>
          </w:p>
        </w:tc>
        <w:tc>
          <w:tcPr>
            <w:tcW w:w="10160" w:type="dxa"/>
            <w:vAlign w:val="bottom"/>
            <w:gridSpan w:val="8"/>
          </w:tcPr>
          <w:p>
            <w:pPr>
              <w:ind w:left="580"/>
              <w:spacing w:after="0"/>
              <w:rPr>
                <w:sz w:val="20"/>
                <w:szCs w:val="20"/>
                <w:color w:val="auto"/>
              </w:rPr>
            </w:pPr>
            <w:r>
              <w:rPr>
                <w:rFonts w:ascii="Arial" w:cs="Arial" w:eastAsia="Arial" w:hAnsi="Arial"/>
                <w:sz w:val="22"/>
                <w:szCs w:val="22"/>
                <w:color w:val="auto"/>
                <w:w w:val="90"/>
              </w:rPr>
              <w:t>investments in certificates of deposit, banker’s acceptances and time deposits maturing within 180 days from</w:t>
            </w:r>
          </w:p>
        </w:tc>
      </w:tr>
      <w:tr>
        <w:trPr>
          <w:trHeight w:val="243"/>
        </w:trPr>
        <w:tc>
          <w:tcPr>
            <w:tcW w:w="520" w:type="dxa"/>
            <w:vAlign w:val="bottom"/>
          </w:tcPr>
          <w:p>
            <w:pPr>
              <w:spacing w:after="0"/>
              <w:rPr>
                <w:sz w:val="21"/>
                <w:szCs w:val="21"/>
                <w:color w:val="auto"/>
              </w:rPr>
            </w:pPr>
          </w:p>
        </w:tc>
        <w:tc>
          <w:tcPr>
            <w:tcW w:w="10640" w:type="dxa"/>
            <w:vAlign w:val="bottom"/>
            <w:gridSpan w:val="9"/>
          </w:tcPr>
          <w:p>
            <w:pPr>
              <w:ind w:left="260"/>
              <w:spacing w:after="0" w:line="243" w:lineRule="exact"/>
              <w:rPr>
                <w:sz w:val="20"/>
                <w:szCs w:val="20"/>
                <w:color w:val="auto"/>
              </w:rPr>
            </w:pPr>
            <w:r>
              <w:rPr>
                <w:rFonts w:ascii="Arial" w:cs="Arial" w:eastAsia="Arial" w:hAnsi="Arial"/>
                <w:sz w:val="22"/>
                <w:szCs w:val="22"/>
                <w:color w:val="auto"/>
                <w:w w:val="89"/>
              </w:rPr>
              <w:t>the date of acquisition thereof (i) issued or guaranteed by or placed with, and money market deposit accounts issued or</w:t>
            </w:r>
          </w:p>
        </w:tc>
      </w:tr>
      <w:tr>
        <w:trPr>
          <w:trHeight w:val="243"/>
        </w:trPr>
        <w:tc>
          <w:tcPr>
            <w:tcW w:w="520" w:type="dxa"/>
            <w:vAlign w:val="bottom"/>
          </w:tcPr>
          <w:p>
            <w:pPr>
              <w:spacing w:after="0"/>
              <w:rPr>
                <w:sz w:val="21"/>
                <w:szCs w:val="21"/>
                <w:color w:val="auto"/>
              </w:rPr>
            </w:pPr>
          </w:p>
        </w:tc>
        <w:tc>
          <w:tcPr>
            <w:tcW w:w="10640" w:type="dxa"/>
            <w:vAlign w:val="bottom"/>
            <w:gridSpan w:val="9"/>
          </w:tcPr>
          <w:p>
            <w:pPr>
              <w:ind w:left="260"/>
              <w:spacing w:after="0" w:line="243" w:lineRule="exact"/>
              <w:rPr>
                <w:sz w:val="20"/>
                <w:szCs w:val="20"/>
                <w:color w:val="auto"/>
              </w:rPr>
            </w:pPr>
            <w:r>
              <w:rPr>
                <w:rFonts w:ascii="Arial" w:cs="Arial" w:eastAsia="Arial" w:hAnsi="Arial"/>
                <w:sz w:val="22"/>
                <w:szCs w:val="22"/>
                <w:color w:val="auto"/>
                <w:w w:val="92"/>
              </w:rPr>
              <w:t>offered by, any domestic office of any commercial bank organized under the laws of the United States of America or</w:t>
            </w:r>
          </w:p>
        </w:tc>
      </w:tr>
      <w:tr>
        <w:trPr>
          <w:trHeight w:val="243"/>
        </w:trPr>
        <w:tc>
          <w:tcPr>
            <w:tcW w:w="520" w:type="dxa"/>
            <w:vAlign w:val="bottom"/>
          </w:tcPr>
          <w:p>
            <w:pPr>
              <w:spacing w:after="0"/>
              <w:rPr>
                <w:sz w:val="21"/>
                <w:szCs w:val="21"/>
                <w:color w:val="auto"/>
              </w:rPr>
            </w:pPr>
          </w:p>
        </w:tc>
        <w:tc>
          <w:tcPr>
            <w:tcW w:w="10640" w:type="dxa"/>
            <w:vAlign w:val="bottom"/>
            <w:gridSpan w:val="9"/>
          </w:tcPr>
          <w:p>
            <w:pPr>
              <w:ind w:left="260"/>
              <w:spacing w:after="0" w:line="243" w:lineRule="exact"/>
              <w:rPr>
                <w:sz w:val="20"/>
                <w:szCs w:val="20"/>
                <w:color w:val="auto"/>
              </w:rPr>
            </w:pPr>
            <w:r>
              <w:rPr>
                <w:rFonts w:ascii="Arial" w:cs="Arial" w:eastAsia="Arial" w:hAnsi="Arial"/>
                <w:sz w:val="22"/>
                <w:szCs w:val="22"/>
                <w:color w:val="auto"/>
                <w:w w:val="94"/>
              </w:rPr>
              <w:t>any State thereof or under the laws of the jurisdiction or any constituent jurisdiction thereof of any Agreed Foreign</w:t>
            </w:r>
          </w:p>
        </w:tc>
      </w:tr>
      <w:tr>
        <w:trPr>
          <w:trHeight w:val="224"/>
        </w:trPr>
        <w:tc>
          <w:tcPr>
            <w:tcW w:w="520" w:type="dxa"/>
            <w:vAlign w:val="bottom"/>
          </w:tcPr>
          <w:p>
            <w:pPr>
              <w:spacing w:after="0"/>
              <w:rPr>
                <w:sz w:val="19"/>
                <w:szCs w:val="19"/>
                <w:color w:val="auto"/>
              </w:rPr>
            </w:pPr>
          </w:p>
        </w:tc>
        <w:tc>
          <w:tcPr>
            <w:tcW w:w="10640" w:type="dxa"/>
            <w:vAlign w:val="bottom"/>
            <w:gridSpan w:val="9"/>
          </w:tcPr>
          <w:p>
            <w:pPr>
              <w:ind w:left="260"/>
              <w:spacing w:after="0" w:line="224" w:lineRule="exact"/>
              <w:rPr>
                <w:sz w:val="20"/>
                <w:szCs w:val="20"/>
                <w:color w:val="auto"/>
              </w:rPr>
            </w:pPr>
            <w:r>
              <w:rPr>
                <w:rFonts w:ascii="Arial" w:cs="Arial" w:eastAsia="Arial" w:hAnsi="Arial"/>
                <w:sz w:val="22"/>
                <w:szCs w:val="22"/>
                <w:color w:val="auto"/>
                <w:w w:val="92"/>
              </w:rPr>
              <w:t>Currency; provided that such certificates of deposit, banker’s acceptances and time deposits are held in a securities</w:t>
            </w: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9"/>
          </w:tcPr>
          <w:p>
            <w:pPr>
              <w:ind w:left="260"/>
              <w:spacing w:after="0" w:line="242" w:lineRule="exact"/>
              <w:rPr>
                <w:sz w:val="20"/>
                <w:szCs w:val="20"/>
                <w:color w:val="auto"/>
              </w:rPr>
            </w:pPr>
            <w:r>
              <w:rPr>
                <w:rFonts w:ascii="Arial" w:cs="Arial" w:eastAsia="Arial" w:hAnsi="Arial"/>
                <w:sz w:val="22"/>
                <w:szCs w:val="22"/>
                <w:color w:val="auto"/>
                <w:w w:val="95"/>
              </w:rPr>
              <w:t>account (as defined in the Uniform Commercial Code) through which the Collateral Agent can perfect a security</w:t>
            </w:r>
          </w:p>
        </w:tc>
      </w:tr>
      <w:tr>
        <w:trPr>
          <w:trHeight w:val="243"/>
        </w:trPr>
        <w:tc>
          <w:tcPr>
            <w:tcW w:w="520" w:type="dxa"/>
            <w:vAlign w:val="bottom"/>
          </w:tcPr>
          <w:p>
            <w:pPr>
              <w:spacing w:after="0"/>
              <w:rPr>
                <w:sz w:val="21"/>
                <w:szCs w:val="21"/>
                <w:color w:val="auto"/>
              </w:rPr>
            </w:pPr>
          </w:p>
        </w:tc>
        <w:tc>
          <w:tcPr>
            <w:tcW w:w="10640" w:type="dxa"/>
            <w:vAlign w:val="bottom"/>
            <w:gridSpan w:val="9"/>
          </w:tcPr>
          <w:p>
            <w:pPr>
              <w:ind w:left="260"/>
              <w:spacing w:after="0" w:line="243" w:lineRule="exact"/>
              <w:rPr>
                <w:sz w:val="20"/>
                <w:szCs w:val="20"/>
                <w:color w:val="auto"/>
              </w:rPr>
            </w:pPr>
            <w:r>
              <w:rPr>
                <w:rFonts w:ascii="Arial" w:cs="Arial" w:eastAsia="Arial" w:hAnsi="Arial"/>
                <w:sz w:val="22"/>
                <w:szCs w:val="22"/>
                <w:color w:val="auto"/>
                <w:w w:val="89"/>
              </w:rPr>
              <w:t>interest therein and (ii) having, at such date of acquisition, a credit rating of at least A</w:t>
            </w:r>
            <w:r>
              <w:rPr>
                <w:rFonts w:ascii="MS PGothic" w:cs="MS PGothic" w:eastAsia="MS PGothic" w:hAnsi="MS PGothic"/>
                <w:sz w:val="22"/>
                <w:szCs w:val="22"/>
                <w:color w:val="auto"/>
                <w:w w:val="89"/>
              </w:rPr>
              <w:t>‑</w:t>
            </w:r>
            <w:r>
              <w:rPr>
                <w:rFonts w:ascii="Arial" w:cs="Arial" w:eastAsia="Arial" w:hAnsi="Arial"/>
                <w:sz w:val="22"/>
                <w:szCs w:val="22"/>
                <w:color w:val="auto"/>
                <w:w w:val="89"/>
              </w:rPr>
              <w:t>1 from S&amp;P and at least P</w:t>
            </w:r>
            <w:r>
              <w:rPr>
                <w:rFonts w:ascii="MS PGothic" w:cs="MS PGothic" w:eastAsia="MS PGothic" w:hAnsi="MS PGothic"/>
                <w:sz w:val="22"/>
                <w:szCs w:val="22"/>
                <w:color w:val="auto"/>
                <w:w w:val="89"/>
              </w:rPr>
              <w:t>‑</w:t>
            </w:r>
            <w:r>
              <w:rPr>
                <w:rFonts w:ascii="Arial" w:cs="Arial" w:eastAsia="Arial" w:hAnsi="Arial"/>
                <w:sz w:val="22"/>
                <w:szCs w:val="22"/>
                <w:color w:val="auto"/>
                <w:w w:val="89"/>
              </w:rPr>
              <w:t>1 from</w:t>
            </w:r>
          </w:p>
        </w:tc>
      </w:tr>
      <w:tr>
        <w:trPr>
          <w:trHeight w:val="243"/>
        </w:trPr>
        <w:tc>
          <w:tcPr>
            <w:tcW w:w="520" w:type="dxa"/>
            <w:vAlign w:val="bottom"/>
          </w:tcPr>
          <w:p>
            <w:pPr>
              <w:spacing w:after="0"/>
              <w:rPr>
                <w:sz w:val="21"/>
                <w:szCs w:val="21"/>
                <w:color w:val="auto"/>
              </w:rPr>
            </w:pPr>
          </w:p>
        </w:tc>
        <w:tc>
          <w:tcPr>
            <w:tcW w:w="10640" w:type="dxa"/>
            <w:vAlign w:val="bottom"/>
            <w:gridSpan w:val="9"/>
          </w:tcPr>
          <w:p>
            <w:pPr>
              <w:ind w:left="260"/>
              <w:spacing w:after="0" w:line="243" w:lineRule="exact"/>
              <w:rPr>
                <w:sz w:val="20"/>
                <w:szCs w:val="20"/>
                <w:color w:val="auto"/>
              </w:rPr>
            </w:pPr>
            <w:r>
              <w:rPr>
                <w:rFonts w:ascii="Arial" w:cs="Arial" w:eastAsia="Arial" w:hAnsi="Arial"/>
                <w:sz w:val="22"/>
                <w:szCs w:val="22"/>
                <w:color w:val="auto"/>
                <w:w w:val="91"/>
              </w:rPr>
              <w:t>Moody’s (or if only one of S&amp;P or Moody’s provides such rating, such investment shall also have an equivalent credit</w:t>
            </w:r>
          </w:p>
        </w:tc>
      </w:tr>
      <w:tr>
        <w:trPr>
          <w:trHeight w:val="274"/>
        </w:trPr>
        <w:tc>
          <w:tcPr>
            <w:tcW w:w="520" w:type="dxa"/>
            <w:vAlign w:val="bottom"/>
          </w:tcPr>
          <w:p>
            <w:pPr>
              <w:spacing w:after="0"/>
              <w:rPr>
                <w:sz w:val="23"/>
                <w:szCs w:val="23"/>
                <w:color w:val="auto"/>
              </w:rPr>
            </w:pPr>
          </w:p>
        </w:tc>
        <w:tc>
          <w:tcPr>
            <w:tcW w:w="10640" w:type="dxa"/>
            <w:vAlign w:val="bottom"/>
            <w:gridSpan w:val="9"/>
          </w:tcPr>
          <w:p>
            <w:pPr>
              <w:ind w:left="260"/>
              <w:spacing w:after="0"/>
              <w:rPr>
                <w:sz w:val="20"/>
                <w:szCs w:val="20"/>
                <w:color w:val="auto"/>
              </w:rPr>
            </w:pPr>
            <w:r>
              <w:rPr>
                <w:rFonts w:ascii="Arial" w:cs="Arial" w:eastAsia="Arial" w:hAnsi="Arial"/>
                <w:sz w:val="22"/>
                <w:szCs w:val="22"/>
                <w:color w:val="auto"/>
              </w:rPr>
              <w:t>rating from any other rating agency);</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(d)</w:t>
            </w:r>
          </w:p>
        </w:tc>
        <w:tc>
          <w:tcPr>
            <w:tcW w:w="480" w:type="dxa"/>
            <w:vAlign w:val="bottom"/>
          </w:tcPr>
          <w:p>
            <w:pPr>
              <w:spacing w:after="0"/>
              <w:rPr>
                <w:sz w:val="24"/>
                <w:szCs w:val="24"/>
                <w:color w:val="auto"/>
              </w:rPr>
            </w:pPr>
          </w:p>
        </w:tc>
        <w:tc>
          <w:tcPr>
            <w:tcW w:w="10160" w:type="dxa"/>
            <w:vAlign w:val="bottom"/>
            <w:gridSpan w:val="8"/>
          </w:tcPr>
          <w:p>
            <w:pPr>
              <w:ind w:left="580"/>
              <w:spacing w:after="0"/>
              <w:rPr>
                <w:sz w:val="20"/>
                <w:szCs w:val="20"/>
                <w:color w:val="auto"/>
              </w:rPr>
            </w:pPr>
            <w:r>
              <w:rPr>
                <w:rFonts w:ascii="Arial" w:cs="Arial" w:eastAsia="Arial" w:hAnsi="Arial"/>
                <w:sz w:val="22"/>
                <w:szCs w:val="22"/>
                <w:color w:val="auto"/>
                <w:w w:val="91"/>
              </w:rPr>
              <w:t>fully collateralized repurchase agreements with a term of not more than 30 days from the date of acquisition</w:t>
            </w:r>
          </w:p>
        </w:tc>
      </w:tr>
      <w:tr>
        <w:trPr>
          <w:trHeight w:val="243"/>
        </w:trPr>
        <w:tc>
          <w:tcPr>
            <w:tcW w:w="520" w:type="dxa"/>
            <w:vAlign w:val="bottom"/>
          </w:tcPr>
          <w:p>
            <w:pPr>
              <w:spacing w:after="0"/>
              <w:rPr>
                <w:sz w:val="21"/>
                <w:szCs w:val="21"/>
                <w:color w:val="auto"/>
              </w:rPr>
            </w:pPr>
          </w:p>
        </w:tc>
        <w:tc>
          <w:tcPr>
            <w:tcW w:w="10640" w:type="dxa"/>
            <w:vAlign w:val="bottom"/>
            <w:gridSpan w:val="9"/>
          </w:tcPr>
          <w:p>
            <w:pPr>
              <w:ind w:left="260"/>
              <w:spacing w:after="0" w:line="243" w:lineRule="exact"/>
              <w:rPr>
                <w:sz w:val="20"/>
                <w:szCs w:val="20"/>
                <w:color w:val="auto"/>
              </w:rPr>
            </w:pPr>
            <w:r>
              <w:rPr>
                <w:rFonts w:ascii="Arial" w:cs="Arial" w:eastAsia="Arial" w:hAnsi="Arial"/>
                <w:sz w:val="22"/>
                <w:szCs w:val="22"/>
                <w:color w:val="auto"/>
                <w:w w:val="91"/>
              </w:rPr>
              <w:t>thereof for U.S. Government Securities and entered into with (i) a financial institution satisfying the criteria described</w:t>
            </w:r>
          </w:p>
        </w:tc>
      </w:tr>
      <w:tr>
        <w:trPr>
          <w:trHeight w:val="224"/>
        </w:trPr>
        <w:tc>
          <w:tcPr>
            <w:tcW w:w="520" w:type="dxa"/>
            <w:vAlign w:val="bottom"/>
          </w:tcPr>
          <w:p>
            <w:pPr>
              <w:spacing w:after="0"/>
              <w:rPr>
                <w:sz w:val="19"/>
                <w:szCs w:val="19"/>
                <w:color w:val="auto"/>
              </w:rPr>
            </w:pPr>
          </w:p>
        </w:tc>
        <w:tc>
          <w:tcPr>
            <w:tcW w:w="10640" w:type="dxa"/>
            <w:vAlign w:val="bottom"/>
            <w:gridSpan w:val="9"/>
          </w:tcPr>
          <w:p>
            <w:pPr>
              <w:ind w:left="260"/>
              <w:spacing w:after="0" w:line="224" w:lineRule="exact"/>
              <w:rPr>
                <w:sz w:val="20"/>
                <w:szCs w:val="20"/>
                <w:color w:val="auto"/>
              </w:rPr>
            </w:pPr>
            <w:r>
              <w:rPr>
                <w:rFonts w:ascii="Arial" w:cs="Arial" w:eastAsia="Arial" w:hAnsi="Arial"/>
                <w:sz w:val="22"/>
                <w:szCs w:val="22"/>
                <w:color w:val="auto"/>
                <w:w w:val="90"/>
              </w:rPr>
              <w:t>in clause (c) of this definition or (ii) an Approved Dealer having (or being a member of a consolidated group having) at</w:t>
            </w: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9"/>
          </w:tcPr>
          <w:p>
            <w:pPr>
              <w:ind w:left="260"/>
              <w:spacing w:after="0" w:line="242" w:lineRule="exact"/>
              <w:rPr>
                <w:sz w:val="20"/>
                <w:szCs w:val="20"/>
                <w:color w:val="auto"/>
              </w:rPr>
            </w:pPr>
            <w:r>
              <w:rPr>
                <w:rFonts w:ascii="Arial" w:cs="Arial" w:eastAsia="Arial" w:hAnsi="Arial"/>
                <w:sz w:val="22"/>
                <w:szCs w:val="22"/>
                <w:color w:val="auto"/>
                <w:w w:val="91"/>
              </w:rPr>
              <w:t>such date of acquisition, a credit rating of at least A</w:t>
            </w:r>
            <w:r>
              <w:rPr>
                <w:rFonts w:ascii="MS PGothic" w:cs="MS PGothic" w:eastAsia="MS PGothic" w:hAnsi="MS PGothic"/>
                <w:sz w:val="22"/>
                <w:szCs w:val="22"/>
                <w:color w:val="auto"/>
                <w:w w:val="91"/>
              </w:rPr>
              <w:t>‑</w:t>
            </w:r>
            <w:r>
              <w:rPr>
                <w:rFonts w:ascii="Arial" w:cs="Arial" w:eastAsia="Arial" w:hAnsi="Arial"/>
                <w:sz w:val="22"/>
                <w:szCs w:val="22"/>
                <w:color w:val="auto"/>
                <w:w w:val="91"/>
              </w:rPr>
              <w:t>1 from S&amp;P and at least P</w:t>
            </w:r>
            <w:r>
              <w:rPr>
                <w:rFonts w:ascii="MS PGothic" w:cs="MS PGothic" w:eastAsia="MS PGothic" w:hAnsi="MS PGothic"/>
                <w:sz w:val="22"/>
                <w:szCs w:val="22"/>
                <w:color w:val="auto"/>
                <w:w w:val="91"/>
              </w:rPr>
              <w:t>‑</w:t>
            </w:r>
            <w:r>
              <w:rPr>
                <w:rFonts w:ascii="Arial" w:cs="Arial" w:eastAsia="Arial" w:hAnsi="Arial"/>
                <w:sz w:val="22"/>
                <w:szCs w:val="22"/>
                <w:color w:val="auto"/>
                <w:w w:val="91"/>
              </w:rPr>
              <w:t>1 from Moody’s (or if only one of S&amp;P</w:t>
            </w:r>
          </w:p>
        </w:tc>
      </w:tr>
      <w:tr>
        <w:trPr>
          <w:trHeight w:val="243"/>
        </w:trPr>
        <w:tc>
          <w:tcPr>
            <w:tcW w:w="520" w:type="dxa"/>
            <w:vAlign w:val="bottom"/>
          </w:tcPr>
          <w:p>
            <w:pPr>
              <w:spacing w:after="0"/>
              <w:rPr>
                <w:sz w:val="21"/>
                <w:szCs w:val="21"/>
                <w:color w:val="auto"/>
              </w:rPr>
            </w:pPr>
          </w:p>
        </w:tc>
        <w:tc>
          <w:tcPr>
            <w:tcW w:w="10640" w:type="dxa"/>
            <w:vAlign w:val="bottom"/>
            <w:gridSpan w:val="9"/>
          </w:tcPr>
          <w:p>
            <w:pPr>
              <w:ind w:left="260"/>
              <w:spacing w:after="0" w:line="243" w:lineRule="exact"/>
              <w:rPr>
                <w:sz w:val="20"/>
                <w:szCs w:val="20"/>
                <w:color w:val="auto"/>
              </w:rPr>
            </w:pPr>
            <w:r>
              <w:rPr>
                <w:rFonts w:ascii="Arial" w:cs="Arial" w:eastAsia="Arial" w:hAnsi="Arial"/>
                <w:sz w:val="22"/>
                <w:szCs w:val="22"/>
                <w:color w:val="auto"/>
                <w:w w:val="94"/>
              </w:rPr>
              <w:t>or Moody’s provides such rating, such investment shall also have an equivalent credit rating from any other rating</w:t>
            </w:r>
          </w:p>
        </w:tc>
      </w:tr>
      <w:tr>
        <w:trPr>
          <w:trHeight w:val="274"/>
        </w:trPr>
        <w:tc>
          <w:tcPr>
            <w:tcW w:w="520" w:type="dxa"/>
            <w:vAlign w:val="bottom"/>
          </w:tcPr>
          <w:p>
            <w:pPr>
              <w:spacing w:after="0"/>
              <w:rPr>
                <w:sz w:val="23"/>
                <w:szCs w:val="23"/>
                <w:color w:val="auto"/>
              </w:rPr>
            </w:pPr>
          </w:p>
        </w:tc>
        <w:tc>
          <w:tcPr>
            <w:tcW w:w="10640" w:type="dxa"/>
            <w:vAlign w:val="bottom"/>
            <w:gridSpan w:val="9"/>
          </w:tcPr>
          <w:p>
            <w:pPr>
              <w:ind w:left="260"/>
              <w:spacing w:after="0"/>
              <w:rPr>
                <w:sz w:val="20"/>
                <w:szCs w:val="20"/>
                <w:color w:val="auto"/>
              </w:rPr>
            </w:pPr>
            <w:r>
              <w:rPr>
                <w:rFonts w:ascii="Arial" w:cs="Arial" w:eastAsia="Arial" w:hAnsi="Arial"/>
                <w:sz w:val="22"/>
                <w:szCs w:val="22"/>
                <w:color w:val="auto"/>
              </w:rPr>
              <w:t>agency); and</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(e)</w:t>
            </w:r>
          </w:p>
        </w:tc>
        <w:tc>
          <w:tcPr>
            <w:tcW w:w="480" w:type="dxa"/>
            <w:vAlign w:val="bottom"/>
          </w:tcPr>
          <w:p>
            <w:pPr>
              <w:spacing w:after="0"/>
              <w:rPr>
                <w:sz w:val="24"/>
                <w:szCs w:val="24"/>
                <w:color w:val="auto"/>
              </w:rPr>
            </w:pPr>
          </w:p>
        </w:tc>
        <w:tc>
          <w:tcPr>
            <w:tcW w:w="10160" w:type="dxa"/>
            <w:vAlign w:val="bottom"/>
            <w:gridSpan w:val="8"/>
          </w:tcPr>
          <w:p>
            <w:pPr>
              <w:ind w:left="580"/>
              <w:spacing w:after="0"/>
              <w:rPr>
                <w:sz w:val="20"/>
                <w:szCs w:val="20"/>
                <w:color w:val="auto"/>
              </w:rPr>
            </w:pPr>
            <w:r>
              <w:rPr>
                <w:rFonts w:ascii="Arial" w:cs="Arial" w:eastAsia="Arial" w:hAnsi="Arial"/>
                <w:sz w:val="22"/>
                <w:szCs w:val="22"/>
                <w:color w:val="auto"/>
                <w:w w:val="90"/>
              </w:rPr>
              <w:t>investments in money market funds that invest solely, and which are restricted by their respective charters to</w:t>
            </w:r>
          </w:p>
        </w:tc>
      </w:tr>
      <w:tr>
        <w:trPr>
          <w:trHeight w:val="224"/>
        </w:trPr>
        <w:tc>
          <w:tcPr>
            <w:tcW w:w="520" w:type="dxa"/>
            <w:vAlign w:val="bottom"/>
          </w:tcPr>
          <w:p>
            <w:pPr>
              <w:spacing w:after="0"/>
              <w:rPr>
                <w:sz w:val="19"/>
                <w:szCs w:val="19"/>
                <w:color w:val="auto"/>
              </w:rPr>
            </w:pPr>
          </w:p>
        </w:tc>
        <w:tc>
          <w:tcPr>
            <w:tcW w:w="10640" w:type="dxa"/>
            <w:vAlign w:val="bottom"/>
            <w:gridSpan w:val="9"/>
          </w:tcPr>
          <w:p>
            <w:pPr>
              <w:ind w:left="260"/>
              <w:spacing w:after="0" w:line="224" w:lineRule="exact"/>
              <w:rPr>
                <w:sz w:val="20"/>
                <w:szCs w:val="20"/>
                <w:color w:val="auto"/>
              </w:rPr>
            </w:pPr>
            <w:r>
              <w:rPr>
                <w:rFonts w:ascii="Arial" w:cs="Arial" w:eastAsia="Arial" w:hAnsi="Arial"/>
                <w:sz w:val="22"/>
                <w:szCs w:val="22"/>
                <w:color w:val="auto"/>
                <w:w w:val="97"/>
              </w:rPr>
              <w:t>invest solely, in investments of the type described in the immediately preceding clauses (a) through (d) above</w:t>
            </w:r>
          </w:p>
        </w:tc>
      </w:tr>
      <w:tr>
        <w:trPr>
          <w:trHeight w:val="273"/>
        </w:trPr>
        <w:tc>
          <w:tcPr>
            <w:tcW w:w="520" w:type="dxa"/>
            <w:vAlign w:val="bottom"/>
          </w:tcPr>
          <w:p>
            <w:pPr>
              <w:spacing w:after="0"/>
              <w:rPr>
                <w:sz w:val="23"/>
                <w:szCs w:val="23"/>
                <w:color w:val="auto"/>
              </w:rPr>
            </w:pPr>
          </w:p>
        </w:tc>
        <w:tc>
          <w:tcPr>
            <w:tcW w:w="7880" w:type="dxa"/>
            <w:vAlign w:val="bottom"/>
            <w:gridSpan w:val="5"/>
          </w:tcPr>
          <w:p>
            <w:pPr>
              <w:ind w:left="260"/>
              <w:spacing w:after="0"/>
              <w:rPr>
                <w:sz w:val="20"/>
                <w:szCs w:val="20"/>
                <w:color w:val="auto"/>
              </w:rPr>
            </w:pPr>
            <w:r>
              <w:rPr>
                <w:rFonts w:ascii="Arial" w:cs="Arial" w:eastAsia="Arial" w:hAnsi="Arial"/>
                <w:sz w:val="22"/>
                <w:szCs w:val="22"/>
                <w:color w:val="auto"/>
              </w:rPr>
              <w:t>(including as to credit quality and maturity).</w:t>
            </w:r>
          </w:p>
        </w:tc>
        <w:tc>
          <w:tcPr>
            <w:tcW w:w="98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40" w:type="dxa"/>
            <w:vAlign w:val="bottom"/>
          </w:tcPr>
          <w:p>
            <w:pPr>
              <w:spacing w:after="0"/>
              <w:rPr>
                <w:sz w:val="23"/>
                <w:szCs w:val="23"/>
                <w:color w:val="auto"/>
              </w:rPr>
            </w:pPr>
          </w:p>
        </w:tc>
      </w:tr>
    </w:tbl>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spacing w:after="0" w:line="1" w:lineRule="exact"/>
        <w:rPr>
          <w:sz w:val="20"/>
          <w:szCs w:val="20"/>
          <w:color w:val="auto"/>
        </w:rPr>
      </w:pPr>
    </w:p>
    <w:p>
      <w:pPr>
        <w:jc w:val="both"/>
        <w:ind w:firstLine="8"/>
        <w:spacing w:after="0" w:line="233" w:lineRule="auto"/>
        <w:tabs>
          <w:tab w:leader="none" w:pos="39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88"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advising clients; or (d) the External Manager ceases to be Controlled by TSSP Management Holdings, L.P.</w:t>
      </w:r>
    </w:p>
    <w:p>
      <w:pPr>
        <w:spacing w:after="0" w:line="206"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200" w:lineRule="exact"/>
        <w:rPr>
          <w:sz w:val="20"/>
          <w:szCs w:val="20"/>
          <w:color w:val="auto"/>
        </w:rPr>
      </w:pPr>
    </w:p>
    <w:p>
      <w:pPr>
        <w:spacing w:after="0" w:line="20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Arial" w:cs="Arial" w:eastAsia="Arial" w:hAnsi="Arial"/>
          <w:sz w:val="22"/>
          <w:szCs w:val="22"/>
          <w:u w:val="single" w:color="auto"/>
          <w:color w:val="auto"/>
        </w:rPr>
        <w:t>Class</w:t>
      </w:r>
      <w:r>
        <w:rPr>
          <w:rFonts w:ascii="Arial" w:cs="Arial" w:eastAsia="Arial" w:hAnsi="Arial"/>
          <w:sz w:val="22"/>
          <w:szCs w:val="22"/>
          <w:color w:val="auto"/>
        </w:rPr>
        <w:t>” of a Letter of Credit refers to whether such Letter of Credit is a Dollar Letter of Credit or a Multicurrency Letter of Credit.</w:t>
      </w:r>
    </w:p>
    <w:p>
      <w:pPr>
        <w:spacing w:after="0" w:line="19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has the meaning assigned to such term in the Guarantee and Security Agreement.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Truist in its capacity as Collateral Agent under the Guarantee and Security Agreement, and includes any successor Collateral Agent thereunder.</w:t>
      </w:r>
    </w:p>
    <w:p>
      <w:pPr>
        <w:spacing w:after="0" w:line="175"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Pool</w:t>
      </w:r>
      <w:r>
        <w:rPr>
          <w:rFonts w:ascii="Arial" w:cs="Arial" w:eastAsia="Arial" w:hAnsi="Arial"/>
          <w:sz w:val="21"/>
          <w:szCs w:val="21"/>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21"/>
          <w:szCs w:val="21"/>
          <w:u w:val="single" w:color="auto"/>
          <w:color w:val="auto"/>
        </w:rPr>
        <w:t>Section 6.02</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1" w:name="page172"/>
    <w:bookmarkEnd w:id="171"/>
    <w:p>
      <w:pPr>
        <w:jc w:val="both"/>
        <w:spacing w:after="0" w:line="238" w:lineRule="auto"/>
        <w:rPr>
          <w:sz w:val="20"/>
          <w:szCs w:val="20"/>
          <w:color w:val="auto"/>
        </w:rPr>
      </w:pPr>
      <w:r>
        <w:rPr>
          <w:rFonts w:ascii="Arial" w:cs="Arial" w:eastAsia="Arial" w:hAnsi="Arial"/>
          <w:sz w:val="22"/>
          <w:szCs w:val="22"/>
          <w:color w:val="auto"/>
        </w:rPr>
        <w:t>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8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Combined Debt Amount</w:t>
      </w:r>
      <w:r>
        <w:rPr>
          <w:rFonts w:ascii="Arial" w:cs="Arial" w:eastAsia="Arial" w:hAnsi="Arial"/>
          <w:sz w:val="22"/>
          <w:szCs w:val="22"/>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Commitments</w:t>
      </w:r>
      <w:r>
        <w:rPr>
          <w:rFonts w:ascii="Arial" w:cs="Arial" w:eastAsia="Arial" w:hAnsi="Arial"/>
          <w:sz w:val="21"/>
          <w:szCs w:val="21"/>
          <w:color w:val="auto"/>
        </w:rPr>
        <w:t>” means, collectively, the Dollar Commitments and the Multicurrency Commitments.</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the Extended Commitment Termination Date or the relevant Non-Extended Commitment Termination Date, as applicable.</w:t>
      </w:r>
    </w:p>
    <w:p>
      <w:pPr>
        <w:spacing w:after="0" w:line="175"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Asset Coverage Ratio</w:t>
      </w:r>
      <w:r>
        <w:rPr>
          <w:rFonts w:ascii="Arial" w:cs="Arial" w:eastAsia="Arial" w:hAnsi="Arial"/>
          <w:sz w:val="19"/>
          <w:szCs w:val="19"/>
          <w:color w:val="auto"/>
        </w:rPr>
        <w:t>” means the ratio, determined on a consolidated basis for Borrower and its Subsidiaries, without duplication,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Group</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xml:space="preserve">” have meanings correlative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“Control” shall not include “negative” control or “blocking” rights whereby action cannot be taken without the vote or consent of any Person.</w:t>
      </w:r>
    </w:p>
    <w:p>
      <w:pPr>
        <w:spacing w:after="0" w:line="174"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Debt Amount</w:t>
      </w:r>
      <w:r>
        <w:rPr>
          <w:rFonts w:ascii="Arial" w:cs="Arial" w:eastAsia="Arial" w:hAnsi="Arial"/>
          <w:sz w:val="19"/>
          <w:szCs w:val="19"/>
          <w:color w:val="auto"/>
        </w:rPr>
        <w:t xml:space="preserve">” means, on any date, the sum of (x) all of the Revolving Credit Exposures of all Lenders on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the aggregate amount of Other Covered Indebtedness, the 2022 Convertible Notes, the 2023 Notes, the 2024 Notes, the 2026 Notes, Special Unsecured Indebtedness and Unsecured Longer-Term Indebtedness on such date </w:t>
      </w:r>
      <w:r>
        <w:rPr>
          <w:rFonts w:ascii="Arial" w:cs="Arial" w:eastAsia="Arial" w:hAnsi="Arial"/>
          <w:sz w:val="19"/>
          <w:szCs w:val="19"/>
          <w:u w:val="single" w:color="auto"/>
          <w:color w:val="auto"/>
        </w:rPr>
        <w:t>minus</w:t>
      </w:r>
    </w:p>
    <w:p>
      <w:pPr>
        <w:spacing w:after="0" w:line="1" w:lineRule="exact"/>
        <w:rPr>
          <w:sz w:val="20"/>
          <w:szCs w:val="20"/>
          <w:color w:val="auto"/>
        </w:rPr>
      </w:pPr>
    </w:p>
    <w:p>
      <w:pPr>
        <w:ind w:firstLine="8"/>
        <w:spacing w:after="0" w:line="236" w:lineRule="auto"/>
        <w:tabs>
          <w:tab w:leader="none" w:pos="29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LC Exposures fully Cash Collateralized on such date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xml:space="preserve"> and the last paragraph of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2022 Convertible Notes, the 2023 Notes, the 2024 Notes, the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2" w:name="page173"/>
    <w:bookmarkEnd w:id="172"/>
    <w:p>
      <w:pPr>
        <w:jc w:val="both"/>
        <w:spacing w:after="0" w:line="271" w:lineRule="auto"/>
        <w:rPr>
          <w:sz w:val="20"/>
          <w:szCs w:val="20"/>
          <w:color w:val="auto"/>
        </w:rPr>
      </w:pPr>
      <w:r>
        <w:rPr>
          <w:rFonts w:ascii="Arial" w:cs="Arial" w:eastAsia="Arial" w:hAnsi="Arial"/>
          <w:sz w:val="19"/>
          <w:szCs w:val="19"/>
          <w:color w:val="auto"/>
        </w:rPr>
        <w:t>2026 Notes, Special Unsecured Indebtedness and Unsecured Longer-Term Indebtedness shall be excluded from the calculation of the Covered Debt Amount, in each case, until the date that is nine (9) months prior to the scheduled maturity date of the 2022 Convertible Notes, the 2023 Notes, the 2024 Notes, the 2026 Notes, Special Unsecured Indebtedness or such Unsecured Longer-Term Indebtedness, as applicable (provided that, to the extent, but only to the extent, any portion of the 2022 Convertible Notes, the 2023 Notes, the 2024 Notes, the 2026 Notes, Special Unsecured Indebtedness or Unsecured Longer-Term Indebtedness is subject to a contractually scheduled amortization payment or other principal payment or mandatory redemption (other than in common stock of the Borrower) earlier than six (6) months after the Final Maturity Date (in the case of the 2022 Convertible Notes, the 2023 Notes, the 2024 Notes, the 2026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200" w:lineRule="exact"/>
        <w:rPr>
          <w:sz w:val="20"/>
          <w:szCs w:val="20"/>
          <w:color w:val="auto"/>
        </w:rPr>
      </w:pPr>
    </w:p>
    <w:p>
      <w:pPr>
        <w:spacing w:after="0" w:line="21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Currency</w:t>
      </w:r>
      <w:r>
        <w:rPr>
          <w:rFonts w:ascii="Arial" w:cs="Arial" w:eastAsia="Arial" w:hAnsi="Arial"/>
          <w:sz w:val="22"/>
          <w:szCs w:val="22"/>
          <w:color w:val="auto"/>
        </w:rPr>
        <w:t>” means Dollars or any Foreign Currency.</w:t>
      </w:r>
    </w:p>
    <w:p>
      <w:pPr>
        <w:spacing w:after="0" w:line="206"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RFR</w:t>
      </w:r>
      <w:r>
        <w:rPr>
          <w:rFonts w:ascii="Arial" w:cs="Arial" w:eastAsia="Arial" w:hAnsi="Arial"/>
          <w:sz w:val="19"/>
          <w:szCs w:val="19"/>
          <w:color w:val="auto"/>
        </w:rPr>
        <w:t>” means, for any day (an “</w:t>
      </w:r>
      <w:r>
        <w:rPr>
          <w:rFonts w:ascii="Arial" w:cs="Arial" w:eastAsia="Arial" w:hAnsi="Arial"/>
          <w:sz w:val="19"/>
          <w:szCs w:val="19"/>
          <w:u w:val="single" w:color="auto"/>
          <w:color w:val="auto"/>
        </w:rPr>
        <w:t>RFR Interest Day</w:t>
      </w:r>
      <w:r>
        <w:rPr>
          <w:rFonts w:ascii="Arial" w:cs="Arial" w:eastAsia="Arial" w:hAnsi="Arial"/>
          <w:sz w:val="19"/>
          <w:szCs w:val="19"/>
          <w:color w:val="auto"/>
        </w:rPr>
        <w:t xml:space="preserve"> ”), an interest rate per annum equal to (a) for any RFR Loan denominated in Sterling, the greater of (i) SONIA for the day (the “</w:t>
      </w:r>
      <w:r>
        <w:rPr>
          <w:rFonts w:ascii="Arial" w:cs="Arial" w:eastAsia="Arial" w:hAnsi="Arial"/>
          <w:sz w:val="19"/>
          <w:szCs w:val="19"/>
          <w:u w:val="single" w:color="auto"/>
          <w:color w:val="auto"/>
        </w:rPr>
        <w:t>RFR Reference Day</w:t>
      </w:r>
      <w:r>
        <w:rPr>
          <w:rFonts w:ascii="Arial" w:cs="Arial" w:eastAsia="Arial" w:hAnsi="Arial"/>
          <w:sz w:val="19"/>
          <w:szCs w:val="19"/>
          <w:color w:val="auto"/>
        </w:rPr>
        <w:t>”) that is five Business Days prior to (A) if such RFR Interest Day is a Business Day, such RFR Interest Day or (B) if such RFR Interest Day is not a Business Day, the Business Day immediately preceding such RFR Interest Day and (ii) 0.00%; and (b) for any RFR Loan denominated in Swiss Francs, the greater of (i) SARON for the RFR Reference Day that is five Business Days prior to (A) if such RFR Interest Day is a Business Day, such RFR Interest Day or (B) if such RFR Interest Day is not a Business Day, the Business Day immediately preceding such RFR Interest Day and (ii) 0.00%. If by 5:00 pm, (local time for the applicable RFR), on the second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provided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200" w:lineRule="exact"/>
        <w:rPr>
          <w:sz w:val="20"/>
          <w:szCs w:val="20"/>
          <w:color w:val="auto"/>
        </w:rPr>
      </w:pPr>
    </w:p>
    <w:p>
      <w:pPr>
        <w:spacing w:after="0" w:line="20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xml:space="preserve">” means, subject to </w:t>
      </w:r>
      <w:r>
        <w:rPr>
          <w:rFonts w:ascii="Arial" w:cs="Arial" w:eastAsia="Arial" w:hAnsi="Arial"/>
          <w:sz w:val="22"/>
          <w:szCs w:val="22"/>
          <w:u w:val="single" w:color="auto"/>
          <w:color w:val="auto"/>
        </w:rPr>
        <w:t>Section 2.19(b)</w:t>
      </w:r>
      <w:r>
        <w:rPr>
          <w:rFonts w:ascii="Arial" w:cs="Arial" w:eastAsia="Arial" w:hAnsi="Arial"/>
          <w:sz w:val="22"/>
          <w:szCs w:val="22"/>
          <w:color w:val="auto"/>
        </w:rPr>
        <w:t>, any Lender that, during such Lender’s Availability Period, (a) has failed to (i) fund all or any portion of its Loans or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3" w:name="page174"/>
    <w:bookmarkEnd w:id="173"/>
    <w:p>
      <w:pPr>
        <w:jc w:val="both"/>
        <w:spacing w:after="0" w:line="269" w:lineRule="auto"/>
        <w:rPr>
          <w:sz w:val="20"/>
          <w:szCs w:val="20"/>
          <w:color w:val="auto"/>
        </w:rPr>
      </w:pPr>
      <w:r>
        <w:rPr>
          <w:rFonts w:ascii="Arial" w:cs="Arial" w:eastAsia="Arial" w:hAnsi="Arial"/>
          <w:sz w:val="19"/>
          <w:szCs w:val="19"/>
          <w:color w:val="auto"/>
        </w:rPr>
        <w:t xml:space="preserve">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2.19(b)</w:t>
      </w:r>
      <w:r>
        <w:rPr>
          <w:rFonts w:ascii="Arial" w:cs="Arial" w:eastAsia="Arial" w:hAnsi="Arial"/>
          <w:sz w:val="19"/>
          <w:szCs w:val="19"/>
          <w:color w:val="auto"/>
        </w:rPr>
        <w:t>) upon such determination (and the Administrative Agent shall deliver written notice of such determination to the Borrower, each Issuing Bank and each Lender and each Swingline Lender).</w:t>
      </w:r>
    </w:p>
    <w:p>
      <w:pPr>
        <w:spacing w:after="0" w:line="200" w:lineRule="exact"/>
        <w:rPr>
          <w:sz w:val="20"/>
          <w:szCs w:val="20"/>
          <w:color w:val="auto"/>
        </w:rPr>
      </w:pPr>
    </w:p>
    <w:p>
      <w:pPr>
        <w:spacing w:after="0" w:line="204"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Obligations</w:t>
      </w:r>
      <w:r>
        <w:rPr>
          <w:rFonts w:ascii="Arial" w:cs="Arial" w:eastAsia="Arial" w:hAnsi="Arial"/>
          <w:sz w:val="22"/>
          <w:szCs w:val="22"/>
          <w:color w:val="auto"/>
        </w:rPr>
        <w:t>” means all obligations of the Borrower with respect to (a) principal of and interest on the Loans and (b) accrued and unpaid fees under the Loan Documents.</w:t>
      </w:r>
    </w:p>
    <w:p>
      <w:pPr>
        <w:spacing w:after="0" w:line="175" w:lineRule="exact"/>
        <w:rPr>
          <w:sz w:val="20"/>
          <w:szCs w:val="20"/>
          <w:color w:val="auto"/>
        </w:rPr>
      </w:pPr>
    </w:p>
    <w:p>
      <w:pPr>
        <w:jc w:val="both"/>
        <w:ind w:right="2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4" w:name="page175"/>
    <w:bookmarkEnd w:id="174"/>
    <w:p>
      <w:pPr>
        <w:jc w:val="both"/>
        <w:spacing w:after="0"/>
        <w:rPr>
          <w:sz w:val="20"/>
          <w:szCs w:val="20"/>
          <w:color w:val="auto"/>
        </w:rPr>
      </w:pPr>
      <w:r>
        <w:rPr>
          <w:rFonts w:ascii="Arial" w:cs="Arial" w:eastAsia="Arial" w:hAnsi="Arial"/>
          <w:sz w:val="22"/>
          <w:szCs w:val="22"/>
          <w:color w:val="auto"/>
        </w:rPr>
        <w:t xml:space="preserve">rights and claims associated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8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Commitment</w:t>
      </w:r>
      <w:r>
        <w:rPr>
          <w:rFonts w:ascii="Arial" w:cs="Arial" w:eastAsia="Arial" w:hAnsi="Arial"/>
          <w:sz w:val="21"/>
          <w:szCs w:val="21"/>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amount of each Lender’s Dollar Commitment as of the Tenth Amendment Effective Date is set forth on </w:t>
      </w:r>
      <w:r>
        <w:rPr>
          <w:rFonts w:ascii="Arial" w:cs="Arial" w:eastAsia="Arial" w:hAnsi="Arial"/>
          <w:sz w:val="21"/>
          <w:szCs w:val="21"/>
          <w:u w:val="single" w:color="auto"/>
          <w:color w:val="auto"/>
        </w:rPr>
        <w:t>Schedule 1.01(b)</w:t>
      </w:r>
      <w:r>
        <w:rPr>
          <w:rFonts w:ascii="Arial" w:cs="Arial" w:eastAsia="Arial" w:hAnsi="Arial"/>
          <w:sz w:val="21"/>
          <w:szCs w:val="21"/>
          <w:color w:val="auto"/>
        </w:rPr>
        <w:t>, or in the Assignment and Assumption pursuant to which such Lender shall have assumed its Dollar Commitment, as applicable. The aggregate amount of the Lenders’ Dollar Commitments as of the Tenth Amendment Effective Date is $395,000,000.</w:t>
      </w:r>
    </w:p>
    <w:p>
      <w:pPr>
        <w:spacing w:after="0" w:line="184"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7"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LC Exposure</w:t>
      </w:r>
      <w:r>
        <w:rPr>
          <w:rFonts w:ascii="Arial" w:cs="Arial" w:eastAsia="Arial" w:hAnsi="Arial"/>
          <w:sz w:val="19"/>
          <w:szCs w:val="19"/>
          <w:color w:val="auto"/>
        </w:rPr>
        <w:t xml:space="preserve">” means, at any time, the sum of (a) the aggregate undrawn amount of all outstanding Dollar Letters of Credit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43"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Lender</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Letters of Credit</w:t>
      </w:r>
      <w:r>
        <w:rPr>
          <w:rFonts w:ascii="Arial" w:cs="Arial" w:eastAsia="Arial" w:hAnsi="Arial"/>
          <w:sz w:val="22"/>
          <w:szCs w:val="22"/>
          <w:color w:val="auto"/>
        </w:rPr>
        <w:t>” means Letters of Credit that utilize the Dollar Commitments.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Loan</w:t>
      </w:r>
      <w:r>
        <w:rPr>
          <w:rFonts w:ascii="Arial" w:cs="Arial" w:eastAsia="Arial" w:hAnsi="Arial"/>
          <w:sz w:val="22"/>
          <w:szCs w:val="22"/>
          <w:color w:val="auto"/>
        </w:rPr>
        <w:t>” means a Loan denominated in Dollars.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0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Opt-in Election</w:t>
      </w:r>
      <w:r>
        <w:rPr>
          <w:rFonts w:ascii="Arial" w:cs="Arial" w:eastAsia="Arial" w:hAnsi="Arial"/>
          <w:sz w:val="21"/>
          <w:szCs w:val="21"/>
          <w:color w:val="auto"/>
        </w:rPr>
        <w:t xml:space="preserve">” means the occurrence of: (a) (i) a determination by the Administrative Agent or (ii) a notification by the Required Lenders to the Administrative Agent (with a copy to the Borrower) that the Required Lenders have determined that Dollar-denominated syndicated credit facilities being executed at such time, or that include language similar to that contained in </w:t>
      </w:r>
      <w:r>
        <w:rPr>
          <w:rFonts w:ascii="Arial" w:cs="Arial" w:eastAsia="Arial" w:hAnsi="Arial"/>
          <w:sz w:val="21"/>
          <w:szCs w:val="21"/>
          <w:u w:val="single" w:color="auto"/>
          <w:color w:val="auto"/>
        </w:rPr>
        <w:t>Section 2.22</w:t>
      </w:r>
      <w:r>
        <w:rPr>
          <w:rFonts w:ascii="Arial" w:cs="Arial" w:eastAsia="Arial" w:hAnsi="Arial"/>
          <w:sz w:val="21"/>
          <w:szCs w:val="21"/>
          <w:color w:val="auto"/>
        </w:rPr>
        <w:t>, are being executed or amended, as applicable, to incorporate or adopt a new benchmark interest rate to replace the Eurocurrency Rate for Dollars, and (b) (i) the election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5" w:name="page176"/>
    <w:bookmarkEnd w:id="175"/>
    <w:p>
      <w:pPr>
        <w:jc w:val="both"/>
        <w:spacing w:after="0"/>
        <w:rPr>
          <w:sz w:val="20"/>
          <w:szCs w:val="20"/>
          <w:color w:val="auto"/>
        </w:rPr>
      </w:pPr>
      <w:r>
        <w:rPr>
          <w:rFonts w:ascii="Arial" w:cs="Arial" w:eastAsia="Arial" w:hAnsi="Arial"/>
          <w:sz w:val="22"/>
          <w:szCs w:val="22"/>
          <w:color w:val="auto"/>
        </w:rPr>
        <w:t>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8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8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 which date is February 27, 2014.</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w:t>
      </w:r>
    </w:p>
    <w:p>
      <w:pPr>
        <w:spacing w:after="0" w:line="24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6" w:name="page177"/>
    <w:bookmarkEnd w:id="176"/>
    <w:p>
      <w:pPr>
        <w:jc w:val="both"/>
        <w:spacing w:after="0"/>
        <w:rPr>
          <w:sz w:val="20"/>
          <w:szCs w:val="20"/>
          <w:color w:val="auto"/>
        </w:rPr>
      </w:pPr>
      <w:r>
        <w:rPr>
          <w:rFonts w:ascii="Arial" w:cs="Arial" w:eastAsia="Arial" w:hAnsi="Arial"/>
          <w:sz w:val="22"/>
          <w:szCs w:val="22"/>
          <w:color w:val="auto"/>
        </w:rPr>
        <w:t>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means a single currency of the Participating Member States.</w:t>
      </w:r>
    </w:p>
    <w:p>
      <w:pPr>
        <w:spacing w:after="0" w:line="20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w:t>
      </w:r>
      <w:r>
        <w:rPr>
          <w:rFonts w:ascii="Arial" w:cs="Arial" w:eastAsia="Arial" w:hAnsi="Arial"/>
          <w:sz w:val="19"/>
          <w:szCs w:val="19"/>
          <w:color w:val="auto"/>
        </w:rPr>
        <w:t>”, when used in reference to any Loan or Borrowing, refers to whether such Loan, or the Loans constituting such Borrowing, are bearing interest at a rate determined by reference to the Adjusted Eurocurrency Rate.</w:t>
      </w:r>
    </w:p>
    <w:p>
      <w:pPr>
        <w:spacing w:after="0" w:line="10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Banking Day</w:t>
      </w:r>
      <w:r>
        <w:rPr>
          <w:rFonts w:ascii="Arial" w:cs="Arial" w:eastAsia="Arial" w:hAnsi="Arial"/>
          <w:sz w:val="22"/>
          <w:szCs w:val="22"/>
          <w:color w:val="auto"/>
        </w:rPr>
        <w:t>” means for Eurocurrency Loans, Eurocurrency Borrowings, interest, fees, commissions or other amounts denominated in, or calculated with respect to:</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(a)</w:t>
            </w:r>
          </w:p>
        </w:tc>
        <w:tc>
          <w:tcPr>
            <w:tcW w:w="720" w:type="dxa"/>
            <w:vAlign w:val="bottom"/>
          </w:tcPr>
          <w:p>
            <w:pPr>
              <w:spacing w:after="0"/>
              <w:rPr>
                <w:sz w:val="21"/>
                <w:szCs w:val="21"/>
                <w:color w:val="auto"/>
              </w:rPr>
            </w:pPr>
          </w:p>
        </w:tc>
        <w:tc>
          <w:tcPr>
            <w:tcW w:w="9400" w:type="dxa"/>
            <w:vAlign w:val="bottom"/>
            <w:gridSpan w:val="2"/>
          </w:tcPr>
          <w:p>
            <w:pPr>
              <w:ind w:left="1340"/>
              <w:spacing w:after="0"/>
              <w:rPr>
                <w:sz w:val="20"/>
                <w:szCs w:val="20"/>
                <w:color w:val="auto"/>
              </w:rPr>
            </w:pPr>
            <w:r>
              <w:rPr>
                <w:rFonts w:ascii="Arial" w:cs="Arial" w:eastAsia="Arial" w:hAnsi="Arial"/>
                <w:sz w:val="22"/>
                <w:szCs w:val="22"/>
                <w:color w:val="auto"/>
                <w:w w:val="89"/>
              </w:rPr>
              <w:t>Dollars, any day (other than a Saturday or Sunday) on which banks are open for business in</w:t>
            </w:r>
          </w:p>
        </w:tc>
      </w:tr>
      <w:tr>
        <w:trPr>
          <w:trHeight w:val="274"/>
        </w:trPr>
        <w:tc>
          <w:tcPr>
            <w:tcW w:w="840" w:type="dxa"/>
            <w:vAlign w:val="bottom"/>
          </w:tcPr>
          <w:p>
            <w:pPr>
              <w:spacing w:after="0"/>
              <w:rPr>
                <w:sz w:val="23"/>
                <w:szCs w:val="23"/>
                <w:color w:val="auto"/>
              </w:rPr>
            </w:pPr>
          </w:p>
        </w:tc>
        <w:tc>
          <w:tcPr>
            <w:tcW w:w="10120" w:type="dxa"/>
            <w:vAlign w:val="bottom"/>
            <w:gridSpan w:val="3"/>
          </w:tcPr>
          <w:p>
            <w:pPr>
              <w:ind w:left="600"/>
              <w:spacing w:after="0"/>
              <w:rPr>
                <w:sz w:val="20"/>
                <w:szCs w:val="20"/>
                <w:color w:val="auto"/>
              </w:rPr>
            </w:pPr>
            <w:r>
              <w:rPr>
                <w:rFonts w:ascii="Arial" w:cs="Arial" w:eastAsia="Arial" w:hAnsi="Arial"/>
                <w:sz w:val="22"/>
                <w:szCs w:val="22"/>
                <w:color w:val="auto"/>
              </w:rPr>
              <w:t>London, England;</w:t>
            </w:r>
          </w:p>
        </w:tc>
      </w:tr>
      <w:tr>
        <w:trPr>
          <w:trHeight w:val="459"/>
        </w:trPr>
        <w:tc>
          <w:tcPr>
            <w:tcW w:w="840" w:type="dxa"/>
            <w:vAlign w:val="bottom"/>
          </w:tcPr>
          <w:p>
            <w:pPr>
              <w:spacing w:after="0"/>
              <w:rPr>
                <w:sz w:val="20"/>
                <w:szCs w:val="20"/>
                <w:color w:val="auto"/>
              </w:rPr>
            </w:pPr>
            <w:r>
              <w:rPr>
                <w:rFonts w:ascii="Arial" w:cs="Arial" w:eastAsia="Arial" w:hAnsi="Arial"/>
                <w:sz w:val="22"/>
                <w:szCs w:val="22"/>
                <w:color w:val="auto"/>
              </w:rPr>
              <w:t>(b)</w:t>
            </w:r>
          </w:p>
        </w:tc>
        <w:tc>
          <w:tcPr>
            <w:tcW w:w="720" w:type="dxa"/>
            <w:vAlign w:val="bottom"/>
          </w:tcPr>
          <w:p>
            <w:pPr>
              <w:spacing w:after="0"/>
              <w:rPr>
                <w:sz w:val="24"/>
                <w:szCs w:val="24"/>
                <w:color w:val="auto"/>
              </w:rPr>
            </w:pPr>
          </w:p>
        </w:tc>
        <w:tc>
          <w:tcPr>
            <w:tcW w:w="9400" w:type="dxa"/>
            <w:vAlign w:val="bottom"/>
            <w:gridSpan w:val="2"/>
          </w:tcPr>
          <w:p>
            <w:pPr>
              <w:ind w:left="1340"/>
              <w:spacing w:after="0"/>
              <w:rPr>
                <w:sz w:val="20"/>
                <w:szCs w:val="20"/>
                <w:color w:val="auto"/>
              </w:rPr>
            </w:pPr>
            <w:r>
              <w:rPr>
                <w:rFonts w:ascii="Arial" w:cs="Arial" w:eastAsia="Arial" w:hAnsi="Arial"/>
                <w:sz w:val="22"/>
                <w:szCs w:val="22"/>
                <w:color w:val="auto"/>
              </w:rPr>
              <w:t>Euros, a TARGET Day;</w:t>
            </w:r>
          </w:p>
        </w:tc>
      </w:tr>
      <w:tr>
        <w:trPr>
          <w:trHeight w:val="428"/>
        </w:trPr>
        <w:tc>
          <w:tcPr>
            <w:tcW w:w="840" w:type="dxa"/>
            <w:vAlign w:val="bottom"/>
          </w:tcPr>
          <w:p>
            <w:pPr>
              <w:spacing w:after="0"/>
              <w:rPr>
                <w:sz w:val="20"/>
                <w:szCs w:val="20"/>
                <w:color w:val="auto"/>
              </w:rPr>
            </w:pPr>
            <w:r>
              <w:rPr>
                <w:rFonts w:ascii="Arial" w:cs="Arial" w:eastAsia="Arial" w:hAnsi="Arial"/>
                <w:sz w:val="22"/>
                <w:szCs w:val="22"/>
                <w:color w:val="auto"/>
              </w:rPr>
              <w:t>(c)</w:t>
            </w:r>
          </w:p>
        </w:tc>
        <w:tc>
          <w:tcPr>
            <w:tcW w:w="720" w:type="dxa"/>
            <w:vAlign w:val="bottom"/>
          </w:tcPr>
          <w:p>
            <w:pPr>
              <w:spacing w:after="0"/>
              <w:rPr>
                <w:sz w:val="24"/>
                <w:szCs w:val="24"/>
                <w:color w:val="auto"/>
              </w:rPr>
            </w:pPr>
          </w:p>
        </w:tc>
        <w:tc>
          <w:tcPr>
            <w:tcW w:w="9400" w:type="dxa"/>
            <w:vAlign w:val="bottom"/>
            <w:gridSpan w:val="2"/>
          </w:tcPr>
          <w:p>
            <w:pPr>
              <w:ind w:left="1340"/>
              <w:spacing w:after="0"/>
              <w:rPr>
                <w:sz w:val="20"/>
                <w:szCs w:val="20"/>
                <w:color w:val="auto"/>
              </w:rPr>
            </w:pPr>
            <w:r>
              <w:rPr>
                <w:rFonts w:ascii="Arial" w:cs="Arial" w:eastAsia="Arial" w:hAnsi="Arial"/>
                <w:sz w:val="22"/>
                <w:szCs w:val="22"/>
                <w:color w:val="auto"/>
                <w:w w:val="91"/>
              </w:rPr>
              <w:t>Canadian Dollars, any day (other than a Saturday or Sunday) on which banks are open for</w:t>
            </w:r>
          </w:p>
        </w:tc>
      </w:tr>
      <w:tr>
        <w:trPr>
          <w:trHeight w:val="274"/>
        </w:trPr>
        <w:tc>
          <w:tcPr>
            <w:tcW w:w="840" w:type="dxa"/>
            <w:vAlign w:val="bottom"/>
          </w:tcPr>
          <w:p>
            <w:pPr>
              <w:spacing w:after="0"/>
              <w:rPr>
                <w:sz w:val="23"/>
                <w:szCs w:val="23"/>
                <w:color w:val="auto"/>
              </w:rPr>
            </w:pPr>
          </w:p>
        </w:tc>
        <w:tc>
          <w:tcPr>
            <w:tcW w:w="10120" w:type="dxa"/>
            <w:vAlign w:val="bottom"/>
            <w:gridSpan w:val="3"/>
          </w:tcPr>
          <w:p>
            <w:pPr>
              <w:ind w:left="600"/>
              <w:spacing w:after="0"/>
              <w:rPr>
                <w:sz w:val="20"/>
                <w:szCs w:val="20"/>
                <w:color w:val="auto"/>
              </w:rPr>
            </w:pPr>
            <w:r>
              <w:rPr>
                <w:rFonts w:ascii="Arial" w:cs="Arial" w:eastAsia="Arial" w:hAnsi="Arial"/>
                <w:sz w:val="22"/>
                <w:szCs w:val="22"/>
                <w:color w:val="auto"/>
              </w:rPr>
              <w:t>business in Toronto, Canada;</w:t>
            </w:r>
          </w:p>
        </w:tc>
      </w:tr>
      <w:tr>
        <w:trPr>
          <w:trHeight w:val="428"/>
        </w:trPr>
        <w:tc>
          <w:tcPr>
            <w:tcW w:w="840" w:type="dxa"/>
            <w:vAlign w:val="bottom"/>
          </w:tcPr>
          <w:p>
            <w:pPr>
              <w:spacing w:after="0"/>
              <w:rPr>
                <w:sz w:val="20"/>
                <w:szCs w:val="20"/>
                <w:color w:val="auto"/>
              </w:rPr>
            </w:pPr>
            <w:r>
              <w:rPr>
                <w:rFonts w:ascii="Arial" w:cs="Arial" w:eastAsia="Arial" w:hAnsi="Arial"/>
                <w:sz w:val="22"/>
                <w:szCs w:val="22"/>
                <w:color w:val="auto"/>
              </w:rPr>
              <w:t>(d)</w:t>
            </w:r>
          </w:p>
        </w:tc>
        <w:tc>
          <w:tcPr>
            <w:tcW w:w="720" w:type="dxa"/>
            <w:vAlign w:val="bottom"/>
          </w:tcPr>
          <w:p>
            <w:pPr>
              <w:spacing w:after="0"/>
              <w:rPr>
                <w:sz w:val="24"/>
                <w:szCs w:val="24"/>
                <w:color w:val="auto"/>
              </w:rPr>
            </w:pPr>
          </w:p>
        </w:tc>
        <w:tc>
          <w:tcPr>
            <w:tcW w:w="9400" w:type="dxa"/>
            <w:vAlign w:val="bottom"/>
            <w:gridSpan w:val="2"/>
          </w:tcPr>
          <w:p>
            <w:pPr>
              <w:ind w:left="1340"/>
              <w:spacing w:after="0"/>
              <w:rPr>
                <w:sz w:val="20"/>
                <w:szCs w:val="20"/>
                <w:color w:val="auto"/>
              </w:rPr>
            </w:pPr>
            <w:r>
              <w:rPr>
                <w:rFonts w:ascii="Arial" w:cs="Arial" w:eastAsia="Arial" w:hAnsi="Arial"/>
                <w:sz w:val="22"/>
                <w:szCs w:val="22"/>
                <w:color w:val="auto"/>
                <w:w w:val="91"/>
              </w:rPr>
              <w:t>Australian Dollars, any day (other than a Saturday or Sunday) on which banks are open for</w:t>
            </w:r>
          </w:p>
        </w:tc>
      </w:tr>
      <w:tr>
        <w:trPr>
          <w:trHeight w:val="274"/>
        </w:trPr>
        <w:tc>
          <w:tcPr>
            <w:tcW w:w="840" w:type="dxa"/>
            <w:vAlign w:val="bottom"/>
          </w:tcPr>
          <w:p>
            <w:pPr>
              <w:spacing w:after="0"/>
              <w:rPr>
                <w:sz w:val="23"/>
                <w:szCs w:val="23"/>
                <w:color w:val="auto"/>
              </w:rPr>
            </w:pPr>
          </w:p>
        </w:tc>
        <w:tc>
          <w:tcPr>
            <w:tcW w:w="10120" w:type="dxa"/>
            <w:vAlign w:val="bottom"/>
            <w:gridSpan w:val="3"/>
          </w:tcPr>
          <w:p>
            <w:pPr>
              <w:ind w:left="600"/>
              <w:spacing w:after="0"/>
              <w:rPr>
                <w:sz w:val="20"/>
                <w:szCs w:val="20"/>
                <w:color w:val="auto"/>
              </w:rPr>
            </w:pPr>
            <w:r>
              <w:rPr>
                <w:rFonts w:ascii="Arial" w:cs="Arial" w:eastAsia="Arial" w:hAnsi="Arial"/>
                <w:sz w:val="22"/>
                <w:szCs w:val="22"/>
                <w:color w:val="auto"/>
              </w:rPr>
              <w:t>business in Melbourne, Australia;</w:t>
            </w:r>
          </w:p>
        </w:tc>
      </w:tr>
      <w:tr>
        <w:trPr>
          <w:trHeight w:val="428"/>
        </w:trPr>
        <w:tc>
          <w:tcPr>
            <w:tcW w:w="840" w:type="dxa"/>
            <w:vAlign w:val="bottom"/>
          </w:tcPr>
          <w:p>
            <w:pPr>
              <w:spacing w:after="0"/>
              <w:rPr>
                <w:sz w:val="20"/>
                <w:szCs w:val="20"/>
                <w:color w:val="auto"/>
              </w:rPr>
            </w:pPr>
            <w:r>
              <w:rPr>
                <w:rFonts w:ascii="Arial" w:cs="Arial" w:eastAsia="Arial" w:hAnsi="Arial"/>
                <w:sz w:val="22"/>
                <w:szCs w:val="22"/>
                <w:color w:val="auto"/>
              </w:rPr>
              <w:t>(e)</w:t>
            </w:r>
          </w:p>
        </w:tc>
        <w:tc>
          <w:tcPr>
            <w:tcW w:w="720" w:type="dxa"/>
            <w:vAlign w:val="bottom"/>
          </w:tcPr>
          <w:p>
            <w:pPr>
              <w:spacing w:after="0"/>
              <w:rPr>
                <w:sz w:val="24"/>
                <w:szCs w:val="24"/>
                <w:color w:val="auto"/>
              </w:rPr>
            </w:pPr>
          </w:p>
        </w:tc>
        <w:tc>
          <w:tcPr>
            <w:tcW w:w="9400" w:type="dxa"/>
            <w:vAlign w:val="bottom"/>
            <w:gridSpan w:val="2"/>
          </w:tcPr>
          <w:p>
            <w:pPr>
              <w:ind w:left="1340"/>
              <w:spacing w:after="0"/>
              <w:rPr>
                <w:sz w:val="20"/>
                <w:szCs w:val="20"/>
                <w:color w:val="auto"/>
              </w:rPr>
            </w:pPr>
            <w:r>
              <w:rPr>
                <w:rFonts w:ascii="Arial" w:cs="Arial" w:eastAsia="Arial" w:hAnsi="Arial"/>
                <w:sz w:val="22"/>
                <w:szCs w:val="22"/>
                <w:color w:val="auto"/>
                <w:w w:val="91"/>
              </w:rPr>
              <w:t>New Zealand Dollars, any day (other than a Saturday or Sunday) on which banks are open</w:t>
            </w:r>
          </w:p>
        </w:tc>
      </w:tr>
      <w:tr>
        <w:trPr>
          <w:trHeight w:val="274"/>
        </w:trPr>
        <w:tc>
          <w:tcPr>
            <w:tcW w:w="840" w:type="dxa"/>
            <w:vAlign w:val="bottom"/>
          </w:tcPr>
          <w:p>
            <w:pPr>
              <w:spacing w:after="0"/>
              <w:rPr>
                <w:sz w:val="23"/>
                <w:szCs w:val="23"/>
                <w:color w:val="auto"/>
              </w:rPr>
            </w:pPr>
          </w:p>
        </w:tc>
        <w:tc>
          <w:tcPr>
            <w:tcW w:w="10120" w:type="dxa"/>
            <w:vAlign w:val="bottom"/>
            <w:gridSpan w:val="3"/>
          </w:tcPr>
          <w:p>
            <w:pPr>
              <w:ind w:left="600"/>
              <w:spacing w:after="0"/>
              <w:rPr>
                <w:sz w:val="20"/>
                <w:szCs w:val="20"/>
                <w:color w:val="auto"/>
              </w:rPr>
            </w:pPr>
            <w:r>
              <w:rPr>
                <w:rFonts w:ascii="Arial" w:cs="Arial" w:eastAsia="Arial" w:hAnsi="Arial"/>
                <w:sz w:val="22"/>
                <w:szCs w:val="22"/>
                <w:color w:val="auto"/>
              </w:rPr>
              <w:t>for business in Auckland, New Zealand;</w:t>
            </w:r>
          </w:p>
        </w:tc>
      </w:tr>
      <w:tr>
        <w:trPr>
          <w:trHeight w:val="428"/>
        </w:trPr>
        <w:tc>
          <w:tcPr>
            <w:tcW w:w="840" w:type="dxa"/>
            <w:vAlign w:val="bottom"/>
          </w:tcPr>
          <w:p>
            <w:pPr>
              <w:spacing w:after="0"/>
              <w:rPr>
                <w:sz w:val="20"/>
                <w:szCs w:val="20"/>
                <w:color w:val="auto"/>
              </w:rPr>
            </w:pPr>
            <w:r>
              <w:rPr>
                <w:rFonts w:ascii="Arial" w:cs="Arial" w:eastAsia="Arial" w:hAnsi="Arial"/>
                <w:sz w:val="22"/>
                <w:szCs w:val="22"/>
                <w:color w:val="auto"/>
              </w:rPr>
              <w:t>(f)</w:t>
            </w:r>
          </w:p>
        </w:tc>
        <w:tc>
          <w:tcPr>
            <w:tcW w:w="720" w:type="dxa"/>
            <w:vAlign w:val="bottom"/>
          </w:tcPr>
          <w:p>
            <w:pPr>
              <w:spacing w:after="0"/>
              <w:rPr>
                <w:sz w:val="24"/>
                <w:szCs w:val="24"/>
                <w:color w:val="auto"/>
              </w:rPr>
            </w:pPr>
          </w:p>
        </w:tc>
        <w:tc>
          <w:tcPr>
            <w:tcW w:w="9400" w:type="dxa"/>
            <w:vAlign w:val="bottom"/>
            <w:gridSpan w:val="2"/>
          </w:tcPr>
          <w:p>
            <w:pPr>
              <w:ind w:left="1340"/>
              <w:spacing w:after="0"/>
              <w:rPr>
                <w:sz w:val="20"/>
                <w:szCs w:val="20"/>
                <w:color w:val="auto"/>
              </w:rPr>
            </w:pPr>
            <w:r>
              <w:rPr>
                <w:rFonts w:ascii="Arial" w:cs="Arial" w:eastAsia="Arial" w:hAnsi="Arial"/>
                <w:sz w:val="22"/>
                <w:szCs w:val="22"/>
                <w:color w:val="auto"/>
                <w:w w:val="93"/>
              </w:rPr>
              <w:t>Swedish Krona, any day (other than a Saturday or Sunday) on which banks are open for</w:t>
            </w:r>
          </w:p>
        </w:tc>
      </w:tr>
      <w:tr>
        <w:trPr>
          <w:trHeight w:val="274"/>
        </w:trPr>
        <w:tc>
          <w:tcPr>
            <w:tcW w:w="840" w:type="dxa"/>
            <w:vAlign w:val="bottom"/>
          </w:tcPr>
          <w:p>
            <w:pPr>
              <w:spacing w:after="0"/>
              <w:rPr>
                <w:sz w:val="23"/>
                <w:szCs w:val="23"/>
                <w:color w:val="auto"/>
              </w:rPr>
            </w:pPr>
          </w:p>
        </w:tc>
        <w:tc>
          <w:tcPr>
            <w:tcW w:w="10120" w:type="dxa"/>
            <w:vAlign w:val="bottom"/>
            <w:gridSpan w:val="3"/>
          </w:tcPr>
          <w:p>
            <w:pPr>
              <w:ind w:left="600"/>
              <w:spacing w:after="0"/>
              <w:rPr>
                <w:sz w:val="20"/>
                <w:szCs w:val="20"/>
                <w:color w:val="auto"/>
              </w:rPr>
            </w:pPr>
            <w:r>
              <w:rPr>
                <w:rFonts w:ascii="Arial" w:cs="Arial" w:eastAsia="Arial" w:hAnsi="Arial"/>
                <w:sz w:val="22"/>
                <w:szCs w:val="22"/>
                <w:color w:val="auto"/>
              </w:rPr>
              <w:t>business in Stockholm, Sweden; or</w:t>
            </w:r>
          </w:p>
        </w:tc>
      </w:tr>
      <w:tr>
        <w:trPr>
          <w:trHeight w:val="428"/>
        </w:trPr>
        <w:tc>
          <w:tcPr>
            <w:tcW w:w="840" w:type="dxa"/>
            <w:vAlign w:val="bottom"/>
          </w:tcPr>
          <w:p>
            <w:pPr>
              <w:spacing w:after="0"/>
              <w:rPr>
                <w:sz w:val="20"/>
                <w:szCs w:val="20"/>
                <w:color w:val="auto"/>
              </w:rPr>
            </w:pPr>
            <w:r>
              <w:rPr>
                <w:rFonts w:ascii="Arial" w:cs="Arial" w:eastAsia="Arial" w:hAnsi="Arial"/>
                <w:sz w:val="22"/>
                <w:szCs w:val="22"/>
                <w:color w:val="auto"/>
              </w:rPr>
              <w:t>(g)</w:t>
            </w:r>
          </w:p>
        </w:tc>
        <w:tc>
          <w:tcPr>
            <w:tcW w:w="720" w:type="dxa"/>
            <w:vAlign w:val="bottom"/>
          </w:tcPr>
          <w:p>
            <w:pPr>
              <w:spacing w:after="0"/>
              <w:rPr>
                <w:sz w:val="24"/>
                <w:szCs w:val="24"/>
                <w:color w:val="auto"/>
              </w:rPr>
            </w:pPr>
          </w:p>
        </w:tc>
        <w:tc>
          <w:tcPr>
            <w:tcW w:w="9400" w:type="dxa"/>
            <w:vAlign w:val="bottom"/>
            <w:gridSpan w:val="2"/>
          </w:tcPr>
          <w:p>
            <w:pPr>
              <w:ind w:left="1340"/>
              <w:spacing w:after="0"/>
              <w:rPr>
                <w:sz w:val="20"/>
                <w:szCs w:val="20"/>
                <w:color w:val="auto"/>
              </w:rPr>
            </w:pPr>
            <w:r>
              <w:rPr>
                <w:rFonts w:ascii="Arial" w:cs="Arial" w:eastAsia="Arial" w:hAnsi="Arial"/>
                <w:sz w:val="22"/>
                <w:szCs w:val="22"/>
                <w:color w:val="auto"/>
                <w:w w:val="94"/>
              </w:rPr>
              <w:t>Japanese Yen, any day (other than a Saturday or Sunday) on which banks are open for</w:t>
            </w:r>
          </w:p>
        </w:tc>
      </w:tr>
      <w:tr>
        <w:trPr>
          <w:trHeight w:val="274"/>
        </w:trPr>
        <w:tc>
          <w:tcPr>
            <w:tcW w:w="840" w:type="dxa"/>
            <w:vAlign w:val="bottom"/>
          </w:tcPr>
          <w:p>
            <w:pPr>
              <w:spacing w:after="0"/>
              <w:rPr>
                <w:sz w:val="23"/>
                <w:szCs w:val="23"/>
                <w:color w:val="auto"/>
              </w:rPr>
            </w:pPr>
          </w:p>
        </w:tc>
        <w:tc>
          <w:tcPr>
            <w:tcW w:w="10120" w:type="dxa"/>
            <w:vAlign w:val="bottom"/>
            <w:gridSpan w:val="3"/>
          </w:tcPr>
          <w:p>
            <w:pPr>
              <w:ind w:left="600"/>
              <w:spacing w:after="0"/>
              <w:rPr>
                <w:sz w:val="20"/>
                <w:szCs w:val="20"/>
                <w:color w:val="auto"/>
              </w:rPr>
            </w:pPr>
            <w:r>
              <w:rPr>
                <w:rFonts w:ascii="Arial" w:cs="Arial" w:eastAsia="Arial" w:hAnsi="Arial"/>
                <w:sz w:val="22"/>
                <w:szCs w:val="22"/>
                <w:color w:val="auto"/>
              </w:rPr>
              <w:t>business in Tokyo, Japan.</w:t>
            </w:r>
          </w:p>
        </w:tc>
      </w:tr>
      <w:tr>
        <w:trPr>
          <w:trHeight w:val="408"/>
        </w:trPr>
        <w:tc>
          <w:tcPr>
            <w:tcW w:w="840" w:type="dxa"/>
            <w:vAlign w:val="bottom"/>
          </w:tcPr>
          <w:p>
            <w:pPr>
              <w:spacing w:after="0"/>
              <w:rPr>
                <w:sz w:val="24"/>
                <w:szCs w:val="24"/>
                <w:color w:val="auto"/>
              </w:rPr>
            </w:pPr>
          </w:p>
        </w:tc>
        <w:tc>
          <w:tcPr>
            <w:tcW w:w="10120" w:type="dxa"/>
            <w:vAlign w:val="bottom"/>
            <w:gridSpan w:val="3"/>
          </w:tcPr>
          <w:p>
            <w:pPr>
              <w:ind w:left="620"/>
              <w:spacing w:after="0"/>
              <w:rPr>
                <w:sz w:val="20"/>
                <w:szCs w:val="20"/>
                <w:color w:val="auto"/>
              </w:rPr>
            </w:pPr>
            <w:r>
              <w:rPr>
                <w:rFonts w:ascii="Arial" w:cs="Arial" w:eastAsia="Arial" w:hAnsi="Arial"/>
                <w:sz w:val="22"/>
                <w:szCs w:val="22"/>
                <w:color w:val="auto"/>
              </w:rPr>
              <w:t>“Eurocurrency Rate” means, for any Interest Period:</w:t>
            </w:r>
          </w:p>
        </w:tc>
      </w:tr>
      <w:tr>
        <w:trPr>
          <w:trHeight w:val="20"/>
        </w:trPr>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880" w:firstLine="789"/>
        <w:spacing w:after="0" w:line="235" w:lineRule="auto"/>
        <w:tabs>
          <w:tab w:leader="none" w:pos="256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Dollars,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Eurocurrency Banking Days for Dollars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jc w:val="both"/>
        <w:spacing w:after="0" w:line="275" w:lineRule="auto"/>
        <w:rPr>
          <w:sz w:val="20"/>
          <w:szCs w:val="20"/>
          <w:color w:val="auto"/>
        </w:rPr>
      </w:pPr>
      <w:r>
        <w:rPr>
          <w:rFonts w:ascii="Arial" w:cs="Arial" w:eastAsia="Arial" w:hAnsi="Arial"/>
          <w:sz w:val="19"/>
          <w:szCs w:val="19"/>
          <w:color w:val="auto"/>
        </w:rPr>
        <w:t>prior to the first day of the Interest Period (the “LIBO Screen Rate”); provided that if the Administrative Agent determines that the relevant foregoing sources are unavailable for the relevant Interest Period, Eurocurrency Rate shall mean for Dollars, the rate of interest determined by the Administrative Agent to be the average (rounded upward, if necessary, to the nearest 1/16th of 1%) of the rate per annum at which the Administrative Agent could borrow funds if it were to do so by asking for and then accepting interbank offers two Eurocurrency Banking Days for Dollars preceding the first day of such Interest Period in the London interbank market for Dollars as of 11:00 a.m. for delivery on the first day of such Interest Period, for the number of days comprised therein and in an amount comparable to the amount of the Administrative Agent’s portion of the relevant Eurocurrency Borrowing;</w:t>
      </w:r>
    </w:p>
    <w:p>
      <w:pPr>
        <w:spacing w:after="0" w:line="157" w:lineRule="exact"/>
        <w:rPr>
          <w:sz w:val="20"/>
          <w:szCs w:val="20"/>
          <w:color w:val="auto"/>
        </w:rPr>
      </w:pPr>
    </w:p>
    <w:p>
      <w:pPr>
        <w:jc w:val="both"/>
        <w:ind w:firstLine="789"/>
        <w:spacing w:after="0" w:line="279" w:lineRule="auto"/>
        <w:tabs>
          <w:tab w:leader="none" w:pos="169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in each case, the “EURIBOR Screen Rate”) at approximately 11:00 a.m. (Brussels time) two Eurocurrency Banking Days for Euros prior to the first day of such Interest Period;</w:t>
      </w:r>
    </w:p>
    <w:p>
      <w:pPr>
        <w:spacing w:after="0" w:line="150" w:lineRule="exact"/>
        <w:rPr>
          <w:rFonts w:ascii="Arial" w:cs="Arial" w:eastAsia="Arial" w:hAnsi="Arial"/>
          <w:sz w:val="19"/>
          <w:szCs w:val="19"/>
          <w:color w:val="auto"/>
        </w:rPr>
      </w:pPr>
    </w:p>
    <w:p>
      <w:pPr>
        <w:jc w:val="both"/>
        <w:ind w:firstLine="789"/>
        <w:spacing w:after="0" w:line="233" w:lineRule="auto"/>
        <w:tabs>
          <w:tab w:leader="none" w:pos="168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Canadian Dollars, the rate per annum equal to the average of the annual yield rates applicable to Canadian Dollar banker’s acceptances at or about 10:00 a.m. (Toronto, Ontario time) on the first day of such Interest Period (or if such day is not a Eurocurrency Banking Day, then on the immediately preceding Eurocurrency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 (the “CDOR Screen Rate”);</w:t>
      </w:r>
    </w:p>
    <w:p>
      <w:pPr>
        <w:spacing w:after="0" w:line="192" w:lineRule="exact"/>
        <w:rPr>
          <w:rFonts w:ascii="Arial" w:cs="Arial" w:eastAsia="Arial" w:hAnsi="Arial"/>
          <w:sz w:val="22"/>
          <w:szCs w:val="22"/>
          <w:color w:val="auto"/>
        </w:rPr>
      </w:pPr>
    </w:p>
    <w:p>
      <w:pPr>
        <w:jc w:val="both"/>
        <w:ind w:firstLine="789"/>
        <w:spacing w:after="0" w:line="277" w:lineRule="auto"/>
        <w:tabs>
          <w:tab w:leader="none" w:pos="169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Eurocurrency Banking Days for Australian Dollars prior to the first day of the Interest Period (or if such day is not an Eurocurrency Banking Day for Australian Dollars, then on the immediately preceding Eurocurrency Banking Day for Australian Dollars) with a term equivalent to such Interest Period (the “BBSY Screen Rate”);</w:t>
      </w:r>
    </w:p>
    <w:p>
      <w:pPr>
        <w:spacing w:after="0" w:line="151" w:lineRule="exact"/>
        <w:rPr>
          <w:rFonts w:ascii="Arial" w:cs="Arial" w:eastAsia="Arial" w:hAnsi="Arial"/>
          <w:sz w:val="19"/>
          <w:szCs w:val="19"/>
          <w:color w:val="auto"/>
        </w:rPr>
      </w:pPr>
    </w:p>
    <w:p>
      <w:pPr>
        <w:jc w:val="both"/>
        <w:ind w:firstLine="789"/>
        <w:spacing w:after="0"/>
        <w:tabs>
          <w:tab w:leader="none" w:pos="168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New Zealand Dollars, the rate per annum equal to the Bank Bill Reference Bid Rate or a successor thereto approved by the Administrative Agent (“BKBM”) as published by Reuters (or such other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78" w:name="page179"/>
    <w:bookmarkEnd w:id="178"/>
    <w:p>
      <w:pPr>
        <w:jc w:val="both"/>
        <w:ind w:left="880"/>
        <w:spacing w:after="0" w:line="282" w:lineRule="auto"/>
        <w:rPr>
          <w:sz w:val="20"/>
          <w:szCs w:val="20"/>
          <w:color w:val="auto"/>
        </w:rPr>
      </w:pPr>
      <w:r>
        <w:rPr>
          <w:rFonts w:ascii="Arial" w:cs="Arial" w:eastAsia="Arial" w:hAnsi="Arial"/>
          <w:sz w:val="19"/>
          <w:szCs w:val="19"/>
          <w:color w:val="auto"/>
        </w:rPr>
        <w:t>page or commercially available source providing BKBM (Bid) quotations as may be designated by the Administrative Agent from time to time) at or about 10:45 a.m. (Auckland, New Zealand time) on the day that is two Eurocurrency Banking Days for New Zealand Dollars prior to the first day of the Interest Period (or if such day is not an Eurocurrency Banking Day for New Zealand Dollars, then on the immediately preceding Eurocurrency Banking Day for New Zealand Dollars) with a term equivalent to such Interest Period (the “BKBM Screen Rate”);</w:t>
      </w:r>
    </w:p>
    <w:p>
      <w:pPr>
        <w:spacing w:after="0" w:line="147" w:lineRule="exact"/>
        <w:rPr>
          <w:sz w:val="20"/>
          <w:szCs w:val="20"/>
          <w:color w:val="auto"/>
        </w:rPr>
      </w:pPr>
    </w:p>
    <w:p>
      <w:pPr>
        <w:jc w:val="both"/>
        <w:ind w:left="880" w:firstLine="789"/>
        <w:spacing w:after="0" w:line="277" w:lineRule="auto"/>
        <w:tabs>
          <w:tab w:leader="none" w:pos="254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Eurocurrency Banking Days for Swedish Krona prior to the first day of the Interest Period (or if such day is not an Eurocurrency Banking Day for Swedish Krona, then on the immediately preceding Eurocurrency Banking Day for Swedish Krona) with a term equivalent to such Interest Period (the “STIBOR Screen Rate”); and</w:t>
      </w:r>
    </w:p>
    <w:p>
      <w:pPr>
        <w:spacing w:after="0" w:line="151" w:lineRule="exact"/>
        <w:rPr>
          <w:rFonts w:ascii="Arial" w:cs="Arial" w:eastAsia="Arial" w:hAnsi="Arial"/>
          <w:sz w:val="19"/>
          <w:szCs w:val="19"/>
          <w:color w:val="auto"/>
        </w:rPr>
      </w:pPr>
    </w:p>
    <w:p>
      <w:pPr>
        <w:jc w:val="both"/>
        <w:ind w:left="880" w:firstLine="789"/>
        <w:spacing w:after="0" w:line="279" w:lineRule="auto"/>
        <w:tabs>
          <w:tab w:leader="none" w:pos="257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Eurocurrency Banking Days for Japanese Yen prior to the first day of such Interest Period (the “TIBOR Screen Rate”);</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provided in each case, if such rate for any Currency is less than zero, such rate shall be deemed to be zero for purposes of this Agreement.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9"/>
          <w:szCs w:val="19"/>
          <w:u w:val="single" w:color="auto"/>
          <w:color w:val="auto"/>
        </w:rPr>
        <w:t>Section 2.18(b)</w:t>
      </w:r>
      <w:r>
        <w:rPr>
          <w:rFonts w:ascii="Arial" w:cs="Arial" w:eastAsia="Arial" w:hAnsi="Arial"/>
          <w:sz w:val="19"/>
          <w:szCs w:val="19"/>
          <w:color w:val="auto"/>
        </w:rPr>
        <w:t>) becomes a party to this Agreement or designates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9" w:name="page180"/>
    <w:bookmarkEnd w:id="179"/>
    <w:p>
      <w:pPr>
        <w:jc w:val="both"/>
        <w:spacing w:after="0" w:line="248" w:lineRule="auto"/>
        <w:rPr>
          <w:sz w:val="20"/>
          <w:szCs w:val="20"/>
          <w:color w:val="auto"/>
        </w:rPr>
      </w:pPr>
      <w:r>
        <w:rPr>
          <w:rFonts w:ascii="Arial" w:cs="Arial" w:eastAsia="Arial" w:hAnsi="Arial"/>
          <w:sz w:val="21"/>
          <w:szCs w:val="21"/>
          <w:color w:val="auto"/>
        </w:rPr>
        <w:t xml:space="preserve">a new lending office, except to the extent that such Lender’s assignor or such Lender was entitled to receive additional amounts from the Borrower with respect to such withholding tax pursuant to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21"/>
          <w:szCs w:val="21"/>
          <w:u w:val="single" w:color="auto"/>
          <w:color w:val="auto"/>
        </w:rPr>
        <w:t>Section 2.16(f)</w:t>
      </w:r>
      <w:r>
        <w:rPr>
          <w:rFonts w:ascii="Arial" w:cs="Arial" w:eastAsia="Arial" w:hAnsi="Arial"/>
          <w:sz w:val="21"/>
          <w:szCs w:val="21"/>
          <w:color w:val="auto"/>
        </w:rPr>
        <w:t>, (d) any U.S. federal, state or local backup withholding Taxes imposed on payments made under any Loan Document, and (e) any Taxes that are imposed under FATCA.</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xml:space="preserve">” has the meaning assigned to such term in the </w:t>
      </w:r>
      <w:r>
        <w:rPr>
          <w:rFonts w:ascii="Arial" w:cs="Arial" w:eastAsia="Arial" w:hAnsi="Arial"/>
          <w:sz w:val="21"/>
          <w:szCs w:val="21"/>
          <w:u w:val="single" w:color="auto"/>
          <w:color w:val="auto"/>
        </w:rPr>
        <w:t>recitals</w:t>
      </w:r>
      <w:r>
        <w:rPr>
          <w:rFonts w:ascii="Arial" w:cs="Arial" w:eastAsia="Arial" w:hAnsi="Arial"/>
          <w:sz w:val="21"/>
          <w:szCs w:val="21"/>
          <w:color w:val="auto"/>
        </w:rPr>
        <w:t xml:space="preserve"> to this Agreement.</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recitals</w:t>
      </w:r>
      <w:r>
        <w:rPr>
          <w:rFonts w:ascii="Arial" w:cs="Arial" w:eastAsia="Arial" w:hAnsi="Arial"/>
          <w:sz w:val="22"/>
          <w:szCs w:val="22"/>
          <w:color w:val="auto"/>
        </w:rPr>
        <w:t xml:space="preserve"> to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recitals</w:t>
      </w:r>
      <w:r>
        <w:rPr>
          <w:rFonts w:ascii="Arial" w:cs="Arial" w:eastAsia="Arial" w:hAnsi="Arial"/>
          <w:sz w:val="22"/>
          <w:szCs w:val="22"/>
          <w:color w:val="auto"/>
        </w:rPr>
        <w:t xml:space="preserve"> to this Agreement.</w:t>
      </w:r>
    </w:p>
    <w:p>
      <w:pPr>
        <w:spacing w:after="0" w:line="206"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Applicable Margin</w:t>
      </w:r>
      <w:r>
        <w:rPr>
          <w:rFonts w:ascii="Arial" w:cs="Arial" w:eastAsia="Arial" w:hAnsi="Arial"/>
          <w:sz w:val="19"/>
          <w:szCs w:val="19"/>
          <w:color w:val="auto"/>
        </w:rPr>
        <w:t>” means, with respect to any Extending Lender: (a) if the Borrowing Base (as of the most recently delivered Borrowing Base Certificate) is equal to or greater than 1.85 times the Combined Debt Amount,</w:t>
      </w:r>
    </w:p>
    <w:p>
      <w:pPr>
        <w:spacing w:after="0" w:line="1" w:lineRule="exact"/>
        <w:rPr>
          <w:sz w:val="20"/>
          <w:szCs w:val="20"/>
          <w:color w:val="auto"/>
        </w:rPr>
      </w:pPr>
    </w:p>
    <w:p>
      <w:pPr>
        <w:jc w:val="both"/>
        <w:ind w:firstLine="8"/>
        <w:spacing w:after="0" w:line="271" w:lineRule="auto"/>
        <w:tabs>
          <w:tab w:leader="none" w:pos="25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with respect to any ABR Loan, 0.75% per annum; (ii) with respect to any Eurocurrency Loan, 1.75% per annum; and (iii) with respect to any RFR Loan 1.75% per annum plus the Applicable Credit Adjustment Spread; and (b) if the Borrowing Base (as of the most recently delivered Borrowing Base Certificate) is less than 1.85 times the Combined Debt Amount (i) with respect to any ABR Loan, 0.875% per annum; (ii) with respect to any Eurocurrency Loan, 1.875% per annum; and (iii) with respect to any RFR Loan 1.875% per annum plus the Applicable Credit Adjustment Spread.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any Borrowing Base Certificate has not been delivered in accordance with</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5.01(d)</w:t>
      </w:r>
      <w:r>
        <w:rPr>
          <w:rFonts w:ascii="Arial" w:cs="Arial" w:eastAsia="Arial" w:hAnsi="Arial"/>
          <w:sz w:val="19"/>
          <w:szCs w:val="19"/>
          <w:color w:val="auto"/>
        </w:rPr>
        <w:t>, then from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including the day immediately succeeding the date on which such Borrowing Base Certificate was required to be delivered, the Extended Applicable Margin shall be the Extended Applicable Margin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and including the date on which the required Borrowing Base Certificate is delivered.</w:t>
      </w:r>
    </w:p>
    <w:p>
      <w:pPr>
        <w:spacing w:after="0" w:line="15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Availability Period</w:t>
      </w:r>
      <w:r>
        <w:rPr>
          <w:rFonts w:ascii="Arial" w:cs="Arial" w:eastAsia="Arial" w:hAnsi="Arial"/>
          <w:sz w:val="22"/>
          <w:szCs w:val="22"/>
          <w:color w:val="auto"/>
        </w:rPr>
        <w:t>” means, with respect to any Extending Lender, the period from and including the Effective Date to but excluding the earlier of the Extended Commitment Termination Date and the date of termination of the Commitments.</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Commitment Termination Date</w:t>
      </w:r>
      <w:r>
        <w:rPr>
          <w:rFonts w:ascii="Arial" w:cs="Arial" w:eastAsia="Arial" w:hAnsi="Arial"/>
          <w:sz w:val="19"/>
          <w:szCs w:val="19"/>
          <w:color w:val="auto"/>
        </w:rPr>
        <w:t>” means, with respect to each Extending Lender, February 5, 2025.</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Final Maturity Date</w:t>
      </w:r>
      <w:r>
        <w:rPr>
          <w:rFonts w:ascii="Arial" w:cs="Arial" w:eastAsia="Arial" w:hAnsi="Arial"/>
          <w:sz w:val="22"/>
          <w:szCs w:val="22"/>
          <w:color w:val="auto"/>
        </w:rPr>
        <w:t>” means, with respect to each Extending Lender, February 5, 2026.</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Loans</w:t>
      </w:r>
      <w:r>
        <w:rPr>
          <w:rFonts w:ascii="Arial" w:cs="Arial" w:eastAsia="Arial" w:hAnsi="Arial"/>
          <w:sz w:val="19"/>
          <w:szCs w:val="19"/>
          <w:color w:val="auto"/>
        </w:rPr>
        <w:t>” means Loans or Borrowings of any Extending Lender maturing on the Extended Final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Maturity Date.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0" w:name="page181"/>
    <w:bookmarkEnd w:id="180"/>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Extending Lender</w:t>
      </w:r>
      <w:r>
        <w:rPr>
          <w:rFonts w:ascii="Arial" w:cs="Arial" w:eastAsia="Arial" w:hAnsi="Arial"/>
          <w:sz w:val="21"/>
          <w:szCs w:val="21"/>
          <w:color w:val="auto"/>
        </w:rPr>
        <w:t xml:space="preserve">” means each Lender designated as an “Extending Lender” on </w:t>
      </w:r>
      <w:r>
        <w:rPr>
          <w:rFonts w:ascii="Arial" w:cs="Arial" w:eastAsia="Arial" w:hAnsi="Arial"/>
          <w:sz w:val="21"/>
          <w:szCs w:val="21"/>
          <w:u w:val="single" w:color="auto"/>
          <w:color w:val="auto"/>
        </w:rPr>
        <w:t>Schedule 1.01(b)</w:t>
      </w:r>
      <w:r>
        <w:rPr>
          <w:rFonts w:ascii="Arial" w:cs="Arial" w:eastAsia="Arial" w:hAnsi="Arial"/>
          <w:sz w:val="21"/>
          <w:szCs w:val="21"/>
          <w:color w:val="auto"/>
        </w:rPr>
        <w:t>.</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External Manager</w:t>
      </w:r>
      <w:r>
        <w:rPr>
          <w:rFonts w:ascii="Arial" w:cs="Arial" w:eastAsia="Arial" w:hAnsi="Arial"/>
          <w:sz w:val="22"/>
          <w:szCs w:val="22"/>
          <w:color w:val="auto"/>
        </w:rPr>
        <w:t>” means TSL Advisers, LLC.</w:t>
      </w:r>
    </w:p>
    <w:p>
      <w:pPr>
        <w:spacing w:after="0" w:line="206"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Extraordinary Receipts</w:t>
      </w:r>
      <w:r>
        <w:rPr>
          <w:rFonts w:ascii="Arial" w:cs="Arial" w:eastAsia="Arial" w:hAnsi="Arial"/>
          <w:sz w:val="19"/>
          <w:szCs w:val="19"/>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Extraordinary Receipts shall not include any (x) amounts that the Borrower receives from the Administrative Agent or any Lender pursuant to </w:t>
      </w:r>
      <w:r>
        <w:rPr>
          <w:rFonts w:ascii="Arial" w:cs="Arial" w:eastAsia="Arial" w:hAnsi="Arial"/>
          <w:sz w:val="19"/>
          <w:szCs w:val="19"/>
          <w:u w:val="single" w:color="auto"/>
          <w:color w:val="auto"/>
        </w:rPr>
        <w:t>Section 2.16(f)</w:t>
      </w:r>
      <w:r>
        <w:rPr>
          <w:rFonts w:ascii="Arial" w:cs="Arial" w:eastAsia="Arial" w:hAnsi="Arial"/>
          <w:sz w:val="19"/>
          <w:szCs w:val="19"/>
          <w:color w:val="auto"/>
        </w:rPr>
        <w:t>, or</w:t>
      </w:r>
    </w:p>
    <w:p>
      <w:pPr>
        <w:spacing w:after="0" w:line="5" w:lineRule="exact"/>
        <w:rPr>
          <w:sz w:val="20"/>
          <w:szCs w:val="20"/>
          <w:color w:val="auto"/>
        </w:rPr>
      </w:pPr>
    </w:p>
    <w:p>
      <w:pPr>
        <w:jc w:val="both"/>
        <w:ind w:firstLine="8"/>
        <w:spacing w:after="0" w:line="233" w:lineRule="auto"/>
        <w:tabs>
          <w:tab w:leader="none" w:pos="3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8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87"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Maturity Date</w:t>
      </w:r>
      <w:r>
        <w:rPr>
          <w:rFonts w:ascii="Arial" w:cs="Arial" w:eastAsia="Arial" w:hAnsi="Arial"/>
          <w:sz w:val="22"/>
          <w:szCs w:val="22"/>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Borrower.</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Subsidiary</w:t>
      </w:r>
      <w:r>
        <w:rPr>
          <w:rFonts w:ascii="Arial" w:cs="Arial" w:eastAsia="Arial" w:hAnsi="Arial"/>
          <w:sz w:val="22"/>
          <w:szCs w:val="22"/>
          <w:color w:val="auto"/>
        </w:rPr>
        <w:t>” means an SPE Subsidiary or an SBIC Subsidiary.</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at any time any Currency other than Dollars.</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Equivalent</w:t>
      </w:r>
      <w:r>
        <w:rPr>
          <w:rFonts w:ascii="Arial" w:cs="Arial" w:eastAsia="Arial" w:hAnsi="Arial"/>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not a “United States person” as defined under Section 7701(a)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(30) of the Code.</w:t>
      </w:r>
    </w:p>
    <w:p>
      <w:pPr>
        <w:spacing w:after="0" w:line="188"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8"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85" w:lineRule="exact"/>
        <w:rPr>
          <w:sz w:val="20"/>
          <w:szCs w:val="20"/>
          <w:color w:val="auto"/>
        </w:rPr>
      </w:pPr>
    </w:p>
    <w:p>
      <w:pPr>
        <w:jc w:val="both"/>
        <w:ind w:firstLine="1727"/>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of or by any Person (the “</w:t>
      </w:r>
      <w:r>
        <w:rPr>
          <w:rFonts w:ascii="Arial" w:cs="Arial" w:eastAsia="Arial" w:hAnsi="Arial"/>
          <w:sz w:val="22"/>
          <w:szCs w:val="22"/>
          <w:u w:val="single" w:color="auto"/>
          <w:color w:val="auto"/>
        </w:rPr>
        <w:t>guarantor</w:t>
      </w:r>
      <w:r>
        <w:rPr>
          <w:rFonts w:ascii="Arial" w:cs="Arial" w:eastAsia="Arial" w:hAnsi="Arial"/>
          <w:sz w:val="22"/>
          <w:szCs w:val="22"/>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22"/>
          <w:szCs w:val="22"/>
          <w:u w:val="single" w:color="auto"/>
          <w:color w:val="auto"/>
        </w:rPr>
        <w:t>primary obligor</w:t>
      </w:r>
      <w:r>
        <w:rPr>
          <w:rFonts w:ascii="Arial" w:cs="Arial" w:eastAsia="Arial" w:hAnsi="Arial"/>
          <w:sz w:val="22"/>
          <w:szCs w:val="22"/>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Guarantee shall not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jc w:val="both"/>
        <w:spacing w:after="0" w:line="252" w:lineRule="auto"/>
        <w:rPr>
          <w:sz w:val="20"/>
          <w:szCs w:val="20"/>
          <w:color w:val="auto"/>
        </w:rPr>
      </w:pPr>
      <w:r>
        <w:rPr>
          <w:rFonts w:ascii="Arial" w:cs="Arial" w:eastAsia="Arial" w:hAnsi="Arial"/>
          <w:sz w:val="21"/>
          <w:szCs w:val="21"/>
          <w:color w:val="auto"/>
        </w:rPr>
        <w:t>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74"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and Security Agreement</w:t>
      </w:r>
      <w:r>
        <w:rPr>
          <w:rFonts w:ascii="Arial" w:cs="Arial" w:eastAsia="Arial" w:hAnsi="Arial"/>
          <w:sz w:val="22"/>
          <w:szCs w:val="22"/>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87"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 Assumption Agreement</w:t>
      </w:r>
      <w:r>
        <w:rPr>
          <w:rFonts w:ascii="Arial" w:cs="Arial" w:eastAsia="Arial" w:hAnsi="Arial"/>
          <w:sz w:val="21"/>
          <w:szCs w:val="21"/>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21"/>
          <w:szCs w:val="21"/>
          <w:u w:val="single" w:color="auto"/>
          <w:color w:val="auto"/>
        </w:rPr>
        <w:t>Section 5.08</w:t>
      </w:r>
      <w:r>
        <w:rPr>
          <w:rFonts w:ascii="Arial" w:cs="Arial" w:eastAsia="Arial" w:hAnsi="Arial"/>
          <w:sz w:val="21"/>
          <w:szCs w:val="21"/>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21"/>
          <w:szCs w:val="21"/>
          <w:u w:val="single" w:color="auto"/>
          <w:color w:val="auto"/>
        </w:rPr>
        <w:t>Section 5.08</w:t>
      </w:r>
      <w:r>
        <w:rPr>
          <w:rFonts w:ascii="Arial" w:cs="Arial" w:eastAsia="Arial" w:hAnsi="Arial"/>
          <w:sz w:val="21"/>
          <w:szCs w:val="21"/>
          <w:color w:val="auto"/>
        </w:rPr>
        <w:t>).</w:t>
      </w:r>
    </w:p>
    <w:p>
      <w:pPr>
        <w:spacing w:after="0" w:line="17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Agreement</w:t>
      </w:r>
      <w:r>
        <w:rPr>
          <w:rFonts w:ascii="Arial" w:cs="Arial" w:eastAsia="Arial" w:hAnsi="Arial"/>
          <w:sz w:val="22"/>
          <w:szCs w:val="22"/>
          <w:color w:val="auto"/>
        </w:rPr>
        <w:t>” means any interest rate protection agreement, foreign currency exchange protection agreement, commodity price protection agreement or other interest or currency exchange rate or commodity price hedging arrangement.</w:t>
      </w:r>
    </w:p>
    <w:p>
      <w:pPr>
        <w:spacing w:after="0" w:line="18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Subsidiaries</w:t>
      </w:r>
      <w:r>
        <w:rPr>
          <w:rFonts w:ascii="Arial" w:cs="Arial" w:eastAsia="Arial" w:hAnsi="Arial"/>
          <w:sz w:val="19"/>
          <w:szCs w:val="19"/>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5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obligations, contingent or otherwise, of such Person as an account party in respect of letters of credit and letters of guaranty and</w:t>
      </w:r>
    </w:p>
    <w:p>
      <w:pPr>
        <w:spacing w:after="0" w:line="43" w:lineRule="exact"/>
        <w:rPr>
          <w:sz w:val="20"/>
          <w:szCs w:val="20"/>
          <w:color w:val="auto"/>
        </w:rPr>
      </w:pPr>
    </w:p>
    <w:p>
      <w:pPr>
        <w:jc w:val="both"/>
        <w:ind w:firstLine="8"/>
        <w:spacing w:after="0" w:line="273" w:lineRule="auto"/>
        <w:tabs>
          <w:tab w:leader="none" w:pos="27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59"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 imposed on or with respect to any payment made by or on account of any obligation of the Borrower under this Agreement.</w:t>
      </w:r>
    </w:p>
    <w:p>
      <w:pPr>
        <w:spacing w:after="0" w:line="17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w:t>
      </w:r>
      <w:r>
        <w:rPr>
          <w:rFonts w:ascii="Arial" w:cs="Arial" w:eastAsia="Arial" w:hAnsi="Arial"/>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87"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Industry Classification Group</w:t>
      </w:r>
      <w:r>
        <w:rPr>
          <w:rFonts w:ascii="Arial" w:cs="Arial" w:eastAsia="Arial" w:hAnsi="Arial"/>
          <w:sz w:val="22"/>
          <w:szCs w:val="22"/>
          <w:color w:val="auto"/>
        </w:rPr>
        <w:t xml:space="preserve">” means (a) any of the classification groups set forth in </w:t>
      </w:r>
      <w:r>
        <w:rPr>
          <w:rFonts w:ascii="Arial" w:cs="Arial" w:eastAsia="Arial" w:hAnsi="Arial"/>
          <w:sz w:val="22"/>
          <w:szCs w:val="22"/>
          <w:u w:val="single" w:color="auto"/>
          <w:color w:val="auto"/>
        </w:rPr>
        <w:t>Schedule 1.01(c)</w:t>
      </w:r>
      <w:r>
        <w:rPr>
          <w:rFonts w:ascii="Arial" w:cs="Arial" w:eastAsia="Arial" w:hAnsi="Arial"/>
          <w:sz w:val="22"/>
          <w:szCs w:val="22"/>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22"/>
          <w:szCs w:val="22"/>
          <w:u w:val="single" w:color="auto"/>
          <w:color w:val="auto"/>
        </w:rPr>
        <w:t>Section 5.12</w:t>
      </w:r>
      <w:r>
        <w:rPr>
          <w:rFonts w:ascii="Arial" w:cs="Arial" w:eastAsia="Arial" w:hAnsi="Arial"/>
          <w:sz w:val="22"/>
          <w:szCs w:val="22"/>
          <w:color w:val="auto"/>
        </w:rPr>
        <w:t>.</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 to convert or continue a Syndicated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7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Syndicated ABR Loan, each Quarterly Date, (b) with respect to any Eurocurrency Loan or RFR Loan, the last day of each Interest Period therefor and, in the case of any Eurocurrency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7"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for any Eurocurrency Loan or Borrowing or any RFR Loan or Borrowing, the period commencing on the date of such Loan or Borrowing and ending on the numerically corresponding day in the calendar month that is one month, three months or, except with respect to Eurocurrency Loans denominated in Canadian Dollars and RFR Loans, six months thereafter or, with respect to such portion of any Eurocurrency Loan,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4" w:name="page185"/>
    <w:bookmarkEnd w:id="184"/>
    <w:p>
      <w:pPr>
        <w:jc w:val="both"/>
        <w:spacing w:after="0" w:line="273" w:lineRule="auto"/>
        <w:rPr>
          <w:sz w:val="20"/>
          <w:szCs w:val="20"/>
          <w:color w:val="auto"/>
        </w:rPr>
      </w:pPr>
      <w:r>
        <w:rPr>
          <w:rFonts w:ascii="Arial" w:cs="Arial" w:eastAsia="Arial" w:hAnsi="Arial"/>
          <w:sz w:val="19"/>
          <w:szCs w:val="19"/>
          <w:color w:val="auto"/>
        </w:rPr>
        <w:t>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or RFR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61"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Company Act</w:t>
      </w:r>
      <w:r>
        <w:rPr>
          <w:rFonts w:ascii="Arial" w:cs="Arial" w:eastAsia="Arial" w:hAnsi="Arial"/>
          <w:sz w:val="19"/>
          <w:szCs w:val="19"/>
          <w:color w:val="auto"/>
        </w:rPr>
        <w:t>” means the Investment Company Act of 1940, as amended from time to time.</w:t>
      </w:r>
    </w:p>
    <w:p>
      <w:pPr>
        <w:spacing w:after="0" w:line="24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Policies</w:t>
      </w:r>
      <w:r>
        <w:rPr>
          <w:rFonts w:ascii="Arial" w:cs="Arial" w:eastAsia="Arial" w:hAnsi="Arial"/>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8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xml:space="preserve">” means Truist, JPMorgan Chase Bank, N.A., and any other Issuing Bank designated pursuant to </w:t>
      </w:r>
      <w:r>
        <w:rPr>
          <w:rFonts w:ascii="Arial" w:cs="Arial" w:eastAsia="Arial" w:hAnsi="Arial"/>
          <w:sz w:val="22"/>
          <w:szCs w:val="22"/>
          <w:u w:val="single" w:color="auto"/>
          <w:color w:val="auto"/>
        </w:rPr>
        <w:t>Section 2.05(l)</w:t>
      </w:r>
      <w:r>
        <w:rPr>
          <w:rFonts w:ascii="Arial" w:cs="Arial" w:eastAsia="Arial" w:hAnsi="Arial"/>
          <w:sz w:val="22"/>
          <w:szCs w:val="22"/>
          <w:color w:val="auto"/>
        </w:rPr>
        <w:t xml:space="preserve">, in their capacity as the issuers of Letters of Credit hereunder, and their respective successors in such capacity as provided in </w:t>
      </w:r>
      <w:r>
        <w:rPr>
          <w:rFonts w:ascii="Arial" w:cs="Arial" w:eastAsia="Arial" w:hAnsi="Arial"/>
          <w:sz w:val="22"/>
          <w:szCs w:val="22"/>
          <w:u w:val="single" w:color="auto"/>
          <w:color w:val="auto"/>
        </w:rPr>
        <w:t>Section 2.05(j)</w:t>
      </w:r>
      <w:r>
        <w:rPr>
          <w:rFonts w:ascii="Arial" w:cs="Arial" w:eastAsia="Arial" w:hAnsi="Arial"/>
          <w:sz w:val="22"/>
          <w:szCs w:val="22"/>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Japanese Yen</w:t>
      </w:r>
      <w:r>
        <w:rPr>
          <w:rFonts w:ascii="Arial" w:cs="Arial" w:eastAsia="Arial" w:hAnsi="Arial"/>
          <w:sz w:val="22"/>
          <w:szCs w:val="22"/>
          <w:color w:val="auto"/>
        </w:rPr>
        <w:t>” means the lawful currency of Japan.</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Lead Arrangers</w:t>
      </w:r>
      <w:r>
        <w:rPr>
          <w:rFonts w:ascii="Arial" w:cs="Arial" w:eastAsia="Arial" w:hAnsi="Arial"/>
          <w:sz w:val="19"/>
          <w:szCs w:val="19"/>
          <w:color w:val="auto"/>
        </w:rPr>
        <w:t>” means Truist Securities, Inc., JPMorgan Chase Bank, N.A. and MUFG Union Bank,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any Issuing Bank pursuant to a Letter of Credit.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the Dollar LC Exposure and the Multicurrency LC Exposure.</w:t>
      </w:r>
    </w:p>
    <w:p>
      <w:pPr>
        <w:spacing w:after="0" w:line="2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5" w:name="page186"/>
    <w:bookmarkEnd w:id="185"/>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collectively, the Dollar Lenders and the Multicurrency Lenders. Unless the context otherwise requires, the term “Lenders” includes each Swingline Lender.</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pursuant to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Collateral Account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2.05(k)</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Documents</w:t>
      </w:r>
      <w:r>
        <w:rPr>
          <w:rFonts w:ascii="Arial" w:cs="Arial" w:eastAsia="Arial" w:hAnsi="Arial"/>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7"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50"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the Tenth Amendment to this Agreement dated as of February 5, 2021 and the Eleventh Amendment to this Agreement dated as of December 14, 2021.</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within the meaning of Regulations T, U and X.</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3.04(b)</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6" w:name="page187"/>
    <w:bookmarkEnd w:id="186"/>
    <w:p>
      <w:pPr>
        <w:jc w:val="both"/>
        <w:spacing w:after="0" w:line="250" w:lineRule="auto"/>
        <w:rPr>
          <w:sz w:val="20"/>
          <w:szCs w:val="20"/>
          <w:color w:val="auto"/>
        </w:rPr>
      </w:pPr>
      <w:r>
        <w:rPr>
          <w:rFonts w:ascii="Arial" w:cs="Arial" w:eastAsia="Arial" w:hAnsi="Arial"/>
          <w:sz w:val="22"/>
          <w:szCs w:val="22"/>
          <w:color w:val="auto"/>
        </w:rPr>
        <w:t>or values of the Portfolio Investments), or (b) the validity or enforceability of any of the Loan Documents or the rights or remedies of the Administrative Agent and the Lenders thereunder.</w:t>
      </w:r>
    </w:p>
    <w:p>
      <w:pPr>
        <w:spacing w:after="0" w:line="17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(a) Indebtedness (other than the Loans, Letters of Credit and Hedging Agreements), of any one or more of the Borrower and its Subsidiaries in an aggregate principal amount exceeding $25,000,000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Collateral Amount</w:t>
      </w:r>
      <w:r>
        <w:rPr>
          <w:rFonts w:ascii="Arial" w:cs="Arial" w:eastAsia="Arial" w:hAnsi="Arial"/>
          <w:sz w:val="22"/>
          <w:szCs w:val="22"/>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thereto.</w:t>
      </w:r>
    </w:p>
    <w:p>
      <w:pPr>
        <w:spacing w:after="0" w:line="20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Commitment</w:t>
      </w:r>
      <w:r>
        <w:rPr>
          <w:rFonts w:ascii="Arial" w:cs="Arial" w:eastAsia="Arial" w:hAnsi="Arial"/>
          <w:sz w:val="21"/>
          <w:szCs w:val="21"/>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amount of each Lender’s Multicurrency Commitment as of the Tenth Amendment Effective Date is set forth on </w:t>
      </w:r>
      <w:r>
        <w:rPr>
          <w:rFonts w:ascii="Arial" w:cs="Arial" w:eastAsia="Arial" w:hAnsi="Arial"/>
          <w:sz w:val="21"/>
          <w:szCs w:val="21"/>
          <w:u w:val="single" w:color="auto"/>
          <w:color w:val="auto"/>
        </w:rPr>
        <w:t>Schedule 1.01(b)</w:t>
      </w:r>
      <w:r>
        <w:rPr>
          <w:rFonts w:ascii="Arial" w:cs="Arial" w:eastAsia="Arial" w:hAnsi="Arial"/>
          <w:sz w:val="21"/>
          <w:szCs w:val="21"/>
          <w:color w:val="auto"/>
        </w:rPr>
        <w:t>, or in the Assignment and Assumption pursuant to which such Lender shall have assumed its Multicurrency commitment, as applicable. The aggregate amount of the Lenders’ Multicurrency Commitments as of the Tenth Amendment Effective Date is $1,090,000,000.</w:t>
      </w:r>
    </w:p>
    <w:p>
      <w:pPr>
        <w:spacing w:after="0" w:line="181"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LC Exposure</w:t>
      </w:r>
      <w:r>
        <w:rPr>
          <w:rFonts w:ascii="Arial" w:cs="Arial" w:eastAsia="Arial" w:hAnsi="Arial"/>
          <w:sz w:val="22"/>
          <w:szCs w:val="22"/>
          <w:color w:val="auto"/>
        </w:rPr>
        <w:t xml:space="preserve">” means, at any time, the sum of (a) the aggregate undrawn amount of all outstanding Multicurrency Letters of Credit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7"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Lender</w:t>
      </w:r>
      <w:r>
        <w:rPr>
          <w:rFonts w:ascii="Arial" w:cs="Arial" w:eastAsia="Arial" w:hAnsi="Arial"/>
          <w:sz w:val="21"/>
          <w:szCs w:val="21"/>
          <w:color w:val="auto"/>
        </w:rPr>
        <w:t xml:space="preserve">” means the Persons listed on </w:t>
      </w:r>
      <w:r>
        <w:rPr>
          <w:rFonts w:ascii="Arial" w:cs="Arial" w:eastAsia="Arial" w:hAnsi="Arial"/>
          <w:sz w:val="21"/>
          <w:szCs w:val="21"/>
          <w:u w:val="single" w:color="auto"/>
          <w:color w:val="auto"/>
        </w:rPr>
        <w:t>Schedule 1.01(b)</w:t>
      </w:r>
      <w:r>
        <w:rPr>
          <w:rFonts w:ascii="Arial" w:cs="Arial" w:eastAsia="Arial" w:hAnsi="Arial"/>
          <w:sz w:val="21"/>
          <w:szCs w:val="21"/>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Letters of Credit</w:t>
      </w:r>
      <w:r>
        <w:rPr>
          <w:rFonts w:ascii="Arial" w:cs="Arial" w:eastAsia="Arial" w:hAnsi="Arial"/>
          <w:sz w:val="21"/>
          <w:szCs w:val="21"/>
          <w:color w:val="auto"/>
        </w:rPr>
        <w:t>” means Letters of Credit that utilize the Multicurrency Commitments.</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Loan</w:t>
      </w:r>
      <w:r>
        <w:rPr>
          <w:rFonts w:ascii="Arial" w:cs="Arial" w:eastAsia="Arial" w:hAnsi="Arial"/>
          <w:sz w:val="22"/>
          <w:szCs w:val="22"/>
          <w:color w:val="auto"/>
        </w:rPr>
        <w:t>” means a Loan denominated in Dollars or an Agreed Foreign Currency.</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1"/>
                <w:szCs w:val="21"/>
                <w:color w:val="auto"/>
              </w:rPr>
            </w:pPr>
          </w:p>
        </w:tc>
        <w:tc>
          <w:tcPr>
            <w:tcW w:w="9520" w:type="dxa"/>
            <w:vAlign w:val="bottom"/>
            <w:gridSpan w:val="20"/>
          </w:tcPr>
          <w:p>
            <w:pPr>
              <w:ind w:left="20"/>
              <w:spacing w:after="0"/>
              <w:rPr>
                <w:sz w:val="20"/>
                <w:szCs w:val="20"/>
                <w:color w:val="auto"/>
              </w:rPr>
            </w:pPr>
            <w:r>
              <w:rPr>
                <w:rFonts w:ascii="Arial" w:cs="Arial" w:eastAsia="Arial" w:hAnsi="Arial"/>
                <w:sz w:val="22"/>
                <w:szCs w:val="22"/>
                <w:color w:val="auto"/>
              </w:rPr>
              <w:t>“Multiemployer Plan” means a multiemployer plan as defined in Section 4001(a)(3) of ERISA.</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9"/>
        </w:trPr>
        <w:tc>
          <w:tcPr>
            <w:tcW w:w="1440" w:type="dxa"/>
            <w:vAlign w:val="bottom"/>
          </w:tcPr>
          <w:p>
            <w:pPr>
              <w:spacing w:after="0"/>
              <w:rPr>
                <w:sz w:val="24"/>
                <w:szCs w:val="24"/>
                <w:color w:val="auto"/>
              </w:rPr>
            </w:pPr>
          </w:p>
        </w:tc>
        <w:tc>
          <w:tcPr>
            <w:tcW w:w="9520" w:type="dxa"/>
            <w:vAlign w:val="bottom"/>
            <w:gridSpan w:val="20"/>
          </w:tcPr>
          <w:p>
            <w:pPr>
              <w:ind w:left="20"/>
              <w:spacing w:after="0"/>
              <w:rPr>
                <w:sz w:val="20"/>
                <w:szCs w:val="20"/>
                <w:color w:val="auto"/>
              </w:rPr>
            </w:pPr>
            <w:r>
              <w:rPr>
                <w:rFonts w:ascii="Arial" w:cs="Arial" w:eastAsia="Arial" w:hAnsi="Arial"/>
                <w:sz w:val="22"/>
                <w:szCs w:val="22"/>
                <w:color w:val="auto"/>
              </w:rPr>
              <w:t>“National Currency” means the currency, other than the Euro, of a Participating Member State.</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9"/>
        </w:trPr>
        <w:tc>
          <w:tcPr>
            <w:tcW w:w="1440" w:type="dxa"/>
            <w:vAlign w:val="bottom"/>
          </w:tcPr>
          <w:p>
            <w:pPr>
              <w:spacing w:after="0"/>
              <w:rPr>
                <w:sz w:val="24"/>
                <w:szCs w:val="24"/>
                <w:color w:val="auto"/>
              </w:rPr>
            </w:pPr>
          </w:p>
        </w:tc>
        <w:tc>
          <w:tcPr>
            <w:tcW w:w="9520" w:type="dxa"/>
            <w:vAlign w:val="bottom"/>
            <w:gridSpan w:val="20"/>
          </w:tcPr>
          <w:p>
            <w:pPr>
              <w:ind w:left="20"/>
              <w:spacing w:after="0"/>
              <w:rPr>
                <w:sz w:val="20"/>
                <w:szCs w:val="20"/>
                <w:color w:val="auto"/>
              </w:rPr>
            </w:pPr>
            <w:r>
              <w:rPr>
                <w:rFonts w:ascii="Arial" w:cs="Arial" w:eastAsia="Arial" w:hAnsi="Arial"/>
                <w:sz w:val="22"/>
                <w:szCs w:val="22"/>
                <w:color w:val="auto"/>
              </w:rPr>
              <w:t>“Net Cash Proceeds” means:</w:t>
            </w:r>
          </w:p>
        </w:tc>
      </w:tr>
      <w:tr>
        <w:trPr>
          <w:trHeight w:val="20"/>
        </w:trPr>
        <w:tc>
          <w:tcPr>
            <w:tcW w:w="14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8"/>
        </w:trPr>
        <w:tc>
          <w:tcPr>
            <w:tcW w:w="1440" w:type="dxa"/>
            <w:vAlign w:val="bottom"/>
          </w:tcPr>
          <w:p>
            <w:pPr>
              <w:spacing w:after="0"/>
              <w:rPr>
                <w:sz w:val="20"/>
                <w:szCs w:val="20"/>
                <w:color w:val="auto"/>
              </w:rPr>
            </w:pPr>
            <w:r>
              <w:rPr>
                <w:rFonts w:ascii="Arial" w:cs="Arial" w:eastAsia="Arial" w:hAnsi="Arial"/>
                <w:sz w:val="22"/>
                <w:szCs w:val="22"/>
                <w:color w:val="auto"/>
              </w:rPr>
              <w:t>(a)</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80" w:type="dxa"/>
            <w:vAlign w:val="bottom"/>
            <w:gridSpan w:val="17"/>
          </w:tcPr>
          <w:p>
            <w:pPr>
              <w:ind w:left="120"/>
              <w:spacing w:after="0"/>
              <w:rPr>
                <w:sz w:val="20"/>
                <w:szCs w:val="20"/>
                <w:color w:val="auto"/>
              </w:rPr>
            </w:pPr>
            <w:r>
              <w:rPr>
                <w:rFonts w:ascii="Arial" w:cs="Arial" w:eastAsia="Arial" w:hAnsi="Arial"/>
                <w:sz w:val="22"/>
                <w:szCs w:val="22"/>
                <w:color w:val="auto"/>
                <w:w w:val="98"/>
              </w:rPr>
              <w:t>with respect to any Disposition by the Borrower or any of its Subsidiaries (other than</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0"/>
              </w:rPr>
              <w:t>Financing Subsidiaries), or any Extraordinary Receipt received or paid to the account of the Borrower or any</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0"/>
              </w:rPr>
              <w:t>of its Subsidiaries (other than Financing Subsidiaries) (in each case, which requires a payment of the Loans</w:t>
            </w:r>
          </w:p>
        </w:tc>
      </w:tr>
      <w:tr>
        <w:trPr>
          <w:trHeight w:val="224"/>
        </w:trPr>
        <w:tc>
          <w:tcPr>
            <w:tcW w:w="1440" w:type="dxa"/>
            <w:vAlign w:val="bottom"/>
          </w:tcPr>
          <w:p>
            <w:pPr>
              <w:spacing w:after="0"/>
              <w:rPr>
                <w:sz w:val="19"/>
                <w:szCs w:val="19"/>
                <w:color w:val="auto"/>
              </w:rPr>
            </w:pPr>
          </w:p>
        </w:tc>
        <w:tc>
          <w:tcPr>
            <w:tcW w:w="9520" w:type="dxa"/>
            <w:vAlign w:val="bottom"/>
            <w:gridSpan w:val="20"/>
          </w:tcPr>
          <w:p>
            <w:pPr>
              <w:spacing w:after="0" w:line="224" w:lineRule="exact"/>
              <w:rPr>
                <w:sz w:val="20"/>
                <w:szCs w:val="20"/>
                <w:color w:val="auto"/>
              </w:rPr>
            </w:pPr>
            <w:r>
              <w:rPr>
                <w:rFonts w:ascii="Arial" w:cs="Arial" w:eastAsia="Arial" w:hAnsi="Arial"/>
                <w:sz w:val="22"/>
                <w:szCs w:val="22"/>
                <w:color w:val="auto"/>
                <w:w w:val="89"/>
              </w:rPr>
              <w:t>under Section 2.10(d)), an amount equal to (a) the sum of cash and Cash Equivalents received in connection</w:t>
            </w:r>
          </w:p>
        </w:tc>
      </w:tr>
      <w:tr>
        <w:trPr>
          <w:trHeight w:val="20"/>
        </w:trPr>
        <w:tc>
          <w:tcPr>
            <w:tcW w:w="1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2"/>
        </w:trPr>
        <w:tc>
          <w:tcPr>
            <w:tcW w:w="1440" w:type="dxa"/>
            <w:vAlign w:val="bottom"/>
          </w:tcPr>
          <w:p>
            <w:pPr>
              <w:spacing w:after="0"/>
              <w:rPr>
                <w:sz w:val="21"/>
                <w:szCs w:val="21"/>
                <w:color w:val="auto"/>
              </w:rPr>
            </w:pPr>
          </w:p>
        </w:tc>
        <w:tc>
          <w:tcPr>
            <w:tcW w:w="9520" w:type="dxa"/>
            <w:vAlign w:val="bottom"/>
            <w:gridSpan w:val="20"/>
          </w:tcPr>
          <w:p>
            <w:pPr>
              <w:spacing w:after="0" w:line="242" w:lineRule="exact"/>
              <w:rPr>
                <w:sz w:val="20"/>
                <w:szCs w:val="20"/>
                <w:color w:val="auto"/>
              </w:rPr>
            </w:pPr>
            <w:r>
              <w:rPr>
                <w:rFonts w:ascii="Arial" w:cs="Arial" w:eastAsia="Arial" w:hAnsi="Arial"/>
                <w:sz w:val="22"/>
                <w:szCs w:val="22"/>
                <w:color w:val="auto"/>
                <w:w w:val="89"/>
              </w:rPr>
              <w:t>with such transaction (including any cash or Cash Equivalents received by way of deferred payment pursuant</w:t>
            </w:r>
          </w:p>
        </w:tc>
      </w:tr>
      <w:tr>
        <w:trPr>
          <w:trHeight w:val="224"/>
        </w:trPr>
        <w:tc>
          <w:tcPr>
            <w:tcW w:w="1440" w:type="dxa"/>
            <w:vAlign w:val="bottom"/>
          </w:tcPr>
          <w:p>
            <w:pPr>
              <w:spacing w:after="0"/>
              <w:rPr>
                <w:sz w:val="19"/>
                <w:szCs w:val="19"/>
                <w:color w:val="auto"/>
              </w:rPr>
            </w:pPr>
          </w:p>
        </w:tc>
        <w:tc>
          <w:tcPr>
            <w:tcW w:w="9520" w:type="dxa"/>
            <w:vAlign w:val="bottom"/>
            <w:gridSpan w:val="20"/>
          </w:tcPr>
          <w:p>
            <w:pPr>
              <w:spacing w:after="0" w:line="224" w:lineRule="exact"/>
              <w:rPr>
                <w:sz w:val="20"/>
                <w:szCs w:val="20"/>
                <w:color w:val="auto"/>
              </w:rPr>
            </w:pPr>
            <w:r>
              <w:rPr>
                <w:rFonts w:ascii="Arial" w:cs="Arial" w:eastAsia="Arial" w:hAnsi="Arial"/>
                <w:sz w:val="22"/>
                <w:szCs w:val="22"/>
                <w:color w:val="auto"/>
                <w:w w:val="88"/>
              </w:rPr>
              <w:t>to, or by monetization of, a note receivable or otherwise, but only as and when so received) minus (b) the sum</w:t>
            </w:r>
          </w:p>
        </w:tc>
      </w:tr>
      <w:tr>
        <w:trPr>
          <w:trHeight w:val="20"/>
        </w:trPr>
        <w:tc>
          <w:tcPr>
            <w:tcW w:w="14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2"/>
        </w:trPr>
        <w:tc>
          <w:tcPr>
            <w:tcW w:w="1440" w:type="dxa"/>
            <w:vAlign w:val="bottom"/>
          </w:tcPr>
          <w:p>
            <w:pPr>
              <w:spacing w:after="0"/>
              <w:rPr>
                <w:sz w:val="21"/>
                <w:szCs w:val="21"/>
                <w:color w:val="auto"/>
              </w:rPr>
            </w:pPr>
          </w:p>
        </w:tc>
        <w:tc>
          <w:tcPr>
            <w:tcW w:w="9520" w:type="dxa"/>
            <w:vAlign w:val="bottom"/>
            <w:gridSpan w:val="20"/>
          </w:tcPr>
          <w:p>
            <w:pPr>
              <w:spacing w:after="0" w:line="242" w:lineRule="exact"/>
              <w:rPr>
                <w:sz w:val="20"/>
                <w:szCs w:val="20"/>
                <w:color w:val="auto"/>
              </w:rPr>
            </w:pPr>
            <w:r>
              <w:rPr>
                <w:rFonts w:ascii="Arial" w:cs="Arial" w:eastAsia="Arial" w:hAnsi="Arial"/>
                <w:sz w:val="22"/>
                <w:szCs w:val="22"/>
                <w:color w:val="auto"/>
                <w:w w:val="90"/>
              </w:rPr>
              <w:t>of (i) the principal amount of any Indebtedness that is secured by the applicable asset and that is required to</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1"/>
              </w:rPr>
              <w:t>be repaid in connection with such transaction (other than Indebtedness under the Loan Documents), (ii) the</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88"/>
              </w:rPr>
              <w:t>reasonable out-of-pocket fees, costs and expenses incurred by the Borrower or such Subsidiary in connection</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1"/>
              </w:rPr>
              <w:t>with such transaction, (iii) the taxes paid or reasonably estimated to be actually payable within two years of</w:t>
            </w:r>
          </w:p>
        </w:tc>
      </w:tr>
      <w:tr>
        <w:trPr>
          <w:trHeight w:val="224"/>
        </w:trPr>
        <w:tc>
          <w:tcPr>
            <w:tcW w:w="1440" w:type="dxa"/>
            <w:vAlign w:val="bottom"/>
          </w:tcPr>
          <w:p>
            <w:pPr>
              <w:spacing w:after="0"/>
              <w:rPr>
                <w:sz w:val="19"/>
                <w:szCs w:val="19"/>
                <w:color w:val="auto"/>
              </w:rPr>
            </w:pPr>
          </w:p>
        </w:tc>
        <w:tc>
          <w:tcPr>
            <w:tcW w:w="9520" w:type="dxa"/>
            <w:vAlign w:val="bottom"/>
            <w:gridSpan w:val="20"/>
          </w:tcPr>
          <w:p>
            <w:pPr>
              <w:spacing w:after="0" w:line="224" w:lineRule="exact"/>
              <w:rPr>
                <w:sz w:val="20"/>
                <w:szCs w:val="20"/>
                <w:color w:val="auto"/>
              </w:rPr>
            </w:pPr>
            <w:r>
              <w:rPr>
                <w:rFonts w:ascii="Arial" w:cs="Arial" w:eastAsia="Arial" w:hAnsi="Arial"/>
                <w:sz w:val="22"/>
                <w:szCs w:val="22"/>
                <w:color w:val="auto"/>
                <w:w w:val="92"/>
              </w:rPr>
              <w:t>the date of the relevant transaction in connection with such transaction; provided that, if the amount of any</w:t>
            </w:r>
          </w:p>
        </w:tc>
      </w:tr>
      <w:tr>
        <w:trPr>
          <w:trHeight w:val="20"/>
        </w:trPr>
        <w:tc>
          <w:tcPr>
            <w:tcW w:w="14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r>
      <w:tr>
        <w:trPr>
          <w:trHeight w:val="223"/>
        </w:trPr>
        <w:tc>
          <w:tcPr>
            <w:tcW w:w="1440" w:type="dxa"/>
            <w:vAlign w:val="bottom"/>
          </w:tcPr>
          <w:p>
            <w:pPr>
              <w:spacing w:after="0"/>
              <w:rPr>
                <w:sz w:val="19"/>
                <w:szCs w:val="19"/>
                <w:color w:val="auto"/>
              </w:rPr>
            </w:pPr>
          </w:p>
        </w:tc>
        <w:tc>
          <w:tcPr>
            <w:tcW w:w="9520" w:type="dxa"/>
            <w:vAlign w:val="bottom"/>
            <w:gridSpan w:val="20"/>
          </w:tcPr>
          <w:p>
            <w:pPr>
              <w:spacing w:after="0" w:line="223" w:lineRule="exact"/>
              <w:rPr>
                <w:sz w:val="20"/>
                <w:szCs w:val="20"/>
                <w:color w:val="auto"/>
              </w:rPr>
            </w:pPr>
            <w:r>
              <w:rPr>
                <w:rFonts w:ascii="Arial" w:cs="Arial" w:eastAsia="Arial" w:hAnsi="Arial"/>
                <w:sz w:val="22"/>
                <w:szCs w:val="22"/>
                <w:color w:val="auto"/>
                <w:w w:val="92"/>
              </w:rPr>
              <w:t>estimated taxes pursuant to clause (iii) exceeds the amount of taxes actually required to be paid in cash in</w:t>
            </w:r>
          </w:p>
        </w:tc>
      </w:tr>
      <w:tr>
        <w:trPr>
          <w:trHeight w:val="20"/>
        </w:trPr>
        <w:tc>
          <w:tcPr>
            <w:tcW w:w="14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r>
      <w:tr>
        <w:trPr>
          <w:trHeight w:val="242"/>
        </w:trPr>
        <w:tc>
          <w:tcPr>
            <w:tcW w:w="1440" w:type="dxa"/>
            <w:vAlign w:val="bottom"/>
          </w:tcPr>
          <w:p>
            <w:pPr>
              <w:spacing w:after="0"/>
              <w:rPr>
                <w:sz w:val="21"/>
                <w:szCs w:val="21"/>
                <w:color w:val="auto"/>
              </w:rPr>
            </w:pPr>
          </w:p>
        </w:tc>
        <w:tc>
          <w:tcPr>
            <w:tcW w:w="9520" w:type="dxa"/>
            <w:vAlign w:val="bottom"/>
            <w:gridSpan w:val="20"/>
          </w:tcPr>
          <w:p>
            <w:pPr>
              <w:spacing w:after="0" w:line="242" w:lineRule="exact"/>
              <w:rPr>
                <w:sz w:val="20"/>
                <w:szCs w:val="20"/>
                <w:color w:val="auto"/>
              </w:rPr>
            </w:pPr>
            <w:r>
              <w:rPr>
                <w:rFonts w:ascii="Arial" w:cs="Arial" w:eastAsia="Arial" w:hAnsi="Arial"/>
                <w:sz w:val="22"/>
                <w:szCs w:val="22"/>
                <w:color w:val="auto"/>
                <w:w w:val="87"/>
              </w:rPr>
              <w:t>respect of such Disposition, the aggregate amount of such excess shall constitute Net Cash Proceeds (as of the</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87"/>
              </w:rPr>
              <w:t>date the Borrower determines such excess exists) and (iv) any reasonable costs, fees, commissions, premiums</w:t>
            </w:r>
          </w:p>
        </w:tc>
      </w:tr>
      <w:tr>
        <w:trPr>
          <w:trHeight w:val="274"/>
        </w:trPr>
        <w:tc>
          <w:tcPr>
            <w:tcW w:w="1440" w:type="dxa"/>
            <w:vAlign w:val="bottom"/>
          </w:tcPr>
          <w:p>
            <w:pPr>
              <w:spacing w:after="0"/>
              <w:rPr>
                <w:sz w:val="23"/>
                <w:szCs w:val="23"/>
                <w:color w:val="auto"/>
              </w:rPr>
            </w:pPr>
          </w:p>
        </w:tc>
        <w:tc>
          <w:tcPr>
            <w:tcW w:w="9520" w:type="dxa"/>
            <w:vAlign w:val="bottom"/>
            <w:gridSpan w:val="20"/>
          </w:tcPr>
          <w:p>
            <w:pPr>
              <w:spacing w:after="0"/>
              <w:rPr>
                <w:sz w:val="20"/>
                <w:szCs w:val="20"/>
                <w:color w:val="auto"/>
              </w:rPr>
            </w:pPr>
            <w:r>
              <w:rPr>
                <w:rFonts w:ascii="Arial" w:cs="Arial" w:eastAsia="Arial" w:hAnsi="Arial"/>
                <w:sz w:val="22"/>
                <w:szCs w:val="22"/>
                <w:color w:val="auto"/>
                <w:w w:val="92"/>
              </w:rPr>
              <w:t>and expenses incurred by the Borrower or any of its Subsidiaries in connection with such Disposition; and</w:t>
            </w:r>
          </w:p>
        </w:tc>
      </w:tr>
      <w:tr>
        <w:trPr>
          <w:trHeight w:val="428"/>
        </w:trPr>
        <w:tc>
          <w:tcPr>
            <w:tcW w:w="1440" w:type="dxa"/>
            <w:vAlign w:val="bottom"/>
          </w:tcPr>
          <w:p>
            <w:pPr>
              <w:spacing w:after="0"/>
              <w:rPr>
                <w:sz w:val="20"/>
                <w:szCs w:val="20"/>
                <w:color w:val="auto"/>
              </w:rPr>
            </w:pPr>
            <w:r>
              <w:rPr>
                <w:rFonts w:ascii="Arial" w:cs="Arial" w:eastAsia="Arial" w:hAnsi="Arial"/>
                <w:sz w:val="22"/>
                <w:szCs w:val="22"/>
                <w:color w:val="auto"/>
              </w:rPr>
              <w:t>(b)</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80" w:type="dxa"/>
            <w:vAlign w:val="bottom"/>
            <w:gridSpan w:val="17"/>
          </w:tcPr>
          <w:p>
            <w:pPr>
              <w:ind w:left="120"/>
              <w:spacing w:after="0"/>
              <w:rPr>
                <w:sz w:val="20"/>
                <w:szCs w:val="20"/>
                <w:color w:val="auto"/>
              </w:rPr>
            </w:pPr>
            <w:r>
              <w:rPr>
                <w:rFonts w:ascii="Arial" w:cs="Arial" w:eastAsia="Arial" w:hAnsi="Arial"/>
                <w:sz w:val="22"/>
                <w:szCs w:val="22"/>
                <w:color w:val="auto"/>
                <w:w w:val="95"/>
              </w:rPr>
              <w:t>with respect to the sale or issuance of any Equity Interest by the Borrower or any of its</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1"/>
              </w:rPr>
              <w:t>Subsidiaries (other than any Financing Subsidiary) (including, for the avoidance of doubt, cash received by</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1"/>
              </w:rPr>
              <w:t>the Borrower or any of its Subsidiaries (other than any Financing Subsidiaries) for the sale by the Borrower</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0"/>
              </w:rPr>
              <w:t>or such Subsidiary of any Equity Interest of a Financing Subsidiary but specifically excluding any sale of any</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1"/>
              </w:rPr>
              <w:t>Equity Interest by a Financing Subsidiary or cash received by a Financing Subsidiary in connection with the</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91"/>
              </w:rPr>
              <w:t>sale of any Equity Interest), or the incurrence or issuance of any Indebtedness by the Borrower or any of its</w:t>
            </w:r>
          </w:p>
        </w:tc>
      </w:tr>
      <w:tr>
        <w:trPr>
          <w:trHeight w:val="243"/>
        </w:trPr>
        <w:tc>
          <w:tcPr>
            <w:tcW w:w="1440" w:type="dxa"/>
            <w:vAlign w:val="bottom"/>
          </w:tcPr>
          <w:p>
            <w:pPr>
              <w:spacing w:after="0"/>
              <w:rPr>
                <w:sz w:val="21"/>
                <w:szCs w:val="21"/>
                <w:color w:val="auto"/>
              </w:rPr>
            </w:pPr>
          </w:p>
        </w:tc>
        <w:tc>
          <w:tcPr>
            <w:tcW w:w="9520" w:type="dxa"/>
            <w:vAlign w:val="bottom"/>
            <w:gridSpan w:val="20"/>
          </w:tcPr>
          <w:p>
            <w:pPr>
              <w:spacing w:after="0" w:line="243" w:lineRule="exact"/>
              <w:rPr>
                <w:sz w:val="20"/>
                <w:szCs w:val="20"/>
                <w:color w:val="auto"/>
              </w:rPr>
            </w:pPr>
            <w:r>
              <w:rPr>
                <w:rFonts w:ascii="Arial" w:cs="Arial" w:eastAsia="Arial" w:hAnsi="Arial"/>
                <w:sz w:val="22"/>
                <w:szCs w:val="22"/>
                <w:color w:val="auto"/>
                <w:w w:val="89"/>
              </w:rPr>
              <w:t>Subsidiaries (other than Financing Subsidiaries) (in each case, which requires a payment of the Loans under</w:t>
            </w:r>
          </w:p>
        </w:tc>
      </w:tr>
      <w:tr>
        <w:trPr>
          <w:trHeight w:val="224"/>
        </w:trPr>
        <w:tc>
          <w:tcPr>
            <w:tcW w:w="1440" w:type="dxa"/>
            <w:vAlign w:val="bottom"/>
          </w:tcPr>
          <w:p>
            <w:pPr>
              <w:spacing w:after="0"/>
              <w:rPr>
                <w:sz w:val="19"/>
                <w:szCs w:val="19"/>
                <w:color w:val="auto"/>
              </w:rPr>
            </w:pPr>
          </w:p>
        </w:tc>
        <w:tc>
          <w:tcPr>
            <w:tcW w:w="9520" w:type="dxa"/>
            <w:vAlign w:val="bottom"/>
            <w:gridSpan w:val="20"/>
          </w:tcPr>
          <w:p>
            <w:pPr>
              <w:spacing w:after="0" w:line="224" w:lineRule="exact"/>
              <w:rPr>
                <w:sz w:val="20"/>
                <w:szCs w:val="20"/>
                <w:color w:val="auto"/>
              </w:rPr>
            </w:pPr>
            <w:r>
              <w:rPr>
                <w:rFonts w:ascii="Arial" w:cs="Arial" w:eastAsia="Arial" w:hAnsi="Arial"/>
                <w:sz w:val="22"/>
                <w:szCs w:val="22"/>
                <w:color w:val="auto"/>
                <w:w w:val="88"/>
              </w:rPr>
              <w:t>Section 2.10(d)), an amount equal to (i) the sum of the cash and Cash Equivalents received in connection with</w:t>
            </w:r>
          </w:p>
        </w:tc>
      </w:tr>
      <w:tr>
        <w:trPr>
          <w:trHeight w:val="20"/>
        </w:trPr>
        <w:tc>
          <w:tcPr>
            <w:tcW w:w="1440" w:type="dxa"/>
            <w:vAlign w:val="bottom"/>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r>
      <w:tr>
        <w:trPr>
          <w:trHeight w:val="223"/>
        </w:trPr>
        <w:tc>
          <w:tcPr>
            <w:tcW w:w="1440" w:type="dxa"/>
            <w:vAlign w:val="bottom"/>
          </w:tcPr>
          <w:p>
            <w:pPr>
              <w:spacing w:after="0"/>
              <w:rPr>
                <w:sz w:val="19"/>
                <w:szCs w:val="19"/>
                <w:color w:val="auto"/>
              </w:rPr>
            </w:pPr>
          </w:p>
        </w:tc>
        <w:tc>
          <w:tcPr>
            <w:tcW w:w="9520" w:type="dxa"/>
            <w:vAlign w:val="bottom"/>
            <w:gridSpan w:val="20"/>
          </w:tcPr>
          <w:p>
            <w:pPr>
              <w:spacing w:after="0" w:line="223" w:lineRule="exact"/>
              <w:rPr>
                <w:sz w:val="20"/>
                <w:szCs w:val="20"/>
                <w:color w:val="auto"/>
              </w:rPr>
            </w:pPr>
            <w:r>
              <w:rPr>
                <w:rFonts w:ascii="Arial" w:cs="Arial" w:eastAsia="Arial" w:hAnsi="Arial"/>
                <w:sz w:val="22"/>
                <w:szCs w:val="22"/>
                <w:color w:val="auto"/>
                <w:w w:val="89"/>
              </w:rPr>
              <w:t>such transaction minus (ii) the sum of (1) reasonable out-of-pocket fees, costs and expenses, incurred by the</w:t>
            </w:r>
          </w:p>
        </w:tc>
      </w:tr>
      <w:tr>
        <w:trPr>
          <w:trHeight w:val="20"/>
        </w:trPr>
        <w:tc>
          <w:tcPr>
            <w:tcW w:w="14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r>
      <w:tr>
        <w:trPr>
          <w:trHeight w:val="223"/>
        </w:trPr>
        <w:tc>
          <w:tcPr>
            <w:tcW w:w="1440" w:type="dxa"/>
            <w:vAlign w:val="bottom"/>
          </w:tcPr>
          <w:p>
            <w:pPr>
              <w:spacing w:after="0"/>
              <w:rPr>
                <w:sz w:val="19"/>
                <w:szCs w:val="19"/>
                <w:color w:val="auto"/>
              </w:rPr>
            </w:pPr>
          </w:p>
        </w:tc>
        <w:tc>
          <w:tcPr>
            <w:tcW w:w="9520" w:type="dxa"/>
            <w:vAlign w:val="bottom"/>
            <w:gridSpan w:val="20"/>
          </w:tcPr>
          <w:p>
            <w:pPr>
              <w:spacing w:after="0" w:line="223" w:lineRule="exact"/>
              <w:rPr>
                <w:sz w:val="20"/>
                <w:szCs w:val="20"/>
                <w:color w:val="auto"/>
              </w:rPr>
            </w:pPr>
            <w:r>
              <w:rPr>
                <w:rFonts w:ascii="Arial" w:cs="Arial" w:eastAsia="Arial" w:hAnsi="Arial"/>
                <w:sz w:val="22"/>
                <w:szCs w:val="22"/>
                <w:color w:val="auto"/>
                <w:w w:val="94"/>
              </w:rPr>
              <w:t>Borrower or such Subsidiary in connection therewith plus (2) any reasonable costs, fees, commissions,</w:t>
            </w:r>
          </w:p>
        </w:tc>
      </w:tr>
      <w:tr>
        <w:trPr>
          <w:trHeight w:val="20"/>
        </w:trPr>
        <w:tc>
          <w:tcPr>
            <w:tcW w:w="1440" w:type="dxa"/>
            <w:vAlign w:val="bottom"/>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r>
      <w:tr>
        <w:trPr>
          <w:trHeight w:val="242"/>
        </w:trPr>
        <w:tc>
          <w:tcPr>
            <w:tcW w:w="1440" w:type="dxa"/>
            <w:vAlign w:val="bottom"/>
          </w:tcPr>
          <w:p>
            <w:pPr>
              <w:spacing w:after="0"/>
              <w:rPr>
                <w:sz w:val="21"/>
                <w:szCs w:val="21"/>
                <w:color w:val="auto"/>
              </w:rPr>
            </w:pPr>
          </w:p>
        </w:tc>
        <w:tc>
          <w:tcPr>
            <w:tcW w:w="9520" w:type="dxa"/>
            <w:vAlign w:val="bottom"/>
            <w:gridSpan w:val="20"/>
          </w:tcPr>
          <w:p>
            <w:pPr>
              <w:spacing w:after="0" w:line="242" w:lineRule="exact"/>
              <w:rPr>
                <w:sz w:val="20"/>
                <w:szCs w:val="20"/>
                <w:color w:val="auto"/>
              </w:rPr>
            </w:pPr>
            <w:r>
              <w:rPr>
                <w:rFonts w:ascii="Arial" w:cs="Arial" w:eastAsia="Arial" w:hAnsi="Arial"/>
                <w:sz w:val="22"/>
                <w:szCs w:val="22"/>
                <w:color w:val="auto"/>
                <w:w w:val="96"/>
              </w:rPr>
              <w:t>premiums, expenses, or underwriting discounts or commissions incurred by the Borrower or any of its</w:t>
            </w:r>
          </w:p>
        </w:tc>
      </w:tr>
      <w:tr>
        <w:trPr>
          <w:trHeight w:val="274"/>
        </w:trPr>
        <w:tc>
          <w:tcPr>
            <w:tcW w:w="1440" w:type="dxa"/>
            <w:vAlign w:val="bottom"/>
          </w:tcPr>
          <w:p>
            <w:pPr>
              <w:spacing w:after="0"/>
              <w:rPr>
                <w:sz w:val="23"/>
                <w:szCs w:val="23"/>
                <w:color w:val="auto"/>
              </w:rPr>
            </w:pPr>
          </w:p>
        </w:tc>
        <w:tc>
          <w:tcPr>
            <w:tcW w:w="9520" w:type="dxa"/>
            <w:vAlign w:val="bottom"/>
            <w:gridSpan w:val="20"/>
          </w:tcPr>
          <w:p>
            <w:pPr>
              <w:spacing w:after="0"/>
              <w:rPr>
                <w:sz w:val="20"/>
                <w:szCs w:val="20"/>
                <w:color w:val="auto"/>
              </w:rPr>
            </w:pPr>
            <w:r>
              <w:rPr>
                <w:rFonts w:ascii="Arial" w:cs="Arial" w:eastAsia="Arial" w:hAnsi="Arial"/>
                <w:sz w:val="22"/>
                <w:szCs w:val="22"/>
                <w:color w:val="auto"/>
              </w:rPr>
              <w:t>Subsidiaries in connection with such sale or issuance.</w:t>
            </w:r>
          </w:p>
        </w:tc>
      </w:tr>
      <w:tr>
        <w:trPr>
          <w:trHeight w:val="408"/>
        </w:trPr>
        <w:tc>
          <w:tcPr>
            <w:tcW w:w="1440" w:type="dxa"/>
            <w:vAlign w:val="bottom"/>
          </w:tcPr>
          <w:p>
            <w:pPr>
              <w:spacing w:after="0"/>
              <w:rPr>
                <w:sz w:val="24"/>
                <w:szCs w:val="24"/>
                <w:color w:val="auto"/>
              </w:rPr>
            </w:pPr>
          </w:p>
        </w:tc>
        <w:tc>
          <w:tcPr>
            <w:tcW w:w="9520" w:type="dxa"/>
            <w:vAlign w:val="bottom"/>
            <w:gridSpan w:val="20"/>
          </w:tcPr>
          <w:p>
            <w:pPr>
              <w:ind w:left="20"/>
              <w:spacing w:after="0"/>
              <w:rPr>
                <w:sz w:val="20"/>
                <w:szCs w:val="20"/>
                <w:color w:val="auto"/>
              </w:rPr>
            </w:pPr>
            <w:r>
              <w:rPr>
                <w:rFonts w:ascii="Arial" w:cs="Arial" w:eastAsia="Arial" w:hAnsi="Arial"/>
                <w:sz w:val="22"/>
                <w:szCs w:val="22"/>
                <w:color w:val="auto"/>
              </w:rPr>
              <w:t>“New Zealand Dollars” means the lawful currency of New Zealand.</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8"/>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r>
      <w:tr>
        <w:trPr>
          <w:trHeight w:val="439"/>
        </w:trPr>
        <w:tc>
          <w:tcPr>
            <w:tcW w:w="1440" w:type="dxa"/>
            <w:vAlign w:val="bottom"/>
          </w:tcPr>
          <w:p>
            <w:pPr>
              <w:spacing w:after="0"/>
              <w:rPr>
                <w:sz w:val="24"/>
                <w:szCs w:val="24"/>
                <w:color w:val="auto"/>
              </w:rPr>
            </w:pPr>
          </w:p>
        </w:tc>
        <w:tc>
          <w:tcPr>
            <w:tcW w:w="9520" w:type="dxa"/>
            <w:vAlign w:val="bottom"/>
            <w:gridSpan w:val="20"/>
          </w:tcPr>
          <w:p>
            <w:pPr>
              <w:ind w:left="20"/>
              <w:spacing w:after="0"/>
              <w:rPr>
                <w:sz w:val="20"/>
                <w:szCs w:val="20"/>
                <w:color w:val="auto"/>
              </w:rPr>
            </w:pPr>
            <w:r>
              <w:rPr>
                <w:rFonts w:ascii="Arial" w:cs="Arial" w:eastAsia="Arial" w:hAnsi="Arial"/>
                <w:sz w:val="22"/>
                <w:szCs w:val="22"/>
                <w:color w:val="auto"/>
              </w:rPr>
              <w:t>“Ninth Amendment Effective Date” means January 31, 2020.</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9"/>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r>
      <w:tr>
        <w:trPr>
          <w:trHeight w:val="439"/>
        </w:trPr>
        <w:tc>
          <w:tcPr>
            <w:tcW w:w="1440" w:type="dxa"/>
            <w:vAlign w:val="bottom"/>
          </w:tcPr>
          <w:p>
            <w:pPr>
              <w:spacing w:after="0"/>
              <w:rPr>
                <w:sz w:val="24"/>
                <w:szCs w:val="24"/>
                <w:color w:val="auto"/>
              </w:rPr>
            </w:pPr>
          </w:p>
        </w:tc>
        <w:tc>
          <w:tcPr>
            <w:tcW w:w="9520" w:type="dxa"/>
            <w:vAlign w:val="bottom"/>
            <w:gridSpan w:val="20"/>
          </w:tcPr>
          <w:p>
            <w:pPr>
              <w:ind w:left="20"/>
              <w:spacing w:after="0"/>
              <w:rPr>
                <w:sz w:val="20"/>
                <w:szCs w:val="20"/>
                <w:color w:val="auto"/>
              </w:rPr>
            </w:pPr>
            <w:r>
              <w:rPr>
                <w:rFonts w:ascii="Arial" w:cs="Arial" w:eastAsia="Arial" w:hAnsi="Arial"/>
                <w:sz w:val="22"/>
                <w:szCs w:val="22"/>
                <w:color w:val="auto"/>
                <w:w w:val="99"/>
              </w:rPr>
              <w:t>“Non-Defaulting Lender” means, at any time, a Lender that is not a Defaulting Lender at such time.</w:t>
            </w:r>
          </w:p>
        </w:tc>
      </w:tr>
      <w:tr>
        <w:trPr>
          <w:trHeight w:val="20"/>
        </w:trPr>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59690</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600" w:top="332" w:right="339" w:bottom="1440" w:gutter="0" w:footer="0" w:header="0"/>
        </w:sectPr>
      </w:pPr>
    </w:p>
    <w:bookmarkStart w:id="188" w:name="page189"/>
    <w:bookmarkEnd w:id="188"/>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Non-Extended Applicable Margin</w:t>
      </w:r>
      <w:r>
        <w:rPr>
          <w:rFonts w:ascii="Arial" w:cs="Arial" w:eastAsia="Arial" w:hAnsi="Arial"/>
          <w:sz w:val="19"/>
          <w:szCs w:val="19"/>
          <w:color w:val="auto"/>
        </w:rPr>
        <w:t>” means, with respect to any Non-Extending Lender: (a) if the Borrowing Base (as of the most recently delivered Borrowing Base Certificate) is equal to or greater than 1.85 times the Combined Debt Amount, (i) with respect to any ABR Loan, 0.75% per annum; (ii) with respect to any Eurocurrency Loan, 1.75% per annum; and</w:t>
      </w:r>
    </w:p>
    <w:p>
      <w:pPr>
        <w:spacing w:after="0" w:line="1" w:lineRule="exact"/>
        <w:rPr>
          <w:sz w:val="20"/>
          <w:szCs w:val="20"/>
          <w:color w:val="auto"/>
        </w:rPr>
      </w:pPr>
    </w:p>
    <w:p>
      <w:pPr>
        <w:jc w:val="both"/>
        <w:ind w:firstLine="8"/>
        <w:spacing w:after="0" w:line="271" w:lineRule="auto"/>
        <w:tabs>
          <w:tab w:leader="none" w:pos="39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with respect to any RFR Loan 1.75% per annum plus the Applicable Credit Adjustment Spread; and (b) if the Borrowing Base (as of the most recently delivered Borrowing Base Certificate) is less than 1.85 times the Combined Debt Amount (i) with respect to any ABR Loan, 1.00% per annum; (ii) with respect to any Eurocurrency Loan, 2.00% per annum; and (iii) with respect to any RFR Loan 2.00% per annum plus the Applicable Credit Adjustment Spread. 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Borrowing Base Certificate has not been delivered in accordance with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then from and including the day immediately succeeding the date on which such Borrowing Base Certificate was required to be delivered, the Non-Extended Applicable Margin shall be the Non-Extended Applicable Margin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and including the date on which the required Borrowing Base Certificate is delivered.</w:t>
      </w:r>
    </w:p>
    <w:p>
      <w:pPr>
        <w:spacing w:after="0" w:line="16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Availability Period</w:t>
      </w:r>
      <w:r>
        <w:rPr>
          <w:rFonts w:ascii="Arial" w:cs="Arial" w:eastAsia="Arial" w:hAnsi="Arial"/>
          <w:sz w:val="22"/>
          <w:szCs w:val="22"/>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8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Non-Extended Commitment Termination Date</w:t>
      </w:r>
      <w:r>
        <w:rPr>
          <w:rFonts w:ascii="Arial" w:cs="Arial" w:eastAsia="Arial" w:hAnsi="Arial"/>
          <w:sz w:val="19"/>
          <w:szCs w:val="19"/>
          <w:color w:val="auto"/>
        </w:rPr>
        <w:t xml:space="preserve">” means, with respect to each Non-Extending Lender, the “Non-Extended Commitment Termination Date” set forth next to such Non-Extending Lender’s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10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Final Maturity Date</w:t>
      </w:r>
      <w:r>
        <w:rPr>
          <w:rFonts w:ascii="Arial" w:cs="Arial" w:eastAsia="Arial" w:hAnsi="Arial"/>
          <w:sz w:val="22"/>
          <w:szCs w:val="22"/>
          <w:color w:val="auto"/>
        </w:rPr>
        <w:t xml:space="preserve">” means, with respect to each Non-Extending Lender, the “Non-Extended Final Maturity Date” set forth next to such Non-Extending Lender’s name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Loans</w:t>
      </w:r>
      <w:r>
        <w:rPr>
          <w:rFonts w:ascii="Arial" w:cs="Arial" w:eastAsia="Arial" w:hAnsi="Arial"/>
          <w:sz w:val="22"/>
          <w:szCs w:val="22"/>
          <w:color w:val="auto"/>
        </w:rPr>
        <w:t>” means Loans or Borrowings of any Non-Extending Lender maturing on the Non-Extended Final Maturity Date for such Non-Extending Lender.</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Non-Extending Lender</w:t>
      </w:r>
      <w:r>
        <w:rPr>
          <w:rFonts w:ascii="Arial" w:cs="Arial" w:eastAsia="Arial" w:hAnsi="Arial"/>
          <w:sz w:val="19"/>
          <w:szCs w:val="19"/>
          <w:color w:val="auto"/>
        </w:rPr>
        <w:t xml:space="preserve">” means each Lender designated as a “Non-Extending Lender”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24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Non-Public Information</w:t>
      </w:r>
      <w:r>
        <w:rPr>
          <w:rFonts w:ascii="Arial" w:cs="Arial" w:eastAsia="Arial" w:hAnsi="Arial"/>
          <w:sz w:val="22"/>
          <w:szCs w:val="22"/>
          <w:color w:val="auto"/>
        </w:rPr>
        <w:t>” means material non-public information (within the meaning of United States federal, state or other applicable securities laws) with respect to Borrower or its Affiliates or their Securities.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w:t>
      </w:r>
      <w:r>
        <w:rPr>
          <w:rFonts w:ascii="Arial" w:cs="Arial" w:eastAsia="Arial" w:hAnsi="Arial"/>
          <w:sz w:val="22"/>
          <w:szCs w:val="22"/>
          <w:color w:val="auto"/>
        </w:rPr>
        <w:t>” means, collectively, the Borrower and the Subsidiary Guarantors.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Effective Date</w:t>
      </w:r>
      <w:r>
        <w:rPr>
          <w:rFonts w:ascii="Arial" w:cs="Arial" w:eastAsia="Arial" w:hAnsi="Arial"/>
          <w:sz w:val="22"/>
          <w:szCs w:val="22"/>
          <w:color w:val="auto"/>
        </w:rPr>
        <w:t>” means July 3, 2013.</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9" w:name="page190"/>
    <w:bookmarkEnd w:id="189"/>
    <w:p>
      <w:pPr>
        <w:jc w:val="both"/>
        <w:ind w:firstLine="172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Covered Indebtedness</w:t>
      </w:r>
      <w:r>
        <w:rPr>
          <w:rFonts w:ascii="Arial" w:cs="Arial" w:eastAsia="Arial" w:hAnsi="Arial"/>
          <w:sz w:val="21"/>
          <w:szCs w:val="21"/>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Arial" w:cs="Arial" w:eastAsia="Arial" w:hAnsi="Arial"/>
          <w:sz w:val="21"/>
          <w:szCs w:val="21"/>
          <w:u w:val="single" w:color="auto"/>
          <w:color w:val="auto"/>
        </w:rPr>
        <w:t>Section 6.02(e)</w:t>
      </w:r>
      <w:r>
        <w:rPr>
          <w:rFonts w:ascii="Arial" w:cs="Arial" w:eastAsia="Arial" w:hAnsi="Arial"/>
          <w:sz w:val="21"/>
          <w:szCs w:val="21"/>
          <w:color w:val="auto"/>
        </w:rPr>
        <w:t>.</w:t>
      </w:r>
    </w:p>
    <w:p>
      <w:pPr>
        <w:spacing w:after="0" w:line="169"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Permitted Indebtedness</w:t>
      </w:r>
      <w:r>
        <w:rPr>
          <w:rFonts w:ascii="Arial" w:cs="Arial" w:eastAsia="Arial" w:hAnsi="Arial"/>
          <w:sz w:val="21"/>
          <w:szCs w:val="21"/>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21"/>
          <w:szCs w:val="21"/>
          <w:u w:val="single" w:color="auto"/>
          <w:color w:val="auto"/>
        </w:rPr>
        <w:t>clause (l)</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181"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hereof (unless such assignment is made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5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9.04(f)</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9.04(f)</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means any member state of the European Community that adopts or has adopted the Euro as its lawful currency in accordance with the legislation of the European Union relating to the European Monetary Union.</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Equity Interests</w:t>
      </w:r>
      <w:r>
        <w:rPr>
          <w:rFonts w:ascii="Arial" w:cs="Arial" w:eastAsia="Arial" w:hAnsi="Arial"/>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8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0" w:name="page191"/>
    <w:bookmarkEnd w:id="190"/>
    <w:p>
      <w:pPr>
        <w:jc w:val="both"/>
        <w:spacing w:after="0" w:line="269" w:lineRule="auto"/>
        <w:rPr>
          <w:sz w:val="20"/>
          <w:szCs w:val="20"/>
          <w:color w:val="auto"/>
        </w:rPr>
      </w:pPr>
      <w:r>
        <w:rPr>
          <w:rFonts w:ascii="Arial" w:cs="Arial" w:eastAsia="Arial" w:hAnsi="Arial"/>
          <w:sz w:val="19"/>
          <w:szCs w:val="19"/>
          <w:color w:val="auto"/>
        </w:rPr>
        <w:t xml:space="preserve">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9"/>
          <w:szCs w:val="19"/>
          <w:u w:val="single" w:color="auto"/>
          <w:color w:val="auto"/>
        </w:rPr>
        <w:t>clause (l)</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VII</w:t>
      </w:r>
      <w:r>
        <w:rPr>
          <w:rFonts w:ascii="Arial" w:cs="Arial" w:eastAsia="Arial" w:hAnsi="Arial"/>
          <w:sz w:val="19"/>
          <w:szCs w:val="19"/>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200" w:lineRule="exact"/>
        <w:rPr>
          <w:sz w:val="20"/>
          <w:szCs w:val="20"/>
          <w:color w:val="auto"/>
        </w:rPr>
      </w:pPr>
    </w:p>
    <w:p>
      <w:pPr>
        <w:spacing w:after="0" w:line="212"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Policy Amendment</w:t>
      </w:r>
      <w:r>
        <w:rPr>
          <w:rFonts w:ascii="Arial" w:cs="Arial" w:eastAsia="Arial" w:hAnsi="Arial"/>
          <w:sz w:val="22"/>
          <w:szCs w:val="22"/>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91"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SBIC Guarantee</w:t>
      </w:r>
      <w:r>
        <w:rPr>
          <w:rFonts w:ascii="Arial" w:cs="Arial" w:eastAsia="Arial" w:hAnsi="Arial"/>
          <w:sz w:val="19"/>
          <w:szCs w:val="19"/>
          <w:color w:val="auto"/>
        </w:rPr>
        <w:t>”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1" w:name="page192"/>
    <w:bookmarkEnd w:id="191"/>
    <w:p>
      <w:pPr>
        <w:jc w:val="both"/>
        <w:ind w:right="20"/>
        <w:spacing w:after="0" w:line="250" w:lineRule="auto"/>
        <w:rPr>
          <w:sz w:val="20"/>
          <w:szCs w:val="20"/>
          <w:color w:val="auto"/>
        </w:rPr>
      </w:pPr>
      <w:r>
        <w:rPr>
          <w:rFonts w:ascii="Arial" w:cs="Arial" w:eastAsia="Arial" w:hAnsi="Arial"/>
          <w:sz w:val="22"/>
          <w:szCs w:val="22"/>
          <w:color w:val="auto"/>
        </w:rPr>
        <w:t xml:space="preserve">understood that, as provided in </w:t>
      </w:r>
      <w:r>
        <w:rPr>
          <w:rFonts w:ascii="Arial" w:cs="Arial" w:eastAsia="Arial" w:hAnsi="Arial"/>
          <w:sz w:val="22"/>
          <w:szCs w:val="22"/>
          <w:u w:val="single" w:color="auto"/>
          <w:color w:val="auto"/>
        </w:rPr>
        <w:t>clause (s)</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it shall be an Event of Default hereunder if any such event or condition giving rise to such recourse occurs).</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means has the meaning set forth in </w:t>
      </w:r>
      <w:r>
        <w:rPr>
          <w:rFonts w:ascii="Arial" w:cs="Arial" w:eastAsia="Arial" w:hAnsi="Arial"/>
          <w:sz w:val="22"/>
          <w:szCs w:val="22"/>
          <w:u w:val="single" w:color="auto"/>
          <w:color w:val="auto"/>
        </w:rPr>
        <w:t>Section 5.01(i)</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Investment</w:t>
      </w:r>
      <w:r>
        <w:rPr>
          <w:rFonts w:ascii="Arial" w:cs="Arial" w:eastAsia="Arial" w:hAnsi="Arial"/>
          <w:sz w:val="19"/>
          <w:szCs w:val="19"/>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w:t>
      </w:r>
    </w:p>
    <w:p>
      <w:pPr>
        <w:spacing w:after="0" w:line="3" w:lineRule="exact"/>
        <w:rPr>
          <w:sz w:val="20"/>
          <w:szCs w:val="20"/>
          <w:color w:val="auto"/>
        </w:rPr>
      </w:pPr>
    </w:p>
    <w:p>
      <w:pPr>
        <w:ind w:firstLine="8"/>
        <w:spacing w:after="0" w:line="236" w:lineRule="auto"/>
        <w:tabs>
          <w:tab w:leader="none" w:pos="303"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Investment which is made to a bankrupt entity (other than a debtor-in-possession financing and current pay obligations); and (f) any Investment, Cash or account in which a Financing Subsidiary has an interest.</w:t>
      </w:r>
    </w:p>
    <w:p>
      <w:pPr>
        <w:spacing w:after="0" w:line="187" w:lineRule="exact"/>
        <w:rPr>
          <w:sz w:val="20"/>
          <w:szCs w:val="20"/>
          <w:color w:val="auto"/>
        </w:rPr>
      </w:pPr>
    </w:p>
    <w:p>
      <w:pPr>
        <w:ind w:right="394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means the rate which is quoted as the “prime rate” in the print edition of </w:t>
      </w:r>
      <w:r>
        <w:rPr>
          <w:rFonts w:ascii="Arial" w:cs="Arial" w:eastAsia="Arial" w:hAnsi="Arial"/>
          <w:sz w:val="21"/>
          <w:szCs w:val="21"/>
          <w:i w:val="1"/>
          <w:iCs w:val="1"/>
          <w:color w:val="auto"/>
        </w:rPr>
        <w:t>The Wall Street Journal</w:t>
      </w:r>
      <w:r>
        <w:rPr>
          <w:rFonts w:ascii="Arial" w:cs="Arial" w:eastAsia="Arial" w:hAnsi="Arial"/>
          <w:sz w:val="21"/>
          <w:szCs w:val="21"/>
          <w:color w:val="auto"/>
        </w:rPr>
        <w:t>, Money Rates Section.</w:t>
      </w:r>
    </w:p>
    <w:p>
      <w:pPr>
        <w:spacing w:after="0" w:line="151"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Center</w:t>
      </w:r>
      <w:r>
        <w:rPr>
          <w:rFonts w:ascii="Arial" w:cs="Arial" w:eastAsia="Arial" w:hAnsi="Arial"/>
          <w:sz w:val="22"/>
          <w:szCs w:val="22"/>
          <w:color w:val="auto"/>
        </w:rPr>
        <w:t>” means, in the case of any Currency, the principal financial center where such Currency is cleared and settled, as determined by the Administrative Agent.</w:t>
      </w:r>
    </w:p>
    <w:p>
      <w:pPr>
        <w:spacing w:after="0" w:line="17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means Lenders that do not wish to receive Non-Public Information with respect to the Borrower or any of its Subsidiaries or their Securities.</w:t>
      </w:r>
    </w:p>
    <w:p>
      <w:pPr>
        <w:spacing w:after="0" w:line="17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Dates</w:t>
      </w:r>
      <w:r>
        <w:rPr>
          <w:rFonts w:ascii="Arial" w:cs="Arial" w:eastAsia="Arial" w:hAnsi="Arial"/>
          <w:sz w:val="22"/>
          <w:szCs w:val="22"/>
          <w:color w:val="auto"/>
        </w:rPr>
        <w:t>” means the last Business Day of March, June, September and December in each year, commencing on September 30, 2013.</w:t>
      </w:r>
    </w:p>
    <w:p>
      <w:pPr>
        <w:spacing w:after="0" w:line="175" w:lineRule="exact"/>
        <w:rPr>
          <w:sz w:val="20"/>
          <w:szCs w:val="20"/>
          <w:color w:val="auto"/>
        </w:rPr>
      </w:pPr>
    </w:p>
    <w:p>
      <w:pPr>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Quoted Investments</w:t>
      </w:r>
      <w:r>
        <w:rPr>
          <w:rFonts w:ascii="Arial" w:cs="Arial" w:eastAsia="Arial" w:hAnsi="Arial"/>
          <w:sz w:val="22"/>
          <w:szCs w:val="22"/>
          <w:color w:val="auto"/>
        </w:rPr>
        <w:t xml:space="preserve">” means a Portfolio Investment with a value assigned by the Borrower pursuant to </w:t>
      </w:r>
      <w:r>
        <w:rPr>
          <w:rFonts w:ascii="Arial" w:cs="Arial" w:eastAsia="Arial" w:hAnsi="Arial"/>
          <w:sz w:val="22"/>
          <w:szCs w:val="22"/>
          <w:u w:val="single" w:color="auto"/>
          <w:color w:val="auto"/>
        </w:rPr>
        <w:t>Section 5.12(b)(ii)(A)</w:t>
      </w:r>
      <w:r>
        <w:rPr>
          <w:rFonts w:ascii="Arial" w:cs="Arial" w:eastAsia="Arial" w:hAnsi="Arial"/>
          <w:sz w:val="22"/>
          <w:szCs w:val="22"/>
          <w:color w:val="auto"/>
        </w:rPr>
        <w: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2" w:name="page193"/>
    <w:bookmarkEnd w:id="192"/>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the Registration Statement filed by the Borrower with the Securities and Exchange Commission on March 14, 2011.</w:t>
      </w:r>
    </w:p>
    <w:p>
      <w:pPr>
        <w:spacing w:after="0" w:line="175" w:lineRule="exact"/>
        <w:rPr>
          <w:sz w:val="20"/>
          <w:szCs w:val="20"/>
          <w:color w:val="auto"/>
        </w:rPr>
      </w:pPr>
    </w:p>
    <w:p>
      <w:pPr>
        <w:jc w:val="both"/>
        <w:ind w:right="2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Regulations D, T, U and X</w:t>
      </w:r>
      <w:r>
        <w:rPr>
          <w:rFonts w:ascii="Arial" w:cs="Arial" w:eastAsia="Arial" w:hAnsi="Arial"/>
          <w:sz w:val="19"/>
          <w:szCs w:val="19"/>
          <w:color w:val="auto"/>
        </w:rPr>
        <w:t>” means, respectively, Regulations D, T, U and X of the Board of Governors of the Federal Reserve System (or any successor), as the same may be modified and supplemented and in effect from time to time.</w:t>
      </w:r>
    </w:p>
    <w:p>
      <w:pPr>
        <w:spacing w:after="0" w:line="105" w:lineRule="exact"/>
        <w:rPr>
          <w:sz w:val="20"/>
          <w:szCs w:val="20"/>
          <w:color w:val="auto"/>
        </w:rPr>
      </w:pPr>
    </w:p>
    <w:p>
      <w:pPr>
        <w:jc w:val="both"/>
        <w:ind w:right="2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specified Person, such Person’s Affiliates and the respective partners, directors, officers, employees, agents and advisors of such Person and such Person’s Affiliates.</w:t>
      </w:r>
    </w:p>
    <w:p>
      <w:pPr>
        <w:spacing w:after="0" w:line="145"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Relevant Available Funds</w:t>
      </w:r>
      <w:r>
        <w:rPr>
          <w:rFonts w:ascii="Arial" w:cs="Arial" w:eastAsia="Arial" w:hAnsi="Arial"/>
          <w:sz w:val="22"/>
          <w:szCs w:val="22"/>
          <w:b w:val="1"/>
          <w:bCs w:val="1"/>
          <w:color w:val="auto"/>
        </w:rPr>
        <w:t xml:space="preserve"> </w:t>
      </w:r>
      <w:r>
        <w:rPr>
          <w:rFonts w:ascii="Arial" w:cs="Arial" w:eastAsia="Arial" w:hAnsi="Arial"/>
          <w:sz w:val="22"/>
          <w:szCs w:val="22"/>
          <w:color w:val="auto"/>
        </w:rPr>
        <w:t>” means the sum (without duplication) of (a) the aggregate undrawn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commitments of the Borrower’s equity holders to the Borrower,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86"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(a) with respect to a Benchmark Replacement in respect of obligations, interest, fees, commissions or other amounts owing hereunder denominated in Dollars, the Federal Reserve Board and/or the Federal Reserve Bank of New York, or a committee officially endorsed or convened by the Federal Reserve Board and/or the Federal Reserve Bank of New York or any successor thereto. and (b) with respect to a Benchmark Replacement in respect of obligations, interest, fees, commissions or other amounts owing hereunder denominated in any Currency other than Dollars, (1) the central bank for the Currency in which such obligations, interest, fees, commissions or other amounts are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200" w:lineRule="exact"/>
        <w:rPr>
          <w:sz w:val="20"/>
          <w:szCs w:val="20"/>
          <w:color w:val="auto"/>
        </w:rPr>
      </w:pPr>
    </w:p>
    <w:p>
      <w:pPr>
        <w:spacing w:after="0" w:line="208"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5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the chief executive officer, president, chief financial officer, treasurer, assistant treasurer or controller of an Obligor.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3" w:name="page194"/>
    <w:bookmarkEnd w:id="193"/>
    <w:p>
      <w:pPr>
        <w:jc w:val="both"/>
        <w:ind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84"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Return of Capital</w:t>
      </w:r>
      <w:r>
        <w:rPr>
          <w:rFonts w:ascii="Arial" w:cs="Arial" w:eastAsia="Arial" w:hAnsi="Arial"/>
          <w:sz w:val="19"/>
          <w:szCs w:val="19"/>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net of any fees, costs, expenses and taxes payable with respect thereto).</w:t>
      </w:r>
    </w:p>
    <w:p>
      <w:pPr>
        <w:spacing w:after="0" w:line="161"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with respect to any Lender at any time, the sum of the outstanding principal amount of such Lender’s Revolving Dollar Credit Exposure and Revolving Multicurrency Credit Exposure at such time.</w:t>
      </w:r>
    </w:p>
    <w:p>
      <w:pPr>
        <w:spacing w:after="0" w:line="10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Dollar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Multicurrency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86" w:lineRule="exact"/>
        <w:rPr>
          <w:sz w:val="20"/>
          <w:szCs w:val="20"/>
          <w:color w:val="auto"/>
        </w:rPr>
      </w:pPr>
    </w:p>
    <w:p>
      <w:pPr>
        <w:jc w:val="both"/>
        <w:ind w:right="2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Percentage</w:t>
      </w:r>
      <w:r>
        <w:rPr>
          <w:rFonts w:ascii="Arial" w:cs="Arial" w:eastAsia="Arial" w:hAnsi="Arial"/>
          <w:sz w:val="19"/>
          <w:szCs w:val="19"/>
          <w:color w:val="auto"/>
        </w:rPr>
        <w:t>” means, as of any date of determination, the result, expressed as a percentage, of the Revolving Credit Exposure on such date divided by the aggregate outstanding Covered Debt Amount on such date.</w:t>
      </w:r>
    </w:p>
    <w:p>
      <w:pPr>
        <w:spacing w:after="0" w:line="10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w:t>
      </w:r>
      <w:r>
        <w:rPr>
          <w:rFonts w:ascii="Arial" w:cs="Arial" w:eastAsia="Arial" w:hAnsi="Arial"/>
          <w:sz w:val="22"/>
          <w:szCs w:val="22"/>
          <w:color w:val="auto"/>
        </w:rPr>
        <w:t>”, when used in reference to any Loan or Borrowing, refers to whether such Loan, or the Loans constituting such Borrowing, are bearing interest at a rate determined by reference to Daily Simple RFR for the applicable Currency.</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Administrator</w:t>
      </w:r>
      <w:r>
        <w:rPr>
          <w:rFonts w:ascii="Arial" w:cs="Arial" w:eastAsia="Arial" w:hAnsi="Arial"/>
          <w:sz w:val="22"/>
          <w:szCs w:val="22"/>
          <w:color w:val="auto"/>
        </w:rPr>
        <w:t>” means the SONIA Administrator or the SARON Administrator, as applicable.</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4" w:name="page195"/>
    <w:bookmarkEnd w:id="194"/>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 Business Day</w:t>
      </w:r>
      <w:r>
        <w:rPr>
          <w:rFonts w:ascii="Arial" w:cs="Arial" w:eastAsia="Arial" w:hAnsi="Arial"/>
          <w:sz w:val="19"/>
          <w:szCs w:val="19"/>
          <w:color w:val="auto"/>
        </w:rPr>
        <w:t>” 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Interest Day</w:t>
      </w:r>
      <w:r>
        <w:rPr>
          <w:rFonts w:ascii="Arial" w:cs="Arial" w:eastAsia="Arial" w:hAnsi="Arial"/>
          <w:sz w:val="22"/>
          <w:szCs w:val="22"/>
          <w:color w:val="auto"/>
        </w:rPr>
        <w:t>” has the meaning specified in the definition of “Daily Simple RFR”.</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Rate</w:t>
      </w:r>
      <w:r>
        <w:rPr>
          <w:rFonts w:ascii="Arial" w:cs="Arial" w:eastAsia="Arial" w:hAnsi="Arial"/>
          <w:sz w:val="22"/>
          <w:szCs w:val="22"/>
          <w:color w:val="auto"/>
        </w:rPr>
        <w:t>” means, for any Loans, Borrowings, interest, fees, commissions or other amounts denominated in, or calculated with respect to (a) Sterling, SONIA, and (b) Swiss Francs, SARON.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Reference Day</w:t>
      </w:r>
      <w:r>
        <w:rPr>
          <w:rFonts w:ascii="Arial" w:cs="Arial" w:eastAsia="Arial" w:hAnsi="Arial"/>
          <w:sz w:val="22"/>
          <w:szCs w:val="22"/>
          <w:color w:val="auto"/>
        </w:rPr>
        <w:t>” has the meaning specified in the definition of “Daily Simple RFR”.</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RIC</w:t>
      </w:r>
      <w:r>
        <w:rPr>
          <w:rFonts w:ascii="Arial" w:cs="Arial" w:eastAsia="Arial" w:hAnsi="Arial"/>
          <w:sz w:val="21"/>
          <w:szCs w:val="21"/>
          <w:color w:val="auto"/>
        </w:rPr>
        <w:t>” means a person qualifying for treatment as a “regulated investment company” under the Code.</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or any successor thereto.</w:t>
      </w:r>
    </w:p>
    <w:p>
      <w:pPr>
        <w:spacing w:after="0" w:line="206"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territory or region that is the subject or the target of country-wide or territory-wide Sanctions broadly prohibiting dealings with such country, territory or region (currently, Cuba, Crimea and Sevastopol, Iran, North Korea and Syria).</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3.15(a)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SARON</w:t>
      </w:r>
      <w:r>
        <w:rPr>
          <w:rFonts w:ascii="Arial" w:cs="Arial" w:eastAsia="Arial" w:hAnsi="Arial"/>
          <w:sz w:val="21"/>
          <w:szCs w:val="21"/>
          <w:color w:val="auto"/>
        </w:rPr>
        <w:t>” means a rate equal to the Swiss Average Rate Overnight as administered by the SARON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Administrator.</w:t>
      </w:r>
    </w:p>
    <w:p>
      <w:pPr>
        <w:spacing w:after="0" w:line="18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 Administrator</w:t>
      </w:r>
      <w:r>
        <w:rPr>
          <w:rFonts w:ascii="Arial" w:cs="Arial" w:eastAsia="Arial" w:hAnsi="Arial"/>
          <w:sz w:val="22"/>
          <w:szCs w:val="22"/>
          <w:color w:val="auto"/>
        </w:rPr>
        <w:t>” means the SIX Swiss Exchange AG (or any successor administrator of the Swiss Average Rate Overnight).</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 Administrator’s Website</w:t>
      </w:r>
      <w:r>
        <w:rPr>
          <w:rFonts w:ascii="Arial" w:cs="Arial" w:eastAsia="Arial" w:hAnsi="Arial"/>
          <w:sz w:val="22"/>
          <w:szCs w:val="22"/>
          <w:color w:val="auto"/>
        </w:rPr>
        <w:t>” means SIX Swiss Exchange AG’s website, currently at https://www.six-group.com, or any successor source for the Swiss Average Rate Overnight identified as such by the SARON Administrator from time to time.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SBA</w:t>
      </w:r>
      <w:r>
        <w:rPr>
          <w:rFonts w:ascii="Arial" w:cs="Arial" w:eastAsia="Arial" w:hAnsi="Arial"/>
          <w:sz w:val="22"/>
          <w:szCs w:val="22"/>
          <w:color w:val="auto"/>
        </w:rPr>
        <w:t>” means the United States Small Business Administration.</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SBIC Equity Commitment</w:t>
      </w:r>
      <w:r>
        <w:rPr>
          <w:rFonts w:ascii="Arial" w:cs="Arial" w:eastAsia="Arial" w:hAnsi="Arial"/>
          <w:sz w:val="22"/>
          <w:szCs w:val="22"/>
          <w:color w:val="auto"/>
        </w:rPr>
        <w:t>” means a commitment by the Borrower to make one or more capital contributions to an SBIC Subsidiary.</w:t>
      </w:r>
    </w:p>
    <w:p>
      <w:pPr>
        <w:spacing w:after="0" w:line="175"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SBIC Subsidiary</w:t>
      </w:r>
      <w:r>
        <w:rPr>
          <w:rFonts w:ascii="Arial" w:cs="Arial" w:eastAsia="Arial" w:hAnsi="Arial"/>
          <w:sz w:val="19"/>
          <w:szCs w:val="19"/>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5" w:name="page196"/>
    <w:bookmarkEnd w:id="195"/>
    <w:p>
      <w:pPr>
        <w:jc w:val="both"/>
        <w:spacing w:after="0" w:line="273" w:lineRule="auto"/>
        <w:rPr>
          <w:sz w:val="20"/>
          <w:szCs w:val="20"/>
          <w:color w:val="auto"/>
        </w:rPr>
      </w:pPr>
      <w:r>
        <w:rPr>
          <w:rFonts w:ascii="Arial" w:cs="Arial" w:eastAsia="Arial" w:hAnsi="Arial"/>
          <w:sz w:val="19"/>
          <w:szCs w:val="19"/>
          <w:color w:val="auto"/>
        </w:rPr>
        <w:t>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61"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Screen Rate</w:t>
      </w:r>
      <w:r>
        <w:rPr>
          <w:rFonts w:ascii="Arial" w:cs="Arial" w:eastAsia="Arial" w:hAnsi="Arial"/>
          <w:sz w:val="21"/>
          <w:szCs w:val="21"/>
          <w:color w:val="auto"/>
        </w:rPr>
        <w:t>” means each of the LIBO Screen Rate, the EURIBOR Screen Rate, the CDOR Screen Rate, the BBSY Screen Rate, the BKBM Screen Rate, the STIBOR Screen Rate and the TIBOR Screen Rate.</w:t>
      </w:r>
    </w:p>
    <w:p>
      <w:pPr>
        <w:spacing w:after="0" w:line="15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Debt Amount</w:t>
      </w:r>
      <w:r>
        <w:rPr>
          <w:rFonts w:ascii="Arial" w:cs="Arial" w:eastAsia="Arial" w:hAnsi="Arial"/>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86"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Longer-Term Indebtedness</w:t>
      </w:r>
      <w:r>
        <w:rPr>
          <w:rFonts w:ascii="Arial" w:cs="Arial" w:eastAsia="Arial" w:hAnsi="Arial"/>
          <w:sz w:val="19"/>
          <w:szCs w:val="19"/>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61"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Shorter-Term Indebtedness</w:t>
      </w:r>
      <w:r>
        <w:rPr>
          <w:rFonts w:ascii="Arial" w:cs="Arial" w:eastAsia="Arial" w:hAnsi="Arial"/>
          <w:sz w:val="19"/>
          <w:szCs w:val="19"/>
          <w:color w:val="auto"/>
        </w:rPr>
        <w:t>”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6" w:name="page197"/>
    <w:bookmarkEnd w:id="196"/>
    <w:p>
      <w:pPr>
        <w:jc w:val="both"/>
        <w:ind w:right="20"/>
        <w:spacing w:after="0" w:line="328" w:lineRule="auto"/>
        <w:rPr>
          <w:sz w:val="20"/>
          <w:szCs w:val="20"/>
          <w:color w:val="auto"/>
        </w:rPr>
      </w:pPr>
      <w:r>
        <w:rPr>
          <w:rFonts w:ascii="Arial" w:cs="Arial" w:eastAsia="Arial" w:hAnsi="Arial"/>
          <w:sz w:val="19"/>
          <w:szCs w:val="19"/>
          <w:color w:val="auto"/>
        </w:rPr>
        <w:t xml:space="preserve">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9"/>
          <w:szCs w:val="19"/>
          <w:u w:val="single" w:color="auto"/>
          <w:color w:val="auto"/>
        </w:rPr>
        <w:t>Section 6.11(a)</w:t>
      </w:r>
      <w:r>
        <w:rPr>
          <w:rFonts w:ascii="Arial" w:cs="Arial" w:eastAsia="Arial" w:hAnsi="Arial"/>
          <w:sz w:val="19"/>
          <w:szCs w:val="19"/>
          <w:color w:val="auto"/>
        </w:rPr>
        <w:t>.</w:t>
      </w:r>
    </w:p>
    <w:p>
      <w:pPr>
        <w:spacing w:after="0" w:line="105" w:lineRule="exact"/>
        <w:rPr>
          <w:sz w:val="20"/>
          <w:szCs w:val="20"/>
          <w:color w:val="auto"/>
        </w:rPr>
      </w:pPr>
    </w:p>
    <w:p>
      <w:pPr>
        <w:jc w:val="both"/>
        <w:ind w:right="20" w:firstLine="17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77" w:lineRule="exact"/>
        <w:rPr>
          <w:sz w:val="20"/>
          <w:szCs w:val="20"/>
          <w:color w:val="auto"/>
        </w:rPr>
      </w:pPr>
    </w:p>
    <w:p>
      <w:pPr>
        <w:jc w:val="both"/>
        <w:ind w:right="4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Shareholders’ Equity</w:t>
      </w:r>
      <w:r>
        <w:rPr>
          <w:rFonts w:ascii="Arial" w:cs="Arial" w:eastAsia="Arial" w:hAnsi="Arial"/>
          <w:sz w:val="21"/>
          <w:szCs w:val="21"/>
          <w:color w:val="auto"/>
        </w:rPr>
        <w:t>” means, at any date, the amount determined on a consolidated basis, without duplication, in accordance with GAAP, of shareholders equity for the Borrower and its Subsidiaries at such date.</w:t>
      </w:r>
    </w:p>
    <w:p>
      <w:pPr>
        <w:spacing w:after="0" w:line="151"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SONIA</w:t>
      </w:r>
      <w:r>
        <w:rPr>
          <w:rFonts w:ascii="Arial" w:cs="Arial" w:eastAsia="Arial" w:hAnsi="Arial"/>
          <w:sz w:val="21"/>
          <w:szCs w:val="21"/>
          <w:color w:val="auto"/>
        </w:rPr>
        <w:t>” means a rate equal to the Sterling Overnight Index Average as administered by the SONIA</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Administrator.</w:t>
      </w:r>
    </w:p>
    <w:p>
      <w:pPr>
        <w:spacing w:after="0" w:line="188"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175"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86"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 Subsidiary</w:t>
      </w:r>
      <w:r>
        <w:rPr>
          <w:rFonts w:ascii="Arial" w:cs="Arial" w:eastAsia="Arial" w:hAnsi="Arial"/>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Pr>
          <w:p>
            <w:pPr>
              <w:ind w:left="280"/>
              <w:spacing w:after="0"/>
              <w:rPr>
                <w:sz w:val="20"/>
                <w:szCs w:val="20"/>
                <w:color w:val="auto"/>
              </w:rPr>
            </w:pPr>
            <w:r>
              <w:rPr>
                <w:rFonts w:ascii="Arial" w:cs="Arial" w:eastAsia="Arial" w:hAnsi="Arial"/>
                <w:sz w:val="22"/>
                <w:szCs w:val="22"/>
                <w:color w:val="auto"/>
              </w:rPr>
              <w:t>(a)</w:t>
            </w:r>
          </w:p>
        </w:tc>
        <w:tc>
          <w:tcPr>
            <w:tcW w:w="10560" w:type="dxa"/>
            <w:vAlign w:val="bottom"/>
          </w:tcPr>
          <w:p>
            <w:pPr>
              <w:ind w:left="2480"/>
              <w:spacing w:after="0"/>
              <w:rPr>
                <w:sz w:val="20"/>
                <w:szCs w:val="20"/>
                <w:color w:val="auto"/>
              </w:rPr>
            </w:pPr>
            <w:r>
              <w:rPr>
                <w:rFonts w:ascii="Arial" w:cs="Arial" w:eastAsia="Arial" w:hAnsi="Arial"/>
                <w:sz w:val="22"/>
                <w:szCs w:val="22"/>
                <w:color w:val="auto"/>
                <w:w w:val="90"/>
              </w:rPr>
              <w:t>no portion of the Indebtedness or any other obligations (contingent or otherwise) of which (i)</w:t>
            </w:r>
          </w:p>
        </w:tc>
      </w:tr>
      <w:tr>
        <w:trPr>
          <w:trHeight w:val="243"/>
        </w:trPr>
        <w:tc>
          <w:tcPr>
            <w:tcW w:w="700" w:type="dxa"/>
            <w:vAlign w:val="bottom"/>
          </w:tcPr>
          <w:p>
            <w:pPr>
              <w:spacing w:after="0"/>
              <w:rPr>
                <w:sz w:val="21"/>
                <w:szCs w:val="21"/>
                <w:color w:val="auto"/>
              </w:rPr>
            </w:pPr>
          </w:p>
        </w:tc>
        <w:tc>
          <w:tcPr>
            <w:tcW w:w="10560" w:type="dxa"/>
            <w:vAlign w:val="bottom"/>
          </w:tcPr>
          <w:p>
            <w:pPr>
              <w:ind w:left="1020"/>
              <w:spacing w:after="0" w:line="243" w:lineRule="exact"/>
              <w:rPr>
                <w:sz w:val="20"/>
                <w:szCs w:val="20"/>
                <w:color w:val="auto"/>
              </w:rPr>
            </w:pPr>
            <w:r>
              <w:rPr>
                <w:rFonts w:ascii="Arial" w:cs="Arial" w:eastAsia="Arial" w:hAnsi="Arial"/>
                <w:sz w:val="22"/>
                <w:szCs w:val="22"/>
                <w:color w:val="auto"/>
                <w:w w:val="89"/>
              </w:rPr>
              <w:t>is Guaranteed by any Obligor (other than Guarantees in respect of Standard Securitization Undertakings), (ii)</w:t>
            </w:r>
          </w:p>
        </w:tc>
      </w:tr>
      <w:tr>
        <w:trPr>
          <w:trHeight w:val="243"/>
        </w:trPr>
        <w:tc>
          <w:tcPr>
            <w:tcW w:w="700" w:type="dxa"/>
            <w:vAlign w:val="bottom"/>
          </w:tcPr>
          <w:p>
            <w:pPr>
              <w:spacing w:after="0"/>
              <w:rPr>
                <w:sz w:val="21"/>
                <w:szCs w:val="21"/>
                <w:color w:val="auto"/>
              </w:rPr>
            </w:pPr>
          </w:p>
        </w:tc>
        <w:tc>
          <w:tcPr>
            <w:tcW w:w="10560" w:type="dxa"/>
            <w:vAlign w:val="bottom"/>
          </w:tcPr>
          <w:p>
            <w:pPr>
              <w:ind w:left="1020"/>
              <w:spacing w:after="0" w:line="243" w:lineRule="exact"/>
              <w:rPr>
                <w:sz w:val="20"/>
                <w:szCs w:val="20"/>
                <w:color w:val="auto"/>
              </w:rPr>
            </w:pPr>
            <w:r>
              <w:rPr>
                <w:rFonts w:ascii="Arial" w:cs="Arial" w:eastAsia="Arial" w:hAnsi="Arial"/>
                <w:sz w:val="22"/>
                <w:szCs w:val="22"/>
                <w:color w:val="auto"/>
              </w:rPr>
              <w:t>is recourse to or obligates any Obligor in any way other than pursuant to Standard Securitization</w:t>
            </w:r>
          </w:p>
        </w:tc>
      </w:tr>
      <w:tr>
        <w:trPr>
          <w:trHeight w:val="243"/>
        </w:trPr>
        <w:tc>
          <w:tcPr>
            <w:tcW w:w="700" w:type="dxa"/>
            <w:vAlign w:val="bottom"/>
          </w:tcPr>
          <w:p>
            <w:pPr>
              <w:spacing w:after="0"/>
              <w:rPr>
                <w:sz w:val="21"/>
                <w:szCs w:val="21"/>
                <w:color w:val="auto"/>
              </w:rPr>
            </w:pPr>
          </w:p>
        </w:tc>
        <w:tc>
          <w:tcPr>
            <w:tcW w:w="10560" w:type="dxa"/>
            <w:vAlign w:val="bottom"/>
          </w:tcPr>
          <w:p>
            <w:pPr>
              <w:ind w:left="1020"/>
              <w:spacing w:after="0" w:line="243" w:lineRule="exact"/>
              <w:rPr>
                <w:sz w:val="20"/>
                <w:szCs w:val="20"/>
                <w:color w:val="auto"/>
              </w:rPr>
            </w:pPr>
            <w:r>
              <w:rPr>
                <w:rFonts w:ascii="Arial" w:cs="Arial" w:eastAsia="Arial" w:hAnsi="Arial"/>
                <w:sz w:val="22"/>
                <w:szCs w:val="22"/>
                <w:color w:val="auto"/>
                <w:w w:val="91"/>
              </w:rPr>
              <w:t>Undertakings or (iii) subjects any property of any Obligor, directly or indirectly, contingently or otherwise, to</w:t>
            </w:r>
          </w:p>
        </w:tc>
      </w:tr>
      <w:tr>
        <w:trPr>
          <w:trHeight w:val="243"/>
        </w:trPr>
        <w:tc>
          <w:tcPr>
            <w:tcW w:w="700" w:type="dxa"/>
            <w:vAlign w:val="bottom"/>
          </w:tcPr>
          <w:p>
            <w:pPr>
              <w:spacing w:after="0"/>
              <w:rPr>
                <w:sz w:val="21"/>
                <w:szCs w:val="21"/>
                <w:color w:val="auto"/>
              </w:rPr>
            </w:pPr>
          </w:p>
        </w:tc>
        <w:tc>
          <w:tcPr>
            <w:tcW w:w="10560" w:type="dxa"/>
            <w:vAlign w:val="bottom"/>
          </w:tcPr>
          <w:p>
            <w:pPr>
              <w:ind w:left="1020"/>
              <w:spacing w:after="0" w:line="243" w:lineRule="exact"/>
              <w:rPr>
                <w:sz w:val="20"/>
                <w:szCs w:val="20"/>
                <w:color w:val="auto"/>
              </w:rPr>
            </w:pPr>
            <w:r>
              <w:rPr>
                <w:rFonts w:ascii="Arial" w:cs="Arial" w:eastAsia="Arial" w:hAnsi="Arial"/>
                <w:sz w:val="22"/>
                <w:szCs w:val="22"/>
                <w:color w:val="auto"/>
                <w:w w:val="95"/>
              </w:rPr>
              <w:t>the satisfaction thereof, other than pursuant to Standard Securitization Undertakings or any Guarantee</w:t>
            </w:r>
          </w:p>
        </w:tc>
      </w:tr>
      <w:tr>
        <w:trPr>
          <w:trHeight w:val="274"/>
        </w:trPr>
        <w:tc>
          <w:tcPr>
            <w:tcW w:w="700" w:type="dxa"/>
            <w:vAlign w:val="bottom"/>
          </w:tcPr>
          <w:p>
            <w:pPr>
              <w:spacing w:after="0"/>
              <w:rPr>
                <w:sz w:val="23"/>
                <w:szCs w:val="23"/>
                <w:color w:val="auto"/>
              </w:rPr>
            </w:pPr>
          </w:p>
        </w:tc>
        <w:tc>
          <w:tcPr>
            <w:tcW w:w="10560" w:type="dxa"/>
            <w:vAlign w:val="bottom"/>
          </w:tcPr>
          <w:p>
            <w:pPr>
              <w:ind w:left="1020"/>
              <w:spacing w:after="0"/>
              <w:rPr>
                <w:sz w:val="20"/>
                <w:szCs w:val="20"/>
                <w:color w:val="auto"/>
              </w:rPr>
            </w:pPr>
            <w:r>
              <w:rPr>
                <w:rFonts w:ascii="Arial" w:cs="Arial" w:eastAsia="Arial" w:hAnsi="Arial"/>
                <w:sz w:val="22"/>
                <w:szCs w:val="22"/>
                <w:color w:val="auto"/>
              </w:rPr>
              <w:t>thereof,</w:t>
            </w:r>
          </w:p>
        </w:tc>
      </w:tr>
      <w:tr>
        <w:trPr>
          <w:trHeight w:val="428"/>
        </w:trPr>
        <w:tc>
          <w:tcPr>
            <w:tcW w:w="700" w:type="dxa"/>
            <w:vAlign w:val="bottom"/>
          </w:tcPr>
          <w:p>
            <w:pPr>
              <w:ind w:left="280"/>
              <w:spacing w:after="0"/>
              <w:rPr>
                <w:sz w:val="20"/>
                <w:szCs w:val="20"/>
                <w:color w:val="auto"/>
              </w:rPr>
            </w:pPr>
            <w:r>
              <w:rPr>
                <w:rFonts w:ascii="Arial" w:cs="Arial" w:eastAsia="Arial" w:hAnsi="Arial"/>
                <w:sz w:val="22"/>
                <w:szCs w:val="22"/>
                <w:color w:val="auto"/>
              </w:rPr>
              <w:t>(b)</w:t>
            </w:r>
          </w:p>
        </w:tc>
        <w:tc>
          <w:tcPr>
            <w:tcW w:w="10560" w:type="dxa"/>
            <w:vAlign w:val="bottom"/>
          </w:tcPr>
          <w:p>
            <w:pPr>
              <w:ind w:left="2480"/>
              <w:spacing w:after="0"/>
              <w:rPr>
                <w:sz w:val="20"/>
                <w:szCs w:val="20"/>
                <w:color w:val="auto"/>
              </w:rPr>
            </w:pPr>
            <w:r>
              <w:rPr>
                <w:rFonts w:ascii="Arial" w:cs="Arial" w:eastAsia="Arial" w:hAnsi="Arial"/>
                <w:sz w:val="22"/>
                <w:szCs w:val="22"/>
                <w:color w:val="auto"/>
                <w:w w:val="90"/>
              </w:rPr>
              <w:t>with which no Obligor has any material contract, agreement, arrangement or understanding</w:t>
            </w:r>
          </w:p>
        </w:tc>
      </w:tr>
      <w:tr>
        <w:trPr>
          <w:trHeight w:val="243"/>
        </w:trPr>
        <w:tc>
          <w:tcPr>
            <w:tcW w:w="700" w:type="dxa"/>
            <w:vAlign w:val="bottom"/>
          </w:tcPr>
          <w:p>
            <w:pPr>
              <w:spacing w:after="0"/>
              <w:rPr>
                <w:sz w:val="21"/>
                <w:szCs w:val="21"/>
                <w:color w:val="auto"/>
              </w:rPr>
            </w:pPr>
          </w:p>
        </w:tc>
        <w:tc>
          <w:tcPr>
            <w:tcW w:w="10560" w:type="dxa"/>
            <w:vAlign w:val="bottom"/>
          </w:tcPr>
          <w:p>
            <w:pPr>
              <w:ind w:left="1020"/>
              <w:spacing w:after="0" w:line="243" w:lineRule="exact"/>
              <w:rPr>
                <w:sz w:val="20"/>
                <w:szCs w:val="20"/>
                <w:color w:val="auto"/>
              </w:rPr>
            </w:pPr>
            <w:r>
              <w:rPr>
                <w:rFonts w:ascii="Arial" w:cs="Arial" w:eastAsia="Arial" w:hAnsi="Arial"/>
                <w:sz w:val="22"/>
                <w:szCs w:val="22"/>
                <w:color w:val="auto"/>
                <w:w w:val="90"/>
              </w:rPr>
              <w:t>other than on terms, taken as a whole, not materially less favorable to such Obligor than those that might be</w:t>
            </w:r>
          </w:p>
        </w:tc>
      </w:tr>
      <w:tr>
        <w:trPr>
          <w:trHeight w:val="243"/>
        </w:trPr>
        <w:tc>
          <w:tcPr>
            <w:tcW w:w="700" w:type="dxa"/>
            <w:vAlign w:val="bottom"/>
          </w:tcPr>
          <w:p>
            <w:pPr>
              <w:spacing w:after="0"/>
              <w:rPr>
                <w:sz w:val="21"/>
                <w:szCs w:val="21"/>
                <w:color w:val="auto"/>
              </w:rPr>
            </w:pPr>
          </w:p>
        </w:tc>
        <w:tc>
          <w:tcPr>
            <w:tcW w:w="10560" w:type="dxa"/>
            <w:vAlign w:val="bottom"/>
          </w:tcPr>
          <w:p>
            <w:pPr>
              <w:ind w:left="1020"/>
              <w:spacing w:after="0" w:line="243" w:lineRule="exact"/>
              <w:rPr>
                <w:sz w:val="20"/>
                <w:szCs w:val="20"/>
                <w:color w:val="auto"/>
              </w:rPr>
            </w:pPr>
            <w:r>
              <w:rPr>
                <w:rFonts w:ascii="Arial" w:cs="Arial" w:eastAsia="Arial" w:hAnsi="Arial"/>
                <w:sz w:val="22"/>
                <w:szCs w:val="22"/>
                <w:color w:val="auto"/>
                <w:w w:val="96"/>
              </w:rPr>
              <w:t>obtained at the time from Persons that are not Affiliates of any Obligor, other than fees payable in the</w:t>
            </w:r>
          </w:p>
        </w:tc>
      </w:tr>
      <w:tr>
        <w:trPr>
          <w:trHeight w:val="274"/>
        </w:trPr>
        <w:tc>
          <w:tcPr>
            <w:tcW w:w="700" w:type="dxa"/>
            <w:vAlign w:val="bottom"/>
          </w:tcPr>
          <w:p>
            <w:pPr>
              <w:spacing w:after="0"/>
              <w:rPr>
                <w:sz w:val="23"/>
                <w:szCs w:val="23"/>
                <w:color w:val="auto"/>
              </w:rPr>
            </w:pPr>
          </w:p>
        </w:tc>
        <w:tc>
          <w:tcPr>
            <w:tcW w:w="10560" w:type="dxa"/>
            <w:vAlign w:val="bottom"/>
          </w:tcPr>
          <w:p>
            <w:pPr>
              <w:ind w:left="1020"/>
              <w:spacing w:after="0"/>
              <w:rPr>
                <w:sz w:val="20"/>
                <w:szCs w:val="20"/>
                <w:color w:val="auto"/>
              </w:rPr>
            </w:pPr>
            <w:r>
              <w:rPr>
                <w:rFonts w:ascii="Arial" w:cs="Arial" w:eastAsia="Arial" w:hAnsi="Arial"/>
                <w:sz w:val="22"/>
                <w:szCs w:val="22"/>
                <w:color w:val="auto"/>
              </w:rPr>
              <w:t>ordinary course of business in connection with servicing receivables, and</w:t>
            </w:r>
          </w:p>
        </w:tc>
      </w:tr>
      <w:tr>
        <w:trPr>
          <w:trHeight w:val="585"/>
        </w:trPr>
        <w:tc>
          <w:tcPr>
            <w:tcW w:w="700" w:type="dxa"/>
            <w:vAlign w:val="bottom"/>
          </w:tcPr>
          <w:p>
            <w:pPr>
              <w:spacing w:after="0"/>
              <w:rPr>
                <w:sz w:val="24"/>
                <w:szCs w:val="24"/>
                <w:color w:val="auto"/>
              </w:rPr>
            </w:pPr>
          </w:p>
        </w:tc>
        <w:tc>
          <w:tcPr>
            <w:tcW w:w="10560" w:type="dxa"/>
            <w:vAlign w:val="bottom"/>
          </w:tcPr>
          <w:p>
            <w:pPr>
              <w:ind w:left="180"/>
              <w:spacing w:after="0"/>
              <w:rPr>
                <w:sz w:val="20"/>
                <w:szCs w:val="20"/>
                <w:color w:val="auto"/>
              </w:rPr>
            </w:pPr>
            <w:r>
              <w:rPr>
                <w:rFonts w:ascii="Arial" w:cs="Arial" w:eastAsia="Arial" w:hAnsi="Arial"/>
                <w:sz w:val="14"/>
                <w:szCs w:val="14"/>
                <w:color w:val="auto"/>
              </w:rPr>
              <w:t>38</w:t>
            </w:r>
          </w:p>
        </w:tc>
      </w:tr>
      <w:tr>
        <w:trPr>
          <w:trHeight w:val="100"/>
        </w:trPr>
        <w:tc>
          <w:tcPr>
            <w:tcW w:w="700" w:type="dxa"/>
            <w:vAlign w:val="bottom"/>
            <w:tcBorders>
              <w:bottom w:val="single" w:sz="8" w:color="9A9A9A"/>
            </w:tcBorders>
          </w:tcPr>
          <w:p>
            <w:pPr>
              <w:spacing w:after="0"/>
              <w:rPr>
                <w:sz w:val="8"/>
                <w:szCs w:val="8"/>
                <w:color w:val="auto"/>
              </w:rPr>
            </w:pPr>
          </w:p>
        </w:tc>
        <w:tc>
          <w:tcPr>
            <w:tcW w:w="10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97" w:name="page198"/>
    <w:bookmarkEnd w:id="197"/>
    <w:p>
      <w:pPr>
        <w:ind w:left="28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ind w:firstLine="1464"/>
        <w:spacing w:after="0" w:line="250" w:lineRule="auto"/>
        <w:rPr>
          <w:sz w:val="20"/>
          <w:szCs w:val="20"/>
          <w:color w:val="auto"/>
        </w:rPr>
      </w:pPr>
      <w:r>
        <w:rPr>
          <w:rFonts w:ascii="Arial" w:cs="Arial" w:eastAsia="Arial" w:hAnsi="Arial"/>
          <w:sz w:val="22"/>
          <w:szCs w:val="22"/>
          <w:color w:val="auto"/>
        </w:rPr>
        <w:t>to which no Obligor has any obligation to maintain or preserve such entity’s financial condition or cause such entity to achieve certain levels of operating results.</w:t>
      </w:r>
    </w:p>
    <w:p>
      <w:pPr>
        <w:spacing w:after="0" w:line="175" w:lineRule="exact"/>
        <w:rPr>
          <w:sz w:val="20"/>
          <w:szCs w:val="20"/>
          <w:color w:val="auto"/>
        </w:rPr>
      </w:pPr>
    </w:p>
    <w:p>
      <w:pPr>
        <w:sectPr>
          <w:pgSz w:w="11900" w:h="16838" w:orient="portrait"/>
          <w:cols w:equalWidth="0" w:num="2">
            <w:col w:w="1000" w:space="720"/>
            <w:col w:w="9520"/>
          </w:cols>
          <w:pgMar w:left="320" w:top="361" w:right="339" w:bottom="1440" w:gutter="0" w:footer="0" w:header="0"/>
        </w:sectPr>
      </w:pPr>
    </w:p>
    <w:p>
      <w:pPr>
        <w:jc w:val="both"/>
        <w:ind w:firstLine="1727"/>
        <w:spacing w:after="0" w:line="252" w:lineRule="auto"/>
        <w:rPr>
          <w:sz w:val="20"/>
          <w:szCs w:val="20"/>
          <w:color w:val="auto"/>
        </w:rPr>
      </w:pPr>
      <w:r>
        <w:rPr>
          <w:rFonts w:ascii="Arial" w:cs="Arial" w:eastAsia="Arial" w:hAnsi="Arial"/>
          <w:sz w:val="21"/>
          <w:szCs w:val="21"/>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74"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Equity Interest</w:t>
      </w:r>
      <w:r>
        <w:rPr>
          <w:rFonts w:ascii="Arial" w:cs="Arial" w:eastAsia="Arial" w:hAnsi="Arial"/>
          <w:sz w:val="19"/>
          <w:szCs w:val="19"/>
          <w:color w:val="auto"/>
        </w:rPr>
        <w:t xml:space="preserve">” means any Equity Interest that is subject to a Lien in favor of creditors of the issuer of such Equity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Lien was created to secure Indebtedness owing by such issuer to such creditors,</w:t>
      </w:r>
    </w:p>
    <w:p>
      <w:pPr>
        <w:spacing w:after="0" w:line="1" w:lineRule="exact"/>
        <w:rPr>
          <w:sz w:val="20"/>
          <w:szCs w:val="20"/>
          <w:color w:val="auto"/>
        </w:rPr>
      </w:pPr>
    </w:p>
    <w:p>
      <w:pPr>
        <w:jc w:val="both"/>
        <w:ind w:firstLine="8"/>
        <w:spacing w:after="0" w:line="266" w:lineRule="auto"/>
        <w:tabs>
          <w:tab w:leader="none" w:pos="30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such Indebtedness was (i) in existence at the time the Obligors acquired such Equity Interest, (ii) incurred or assumed by such issuer substantially contemporaneously with such acquisition or (iii) already subject to a Lien granted to such creditors and</w:t>
      </w:r>
    </w:p>
    <w:p>
      <w:pPr>
        <w:spacing w:after="0" w:line="1" w:lineRule="exact"/>
        <w:rPr>
          <w:rFonts w:ascii="Arial" w:cs="Arial" w:eastAsia="Arial" w:hAnsi="Arial"/>
          <w:sz w:val="19"/>
          <w:szCs w:val="19"/>
          <w:color w:val="auto"/>
        </w:rPr>
      </w:pPr>
    </w:p>
    <w:p>
      <w:pPr>
        <w:ind w:firstLine="8"/>
        <w:spacing w:after="0" w:line="236" w:lineRule="auto"/>
        <w:tabs>
          <w:tab w:leader="none" w:pos="2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unless such Equity Interest is not intended to be included in the Collateral, the documentation creating or governing such Lien does not prohibit the inclusion of such Equity Interest in the Collateral.</w:t>
      </w:r>
    </w:p>
    <w:p>
      <w:pPr>
        <w:spacing w:after="0" w:line="187"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Unsecured Indebtedness</w:t>
      </w:r>
      <w:r>
        <w:rPr>
          <w:rFonts w:ascii="Arial" w:cs="Arial" w:eastAsia="Arial" w:hAnsi="Arial"/>
          <w:sz w:val="19"/>
          <w:szCs w:val="19"/>
          <w:color w:val="auto"/>
        </w:rPr>
        <w:t xml:space="preserve">” means Indebtedness of an Obligor issued after the Tenth Amendment Effective Date (which may be Guaranteed by Subsidiary Guarantors) that (a) has no amortization prior to, and a final maturity date not earlier than, five years from the date such Indebtedness is issued (it being understood that none of: (w) the conversion features under convertible notes; (x) the triggering and/or settlement thereof or (y) any cash payment made in respect thereof, shall constitute “amortization”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(b) is incurred pursuant to documentation containing (i) covenants and events of default that are not materially more burdensome on the Borrower than those set forth in the Loan Documents or</w:t>
      </w:r>
    </w:p>
    <w:p>
      <w:pPr>
        <w:spacing w:after="0" w:line="1" w:lineRule="exact"/>
        <w:rPr>
          <w:sz w:val="20"/>
          <w:szCs w:val="20"/>
          <w:color w:val="auto"/>
        </w:rPr>
      </w:pPr>
    </w:p>
    <w:p>
      <w:pPr>
        <w:jc w:val="both"/>
        <w:ind w:firstLine="8"/>
        <w:spacing w:after="0" w:line="248" w:lineRule="auto"/>
        <w:tabs>
          <w:tab w:leader="none" w:pos="46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terms substantially comparable to market terms for substantially similar debt of other similarly situated borrowers as determined by the Borrower in its reasonable judgment and (c) is not secured by any assets of any Obligor;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Special Unsecured Indebtedness shall not include any Indebtedness permitted pursuant to </w:t>
      </w:r>
      <w:r>
        <w:rPr>
          <w:rFonts w:ascii="Arial" w:cs="Arial" w:eastAsia="Arial" w:hAnsi="Arial"/>
          <w:sz w:val="21"/>
          <w:szCs w:val="21"/>
          <w:u w:val="single" w:color="auto"/>
          <w:color w:val="auto"/>
        </w:rPr>
        <w:t>Section 6.01(l)</w:t>
      </w:r>
      <w:r>
        <w:rPr>
          <w:rFonts w:ascii="Arial" w:cs="Arial" w:eastAsia="Arial" w:hAnsi="Arial"/>
          <w:sz w:val="21"/>
          <w:szCs w:val="21"/>
          <w:color w:val="auto"/>
        </w:rPr>
        <w:t>.</w:t>
      </w:r>
    </w:p>
    <w:p>
      <w:pPr>
        <w:spacing w:after="0" w:line="178"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Reserve Rate</w:t>
      </w:r>
      <w:r>
        <w:rPr>
          <w:rFonts w:ascii="Arial" w:cs="Arial" w:eastAsia="Arial" w:hAnsi="Arial"/>
          <w:sz w:val="22"/>
          <w:szCs w:val="22"/>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98" w:name="page199"/>
    <w:bookmarkEnd w:id="198"/>
    <w:p>
      <w:pPr>
        <w:jc w:val="both"/>
        <w:spacing w:after="0" w:line="257" w:lineRule="auto"/>
        <w:rPr>
          <w:sz w:val="20"/>
          <w:szCs w:val="20"/>
          <w:color w:val="auto"/>
        </w:rPr>
      </w:pPr>
      <w:r>
        <w:rPr>
          <w:rFonts w:ascii="Arial" w:cs="Arial" w:eastAsia="Arial" w:hAnsi="Arial"/>
          <w:sz w:val="21"/>
          <w:szCs w:val="21"/>
          <w:color w:val="auto"/>
        </w:rPr>
        <w:t>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means the lawful currency of the United Kingdom.</w:t>
      </w:r>
    </w:p>
    <w:p>
      <w:pPr>
        <w:spacing w:after="0" w:line="20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8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Swedish Krona</w:t>
      </w:r>
      <w:r>
        <w:rPr>
          <w:rFonts w:ascii="Arial" w:cs="Arial" w:eastAsia="Arial" w:hAnsi="Arial"/>
          <w:sz w:val="22"/>
          <w:szCs w:val="22"/>
          <w:color w:val="auto"/>
        </w:rPr>
        <w:t>” means the lawful currency of Sweden.</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Exposure</w:t>
      </w:r>
      <w:r>
        <w:rPr>
          <w:rFonts w:ascii="Arial" w:cs="Arial" w:eastAsia="Arial" w:hAnsi="Arial"/>
          <w:sz w:val="21"/>
          <w:szCs w:val="21"/>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74"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xml:space="preserve">” means any of Truist or JPMorgan Chase Bank, N.A., in its capacity as lender of Swingline Loans hereunder, and its successors in such capacity as provided in </w:t>
      </w:r>
      <w:r>
        <w:rPr>
          <w:rFonts w:ascii="Arial" w:cs="Arial" w:eastAsia="Arial" w:hAnsi="Arial"/>
          <w:sz w:val="22"/>
          <w:szCs w:val="22"/>
          <w:u w:val="single" w:color="auto"/>
          <w:color w:val="auto"/>
        </w:rPr>
        <w:t>Section 2.04(d)</w:t>
      </w:r>
      <w:r>
        <w:rPr>
          <w:rFonts w:ascii="Arial" w:cs="Arial" w:eastAsia="Arial" w:hAnsi="Arial"/>
          <w:sz w:val="22"/>
          <w:szCs w:val="22"/>
          <w:color w:val="auto"/>
        </w:rPr>
        <w: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Franc</w:t>
      </w:r>
      <w:r>
        <w:rPr>
          <w:rFonts w:ascii="Arial" w:cs="Arial" w:eastAsia="Arial" w:hAnsi="Arial"/>
          <w:sz w:val="22"/>
          <w:szCs w:val="22"/>
          <w:color w:val="auto"/>
        </w:rPr>
        <w:t>” means the lawful currency of Switzerland.</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Syndicated</w:t>
      </w:r>
      <w:r>
        <w:rPr>
          <w:rFonts w:ascii="Arial" w:cs="Arial" w:eastAsia="Arial" w:hAnsi="Arial"/>
          <w:sz w:val="22"/>
          <w:szCs w:val="22"/>
          <w:color w:val="auto"/>
        </w:rPr>
        <w:t xml:space="preserve">”, when used in reference to any Loan or Borrowing, refers to whether such Loan, or the Loans constituting such Borrowing, are made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the Trans-European Automated Real-time Gross Settlement Express Transfer payment system (or any successor settlement system as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9" w:name="page200"/>
    <w:bookmarkEnd w:id="199"/>
    <w:p>
      <w:pPr>
        <w:spacing w:after="0"/>
        <w:rPr>
          <w:sz w:val="20"/>
          <w:szCs w:val="20"/>
          <w:color w:val="auto"/>
        </w:rPr>
      </w:pPr>
      <w:r>
        <w:rPr>
          <w:rFonts w:ascii="Arial" w:cs="Arial" w:eastAsia="Arial" w:hAnsi="Arial"/>
          <w:sz w:val="21"/>
          <w:szCs w:val="21"/>
          <w:color w:val="auto"/>
        </w:rPr>
        <w:t>determined by the Administrative Agent to be a suitable replacement) is open for the settlement of payments in Euros.</w:t>
      </w:r>
    </w:p>
    <w:p>
      <w:pPr>
        <w:spacing w:after="0" w:line="21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Tenth Amendment Effective Date</w:t>
      </w:r>
      <w:r>
        <w:rPr>
          <w:rFonts w:ascii="Arial" w:cs="Arial" w:eastAsia="Arial" w:hAnsi="Arial"/>
          <w:sz w:val="22"/>
          <w:szCs w:val="22"/>
          <w:color w:val="auto"/>
        </w:rPr>
        <w:t>” means February 5, 2021.</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the forward-looking term rate based on SOFR that has been selected or recommended by the Relevant Governmental Body.</w:t>
      </w:r>
    </w:p>
    <w:p>
      <w:pPr>
        <w:spacing w:after="0" w:line="175"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means the earliest to occur of (i) the Extended Final Maturity Date, (ii) the date of the termination of the Commitments in full pursuant to </w:t>
      </w:r>
      <w:r>
        <w:rPr>
          <w:rFonts w:ascii="Arial" w:cs="Arial" w:eastAsia="Arial" w:hAnsi="Arial"/>
          <w:sz w:val="22"/>
          <w:szCs w:val="22"/>
          <w:u w:val="single" w:color="auto"/>
          <w:color w:val="auto"/>
        </w:rPr>
        <w:t>Section 2.08(c)</w:t>
      </w:r>
      <w:r>
        <w:rPr>
          <w:rFonts w:ascii="Arial" w:cs="Arial" w:eastAsia="Arial" w:hAnsi="Arial"/>
          <w:sz w:val="22"/>
          <w:szCs w:val="22"/>
          <w:color w:val="auto"/>
        </w:rPr>
        <w:t xml:space="preserve">, or (iii) the date on which the Commitments are terminated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Period</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5.12(b)(ii)(E)(x)</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Quarter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5.12(b)(ii)(B)</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w:t>
      </w:r>
      <w:r>
        <w:rPr>
          <w:rFonts w:ascii="Arial" w:cs="Arial" w:eastAsia="Arial" w:hAnsi="Arial"/>
          <w:sz w:val="22"/>
          <w:szCs w:val="22"/>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 Concentration Limitation</w:t>
      </w:r>
      <w:r>
        <w:rPr>
          <w:rFonts w:ascii="Arial" w:cs="Arial" w:eastAsia="Arial" w:hAnsi="Arial"/>
          <w:sz w:val="22"/>
          <w:szCs w:val="22"/>
          <w:color w:val="auto"/>
        </w:rPr>
        <w:t>” means, as of any date of determination, the amount by which the aggregate value of Equity Interests in Financing Subsidiaries held by the Obligors as of such date of determination exceeds 10% of the Total Assets as of such date of determination.</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Secured Debt</w:t>
      </w:r>
      <w:r>
        <w:rPr>
          <w:rFonts w:ascii="Arial" w:cs="Arial" w:eastAsia="Arial" w:hAnsi="Arial"/>
          <w:sz w:val="22"/>
          <w:szCs w:val="22"/>
          <w:color w:val="auto"/>
        </w:rPr>
        <w:t>” means, as of any date of determination, the aggregate amount of senior securities representing secured indebtedness of the Obligors as of such date of determination.</w:t>
      </w:r>
    </w:p>
    <w:p>
      <w:pPr>
        <w:spacing w:after="0" w:line="175"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Truist</w:t>
      </w:r>
      <w:r>
        <w:rPr>
          <w:rFonts w:ascii="Arial" w:cs="Arial" w:eastAsia="Arial" w:hAnsi="Arial"/>
          <w:sz w:val="22"/>
          <w:szCs w:val="22"/>
          <w:color w:val="auto"/>
        </w:rPr>
        <w:t>” means Truist Bank.</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or Borrowing, refers to whether the rate of interest on such Loan, or on the Loans constituting such Borrowing, is determined by reference to the Adjusted Eurocurrency Rate, Daily Simple RFR or the Alternate Base Rate.</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0" w:name="page201"/>
    <w:bookmarkEnd w:id="200"/>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Undisclosed Administration</w:t>
      </w:r>
      <w:r>
        <w:rPr>
          <w:rFonts w:ascii="Arial" w:cs="Arial" w:eastAsia="Arial" w:hAnsi="Arial"/>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Uniform Commercial Code</w:t>
      </w:r>
      <w:r>
        <w:rPr>
          <w:rFonts w:ascii="Arial" w:cs="Arial" w:eastAsia="Arial" w:hAnsi="Arial"/>
          <w:sz w:val="21"/>
          <w:szCs w:val="21"/>
          <w:color w:val="auto"/>
        </w:rPr>
        <w:t>” means the Uniform Commercial Code as in effect from time to time in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State of New York.</w:t>
      </w:r>
    </w:p>
    <w:p>
      <w:pPr>
        <w:spacing w:after="0" w:line="188"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Unsecured Longer-Term Indebtedness</w:t>
      </w:r>
      <w:r>
        <w:rPr>
          <w:rFonts w:ascii="Arial" w:cs="Arial" w:eastAsia="Arial" w:hAnsi="Arial"/>
          <w:sz w:val="21"/>
          <w:szCs w:val="21"/>
          <w:color w:val="auto"/>
        </w:rPr>
        <w:t xml:space="preserve">” means any Indebtedness of an Obligor (which may be Guaranteed by Subsidiary Guarantors) that (a) has no amortization prior to, and a final maturity date not earlier than, six months after the Extended Final Maturity Date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21"/>
          <w:szCs w:val="21"/>
          <w:u w:val="single" w:color="auto"/>
          <w:color w:val="auto"/>
        </w:rPr>
        <w:t>clause (a)</w:t>
      </w:r>
      <w:r>
        <w:rPr>
          <w:rFonts w:ascii="Arial" w:cs="Arial" w:eastAsia="Arial" w:hAnsi="Arial"/>
          <w:sz w:val="21"/>
          <w:szCs w:val="21"/>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84"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Unsecured Shorter-Term Indebtedness</w:t>
      </w:r>
      <w:r>
        <w:rPr>
          <w:rFonts w:ascii="Arial" w:cs="Arial" w:eastAsia="Arial" w:hAnsi="Arial"/>
          <w:sz w:val="21"/>
          <w:szCs w:val="21"/>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21"/>
          <w:szCs w:val="21"/>
          <w:u w:val="single" w:color="auto"/>
          <w:color w:val="auto"/>
        </w:rPr>
        <w:t>Section 6.11(a)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Unsecured Shorter-Term Indebtedness shall not include any Indebtedness permitted pursuant to </w:t>
      </w:r>
      <w:r>
        <w:rPr>
          <w:rFonts w:ascii="Arial" w:cs="Arial" w:eastAsia="Arial" w:hAnsi="Arial"/>
          <w:sz w:val="21"/>
          <w:szCs w:val="21"/>
          <w:u w:val="single" w:color="auto"/>
          <w:color w:val="auto"/>
        </w:rPr>
        <w:t>Section 6.01(l)</w:t>
      </w:r>
      <w:r>
        <w:rPr>
          <w:rFonts w:ascii="Arial" w:cs="Arial" w:eastAsia="Arial" w:hAnsi="Arial"/>
          <w:sz w:val="21"/>
          <w:szCs w:val="21"/>
          <w:color w:val="auto"/>
        </w:rPr>
        <w:t>.</w:t>
      </w:r>
    </w:p>
    <w:p>
      <w:pPr>
        <w:spacing w:after="0" w:line="174"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Unquoted Investments</w:t>
      </w:r>
      <w:r>
        <w:rPr>
          <w:rFonts w:ascii="Arial" w:cs="Arial" w:eastAsia="Arial" w:hAnsi="Arial"/>
          <w:sz w:val="22"/>
          <w:szCs w:val="22"/>
          <w:color w:val="auto"/>
        </w:rPr>
        <w:t xml:space="preserve">” means a Portfolio Investment with a value assigned by the Borrower pursuant to </w:t>
      </w:r>
      <w:r>
        <w:rPr>
          <w:rFonts w:ascii="Arial" w:cs="Arial" w:eastAsia="Arial" w:hAnsi="Arial"/>
          <w:sz w:val="22"/>
          <w:szCs w:val="22"/>
          <w:u w:val="single" w:color="auto"/>
          <w:color w:val="auto"/>
        </w:rPr>
        <w:t>Section 5.12(b)(ii)(B)</w:t>
      </w:r>
      <w:r>
        <w:rPr>
          <w:rFonts w:ascii="Arial" w:cs="Arial" w:eastAsia="Arial" w:hAnsi="Arial"/>
          <w:sz w:val="22"/>
          <w:szCs w:val="22"/>
          <w:color w:val="auto"/>
        </w:rPr>
        <w:t>.</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1" w:name="page202"/>
    <w:bookmarkEnd w:id="201"/>
    <w:p>
      <w:pPr>
        <w:jc w:val="both"/>
        <w:ind w:firstLine="1727"/>
        <w:spacing w:after="0" w:line="248"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Classification of Loans and Borrowings</w:t>
      </w:r>
      <w:r>
        <w:rPr>
          <w:rFonts w:ascii="Arial" w:cs="Arial" w:eastAsia="Arial" w:hAnsi="Arial"/>
          <w:sz w:val="21"/>
          <w:szCs w:val="21"/>
          <w:color w:val="auto"/>
        </w:rPr>
        <w:t>. For purposes of this Agreement, Loans may be classified and referred to by Class (e.g., a “Syndicated Dollar Loan” or “Syndicated Multicurrency Loan”), by Type (e.g., an “ABR Loan”) or by Class and Type (e.g., a “Syndicated Multicurrency Eurocurrency Loan”). Borrowings also may be classified and referred to by Class (e.g., a “Dollar Borrowing”, “Multicurrency Borrowing” or “Syndicated Borrowing”), by Type (e.g., an “ABR Borrowing”) or by Class and Type (e.g., a “Syndicated ABR Borrowing” or “Syndicated Multicurrency Eurocurrency Borrowing”). Loans and Borrowings may also be identified by Currency.</w:t>
      </w:r>
    </w:p>
    <w:p>
      <w:pPr>
        <w:spacing w:after="0" w:line="177"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0" w:lineRule="exact"/>
        <w:rPr>
          <w:sz w:val="20"/>
          <w:szCs w:val="20"/>
          <w:color w:val="auto"/>
        </w:rPr>
      </w:pPr>
    </w:p>
    <w:p>
      <w:pPr>
        <w:spacing w:after="0" w:line="211"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w:t>
      </w:r>
    </w:p>
    <w:p>
      <w:pPr>
        <w:spacing w:after="0" w:line="3" w:lineRule="exact"/>
        <w:rPr>
          <w:sz w:val="20"/>
          <w:szCs w:val="20"/>
          <w:color w:val="auto"/>
        </w:rPr>
      </w:pPr>
    </w:p>
    <w:p>
      <w:pPr>
        <w:jc w:val="both"/>
        <w:ind w:firstLine="8"/>
        <w:spacing w:after="0" w:line="234" w:lineRule="auto"/>
        <w:tabs>
          <w:tab w:leader="none" w:pos="31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all leases that are or would have been treated as operating leases for purposes of GAAP prior to the issuance on February 25, 2016 of the Accounting Standards Update (the “</w:t>
      </w:r>
      <w:r>
        <w:rPr>
          <w:rFonts w:ascii="Arial" w:cs="Arial" w:eastAsia="Arial" w:hAnsi="Arial"/>
          <w:sz w:val="22"/>
          <w:szCs w:val="22"/>
          <w:u w:val="single" w:color="auto"/>
          <w:color w:val="auto"/>
        </w:rPr>
        <w:t>ASU</w:t>
      </w:r>
      <w:r>
        <w:rPr>
          <w:rFonts w:ascii="Arial" w:cs="Arial" w:eastAsia="Arial" w:hAnsi="Arial"/>
          <w:sz w:val="22"/>
          <w:szCs w:val="22"/>
          <w:color w:val="auto"/>
        </w:rPr>
        <w:t>”) shall continue to be accounted for as operating leases for purposes of all financial definitions and calculations for purposes of the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2" w:name="page203"/>
    <w:bookmarkEnd w:id="202"/>
    <w:p>
      <w:pPr>
        <w:jc w:val="both"/>
        <w:spacing w:after="0" w:line="245" w:lineRule="auto"/>
        <w:rPr>
          <w:sz w:val="20"/>
          <w:szCs w:val="20"/>
          <w:color w:val="auto"/>
        </w:rPr>
      </w:pPr>
      <w:r>
        <w:rPr>
          <w:rFonts w:ascii="Arial" w:cs="Arial" w:eastAsia="Arial" w:hAnsi="Arial"/>
          <w:sz w:val="21"/>
          <w:szCs w:val="21"/>
          <w:color w:val="auto"/>
        </w:rPr>
        <w:t>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81"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Currencies; Currency Equivalents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69" w:lineRule="auto"/>
        <w:tabs>
          <w:tab w:leader="none" w:pos="2615"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Currencies Generally</w:t>
      </w:r>
      <w:r>
        <w:rPr>
          <w:rFonts w:ascii="Arial" w:cs="Arial" w:eastAsia="Arial" w:hAnsi="Arial"/>
          <w:sz w:val="19"/>
          <w:szCs w:val="19"/>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and the last sentence of </w:t>
      </w:r>
      <w:r>
        <w:rPr>
          <w:rFonts w:ascii="Arial" w:cs="Arial" w:eastAsia="Arial" w:hAnsi="Arial"/>
          <w:sz w:val="19"/>
          <w:szCs w:val="19"/>
          <w:u w:val="single" w:color="auto"/>
          <w:color w:val="auto"/>
        </w:rPr>
        <w:t>Section 2.17(a)</w:t>
      </w:r>
      <w:r>
        <w:rPr>
          <w:rFonts w:ascii="Arial" w:cs="Arial" w:eastAsia="Arial" w:hAnsi="Arial"/>
          <w:sz w:val="19"/>
          <w:szCs w:val="19"/>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w:t>
      </w:r>
    </w:p>
    <w:p>
      <w:pPr>
        <w:spacing w:after="0" w:line="4" w:lineRule="exact"/>
        <w:rPr>
          <w:rFonts w:ascii="Arial" w:cs="Arial" w:eastAsia="Arial" w:hAnsi="Arial"/>
          <w:sz w:val="19"/>
          <w:szCs w:val="19"/>
          <w:color w:val="auto"/>
        </w:rPr>
      </w:pPr>
    </w:p>
    <w:p>
      <w:pPr>
        <w:jc w:val="both"/>
        <w:ind w:firstLine="8"/>
        <w:spacing w:after="0" w:line="270" w:lineRule="auto"/>
        <w:tabs>
          <w:tab w:leader="none" w:pos="38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Arial" w:cs="Arial" w:eastAsia="Arial" w:hAnsi="Arial"/>
          <w:sz w:val="19"/>
          <w:szCs w:val="19"/>
          <w:u w:val="single" w:color="auto"/>
          <w:color w:val="auto"/>
        </w:rPr>
        <w:t>Sections 6.03(g)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6.04(f)</w:t>
      </w:r>
      <w:r>
        <w:rPr>
          <w:rFonts w:ascii="Arial" w:cs="Arial" w:eastAsia="Arial" w:hAnsi="Arial"/>
          <w:sz w:val="19"/>
          <w:szCs w:val="19"/>
          <w:color w:val="auto"/>
        </w:rPr>
        <w:t>, in no event shall the Borrower or any Obligor be deemed to not be in compliance with any such basket solely as a result of a change in exchange rates.</w:t>
      </w:r>
    </w:p>
    <w:p>
      <w:pPr>
        <w:spacing w:after="0" w:line="164" w:lineRule="exact"/>
        <w:rPr>
          <w:rFonts w:ascii="Arial" w:cs="Arial" w:eastAsia="Arial" w:hAnsi="Arial"/>
          <w:sz w:val="19"/>
          <w:szCs w:val="19"/>
          <w:color w:val="auto"/>
        </w:rPr>
      </w:pPr>
    </w:p>
    <w:p>
      <w:pPr>
        <w:jc w:val="both"/>
        <w:ind w:firstLine="1735"/>
        <w:spacing w:after="0" w:line="287" w:lineRule="auto"/>
        <w:tabs>
          <w:tab w:leader="none" w:pos="2627"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Special Provisions Relating to Euro</w:t>
      </w:r>
      <w:r>
        <w:rPr>
          <w:rFonts w:ascii="Arial" w:cs="Arial" w:eastAsia="Arial" w:hAnsi="Arial"/>
          <w:sz w:val="19"/>
          <w:szCs w:val="19"/>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and to the extent that any such</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3" w:name="page204"/>
    <w:bookmarkEnd w:id="203"/>
    <w:p>
      <w:pPr>
        <w:jc w:val="both"/>
        <w:spacing w:after="0" w:line="274" w:lineRule="auto"/>
        <w:rPr>
          <w:sz w:val="20"/>
          <w:szCs w:val="20"/>
          <w:color w:val="auto"/>
        </w:rPr>
      </w:pPr>
      <w:r>
        <w:rPr>
          <w:rFonts w:ascii="Arial" w:cs="Arial" w:eastAsia="Arial" w:hAnsi="Arial"/>
          <w:sz w:val="19"/>
          <w:szCs w:val="19"/>
          <w:color w:val="auto"/>
        </w:rPr>
        <w:t xml:space="preserve">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Borrowing denominated in such currency that is outstanding immediately prior to such date, such replacement shall take effect at the end of the Interest Period therefor.</w:t>
      </w:r>
    </w:p>
    <w:p>
      <w:pPr>
        <w:spacing w:after="0" w:line="15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8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The Commitments</w:t>
      </w:r>
      <w:r>
        <w:rPr>
          <w:rFonts w:ascii="Arial" w:cs="Arial" w:eastAsia="Arial" w:hAnsi="Arial"/>
          <w:sz w:val="19"/>
          <w:szCs w:val="19"/>
          <w:color w:val="auto"/>
        </w:rPr>
        <w:t>. Subject to the terms and conditions set forth herein:</w:t>
      </w:r>
    </w:p>
    <w:p>
      <w:pPr>
        <w:spacing w:after="0" w:line="206" w:lineRule="exact"/>
        <w:rPr>
          <w:sz w:val="20"/>
          <w:szCs w:val="20"/>
          <w:color w:val="auto"/>
        </w:rPr>
      </w:pPr>
    </w:p>
    <w:p>
      <w:pPr>
        <w:jc w:val="both"/>
        <w:ind w:firstLine="1735"/>
        <w:spacing w:after="0" w:line="282" w:lineRule="auto"/>
        <w:tabs>
          <w:tab w:leader="none" w:pos="261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47" w:lineRule="exact"/>
        <w:rPr>
          <w:rFonts w:ascii="Arial" w:cs="Arial" w:eastAsia="Arial" w:hAnsi="Arial"/>
          <w:sz w:val="19"/>
          <w:szCs w:val="19"/>
          <w:color w:val="auto"/>
        </w:rPr>
      </w:pPr>
    </w:p>
    <w:p>
      <w:pPr>
        <w:jc w:val="both"/>
        <w:ind w:firstLine="1735"/>
        <w:spacing w:after="0" w:line="248" w:lineRule="auto"/>
        <w:tabs>
          <w:tab w:leader="none" w:pos="262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4" w:name="page205"/>
    <w:bookmarkEnd w:id="204"/>
    <w:p>
      <w:pPr>
        <w:ind w:firstLine="1727"/>
        <w:spacing w:after="0" w:line="250" w:lineRule="auto"/>
        <w:rPr>
          <w:sz w:val="20"/>
          <w:szCs w:val="20"/>
          <w:color w:val="auto"/>
        </w:rPr>
      </w:pPr>
      <w:r>
        <w:rPr>
          <w:rFonts w:ascii="Arial" w:cs="Arial" w:eastAsia="Arial" w:hAnsi="Arial"/>
          <w:sz w:val="22"/>
          <w:szCs w:val="22"/>
          <w:color w:val="auto"/>
        </w:rPr>
        <w:t>Within the foregoing limits and subject to the terms and conditions set forth herein, the Borrower may borrow, prepay and reborrow Syndicated Loans.</w:t>
      </w:r>
    </w:p>
    <w:p>
      <w:pPr>
        <w:spacing w:after="0" w:line="175"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Obligations of Lenders</w:t>
      </w:r>
      <w:r>
        <w:rPr>
          <w:rFonts w:ascii="Arial" w:cs="Arial" w:eastAsia="Arial" w:hAnsi="Arial"/>
          <w:sz w:val="22"/>
          <w:szCs w:val="22"/>
          <w:color w:val="auto"/>
        </w:rPr>
        <w:t xml:space="preserve">. Each Syndicated Loan shall be made as part of a Borrowing consisting of Loans of the same Class of Commitments (other than with respect to any Syndicated Loan requested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w:t>
      </w:r>
    </w:p>
    <w:p>
      <w:pPr>
        <w:spacing w:after="0" w:line="187" w:lineRule="exact"/>
        <w:rPr>
          <w:rFonts w:ascii="Arial" w:cs="Arial" w:eastAsia="Arial" w:hAnsi="Arial"/>
          <w:sz w:val="22"/>
          <w:szCs w:val="22"/>
          <w:color w:val="auto"/>
        </w:rPr>
      </w:pPr>
    </w:p>
    <w:p>
      <w:pPr>
        <w:jc w:val="both"/>
        <w:ind w:firstLine="1735"/>
        <w:spacing w:after="0" w:line="277" w:lineRule="auto"/>
        <w:tabs>
          <w:tab w:leader="none" w:pos="2627"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Type of Loans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each Syndicated Borrowing of a Class shall be constituted entirely of ABR Loans, RFR Loans or of Eurocurrency Loans of such Class denominated in a single Currency as the Borrower may request in accordance herewith. Each ABR Loan shall be denominated in Dollars. Each Eurocurrency Loan shall be denominated in Dollars or an Agreed Foreign Currency (other than Sterling and Swiss Francs). Each RFR Loan shall be denominated in Sterling or Swiss Francs. Each Lender at its option may make any Eurocurrency Loan or RFR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51" w:lineRule="exact"/>
        <w:rPr>
          <w:rFonts w:ascii="Arial" w:cs="Arial" w:eastAsia="Arial" w:hAnsi="Arial"/>
          <w:sz w:val="19"/>
          <w:szCs w:val="19"/>
          <w:color w:val="auto"/>
        </w:rPr>
      </w:pPr>
    </w:p>
    <w:p>
      <w:pPr>
        <w:jc w:val="both"/>
        <w:ind w:firstLine="1735"/>
        <w:spacing w:after="0" w:line="279" w:lineRule="auto"/>
        <w:tabs>
          <w:tab w:leader="none" w:pos="261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Minimum Amounts</w:t>
      </w:r>
      <w:r>
        <w:rPr>
          <w:rFonts w:ascii="Arial" w:cs="Arial" w:eastAsia="Arial" w:hAnsi="Arial"/>
          <w:sz w:val="19"/>
          <w:szCs w:val="19"/>
          <w:color w:val="auto"/>
        </w:rPr>
        <w:t xml:space="preserve">. Each Eurocurrency Borrowing and RFR Loan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9"/>
          <w:szCs w:val="19"/>
          <w:u w:val="single" w:color="auto"/>
          <w:color w:val="auto"/>
        </w:rPr>
        <w:t>Section 2.05(f)</w:t>
      </w:r>
      <w:r>
        <w:rPr>
          <w:rFonts w:ascii="Arial" w:cs="Arial" w:eastAsia="Arial" w:hAnsi="Arial"/>
          <w:sz w:val="19"/>
          <w:szCs w:val="19"/>
          <w:color w:val="auto"/>
        </w:rPr>
        <w:t>. Borrowings of more than one Class, Currency and Type may be outstanding at the same time.</w:t>
      </w:r>
    </w:p>
    <w:p>
      <w:pPr>
        <w:spacing w:after="0" w:line="150" w:lineRule="exact"/>
        <w:rPr>
          <w:rFonts w:ascii="Arial" w:cs="Arial" w:eastAsia="Arial" w:hAnsi="Arial"/>
          <w:sz w:val="19"/>
          <w:szCs w:val="19"/>
          <w:color w:val="auto"/>
        </w:rPr>
      </w:pPr>
    </w:p>
    <w:p>
      <w:pPr>
        <w:jc w:val="both"/>
        <w:ind w:firstLine="1735"/>
        <w:spacing w:after="0" w:line="297" w:lineRule="auto"/>
        <w:tabs>
          <w:tab w:leader="none" w:pos="2627"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Limitations on Interest Periods</w:t>
      </w:r>
      <w:r>
        <w:rPr>
          <w:rFonts w:ascii="Arial" w:cs="Arial" w:eastAsia="Arial" w:hAnsi="Arial"/>
          <w:sz w:val="19"/>
          <w:szCs w:val="19"/>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 with respect to such Borrowing.</w:t>
      </w:r>
    </w:p>
    <w:p>
      <w:pPr>
        <w:spacing w:after="0" w:line="133" w:lineRule="exact"/>
        <w:rPr>
          <w:rFonts w:ascii="Arial" w:cs="Arial" w:eastAsia="Arial" w:hAnsi="Arial"/>
          <w:sz w:val="19"/>
          <w:szCs w:val="19"/>
          <w:color w:val="auto"/>
        </w:rPr>
      </w:pPr>
    </w:p>
    <w:p>
      <w:pPr>
        <w:jc w:val="both"/>
        <w:ind w:firstLine="1735"/>
        <w:spacing w:after="0" w:line="235" w:lineRule="auto"/>
        <w:tabs>
          <w:tab w:leader="none" w:pos="261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Treatment of Classes</w:t>
      </w:r>
      <w:r>
        <w:rPr>
          <w:rFonts w:ascii="Arial" w:cs="Arial" w:eastAsia="Arial" w:hAnsi="Arial"/>
          <w:sz w:val="22"/>
          <w:szCs w:val="22"/>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5" w:name="page206"/>
    <w:bookmarkEnd w:id="205"/>
    <w:p>
      <w:pPr>
        <w:ind w:left="860"/>
        <w:spacing w:after="0"/>
        <w:tabs>
          <w:tab w:leader="none" w:pos="29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Requests for Syndicated Borrowings</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74" w:lineRule="auto"/>
        <w:tabs>
          <w:tab w:leader="none" w:pos="1735"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Notice by the Borrower</w:t>
      </w:r>
      <w:r>
        <w:rPr>
          <w:rFonts w:ascii="Arial" w:cs="Arial" w:eastAsia="Arial" w:hAnsi="Arial"/>
          <w:sz w:val="19"/>
          <w:szCs w:val="19"/>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(iii) in the case of a RFR Borrowing, not later than 11:00 a.m., Atlanta, Georgia time, four Business Days before the date of the proposed Borrowing or (iv) in the case of a Syndicated ABR Borrowing, not later than 11:00 a.m., Atlanta, Georgia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58" w:lineRule="exact"/>
        <w:rPr>
          <w:rFonts w:ascii="Arial" w:cs="Arial" w:eastAsia="Arial" w:hAnsi="Arial"/>
          <w:sz w:val="19"/>
          <w:szCs w:val="19"/>
          <w:color w:val="auto"/>
        </w:rPr>
      </w:pPr>
    </w:p>
    <w:p>
      <w:pPr>
        <w:ind w:left="-880" w:firstLine="1735"/>
        <w:spacing w:after="0" w:line="250" w:lineRule="auto"/>
        <w:tabs>
          <w:tab w:leader="none" w:pos="1747"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Content of Borrowing Requests</w:t>
      </w:r>
      <w:r>
        <w:rPr>
          <w:rFonts w:ascii="Arial" w:cs="Arial" w:eastAsia="Arial" w:hAnsi="Arial"/>
          <w:sz w:val="22"/>
          <w:szCs w:val="22"/>
          <w:color w:val="auto"/>
        </w:rPr>
        <w:t xml:space="preserve">. Each telephonic and written Borrowing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640" w:hanging="851"/>
        <w:spacing w:after="0"/>
        <w:tabs>
          <w:tab w:leader="none" w:pos="164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whether such Borrowing is to be made under the Dollar Commitments or the Multicurrency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Commitments;</w:t>
      </w:r>
    </w:p>
    <w:p>
      <w:pPr>
        <w:spacing w:after="0" w:line="188" w:lineRule="exact"/>
        <w:rPr>
          <w:rFonts w:ascii="Arial" w:cs="Arial" w:eastAsia="Arial" w:hAnsi="Arial"/>
          <w:sz w:val="21"/>
          <w:szCs w:val="21"/>
          <w:color w:val="auto"/>
        </w:rPr>
      </w:pPr>
    </w:p>
    <w:p>
      <w:pPr>
        <w:ind w:left="1700" w:hanging="911"/>
        <w:spacing w:after="0"/>
        <w:tabs>
          <w:tab w:leader="none" w:pos="17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aggregate amount and Currency of the requested Borrowing;</w:t>
      </w:r>
    </w:p>
    <w:p>
      <w:pPr>
        <w:spacing w:after="0" w:line="206" w:lineRule="exact"/>
        <w:rPr>
          <w:rFonts w:ascii="Arial" w:cs="Arial" w:eastAsia="Arial" w:hAnsi="Arial"/>
          <w:sz w:val="22"/>
          <w:szCs w:val="22"/>
          <w:color w:val="auto"/>
        </w:rPr>
      </w:pPr>
    </w:p>
    <w:p>
      <w:pPr>
        <w:ind w:left="1760" w:hanging="971"/>
        <w:spacing w:after="0"/>
        <w:tabs>
          <w:tab w:leader="none" w:pos="176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06" w:lineRule="exact"/>
        <w:rPr>
          <w:rFonts w:ascii="Arial" w:cs="Arial" w:eastAsia="Arial" w:hAnsi="Arial"/>
          <w:sz w:val="22"/>
          <w:szCs w:val="22"/>
          <w:color w:val="auto"/>
        </w:rPr>
      </w:pPr>
    </w:p>
    <w:p>
      <w:pPr>
        <w:ind w:right="20" w:firstLine="789"/>
        <w:spacing w:after="0" w:line="250" w:lineRule="auto"/>
        <w:tabs>
          <w:tab w:leader="none" w:pos="175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 the case of a Syndicated Borrowing denominated in Dollars, whether such Borrowing is to be an ABR Borrowing or a Eurocurrency Borrowing;</w:t>
      </w:r>
    </w:p>
    <w:p>
      <w:pPr>
        <w:spacing w:after="0" w:line="174" w:lineRule="exact"/>
        <w:rPr>
          <w:rFonts w:ascii="Arial" w:cs="Arial" w:eastAsia="Arial" w:hAnsi="Arial"/>
          <w:sz w:val="22"/>
          <w:szCs w:val="22"/>
          <w:color w:val="auto"/>
        </w:rPr>
      </w:pPr>
    </w:p>
    <w:p>
      <w:pPr>
        <w:ind w:firstLine="789"/>
        <w:spacing w:after="0" w:line="250" w:lineRule="auto"/>
        <w:tabs>
          <w:tab w:leader="none" w:pos="169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 the case of a Borrowing denominated in an Agreed Foreign Currency, whether such Borrowing is to be a Eurocurrency Borrowing or a RFR Borrowing;</w:t>
      </w:r>
    </w:p>
    <w:p>
      <w:pPr>
        <w:spacing w:after="0" w:line="174" w:lineRule="exact"/>
        <w:rPr>
          <w:rFonts w:ascii="Arial" w:cs="Arial" w:eastAsia="Arial" w:hAnsi="Arial"/>
          <w:sz w:val="22"/>
          <w:szCs w:val="22"/>
          <w:color w:val="auto"/>
        </w:rPr>
      </w:pPr>
    </w:p>
    <w:p>
      <w:pPr>
        <w:ind w:firstLine="789"/>
        <w:spacing w:after="0" w:line="328" w:lineRule="auto"/>
        <w:tabs>
          <w:tab w:leader="none" w:pos="175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in the case of a Eurocurrency Borrowing or RFR Borrowing, the Interest Period therefor, which shall be a period contemplated by the definition of the term “Interest Period” and permitted under </w:t>
      </w:r>
      <w:r>
        <w:rPr>
          <w:rFonts w:ascii="Arial" w:cs="Arial" w:eastAsia="Arial" w:hAnsi="Arial"/>
          <w:sz w:val="19"/>
          <w:szCs w:val="19"/>
          <w:u w:val="single" w:color="auto"/>
          <w:color w:val="auto"/>
        </w:rPr>
        <w:t>Section 2.02(d)</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ind w:left="1800" w:hanging="1011"/>
        <w:spacing w:after="0"/>
        <w:tabs>
          <w:tab w:leader="none" w:pos="18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location and number of the Borrower’s account to which funds are to be disbursed.</w:t>
      </w:r>
    </w:p>
    <w:p>
      <w:pPr>
        <w:spacing w:after="0" w:line="206" w:lineRule="exact"/>
        <w:rPr>
          <w:rFonts w:ascii="Arial" w:cs="Arial" w:eastAsia="Arial" w:hAnsi="Arial"/>
          <w:sz w:val="22"/>
          <w:szCs w:val="22"/>
          <w:color w:val="auto"/>
        </w:rPr>
      </w:pPr>
    </w:p>
    <w:p>
      <w:pPr>
        <w:jc w:val="both"/>
        <w:ind w:left="-880" w:firstLine="1735"/>
        <w:spacing w:after="0"/>
        <w:tabs>
          <w:tab w:leader="none" w:pos="1735"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86" w:lineRule="exact"/>
        <w:rPr>
          <w:rFonts w:ascii="Arial" w:cs="Arial" w:eastAsia="Arial" w:hAnsi="Arial"/>
          <w:sz w:val="22"/>
          <w:szCs w:val="22"/>
          <w:color w:val="auto"/>
        </w:rPr>
      </w:pPr>
    </w:p>
    <w:p>
      <w:pPr>
        <w:jc w:val="both"/>
        <w:ind w:left="-880" w:firstLine="1735"/>
        <w:spacing w:after="0" w:line="287" w:lineRule="auto"/>
        <w:tabs>
          <w:tab w:leader="none" w:pos="1747"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Failure to Elect</w:t>
      </w:r>
      <w:r>
        <w:rPr>
          <w:rFonts w:ascii="Arial" w:cs="Arial" w:eastAsia="Arial" w:hAnsi="Arial"/>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06" w:name="page207"/>
    <w:bookmarkEnd w:id="206"/>
    <w:p>
      <w:pPr>
        <w:jc w:val="both"/>
        <w:spacing w:after="0" w:line="246" w:lineRule="auto"/>
        <w:rPr>
          <w:sz w:val="20"/>
          <w:szCs w:val="20"/>
          <w:color w:val="auto"/>
        </w:rPr>
      </w:pPr>
      <w:r>
        <w:rPr>
          <w:rFonts w:ascii="Arial" w:cs="Arial" w:eastAsia="Arial" w:hAnsi="Arial"/>
          <w:sz w:val="21"/>
          <w:szCs w:val="21"/>
          <w:color w:val="auto"/>
        </w:rPr>
        <w:t>Borrowing having an Interest Period of one month and, if an Agreed Foreign Currency has been specified, the requested Syndicated Borrowing shall be a Eurocurrency Borrowing or RFR Borrowing, as applicable, denominated in such Agreed Foreign Currency and having an Interest Period of one month. If a Eurocurrency Borrowing or RFR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84"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Swingline Loans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2" w:lineRule="auto"/>
        <w:tabs>
          <w:tab w:leader="none" w:pos="2615"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Agreement to Make Swingline Loans</w:t>
      </w:r>
      <w:r>
        <w:rPr>
          <w:rFonts w:ascii="Arial" w:cs="Arial" w:eastAsia="Arial" w:hAnsi="Arial"/>
          <w:sz w:val="19"/>
          <w:szCs w:val="19"/>
          <w:color w:val="auto"/>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 or the aggregate principal amount of outstanding Swingline Loans of any Swingline Lender exceeding $50,000,000, (ii) 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60" w:lineRule="exact"/>
        <w:rPr>
          <w:rFonts w:ascii="Arial" w:cs="Arial" w:eastAsia="Arial" w:hAnsi="Arial"/>
          <w:sz w:val="19"/>
          <w:szCs w:val="19"/>
          <w:color w:val="auto"/>
        </w:rPr>
      </w:pPr>
    </w:p>
    <w:p>
      <w:pPr>
        <w:jc w:val="both"/>
        <w:ind w:firstLine="1735"/>
        <w:spacing w:after="0" w:line="274" w:lineRule="auto"/>
        <w:tabs>
          <w:tab w:leader="none" w:pos="2627"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Notice of Swingline Loans by the Borrower</w:t>
      </w:r>
      <w:r>
        <w:rPr>
          <w:rFonts w:ascii="Arial" w:cs="Arial" w:eastAsia="Arial" w:hAnsi="Arial"/>
          <w:sz w:val="19"/>
          <w:szCs w:val="19"/>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by remittance to the applicable Issuing Bank) by 3:00 p.m., Atlanta, Georgia time, on the requested date of such Swingline Loan.</w:t>
      </w:r>
    </w:p>
    <w:p>
      <w:pPr>
        <w:spacing w:after="0" w:line="158" w:lineRule="exact"/>
        <w:rPr>
          <w:rFonts w:ascii="Arial" w:cs="Arial" w:eastAsia="Arial" w:hAnsi="Arial"/>
          <w:sz w:val="19"/>
          <w:szCs w:val="19"/>
          <w:color w:val="auto"/>
        </w:rPr>
      </w:pPr>
    </w:p>
    <w:p>
      <w:pPr>
        <w:jc w:val="both"/>
        <w:ind w:firstLine="1735"/>
        <w:spacing w:after="0" w:line="249" w:lineRule="auto"/>
        <w:tabs>
          <w:tab w:leader="none" w:pos="2615"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Participations by Lenders in Swingline Loans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2.20</w:t>
      </w:r>
      <w:r>
        <w:rPr>
          <w:rFonts w:ascii="Arial" w:cs="Arial" w:eastAsia="Arial" w:hAnsi="Arial"/>
          <w:sz w:val="21"/>
          <w:szCs w:val="21"/>
          <w:color w:val="auto"/>
        </w:rPr>
        <w:t>, any Swingline Lender may by written notice given to the Administrative Agent not later than 10:00 a.m., Atlanta, Georgia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7" w:name="page208"/>
    <w:bookmarkEnd w:id="207"/>
    <w:p>
      <w:pPr>
        <w:jc w:val="both"/>
        <w:spacing w:after="0" w:line="244" w:lineRule="auto"/>
        <w:rPr>
          <w:sz w:val="20"/>
          <w:szCs w:val="20"/>
          <w:color w:val="auto"/>
        </w:rPr>
      </w:pPr>
      <w:r>
        <w:rPr>
          <w:rFonts w:ascii="Arial" w:cs="Arial" w:eastAsia="Arial" w:hAnsi="Arial"/>
          <w:sz w:val="21"/>
          <w:szCs w:val="21"/>
          <w:color w:val="auto"/>
        </w:rPr>
        <w:t xml:space="preserve">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Lender shall be required to purchase a participation in a Swingline Loan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if (x)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88"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 xml:space="preserve">Subject to the foregoing and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each Lender acknowledges and agrees that its obligation to acquire participations in Swingline Loans pursuant to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w:t>
      </w:r>
      <w:r>
        <w:rPr>
          <w:rFonts w:ascii="Arial" w:cs="Arial" w:eastAsia="Arial" w:hAnsi="Arial"/>
          <w:sz w:val="19"/>
          <w:szCs w:val="19"/>
          <w:color w:val="auto"/>
        </w:rPr>
        <w:t xml:space="preserve"> </w:t>
      </w:r>
      <w:r>
        <w:rPr>
          <w:rFonts w:ascii="Arial" w:cs="Arial" w:eastAsia="Arial" w:hAnsi="Arial"/>
          <w:sz w:val="19"/>
          <w:szCs w:val="19"/>
          <w:u w:val="single" w:color="auto"/>
          <w:color w:val="auto"/>
        </w:rPr>
        <w:t>mutandis</w:t>
      </w:r>
      <w:r>
        <w:rPr>
          <w:rFonts w:ascii="Arial" w:cs="Arial" w:eastAsia="Arial" w:hAnsi="Arial"/>
          <w:sz w:val="19"/>
          <w:szCs w:val="19"/>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200" w:lineRule="exact"/>
        <w:rPr>
          <w:sz w:val="20"/>
          <w:szCs w:val="20"/>
          <w:color w:val="auto"/>
        </w:rPr>
      </w:pPr>
    </w:p>
    <w:p>
      <w:pPr>
        <w:spacing w:after="0" w:line="203" w:lineRule="exact"/>
        <w:rPr>
          <w:sz w:val="20"/>
          <w:szCs w:val="20"/>
          <w:color w:val="auto"/>
        </w:rPr>
      </w:pPr>
    </w:p>
    <w:p>
      <w:pPr>
        <w:jc w:val="both"/>
        <w:ind w:firstLine="1735"/>
        <w:spacing w:after="0" w:line="246" w:lineRule="auto"/>
        <w:tabs>
          <w:tab w:leader="none" w:pos="2627"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Resignation and Replacement of Swingline Lender</w:t>
      </w:r>
      <w:r>
        <w:rPr>
          <w:rFonts w:ascii="Arial" w:cs="Arial" w:eastAsia="Arial" w:hAnsi="Arial"/>
          <w:sz w:val="21"/>
          <w:szCs w:val="21"/>
          <w:color w:val="auto"/>
        </w:rPr>
        <w:t xml:space="preserve">. Any Swingline Lender may 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Arial" w:cs="Arial" w:eastAsia="Arial" w:hAnsi="Arial"/>
          <w:sz w:val="21"/>
          <w:szCs w:val="21"/>
          <w:u w:val="single" w:color="auto"/>
          <w:color w:val="auto"/>
        </w:rPr>
        <w:t>Section 2.19(a)</w:t>
      </w:r>
      <w:r>
        <w:rPr>
          <w:rFonts w:ascii="Arial" w:cs="Arial" w:eastAsia="Arial" w:hAnsi="Arial"/>
          <w:sz w:val="21"/>
          <w:szCs w:val="21"/>
          <w:color w:val="auto"/>
        </w:rPr>
        <w:t>, then each Swingline Lender may, upon prior written notice to the Borrower and the Administrative Agent, resign as a Swingline Lender, effective at the close of business Atlanta, Georgia time on a date specified in such notice (which date may not be less than five (5) Business Days after the date of such notice). On or after the effective date of any such</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8" w:name="page209"/>
    <w:bookmarkEnd w:id="208"/>
    <w:p>
      <w:pPr>
        <w:jc w:val="both"/>
        <w:spacing w:after="0" w:line="244" w:lineRule="auto"/>
        <w:rPr>
          <w:sz w:val="20"/>
          <w:szCs w:val="20"/>
          <w:color w:val="auto"/>
        </w:rPr>
      </w:pPr>
      <w:r>
        <w:rPr>
          <w:rFonts w:ascii="Arial" w:cs="Arial" w:eastAsia="Arial" w:hAnsi="Arial"/>
          <w:sz w:val="21"/>
          <w:szCs w:val="21"/>
          <w:color w:val="auto"/>
        </w:rPr>
        <w:t>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188"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terms and conditions set forth herein, in addition to the Loans provided for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Arial" w:cs="Arial" w:eastAsia="Arial" w:hAnsi="Arial"/>
          <w:sz w:val="21"/>
          <w:szCs w:val="21"/>
          <w:u w:val="single" w:color="auto"/>
          <w:color w:val="auto"/>
        </w:rPr>
        <w:t>Section 2.05</w:t>
      </w:r>
      <w:r>
        <w:rPr>
          <w:rFonts w:ascii="Arial" w:cs="Arial" w:eastAsia="Arial" w:hAnsi="Arial"/>
          <w:sz w:val="21"/>
          <w:szCs w:val="21"/>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88" w:lineRule="exact"/>
        <w:rPr>
          <w:rFonts w:ascii="Arial" w:cs="Arial" w:eastAsia="Arial" w:hAnsi="Arial"/>
          <w:sz w:val="21"/>
          <w:szCs w:val="21"/>
          <w:color w:val="auto"/>
        </w:rPr>
      </w:pPr>
    </w:p>
    <w:p>
      <w:pPr>
        <w:jc w:val="both"/>
        <w:ind w:firstLine="1735"/>
        <w:spacing w:after="0" w:line="272" w:lineRule="auto"/>
        <w:tabs>
          <w:tab w:leader="none" w:pos="2627"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or Extension</w:t>
      </w:r>
      <w:r>
        <w:rPr>
          <w:rFonts w:ascii="Arial" w:cs="Arial" w:eastAsia="Arial" w:hAnsi="Arial"/>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9" w:name="page210"/>
    <w:bookmarkEnd w:id="209"/>
    <w:p>
      <w:pPr>
        <w:jc w:val="both"/>
        <w:spacing w:after="0"/>
        <w:rPr>
          <w:sz w:val="20"/>
          <w:szCs w:val="20"/>
          <w:color w:val="auto"/>
        </w:rPr>
      </w:pPr>
      <w:r>
        <w:rPr>
          <w:rFonts w:ascii="Arial" w:cs="Arial" w:eastAsia="Arial" w:hAnsi="Arial"/>
          <w:sz w:val="22"/>
          <w:szCs w:val="22"/>
          <w:color w:val="auto"/>
        </w:rPr>
        <w:t>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86" w:lineRule="exact"/>
        <w:rPr>
          <w:sz w:val="20"/>
          <w:szCs w:val="20"/>
          <w:color w:val="auto"/>
        </w:rPr>
      </w:pPr>
    </w:p>
    <w:p>
      <w:pPr>
        <w:jc w:val="both"/>
        <w:ind w:firstLine="1735"/>
        <w:spacing w:after="0" w:line="270" w:lineRule="auto"/>
        <w:tabs>
          <w:tab w:leader="none" w:pos="2615"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Limitations on Amounts</w:t>
      </w:r>
      <w:r>
        <w:rPr>
          <w:rFonts w:ascii="Arial" w:cs="Arial" w:eastAsia="Arial" w:hAnsi="Arial"/>
          <w:sz w:val="19"/>
          <w:szCs w:val="19"/>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shall not exceed the amount set forth opposite the name of such Issuing Bank on </w:t>
      </w:r>
      <w:r>
        <w:rPr>
          <w:rFonts w:ascii="Arial" w:cs="Arial" w:eastAsia="Arial" w:hAnsi="Arial"/>
          <w:sz w:val="19"/>
          <w:szCs w:val="19"/>
          <w:u w:val="single" w:color="auto"/>
          <w:color w:val="auto"/>
        </w:rPr>
        <w:t>Schedule 2.05</w:t>
      </w:r>
      <w:r>
        <w:rPr>
          <w:rFonts w:ascii="Arial" w:cs="Arial" w:eastAsia="Arial" w:hAnsi="Arial"/>
          <w:sz w:val="19"/>
          <w:szCs w:val="19"/>
          <w:color w:val="auto"/>
        </w:rPr>
        <w:t xml:space="preserve"> (or such greater amount as such Issuing Bank may agree in its sole discretion);</w:t>
      </w:r>
    </w:p>
    <w:p>
      <w:pPr>
        <w:spacing w:after="0" w:line="1" w:lineRule="exact"/>
        <w:rPr>
          <w:rFonts w:ascii="Arial" w:cs="Arial" w:eastAsia="Arial" w:hAnsi="Arial"/>
          <w:sz w:val="19"/>
          <w:szCs w:val="19"/>
          <w:color w:val="auto"/>
        </w:rPr>
      </w:pPr>
    </w:p>
    <w:p>
      <w:pPr>
        <w:jc w:val="both"/>
        <w:ind w:firstLine="8"/>
        <w:spacing w:after="0" w:line="232" w:lineRule="auto"/>
        <w:tabs>
          <w:tab w:leader="none" w:pos="33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(iv) with respect to each Issuing Bank that is a Swingline Lender,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187" w:lineRule="exact"/>
        <w:rPr>
          <w:rFonts w:ascii="Arial" w:cs="Arial" w:eastAsia="Arial" w:hAnsi="Arial"/>
          <w:sz w:val="22"/>
          <w:szCs w:val="22"/>
          <w:color w:val="auto"/>
        </w:rPr>
      </w:pPr>
    </w:p>
    <w:p>
      <w:pPr>
        <w:jc w:val="both"/>
        <w:ind w:firstLine="1735"/>
        <w:spacing w:after="0" w:line="245" w:lineRule="auto"/>
        <w:tabs>
          <w:tab w:leader="none" w:pos="2627" w:val="left"/>
        </w:tabs>
        <w:numPr>
          <w:ilvl w:val="1"/>
          <w:numId w:val="153"/>
        </w:numPr>
        <w:rPr>
          <w:rFonts w:ascii="Arial" w:cs="Arial" w:eastAsia="Arial" w:hAnsi="Arial"/>
          <w:sz w:val="21"/>
          <w:szCs w:val="21"/>
          <w:color w:val="auto"/>
        </w:rPr>
      </w:pP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84" w:lineRule="exact"/>
        <w:rPr>
          <w:rFonts w:ascii="Arial" w:cs="Arial" w:eastAsia="Arial" w:hAnsi="Arial"/>
          <w:sz w:val="21"/>
          <w:szCs w:val="21"/>
          <w:color w:val="auto"/>
        </w:rPr>
      </w:pPr>
    </w:p>
    <w:p>
      <w:pPr>
        <w:jc w:val="both"/>
        <w:ind w:firstLine="1735"/>
        <w:spacing w:after="0" w:line="273" w:lineRule="auto"/>
        <w:tabs>
          <w:tab w:leader="none" w:pos="2615"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purchase a participation in a Letter of Credit pursuant to this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if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would not be satisfied in respect of a Borrowing at the time such Letter of Credit was issued and (y) the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0" w:name="page211"/>
    <w:bookmarkEnd w:id="210"/>
    <w:p>
      <w:pPr>
        <w:jc w:val="both"/>
        <w:spacing w:after="0" w:line="279" w:lineRule="auto"/>
        <w:rPr>
          <w:sz w:val="20"/>
          <w:szCs w:val="20"/>
          <w:color w:val="auto"/>
        </w:rPr>
      </w:pPr>
      <w:r>
        <w:rPr>
          <w:rFonts w:ascii="Arial" w:cs="Arial" w:eastAsia="Arial" w:hAnsi="Arial"/>
          <w:sz w:val="19"/>
          <w:szCs w:val="19"/>
          <w:color w:val="auto"/>
        </w:rPr>
        <w:t>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50"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200" w:lineRule="exact"/>
        <w:rPr>
          <w:sz w:val="20"/>
          <w:szCs w:val="20"/>
          <w:color w:val="auto"/>
        </w:rPr>
      </w:pPr>
    </w:p>
    <w:p>
      <w:pPr>
        <w:spacing w:after="0" w:line="207" w:lineRule="exact"/>
        <w:rPr>
          <w:sz w:val="20"/>
          <w:szCs w:val="20"/>
          <w:color w:val="auto"/>
        </w:rPr>
      </w:pPr>
    </w:p>
    <w:p>
      <w:pPr>
        <w:jc w:val="both"/>
        <w:ind w:firstLine="1735"/>
        <w:spacing w:after="0" w:line="271" w:lineRule="auto"/>
        <w:tabs>
          <w:tab w:leader="none" w:pos="2591"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If an Issuing Bank shall make any LC Disbursement in respect of a Letter of Credit, the Borrower shall reimburse such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w:t>
      </w:r>
    </w:p>
    <w:p>
      <w:pPr>
        <w:spacing w:after="0" w:line="3" w:lineRule="exact"/>
        <w:rPr>
          <w:rFonts w:ascii="Arial" w:cs="Arial" w:eastAsia="Arial" w:hAnsi="Arial"/>
          <w:sz w:val="19"/>
          <w:szCs w:val="19"/>
          <w:color w:val="auto"/>
        </w:rPr>
      </w:pPr>
    </w:p>
    <w:p>
      <w:pPr>
        <w:jc w:val="both"/>
        <w:ind w:firstLine="8"/>
        <w:spacing w:after="0" w:line="232" w:lineRule="auto"/>
        <w:tabs>
          <w:tab w:leader="none" w:pos="3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the Business Day immediately following the day that the Borrower receives such notice, if such notice is not received prior to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2.04</w:t>
      </w:r>
      <w:r>
        <w:rPr>
          <w:rFonts w:ascii="Arial" w:cs="Arial" w:eastAsia="Arial" w:hAnsi="Arial"/>
          <w:sz w:val="22"/>
          <w:szCs w:val="22"/>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9"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1" w:name="page212"/>
    <w:bookmarkEnd w:id="211"/>
    <w:p>
      <w:pPr>
        <w:jc w:val="both"/>
        <w:ind w:firstLine="1735"/>
        <w:spacing w:after="0" w:line="245" w:lineRule="auto"/>
        <w:tabs>
          <w:tab w:leader="none" w:pos="2627"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xml:space="preserve">. The Borrower’s obligation to reimburse LC Disbursements as provided in </w:t>
      </w:r>
      <w:r>
        <w:rPr>
          <w:rFonts w:ascii="Arial" w:cs="Arial" w:eastAsia="Arial" w:hAnsi="Arial"/>
          <w:sz w:val="21"/>
          <w:szCs w:val="21"/>
          <w:u w:val="single" w:color="auto"/>
          <w:color w:val="auto"/>
        </w:rPr>
        <w:t>paragraph (f)</w:t>
      </w:r>
      <w:r>
        <w:rPr>
          <w:rFonts w:ascii="Arial" w:cs="Arial" w:eastAsia="Arial" w:hAnsi="Arial"/>
          <w:sz w:val="21"/>
          <w:szCs w:val="21"/>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84"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55" w:lineRule="exact"/>
        <w:rPr>
          <w:sz w:val="20"/>
          <w:szCs w:val="20"/>
          <w:color w:val="auto"/>
        </w:rPr>
      </w:pPr>
    </w:p>
    <w:p>
      <w:pPr>
        <w:jc w:val="both"/>
        <w:ind w:left="880" w:firstLine="789"/>
        <w:spacing w:after="0" w:line="238" w:lineRule="auto"/>
        <w:tabs>
          <w:tab w:leader="none" w:pos="252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4" w:lineRule="exact"/>
        <w:rPr>
          <w:rFonts w:ascii="Arial" w:cs="Arial" w:eastAsia="Arial" w:hAnsi="Arial"/>
          <w:sz w:val="22"/>
          <w:szCs w:val="22"/>
          <w:color w:val="auto"/>
        </w:rPr>
      </w:pPr>
    </w:p>
    <w:p>
      <w:pPr>
        <w:ind w:left="880" w:firstLine="789"/>
        <w:spacing w:after="0" w:line="328" w:lineRule="auto"/>
        <w:tabs>
          <w:tab w:leader="none" w:pos="258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Issuing Banks shall have the right, in their sole discretion, to decline to accept such documents and to make such payment if such documents are not in strict compliance with the terms of such Letter of Credit; and</w:t>
      </w:r>
    </w:p>
    <w:p>
      <w:pPr>
        <w:spacing w:after="0" w:line="104" w:lineRule="exact"/>
        <w:rPr>
          <w:rFonts w:ascii="Arial" w:cs="Arial" w:eastAsia="Arial" w:hAnsi="Arial"/>
          <w:sz w:val="19"/>
          <w:szCs w:val="19"/>
          <w:color w:val="auto"/>
        </w:rPr>
      </w:pPr>
    </w:p>
    <w:p>
      <w:pPr>
        <w:jc w:val="both"/>
        <w:ind w:left="880" w:firstLine="789"/>
        <w:spacing w:after="0" w:line="238" w:lineRule="auto"/>
        <w:tabs>
          <w:tab w:leader="none" w:pos="264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5" w:lineRule="exact"/>
        <w:rPr>
          <w:sz w:val="20"/>
          <w:szCs w:val="20"/>
          <w:color w:val="auto"/>
        </w:rPr>
      </w:pPr>
    </w:p>
    <w:p>
      <w:pPr>
        <w:jc w:val="both"/>
        <w:ind w:firstLine="1735"/>
        <w:spacing w:after="0" w:line="287" w:lineRule="auto"/>
        <w:tabs>
          <w:tab w:leader="none" w:pos="2627"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of such demand for payment and whether such Issuing Bank has made or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2" w:name="page213"/>
    <w:bookmarkEnd w:id="212"/>
    <w:p>
      <w:pPr>
        <w:jc w:val="both"/>
        <w:spacing w:after="0" w:line="328" w:lineRule="auto"/>
        <w:rPr>
          <w:sz w:val="20"/>
          <w:szCs w:val="20"/>
          <w:color w:val="auto"/>
        </w:rPr>
      </w:pPr>
      <w:r>
        <w:rPr>
          <w:rFonts w:ascii="Arial" w:cs="Arial" w:eastAsia="Arial" w:hAnsi="Arial"/>
          <w:sz w:val="19"/>
          <w:szCs w:val="19"/>
          <w:color w:val="auto"/>
        </w:rPr>
        <w:t xml:space="preserve">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05" w:lineRule="exact"/>
        <w:rPr>
          <w:sz w:val="20"/>
          <w:szCs w:val="20"/>
          <w:color w:val="auto"/>
        </w:rPr>
      </w:pPr>
    </w:p>
    <w:p>
      <w:pPr>
        <w:jc w:val="both"/>
        <w:ind w:firstLine="1735"/>
        <w:spacing w:after="0" w:line="270" w:lineRule="auto"/>
        <w:tabs>
          <w:tab w:leader="none" w:pos="2579"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within two Business Days following the date when due pursuant to </w:t>
      </w:r>
      <w:r>
        <w:rPr>
          <w:rFonts w:ascii="Arial" w:cs="Arial" w:eastAsia="Arial" w:hAnsi="Arial"/>
          <w:sz w:val="19"/>
          <w:szCs w:val="19"/>
          <w:u w:val="single" w:color="auto"/>
          <w:color w:val="auto"/>
        </w:rPr>
        <w:t>paragraph</w:t>
      </w:r>
    </w:p>
    <w:p>
      <w:pPr>
        <w:spacing w:after="0" w:line="4" w:lineRule="exact"/>
        <w:rPr>
          <w:rFonts w:ascii="Arial" w:cs="Arial" w:eastAsia="Arial" w:hAnsi="Arial"/>
          <w:sz w:val="19"/>
          <w:szCs w:val="19"/>
          <w:color w:val="auto"/>
        </w:rPr>
      </w:pPr>
    </w:p>
    <w:p>
      <w:pPr>
        <w:jc w:val="both"/>
        <w:ind w:firstLine="8"/>
        <w:spacing w:after="0" w:line="287" w:lineRule="auto"/>
        <w:tabs>
          <w:tab w:leader="none" w:pos="293" w:val="left"/>
        </w:tabs>
        <w:numPr>
          <w:ilvl w:val="0"/>
          <w:numId w:val="160"/>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then the provisions of </w:t>
      </w:r>
      <w:r>
        <w:rPr>
          <w:rFonts w:ascii="Arial" w:cs="Arial" w:eastAsia="Arial" w:hAnsi="Arial"/>
          <w:sz w:val="19"/>
          <w:szCs w:val="19"/>
          <w:u w:val="single" w:color="auto"/>
          <w:color w:val="auto"/>
        </w:rPr>
        <w:t>Section 2.12(c)</w:t>
      </w:r>
      <w:r>
        <w:rPr>
          <w:rFonts w:ascii="Arial" w:cs="Arial" w:eastAsia="Arial" w:hAnsi="Arial"/>
          <w:sz w:val="19"/>
          <w:szCs w:val="19"/>
          <w:color w:val="auto"/>
        </w:rPr>
        <w:t xml:space="preserve"> shall apply. Interest accrued pursuant to this paragraph shall be for account of the applicable Issuing Bank, except that interest accrued on and after the date of payment by any Lender pursuant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to reimburse such Issuing Bank shall be for account of such Lender to the extent of such payment.</w:t>
      </w:r>
    </w:p>
    <w:p>
      <w:pPr>
        <w:spacing w:after="0" w:line="143" w:lineRule="exact"/>
        <w:rPr>
          <w:rFonts w:ascii="Arial" w:cs="Arial" w:eastAsia="Arial" w:hAnsi="Arial"/>
          <w:sz w:val="19"/>
          <w:szCs w:val="19"/>
          <w:u w:val="single" w:color="auto"/>
          <w:color w:val="auto"/>
        </w:rPr>
      </w:pPr>
    </w:p>
    <w:p>
      <w:pPr>
        <w:jc w:val="both"/>
        <w:ind w:firstLine="1735"/>
        <w:spacing w:after="0" w:line="270" w:lineRule="auto"/>
        <w:tabs>
          <w:tab w:leader="none" w:pos="2579"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Resignation and/or Replacement of an Issuing Bank</w:t>
      </w:r>
      <w:r>
        <w:rPr>
          <w:rFonts w:ascii="Arial" w:cs="Arial" w:eastAsia="Arial" w:hAnsi="Arial"/>
          <w:sz w:val="19"/>
          <w:szCs w:val="19"/>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735"/>
        <w:spacing w:after="0" w:line="287" w:lineRule="auto"/>
        <w:tabs>
          <w:tab w:leader="none" w:pos="2627"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the Borrower shall be required to provide Cash Collateral for LC Exposure pursuant to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or the last paragraph of </w:t>
      </w:r>
      <w:r>
        <w:rPr>
          <w:rFonts w:ascii="Arial" w:cs="Arial" w:eastAsia="Arial" w:hAnsi="Arial"/>
          <w:sz w:val="19"/>
          <w:szCs w:val="19"/>
          <w:u w:val="single" w:color="auto"/>
          <w:color w:val="auto"/>
        </w:rPr>
        <w:t>Article VII</w:t>
      </w:r>
      <w:r>
        <w:rPr>
          <w:rFonts w:ascii="Arial" w:cs="Arial" w:eastAsia="Arial" w:hAnsi="Arial"/>
          <w:sz w:val="19"/>
          <w:szCs w:val="19"/>
          <w:color w:val="auto"/>
        </w:rPr>
        <w:t>, the Borrower shall immediately deposit into a segregated collateral account or accounts (herein, collectively, the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Account</w:t>
      </w:r>
      <w:r>
        <w:rPr>
          <w:rFonts w:ascii="Arial" w:cs="Arial" w:eastAsia="Arial" w:hAnsi="Arial"/>
          <w:sz w:val="19"/>
          <w:szCs w:val="19"/>
          <w:color w:val="auto"/>
        </w:rPr>
        <w:t>”) in the name and under the dominion and control of the Administrative Agent Cash</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3" w:name="page214"/>
    <w:bookmarkEnd w:id="213"/>
    <w:p>
      <w:pPr>
        <w:jc w:val="both"/>
        <w:spacing w:after="0" w:line="234" w:lineRule="auto"/>
        <w:rPr>
          <w:sz w:val="20"/>
          <w:szCs w:val="20"/>
          <w:color w:val="auto"/>
        </w:rPr>
      </w:pPr>
      <w:r>
        <w:rPr>
          <w:rFonts w:ascii="Arial" w:cs="Arial" w:eastAsia="Arial" w:hAnsi="Arial"/>
          <w:sz w:val="22"/>
          <w:szCs w:val="22"/>
          <w:color w:val="auto"/>
        </w:rPr>
        <w:t xml:space="preserve">denominated in the Currency of the Letter of Credit under which such LC Exposure arises in an amount equal to the amount required under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2.10(b)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or the last paragraph of </w:t>
      </w:r>
      <w:r>
        <w:rPr>
          <w:rFonts w:ascii="Arial" w:cs="Arial" w:eastAsia="Arial" w:hAnsi="Arial"/>
          <w:sz w:val="22"/>
          <w:szCs w:val="22"/>
          <w:u w:val="single" w:color="auto"/>
          <w:color w:val="auto"/>
        </w:rPr>
        <w:t>Article VII</w:t>
      </w:r>
      <w:r>
        <w:rPr>
          <w:rFonts w:ascii="Arial" w:cs="Arial" w:eastAsia="Arial" w:hAnsi="Arial"/>
          <w:sz w:val="22"/>
          <w:szCs w:val="22"/>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91" w:lineRule="exact"/>
        <w:rPr>
          <w:sz w:val="20"/>
          <w:szCs w:val="20"/>
          <w:color w:val="auto"/>
        </w:rPr>
      </w:pPr>
    </w:p>
    <w:p>
      <w:pPr>
        <w:jc w:val="both"/>
        <w:ind w:firstLine="1735"/>
        <w:spacing w:after="0" w:line="246" w:lineRule="auto"/>
        <w:tabs>
          <w:tab w:leader="none" w:pos="2579"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Additional Issuing Banks</w:t>
      </w:r>
      <w:r>
        <w:rPr>
          <w:rFonts w:ascii="Arial" w:cs="Arial" w:eastAsia="Arial" w:hAnsi="Arial"/>
          <w:sz w:val="21"/>
          <w:szCs w:val="21"/>
          <w:color w:val="auto"/>
        </w:rPr>
        <w:t xml:space="preserve">. From time to time, the Borrower may, by notice to the Administrative Agent, designate additional Extending Lenders as an Issuing Bank, each of which agrees (in its sole discretion) to act in such capacity and is reasonably satisfactory to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notice shall include an updated Schedule 2.05;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84"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5" w:lineRule="auto"/>
        <w:tabs>
          <w:tab w:leader="none" w:pos="2615"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Funding by Lenders</w:t>
      </w:r>
      <w:r>
        <w:rPr>
          <w:rFonts w:ascii="Arial" w:cs="Arial" w:eastAsia="Arial" w:hAnsi="Arial"/>
          <w:sz w:val="21"/>
          <w:szCs w:val="21"/>
          <w:color w:val="auto"/>
        </w:rPr>
        <w:t xml:space="preserve">. Each Lender shall make each Loan to be made by it hereunder on the proposed date thereof by wire transfer of immediately available funds by (i) in the case of any Loan (other than a Syndicated ABR Borrowing), 11:00 a.m. Atlanta, Georgia time, and (ii) in the case of any Loan that is a Syndicated ABR Borrowing, 1:00 p.m. Atlanta, Georgia time, in each case, to the account of the Administrative Agent most recently designated by it for such purpose by notice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Swingline Loans shall be made as provided in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Syndicated ABR Borrowings made to finance the reimbursement of an LC Disbursement as provided in </w:t>
      </w:r>
      <w:r>
        <w:rPr>
          <w:rFonts w:ascii="Arial" w:cs="Arial" w:eastAsia="Arial" w:hAnsi="Arial"/>
          <w:sz w:val="21"/>
          <w:szCs w:val="21"/>
          <w:u w:val="single" w:color="auto"/>
          <w:color w:val="auto"/>
        </w:rPr>
        <w:t>Section 2.05(f)</w:t>
      </w:r>
      <w:r>
        <w:rPr>
          <w:rFonts w:ascii="Arial" w:cs="Arial" w:eastAsia="Arial" w:hAnsi="Arial"/>
          <w:sz w:val="21"/>
          <w:szCs w:val="21"/>
          <w:color w:val="auto"/>
        </w:rPr>
        <w:t xml:space="preserve"> shall be remitted by the Administrative Agent to the applicable Issuing Bank.</w:t>
      </w:r>
    </w:p>
    <w:p>
      <w:pPr>
        <w:spacing w:after="0" w:line="184" w:lineRule="exact"/>
        <w:rPr>
          <w:rFonts w:ascii="Arial" w:cs="Arial" w:eastAsia="Arial" w:hAnsi="Arial"/>
          <w:sz w:val="21"/>
          <w:szCs w:val="21"/>
          <w:color w:val="auto"/>
        </w:rPr>
      </w:pPr>
    </w:p>
    <w:p>
      <w:pPr>
        <w:jc w:val="both"/>
        <w:ind w:firstLine="1735"/>
        <w:spacing w:after="0" w:line="273" w:lineRule="auto"/>
        <w:tabs>
          <w:tab w:leader="none" w:pos="2627"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Presumption by the Administrative Agent</w:t>
      </w:r>
      <w:r>
        <w:rPr>
          <w:rFonts w:ascii="Arial" w:cs="Arial" w:eastAsia="Arial" w:hAnsi="Arial"/>
          <w:sz w:val="19"/>
          <w:szCs w:val="19"/>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4" w:name="page215"/>
    <w:bookmarkEnd w:id="214"/>
    <w:p>
      <w:pPr>
        <w:spacing w:after="0" w:line="250" w:lineRule="auto"/>
        <w:rPr>
          <w:sz w:val="20"/>
          <w:szCs w:val="20"/>
          <w:color w:val="auto"/>
        </w:rPr>
      </w:pPr>
      <w:r>
        <w:rPr>
          <w:rFonts w:ascii="Arial" w:cs="Arial" w:eastAsia="Arial" w:hAnsi="Arial"/>
          <w:sz w:val="22"/>
          <w:szCs w:val="22"/>
          <w:color w:val="auto"/>
        </w:rPr>
        <w:t>obligation to fulfill its commitments hereunder, and this paragraph shall be without prejudice to any claim the Borrower may have against a Lender that shall have failed to make such payment to the Administrative Agent.</w:t>
      </w:r>
    </w:p>
    <w:p>
      <w:pPr>
        <w:spacing w:after="0" w:line="175"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1" w:lineRule="auto"/>
        <w:tabs>
          <w:tab w:leader="none" w:pos="2615"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Elections by the Borrower for Syndicated Borrowings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the Loans constituting each Syndicated Borrowing initially shall be of the Type specified in the applicable Borrowing Request and, in the case of a Eurocurrency Borrowing or RFR Borrowing, shall have the Interest Period specified in such Borrowing Request. Thereafter, the Borrower may elect to convert such Borrowing to a Borrowing of a different Type or to continue such Borrowing as a Borrowing of the same Type and, in the case of a Eurocurrency Borrowing or RFR Borrowing, may elect the Interest Period therefor, all as provided in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or RFR Borrowing may be continued if, after giving effect thereto, the aggregate Revolving Multicurrency Credit Exposures would exceed the aggregate Multicurrency Commitments, and (iv) a Eurocurrency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735"/>
        <w:spacing w:after="0" w:line="279" w:lineRule="auto"/>
        <w:tabs>
          <w:tab w:leader="none" w:pos="2627"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Notice of Elections</w:t>
      </w:r>
      <w:r>
        <w:rPr>
          <w:rFonts w:ascii="Arial" w:cs="Arial" w:eastAsia="Arial" w:hAnsi="Arial"/>
          <w:sz w:val="19"/>
          <w:szCs w:val="19"/>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50" w:lineRule="exact"/>
        <w:rPr>
          <w:rFonts w:ascii="Arial" w:cs="Arial" w:eastAsia="Arial" w:hAnsi="Arial"/>
          <w:sz w:val="19"/>
          <w:szCs w:val="19"/>
          <w:color w:val="auto"/>
        </w:rPr>
      </w:pPr>
    </w:p>
    <w:p>
      <w:pPr>
        <w:ind w:firstLine="1735"/>
        <w:spacing w:after="0" w:line="250" w:lineRule="auto"/>
        <w:tabs>
          <w:tab w:leader="none" w:pos="2615" w:val="left"/>
        </w:tabs>
        <w:numPr>
          <w:ilvl w:val="1"/>
          <w:numId w:val="163"/>
        </w:numPr>
        <w:rPr>
          <w:rFonts w:ascii="Arial" w:cs="Arial" w:eastAsia="Arial" w:hAnsi="Arial"/>
          <w:sz w:val="22"/>
          <w:szCs w:val="22"/>
          <w:color w:val="auto"/>
        </w:rPr>
      </w:pPr>
      <w:r>
        <w:rPr>
          <w:rFonts w:ascii="Arial" w:cs="Arial" w:eastAsia="Arial" w:hAnsi="Arial"/>
          <w:sz w:val="22"/>
          <w:szCs w:val="22"/>
          <w:u w:val="single" w:color="auto"/>
          <w:color w:val="auto"/>
        </w:rPr>
        <w:t>Content of Interest Election Requests</w:t>
      </w:r>
      <w:r>
        <w:rPr>
          <w:rFonts w:ascii="Arial" w:cs="Arial" w:eastAsia="Arial" w:hAnsi="Arial"/>
          <w:sz w:val="22"/>
          <w:szCs w:val="22"/>
          <w:color w:val="auto"/>
        </w:rPr>
        <w:t xml:space="preserve">. Each telephonic and written Interest Election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880" w:firstLine="789"/>
        <w:spacing w:after="0" w:line="238" w:lineRule="auto"/>
        <w:tabs>
          <w:tab w:leader="none" w:pos="252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22"/>
          <w:szCs w:val="22"/>
          <w:u w:val="single" w:color="auto"/>
          <w:color w:val="auto"/>
        </w:rPr>
        <w:t>clauses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this paragraph shall be specified for each resulting Borrowing);</w:t>
      </w:r>
    </w:p>
    <w:p>
      <w:pPr>
        <w:spacing w:after="0" w:line="184" w:lineRule="exact"/>
        <w:rPr>
          <w:rFonts w:ascii="Arial" w:cs="Arial" w:eastAsia="Arial" w:hAnsi="Arial"/>
          <w:sz w:val="22"/>
          <w:szCs w:val="22"/>
          <w:color w:val="auto"/>
        </w:rPr>
      </w:pPr>
    </w:p>
    <w:p>
      <w:pPr>
        <w:ind w:left="2580" w:hanging="911"/>
        <w:spacing w:after="0"/>
        <w:tabs>
          <w:tab w:leader="none" w:pos="258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5" w:name="page216"/>
    <w:bookmarkEnd w:id="215"/>
    <w:p>
      <w:pPr>
        <w:ind w:firstLine="789"/>
        <w:spacing w:after="0" w:line="250" w:lineRule="auto"/>
        <w:tabs>
          <w:tab w:leader="none" w:pos="176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whether, in the case of a Borrowing denominated in Dollars, the resulting Borrowing is to be an ABR Borrowing or a Eurocurrency Borrowing; and</w:t>
      </w:r>
    </w:p>
    <w:p>
      <w:pPr>
        <w:spacing w:after="0" w:line="174" w:lineRule="exact"/>
        <w:rPr>
          <w:rFonts w:ascii="Arial" w:cs="Arial" w:eastAsia="Arial" w:hAnsi="Arial"/>
          <w:sz w:val="22"/>
          <w:szCs w:val="22"/>
          <w:color w:val="auto"/>
        </w:rPr>
      </w:pPr>
    </w:p>
    <w:p>
      <w:pPr>
        <w:jc w:val="both"/>
        <w:ind w:firstLine="789"/>
        <w:spacing w:after="0"/>
        <w:tabs>
          <w:tab w:leader="none" w:pos="175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if the resulting Borrowing is a Eurocurrency Borrowing or RFR Borrowing, the Interest Period therefor after giving effect to such election, which shall be a period contemplated by the definition of the term “Interest Period” and permitted under </w:t>
      </w:r>
      <w:r>
        <w:rPr>
          <w:rFonts w:ascii="Arial" w:cs="Arial" w:eastAsia="Arial" w:hAnsi="Arial"/>
          <w:sz w:val="22"/>
          <w:szCs w:val="22"/>
          <w:u w:val="single" w:color="auto"/>
          <w:color w:val="auto"/>
        </w:rPr>
        <w:t>Section 2.02(d)</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880" w:right="20" w:firstLine="1735"/>
        <w:spacing w:after="0"/>
        <w:tabs>
          <w:tab w:leader="none" w:pos="1747"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86" w:lineRule="exact"/>
        <w:rPr>
          <w:rFonts w:ascii="Arial" w:cs="Arial" w:eastAsia="Arial" w:hAnsi="Arial"/>
          <w:sz w:val="22"/>
          <w:szCs w:val="22"/>
          <w:color w:val="auto"/>
        </w:rPr>
      </w:pPr>
    </w:p>
    <w:p>
      <w:pPr>
        <w:jc w:val="both"/>
        <w:ind w:left="-880" w:firstLine="1735"/>
        <w:spacing w:after="0" w:line="273" w:lineRule="auto"/>
        <w:tabs>
          <w:tab w:leader="none" w:pos="1735"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Failure to Elect; Events of Default</w:t>
      </w:r>
      <w:r>
        <w:rPr>
          <w:rFonts w:ascii="Arial" w:cs="Arial" w:eastAsia="Arial" w:hAnsi="Arial"/>
          <w:sz w:val="19"/>
          <w:szCs w:val="19"/>
          <w:color w:val="auto"/>
        </w:rPr>
        <w:t>. If the Borrower fails to deliver a timely and complete Interest Election Request with respect to a Eurocurrency Borrowing or RFR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or RFR Borrowing denominated in a Foreign Currency shall not have an Interest Period of more than one month’s duration.</w:t>
      </w:r>
    </w:p>
    <w:p>
      <w:pPr>
        <w:spacing w:after="0" w:line="161" w:lineRule="exact"/>
        <w:rPr>
          <w:sz w:val="20"/>
          <w:szCs w:val="20"/>
          <w:color w:val="auto"/>
        </w:rPr>
      </w:pPr>
    </w:p>
    <w:p>
      <w:pPr>
        <w:ind w:left="860"/>
        <w:spacing w:after="0"/>
        <w:tabs>
          <w:tab w:leader="none" w:pos="298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Termination, Reduction or Increase of the Commitments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87" w:lineRule="auto"/>
        <w:tabs>
          <w:tab w:leader="none" w:pos="1735"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Scheduled Termination</w:t>
      </w:r>
      <w:r>
        <w:rPr>
          <w:rFonts w:ascii="Arial" w:cs="Arial" w:eastAsia="Arial" w:hAnsi="Arial"/>
          <w:sz w:val="19"/>
          <w:szCs w:val="19"/>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42" w:lineRule="exact"/>
        <w:rPr>
          <w:rFonts w:ascii="Arial" w:cs="Arial" w:eastAsia="Arial" w:hAnsi="Arial"/>
          <w:sz w:val="19"/>
          <w:szCs w:val="19"/>
          <w:color w:val="auto"/>
        </w:rPr>
      </w:pPr>
    </w:p>
    <w:p>
      <w:pPr>
        <w:jc w:val="both"/>
        <w:ind w:left="-880" w:firstLine="1735"/>
        <w:spacing w:after="0" w:line="275" w:lineRule="auto"/>
        <w:tabs>
          <w:tab w:leader="none" w:pos="1747"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Voluntary Termination or Reduction</w:t>
      </w:r>
      <w:r>
        <w:rPr>
          <w:rFonts w:ascii="Arial" w:cs="Arial" w:eastAsia="Arial" w:hAnsi="Arial"/>
          <w:sz w:val="19"/>
          <w:szCs w:val="19"/>
          <w:color w:val="auto"/>
        </w:rPr>
        <w:t xml:space="preserve">. The Borrower may at any time terminate, or from time to time reduce, the Commitments of either Class of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of Commitment if, after giving effect to any concurrent prepayment of the Syndicated Loans of such Class in accordance with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9"/>
          <w:szCs w:val="19"/>
          <w:u w:val="single" w:color="auto"/>
          <w:color w:val="auto"/>
        </w:rPr>
        <w:t>Section 2.04(a)(i)</w:t>
      </w:r>
      <w:r>
        <w:rPr>
          <w:rFonts w:ascii="Arial" w:cs="Arial" w:eastAsia="Arial" w:hAnsi="Arial"/>
          <w:sz w:val="19"/>
          <w:szCs w:val="19"/>
          <w:color w:val="auto"/>
        </w:rPr>
        <w:t xml:space="preserve"> and the Letters of Credit permitted under </w:t>
      </w:r>
      <w:r>
        <w:rPr>
          <w:rFonts w:ascii="Arial" w:cs="Arial" w:eastAsia="Arial" w:hAnsi="Arial"/>
          <w:sz w:val="19"/>
          <w:szCs w:val="19"/>
          <w:u w:val="single" w:color="auto"/>
          <w:color w:val="auto"/>
        </w:rPr>
        <w:t>Section 2.05(c)(i)</w:t>
      </w:r>
      <w:r>
        <w:rPr>
          <w:rFonts w:ascii="Arial" w:cs="Arial" w:eastAsia="Arial" w:hAnsi="Arial"/>
          <w:sz w:val="19"/>
          <w:szCs w:val="19"/>
          <w:color w:val="auto"/>
        </w:rPr>
        <w:t xml:space="preserve"> shall result in a dollar-for-dollar reduction of such amounts as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16" w:name="page217"/>
    <w:bookmarkEnd w:id="216"/>
    <w:p>
      <w:pPr>
        <w:jc w:val="both"/>
        <w:ind w:left="-880" w:firstLine="1735"/>
        <w:spacing w:after="0" w:line="246" w:lineRule="auto"/>
        <w:tabs>
          <w:tab w:leader="none" w:pos="1735" w:val="left"/>
        </w:tabs>
        <w:numPr>
          <w:ilvl w:val="1"/>
          <w:numId w:val="167"/>
        </w:numPr>
        <w:rPr>
          <w:rFonts w:ascii="Arial" w:cs="Arial" w:eastAsia="Arial" w:hAnsi="Arial"/>
          <w:sz w:val="21"/>
          <w:szCs w:val="21"/>
          <w:color w:val="auto"/>
        </w:rPr>
      </w:pPr>
      <w:r>
        <w:rPr>
          <w:rFonts w:ascii="Arial" w:cs="Arial" w:eastAsia="Arial" w:hAnsi="Arial"/>
          <w:sz w:val="21"/>
          <w:szCs w:val="21"/>
          <w:u w:val="single" w:color="auto"/>
          <w:color w:val="auto"/>
        </w:rPr>
        <w:t>Notice of Voluntary Termination or Reduction</w:t>
      </w:r>
      <w:r>
        <w:rPr>
          <w:rFonts w:ascii="Arial" w:cs="Arial" w:eastAsia="Arial" w:hAnsi="Arial"/>
          <w:sz w:val="21"/>
          <w:szCs w:val="21"/>
          <w:color w:val="auto"/>
        </w:rPr>
        <w:t xml:space="preserve">. The Borrower shall notify the Administrative Agent of any election to terminate or reduce the Commitments under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79" w:lineRule="exact"/>
        <w:rPr>
          <w:rFonts w:ascii="Arial" w:cs="Arial" w:eastAsia="Arial" w:hAnsi="Arial"/>
          <w:sz w:val="21"/>
          <w:szCs w:val="21"/>
          <w:color w:val="auto"/>
        </w:rPr>
      </w:pPr>
    </w:p>
    <w:p>
      <w:pPr>
        <w:jc w:val="both"/>
        <w:ind w:left="-880" w:firstLine="1735"/>
        <w:spacing w:after="0" w:line="297" w:lineRule="auto"/>
        <w:tabs>
          <w:tab w:leader="none" w:pos="1747"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Effect of Termination or Reduction</w:t>
      </w:r>
      <w:r>
        <w:rPr>
          <w:rFonts w:ascii="Arial" w:cs="Arial" w:eastAsia="Arial" w:hAnsi="Arial"/>
          <w:sz w:val="19"/>
          <w:szCs w:val="19"/>
          <w:color w:val="auto"/>
        </w:rPr>
        <w:t xml:space="preserve">. Any termination or reduction of the Commitments of a Class of Commitments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permanent. Each reduction of the Commitments of a Class of Commitments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made ratably among the Lenders of such Class in accordance with their respective Commitments.</w:t>
      </w:r>
    </w:p>
    <w:p>
      <w:pPr>
        <w:spacing w:after="0" w:line="133" w:lineRule="exact"/>
        <w:rPr>
          <w:rFonts w:ascii="Arial" w:cs="Arial" w:eastAsia="Arial" w:hAnsi="Arial"/>
          <w:sz w:val="19"/>
          <w:szCs w:val="19"/>
          <w:color w:val="auto"/>
        </w:rPr>
      </w:pPr>
    </w:p>
    <w:p>
      <w:pPr>
        <w:ind w:left="1740" w:hanging="885"/>
        <w:spacing w:after="0"/>
        <w:tabs>
          <w:tab w:leader="none" w:pos="1740" w:val="left"/>
        </w:tabs>
        <w:numPr>
          <w:ilvl w:val="1"/>
          <w:numId w:val="167"/>
        </w:numPr>
        <w:rPr>
          <w:rFonts w:ascii="Arial" w:cs="Arial" w:eastAsia="Arial" w:hAnsi="Arial"/>
          <w:sz w:val="22"/>
          <w:szCs w:val="22"/>
          <w:color w:val="auto"/>
        </w:rPr>
      </w:pPr>
      <w:r>
        <w:rPr>
          <w:rFonts w:ascii="Arial" w:cs="Arial" w:eastAsia="Arial" w:hAnsi="Arial"/>
          <w:sz w:val="22"/>
          <w:szCs w:val="22"/>
          <w:u w:val="single" w:color="auto"/>
          <w:color w:val="auto"/>
        </w:rPr>
        <w:t>Increase of the Commitments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89"/>
        <w:spacing w:after="0" w:line="233" w:lineRule="auto"/>
        <w:tabs>
          <w:tab w:leader="none" w:pos="1649"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Requests for Increase by Borrower</w:t>
      </w:r>
      <w:r>
        <w:rPr>
          <w:rFonts w:ascii="Arial" w:cs="Arial" w:eastAsia="Arial" w:hAnsi="Arial"/>
          <w:sz w:val="22"/>
          <w:szCs w:val="22"/>
          <w:color w:val="auto"/>
        </w:rPr>
        <w:t>. The Borrower may, at any time, request that the Commitments hereunder of a Class of Commitments be increased (each such proposed increase being a “</w:t>
      </w:r>
      <w:r>
        <w:rPr>
          <w:rFonts w:ascii="Arial" w:cs="Arial" w:eastAsia="Arial" w:hAnsi="Arial"/>
          <w:sz w:val="22"/>
          <w:szCs w:val="22"/>
          <w:u w:val="single" w:color="auto"/>
          <w:color w:val="auto"/>
        </w:rPr>
        <w:t>Commitment Increase</w:t>
      </w:r>
      <w:r>
        <w:rPr>
          <w:rFonts w:ascii="Arial" w:cs="Arial" w:eastAsia="Arial" w:hAnsi="Arial"/>
          <w:sz w:val="22"/>
          <w:szCs w:val="22"/>
          <w:color w:val="auto"/>
        </w:rPr>
        <w: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 Class of Non-Extended Loans be increased hereunder), upon notice to the Administrative Agent (who shall promptly notify the Lenders), which notice shall specify each existing Lender (each an “</w:t>
      </w:r>
      <w:r>
        <w:rPr>
          <w:rFonts w:ascii="Arial" w:cs="Arial" w:eastAsia="Arial" w:hAnsi="Arial"/>
          <w:sz w:val="22"/>
          <w:szCs w:val="22"/>
          <w:u w:val="single" w:color="auto"/>
          <w:color w:val="auto"/>
        </w:rPr>
        <w:t>Increasing Lender</w:t>
      </w:r>
      <w:r>
        <w:rPr>
          <w:rFonts w:ascii="Arial" w:cs="Arial" w:eastAsia="Arial" w:hAnsi="Arial"/>
          <w:sz w:val="22"/>
          <w:szCs w:val="22"/>
          <w:color w:val="auto"/>
        </w:rPr>
        <w:t>”) and/or each additional lender (each an “</w:t>
      </w:r>
      <w:r>
        <w:rPr>
          <w:rFonts w:ascii="Arial" w:cs="Arial" w:eastAsia="Arial" w:hAnsi="Arial"/>
          <w:sz w:val="22"/>
          <w:szCs w:val="22"/>
          <w:u w:val="single" w:color="auto"/>
          <w:color w:val="auto"/>
        </w:rPr>
        <w:t>Assuming Lender</w:t>
      </w:r>
      <w:r>
        <w:rPr>
          <w:rFonts w:ascii="Arial" w:cs="Arial" w:eastAsia="Arial" w:hAnsi="Arial"/>
          <w:sz w:val="22"/>
          <w:szCs w:val="22"/>
          <w:color w:val="auto"/>
        </w:rPr>
        <w:t>”) that shall have agreed to an additional Commitment and the date on which such increase is to be effective (the “</w:t>
      </w:r>
      <w:r>
        <w:rPr>
          <w:rFonts w:ascii="Arial" w:cs="Arial" w:eastAsia="Arial" w:hAnsi="Arial"/>
          <w:sz w:val="22"/>
          <w:szCs w:val="22"/>
          <w:u w:val="single" w:color="auto"/>
          <w:color w:val="auto"/>
        </w:rPr>
        <w:t>Commitment Increase Date</w:t>
      </w:r>
      <w:r>
        <w:rPr>
          <w:rFonts w:ascii="Arial" w:cs="Arial" w:eastAsia="Arial" w:hAnsi="Arial"/>
          <w:sz w:val="22"/>
          <w:szCs w:val="22"/>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92" w:lineRule="exact"/>
        <w:rPr>
          <w:rFonts w:ascii="Arial" w:cs="Arial" w:eastAsia="Arial" w:hAnsi="Arial"/>
          <w:sz w:val="22"/>
          <w:szCs w:val="22"/>
          <w:color w:val="auto"/>
        </w:rPr>
      </w:pPr>
    </w:p>
    <w:p>
      <w:pPr>
        <w:jc w:val="both"/>
        <w:ind w:left="860" w:firstLine="726"/>
        <w:spacing w:after="0" w:line="238" w:lineRule="auto"/>
        <w:tabs>
          <w:tab w:leader="none" w:pos="2539" w:val="left"/>
        </w:tabs>
        <w:numPr>
          <w:ilvl w:val="2"/>
          <w:numId w:val="168"/>
        </w:numPr>
        <w:rPr>
          <w:rFonts w:ascii="Arial" w:cs="Arial" w:eastAsia="Arial" w:hAnsi="Arial"/>
          <w:sz w:val="22"/>
          <w:szCs w:val="22"/>
          <w:color w:val="auto"/>
        </w:rPr>
      </w:pPr>
      <w:r>
        <w:rPr>
          <w:rFonts w:ascii="Arial" w:cs="Arial" w:eastAsia="Arial" w:hAnsi="Arial"/>
          <w:sz w:val="22"/>
          <w:szCs w:val="22"/>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84" w:lineRule="exact"/>
        <w:rPr>
          <w:rFonts w:ascii="Arial" w:cs="Arial" w:eastAsia="Arial" w:hAnsi="Arial"/>
          <w:sz w:val="22"/>
          <w:szCs w:val="22"/>
          <w:color w:val="auto"/>
        </w:rPr>
      </w:pPr>
    </w:p>
    <w:p>
      <w:pPr>
        <w:jc w:val="both"/>
        <w:ind w:left="860" w:firstLine="726"/>
        <w:spacing w:after="0" w:line="297" w:lineRule="auto"/>
        <w:tabs>
          <w:tab w:leader="none" w:pos="2527" w:val="left"/>
        </w:tabs>
        <w:numPr>
          <w:ilvl w:val="2"/>
          <w:numId w:val="168"/>
        </w:numPr>
        <w:rPr>
          <w:rFonts w:ascii="Arial" w:cs="Arial" w:eastAsia="Arial" w:hAnsi="Arial"/>
          <w:sz w:val="19"/>
          <w:szCs w:val="19"/>
          <w:color w:val="auto"/>
        </w:rPr>
      </w:pPr>
      <w:r>
        <w:rPr>
          <w:rFonts w:ascii="Arial" w:cs="Arial" w:eastAsia="Arial" w:hAnsi="Arial"/>
          <w:sz w:val="19"/>
          <w:szCs w:val="19"/>
          <w:color w:val="auto"/>
        </w:rPr>
        <w:t xml:space="preserve">immediately after giving effect to such Commitment Increase (including, if applicable, the substantially concurrent reduction of the Commitments of a Non-Extending Lender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 the total Commitments of all of the Lenders hereunder shall not exceed $2,000,000,000;</w:t>
      </w:r>
    </w:p>
    <w:p>
      <w:pPr>
        <w:spacing w:after="0" w:line="133" w:lineRule="exact"/>
        <w:rPr>
          <w:rFonts w:ascii="Arial" w:cs="Arial" w:eastAsia="Arial" w:hAnsi="Arial"/>
          <w:sz w:val="19"/>
          <w:szCs w:val="19"/>
          <w:color w:val="auto"/>
        </w:rPr>
      </w:pPr>
    </w:p>
    <w:p>
      <w:pPr>
        <w:ind w:left="860" w:firstLine="726"/>
        <w:spacing w:after="0" w:line="250" w:lineRule="auto"/>
        <w:tabs>
          <w:tab w:leader="none" w:pos="2527" w:val="left"/>
        </w:tabs>
        <w:numPr>
          <w:ilvl w:val="2"/>
          <w:numId w:val="168"/>
        </w:numPr>
        <w:rPr>
          <w:rFonts w:ascii="Arial" w:cs="Arial" w:eastAsia="Arial" w:hAnsi="Arial"/>
          <w:sz w:val="22"/>
          <w:szCs w:val="22"/>
          <w:color w:val="auto"/>
        </w:rPr>
      </w:pPr>
      <w:r>
        <w:rPr>
          <w:rFonts w:ascii="Arial" w:cs="Arial" w:eastAsia="Arial" w:hAnsi="Arial"/>
          <w:sz w:val="22"/>
          <w:szCs w:val="22"/>
          <w:color w:val="auto"/>
        </w:rPr>
        <w:t>each Assuming Lender shall be consented to by the Administrative Agent and each Issuing Bank (such consent not to be unreasonably withheld);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17" w:name="page218"/>
    <w:bookmarkEnd w:id="217"/>
    <w:p>
      <w:pPr>
        <w:ind w:left="868" w:firstLine="726"/>
        <w:spacing w:after="0" w:line="250" w:lineRule="auto"/>
        <w:tabs>
          <w:tab w:leader="none" w:pos="2547" w:val="left"/>
        </w:tabs>
        <w:numPr>
          <w:ilvl w:val="2"/>
          <w:numId w:val="169"/>
        </w:numPr>
        <w:rPr>
          <w:rFonts w:ascii="Arial" w:cs="Arial" w:eastAsia="Arial" w:hAnsi="Arial"/>
          <w:sz w:val="22"/>
          <w:szCs w:val="22"/>
          <w:color w:val="auto"/>
        </w:rPr>
      </w:pPr>
      <w:r>
        <w:rPr>
          <w:rFonts w:ascii="Arial" w:cs="Arial" w:eastAsia="Arial" w:hAnsi="Arial"/>
          <w:sz w:val="22"/>
          <w:szCs w:val="22"/>
          <w:color w:val="auto"/>
        </w:rPr>
        <w:t>no Default shall have occurred and be continuing on such Commitment Increase Date or shall result from the proposed Commitment Increase; and</w:t>
      </w:r>
    </w:p>
    <w:p>
      <w:pPr>
        <w:spacing w:after="0" w:line="174" w:lineRule="exact"/>
        <w:rPr>
          <w:rFonts w:ascii="Arial" w:cs="Arial" w:eastAsia="Arial" w:hAnsi="Arial"/>
          <w:sz w:val="22"/>
          <w:szCs w:val="22"/>
          <w:color w:val="auto"/>
        </w:rPr>
      </w:pPr>
    </w:p>
    <w:p>
      <w:pPr>
        <w:jc w:val="both"/>
        <w:ind w:left="868" w:firstLine="726"/>
        <w:spacing w:after="0" w:line="236" w:lineRule="auto"/>
        <w:tabs>
          <w:tab w:leader="none" w:pos="2523" w:val="left"/>
        </w:tabs>
        <w:numPr>
          <w:ilvl w:val="2"/>
          <w:numId w:val="169"/>
        </w:numPr>
        <w:rPr>
          <w:rFonts w:ascii="Arial" w:cs="Arial" w:eastAsia="Arial" w:hAnsi="Arial"/>
          <w:sz w:val="22"/>
          <w:szCs w:val="22"/>
          <w:color w:val="auto"/>
        </w:rPr>
      </w:pPr>
      <w:r>
        <w:rPr>
          <w:rFonts w:ascii="Arial" w:cs="Arial" w:eastAsia="Arial" w:hAnsi="Arial"/>
          <w:sz w:val="22"/>
          <w:szCs w:val="22"/>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87" w:lineRule="exact"/>
        <w:rPr>
          <w:rFonts w:ascii="Arial" w:cs="Arial" w:eastAsia="Arial" w:hAnsi="Arial"/>
          <w:sz w:val="22"/>
          <w:szCs w:val="22"/>
          <w:color w:val="auto"/>
        </w:rPr>
      </w:pPr>
    </w:p>
    <w:p>
      <w:pPr>
        <w:jc w:val="both"/>
        <w:ind w:left="8" w:firstLine="789"/>
        <w:spacing w:after="0" w:line="297" w:lineRule="auto"/>
        <w:tabs>
          <w:tab w:leader="none" w:pos="1717" w:val="left"/>
        </w:tabs>
        <w:numPr>
          <w:ilvl w:val="1"/>
          <w:numId w:val="170"/>
        </w:numPr>
        <w:rPr>
          <w:rFonts w:ascii="Arial" w:cs="Arial" w:eastAsia="Arial" w:hAnsi="Arial"/>
          <w:sz w:val="19"/>
          <w:szCs w:val="19"/>
          <w:color w:val="auto"/>
        </w:rPr>
      </w:pPr>
      <w:r>
        <w:rPr>
          <w:rFonts w:ascii="Arial" w:cs="Arial" w:eastAsia="Arial" w:hAnsi="Arial"/>
          <w:sz w:val="19"/>
          <w:szCs w:val="19"/>
          <w:u w:val="single" w:color="auto"/>
          <w:color w:val="auto"/>
        </w:rPr>
        <w:t>Effectiveness of Commitment Increase by Borrower</w:t>
      </w:r>
      <w:r>
        <w:rPr>
          <w:rFonts w:ascii="Arial" w:cs="Arial" w:eastAsia="Arial" w:hAnsi="Arial"/>
          <w:sz w:val="19"/>
          <w:szCs w:val="19"/>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33" w:lineRule="exact"/>
        <w:rPr>
          <w:rFonts w:ascii="Arial" w:cs="Arial" w:eastAsia="Arial" w:hAnsi="Arial"/>
          <w:sz w:val="19"/>
          <w:szCs w:val="19"/>
          <w:color w:val="auto"/>
        </w:rPr>
      </w:pPr>
    </w:p>
    <w:p>
      <w:pPr>
        <w:jc w:val="both"/>
        <w:ind w:left="828" w:hanging="776"/>
        <w:spacing w:after="0" w:line="287" w:lineRule="auto"/>
        <w:tabs>
          <w:tab w:leader="none" w:pos="156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9"/>
          <w:szCs w:val="19"/>
          <w:u w:val="single" w:color="auto"/>
          <w:color w:val="auto"/>
        </w:rPr>
        <w:t>paragraph (i)</w:t>
      </w:r>
      <w:r>
        <w:rPr>
          <w:rFonts w:ascii="Arial" w:cs="Arial" w:eastAsia="Arial" w:hAnsi="Arial"/>
          <w:sz w:val="19"/>
          <w:szCs w:val="19"/>
          <w:color w:val="auto"/>
        </w:rPr>
        <w:t xml:space="preserve"> has been satisfied; and</w:t>
      </w:r>
    </w:p>
    <w:p>
      <w:pPr>
        <w:spacing w:after="0" w:line="142" w:lineRule="exact"/>
        <w:rPr>
          <w:rFonts w:ascii="Arial" w:cs="Arial" w:eastAsia="Arial" w:hAnsi="Arial"/>
          <w:sz w:val="19"/>
          <w:szCs w:val="19"/>
          <w:color w:val="auto"/>
        </w:rPr>
      </w:pPr>
    </w:p>
    <w:p>
      <w:pPr>
        <w:jc w:val="both"/>
        <w:ind w:left="828" w:hanging="776"/>
        <w:spacing w:after="0" w:line="246" w:lineRule="auto"/>
        <w:tabs>
          <w:tab w:leader="none" w:pos="1561" w:val="left"/>
        </w:tabs>
        <w:numPr>
          <w:ilvl w:val="0"/>
          <w:numId w:val="171"/>
        </w:numPr>
        <w:rPr>
          <w:rFonts w:ascii="Arial" w:cs="Arial" w:eastAsia="Arial" w:hAnsi="Arial"/>
          <w:sz w:val="21"/>
          <w:szCs w:val="21"/>
          <w:color w:val="auto"/>
        </w:rPr>
      </w:pPr>
      <w:r>
        <w:rPr>
          <w:rFonts w:ascii="Arial" w:cs="Arial" w:eastAsia="Arial" w:hAnsi="Arial"/>
          <w:sz w:val="21"/>
          <w:szCs w:val="21"/>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84"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86" w:lineRule="exact"/>
        <w:rPr>
          <w:sz w:val="20"/>
          <w:szCs w:val="20"/>
          <w:color w:val="auto"/>
        </w:rPr>
      </w:pPr>
    </w:p>
    <w:p>
      <w:pPr>
        <w:jc w:val="both"/>
        <w:ind w:left="8" w:firstLine="789"/>
        <w:spacing w:after="0" w:line="276" w:lineRule="auto"/>
        <w:tabs>
          <w:tab w:leader="none" w:pos="1777" w:val="left"/>
        </w:tabs>
        <w:numPr>
          <w:ilvl w:val="1"/>
          <w:numId w:val="172"/>
        </w:numPr>
        <w:rPr>
          <w:rFonts w:ascii="Arial" w:cs="Arial" w:eastAsia="Arial" w:hAnsi="Arial"/>
          <w:sz w:val="19"/>
          <w:szCs w:val="19"/>
          <w:color w:val="auto"/>
        </w:rPr>
      </w:pPr>
      <w:r>
        <w:rPr>
          <w:rFonts w:ascii="Arial" w:cs="Arial" w:eastAsia="Arial" w:hAnsi="Arial"/>
          <w:sz w:val="19"/>
          <w:szCs w:val="19"/>
          <w:u w:val="single" w:color="auto"/>
          <w:color w:val="auto"/>
        </w:rPr>
        <w:t>Recordation into Register</w:t>
      </w:r>
      <w:r>
        <w:rPr>
          <w:rFonts w:ascii="Arial" w:cs="Arial" w:eastAsia="Arial" w:hAnsi="Arial"/>
          <w:sz w:val="19"/>
          <w:szCs w:val="19"/>
          <w:color w:val="auto"/>
        </w:rPr>
        <w:t xml:space="preserve">. Upon its receipt of an agreement referred to in </w:t>
      </w:r>
      <w:r>
        <w:rPr>
          <w:rFonts w:ascii="Arial" w:cs="Arial" w:eastAsia="Arial" w:hAnsi="Arial"/>
          <w:sz w:val="19"/>
          <w:szCs w:val="19"/>
          <w:u w:val="single" w:color="auto"/>
          <w:color w:val="auto"/>
        </w:rPr>
        <w:t>clause (ii)(y)</w:t>
      </w:r>
      <w:r>
        <w:rPr>
          <w:rFonts w:ascii="Arial" w:cs="Arial" w:eastAsia="Arial" w:hAnsi="Arial"/>
          <w:sz w:val="19"/>
          <w:szCs w:val="19"/>
          <w:color w:val="auto"/>
        </w:rPr>
        <w:t xml:space="preserve"> above executed by an Assuming Lender or any Increasing Lender, together with the certificate referred to in </w:t>
      </w:r>
      <w:r>
        <w:rPr>
          <w:rFonts w:ascii="Arial" w:cs="Arial" w:eastAsia="Arial" w:hAnsi="Arial"/>
          <w:sz w:val="19"/>
          <w:szCs w:val="19"/>
          <w:u w:val="single" w:color="auto"/>
          <w:color w:val="auto"/>
        </w:rPr>
        <w:t>clause (ii)</w:t>
      </w:r>
    </w:p>
    <w:p>
      <w:pPr>
        <w:spacing w:after="0" w:line="1" w:lineRule="exact"/>
        <w:rPr>
          <w:rFonts w:ascii="Arial" w:cs="Arial" w:eastAsia="Arial" w:hAnsi="Arial"/>
          <w:sz w:val="19"/>
          <w:szCs w:val="19"/>
          <w:color w:val="auto"/>
        </w:rPr>
      </w:pPr>
    </w:p>
    <w:p>
      <w:pPr>
        <w:ind w:left="8" w:hanging="8"/>
        <w:spacing w:after="0" w:line="256" w:lineRule="auto"/>
        <w:tabs>
          <w:tab w:leader="none" w:pos="317" w:val="left"/>
        </w:tabs>
        <w:numPr>
          <w:ilvl w:val="0"/>
          <w:numId w:val="173"/>
        </w:numPr>
        <w:rPr>
          <w:rFonts w:ascii="Arial" w:cs="Arial" w:eastAsia="Arial" w:hAnsi="Arial"/>
          <w:sz w:val="21"/>
          <w:szCs w:val="21"/>
          <w:u w:val="single" w:color="auto"/>
          <w:color w:val="auto"/>
        </w:rPr>
      </w:pPr>
      <w:r>
        <w:rPr>
          <w:rFonts w:ascii="Arial" w:cs="Arial" w:eastAsia="Arial" w:hAnsi="Arial"/>
          <w:sz w:val="21"/>
          <w:szCs w:val="21"/>
          <w:color w:val="auto"/>
        </w:rPr>
        <w:t>above, the Administrative Agent shall, if such agreement has been completed, (x) accept such agreement, (y) record the information contained therein in the Register and (z) give prompt notice thereof to the Borrower.</w:t>
      </w:r>
    </w:p>
    <w:p>
      <w:pPr>
        <w:spacing w:after="0" w:line="168" w:lineRule="exact"/>
        <w:rPr>
          <w:rFonts w:ascii="Arial" w:cs="Arial" w:eastAsia="Arial" w:hAnsi="Arial"/>
          <w:sz w:val="21"/>
          <w:szCs w:val="21"/>
          <w:u w:val="single" w:color="auto"/>
          <w:color w:val="auto"/>
        </w:rPr>
      </w:pPr>
    </w:p>
    <w:p>
      <w:pPr>
        <w:jc w:val="both"/>
        <w:ind w:left="8" w:firstLine="789"/>
        <w:spacing w:after="0" w:line="250" w:lineRule="auto"/>
        <w:tabs>
          <w:tab w:leader="none" w:pos="1765" w:val="left"/>
        </w:tabs>
        <w:numPr>
          <w:ilvl w:val="1"/>
          <w:numId w:val="173"/>
        </w:numPr>
        <w:rPr>
          <w:rFonts w:ascii="Arial" w:cs="Arial" w:eastAsia="Arial" w:hAnsi="Arial"/>
          <w:sz w:val="21"/>
          <w:szCs w:val="21"/>
          <w:color w:val="auto"/>
        </w:rPr>
      </w:pPr>
      <w:r>
        <w:rPr>
          <w:rFonts w:ascii="Arial" w:cs="Arial" w:eastAsia="Arial" w:hAnsi="Arial"/>
          <w:sz w:val="21"/>
          <w:szCs w:val="21"/>
          <w:u w:val="single" w:color="auto"/>
          <w:color w:val="auto"/>
        </w:rPr>
        <w:t>Adjustments of Borrowings upon Effectiveness of Increase</w:t>
      </w:r>
      <w:r>
        <w:rPr>
          <w:rFonts w:ascii="Arial" w:cs="Arial" w:eastAsia="Arial" w:hAnsi="Arial"/>
          <w:sz w:val="21"/>
          <w:szCs w:val="21"/>
          <w:color w:val="auto"/>
        </w:rPr>
        <w:t>. On the Commitment Increase Date, the Borrower shall (A) prepay the outstanding Loans (if any) of the affected Class of Commitments in full,</w:t>
      </w:r>
    </w:p>
    <w:p>
      <w:pPr>
        <w:ind w:left="8"/>
        <w:spacing w:after="0"/>
        <w:rPr>
          <w:rFonts w:ascii="Arial" w:cs="Arial" w:eastAsia="Arial" w:hAnsi="Arial"/>
          <w:sz w:val="21"/>
          <w:szCs w:val="21"/>
          <w:color w:val="auto"/>
        </w:rPr>
      </w:pPr>
      <w:r>
        <w:rPr>
          <w:rFonts w:ascii="Arial" w:cs="Arial" w:eastAsia="Arial" w:hAnsi="Arial"/>
          <w:sz w:val="22"/>
          <w:szCs w:val="22"/>
          <w:color w:val="auto"/>
        </w:rPr>
        <w:t>(B) simultaneously borrow new Loans</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59690</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218" w:name="page219"/>
    <w:bookmarkEnd w:id="218"/>
    <w:p>
      <w:pPr>
        <w:ind w:left="8"/>
        <w:spacing w:after="0"/>
        <w:rPr>
          <w:sz w:val="20"/>
          <w:szCs w:val="20"/>
          <w:color w:val="auto"/>
        </w:rPr>
      </w:pPr>
      <w:r>
        <w:rPr>
          <w:rFonts w:ascii="Arial" w:cs="Arial" w:eastAsia="Arial" w:hAnsi="Arial"/>
          <w:sz w:val="19"/>
          <w:szCs w:val="19"/>
          <w:color w:val="auto"/>
        </w:rPr>
        <w:t xml:space="preserve">of such Class hereunder in an amount equal to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43" w:lineRule="exact"/>
        <w:rPr>
          <w:sz w:val="20"/>
          <w:szCs w:val="20"/>
          <w:color w:val="auto"/>
        </w:rPr>
      </w:pPr>
    </w:p>
    <w:p>
      <w:pPr>
        <w:jc w:val="both"/>
        <w:ind w:left="8" w:hanging="8"/>
        <w:spacing w:after="0" w:line="272" w:lineRule="auto"/>
        <w:tabs>
          <w:tab w:leader="none" w:pos="32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56" w:lineRule="exact"/>
        <w:rPr>
          <w:rFonts w:ascii="Arial" w:cs="Arial" w:eastAsia="Arial" w:hAnsi="Arial"/>
          <w:sz w:val="19"/>
          <w:szCs w:val="19"/>
          <w:color w:val="auto"/>
        </w:rPr>
      </w:pPr>
    </w:p>
    <w:p>
      <w:pPr>
        <w:ind w:left="-872" w:firstLine="1735"/>
        <w:spacing w:after="0" w:line="250" w:lineRule="auto"/>
        <w:tabs>
          <w:tab w:leader="none" w:pos="1720" w:val="left"/>
        </w:tabs>
        <w:numPr>
          <w:ilvl w:val="2"/>
          <w:numId w:val="174"/>
        </w:numPr>
        <w:rPr>
          <w:rFonts w:ascii="Arial" w:cs="Arial" w:eastAsia="Arial" w:hAnsi="Arial"/>
          <w:sz w:val="22"/>
          <w:szCs w:val="22"/>
          <w:color w:val="auto"/>
        </w:rPr>
      </w:pPr>
      <w:r>
        <w:rPr>
          <w:rFonts w:ascii="Arial" w:cs="Arial" w:eastAsia="Arial" w:hAnsi="Arial"/>
          <w:sz w:val="22"/>
          <w:szCs w:val="22"/>
          <w:u w:val="single" w:color="auto"/>
          <w:color w:val="auto"/>
        </w:rPr>
        <w:t>Reduction of Non-Extending Lenders’ Commitment</w:t>
      </w:r>
      <w:r>
        <w:rPr>
          <w:rFonts w:ascii="Arial" w:cs="Arial" w:eastAsia="Arial" w:hAnsi="Arial"/>
          <w:sz w:val="22"/>
          <w:szCs w:val="22"/>
          <w:color w:val="auto"/>
        </w:rPr>
        <w:t xml:space="preserve">. Notwithstanding anything to the contrary herein (including </w:t>
      </w:r>
      <w:r>
        <w:rPr>
          <w:rFonts w:ascii="Arial" w:cs="Arial" w:eastAsia="Arial" w:hAnsi="Arial"/>
          <w:sz w:val="22"/>
          <w:szCs w:val="22"/>
          <w:u w:val="single" w:color="auto"/>
          <w:color w:val="auto"/>
        </w:rPr>
        <w:t>Section 2.08(d)</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8" w:firstLine="789"/>
        <w:spacing w:after="0" w:line="236" w:lineRule="auto"/>
        <w:tabs>
          <w:tab w:leader="none" w:pos="1657" w:val="left"/>
        </w:tabs>
        <w:numPr>
          <w:ilvl w:val="1"/>
          <w:numId w:val="174"/>
        </w:numPr>
        <w:rPr>
          <w:rFonts w:ascii="Arial" w:cs="Arial" w:eastAsia="Arial" w:hAnsi="Arial"/>
          <w:sz w:val="22"/>
          <w:szCs w:val="22"/>
          <w:color w:val="auto"/>
        </w:rPr>
      </w:pPr>
      <w:r>
        <w:rPr>
          <w:rFonts w:ascii="Arial" w:cs="Arial" w:eastAsia="Arial" w:hAnsi="Arial"/>
          <w:sz w:val="22"/>
          <w:szCs w:val="22"/>
          <w:color w:val="auto"/>
        </w:rPr>
        <w:t xml:space="preserve">The Borrower may at any time terminate, or from time to time reduce, the Commitment of any Non-Extending Lender without reducing the Commitments of any other Lender of the same Class of Commitments as such Non-Extending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87" w:lineRule="exact"/>
        <w:rPr>
          <w:rFonts w:ascii="Arial" w:cs="Arial" w:eastAsia="Arial" w:hAnsi="Arial"/>
          <w:sz w:val="22"/>
          <w:szCs w:val="22"/>
          <w:color w:val="auto"/>
        </w:rPr>
      </w:pPr>
    </w:p>
    <w:p>
      <w:pPr>
        <w:jc w:val="both"/>
        <w:ind w:left="8" w:firstLine="789"/>
        <w:spacing w:after="0" w:line="236" w:lineRule="auto"/>
        <w:tabs>
          <w:tab w:leader="none" w:pos="1717" w:val="left"/>
        </w:tabs>
        <w:numPr>
          <w:ilvl w:val="1"/>
          <w:numId w:val="174"/>
        </w:numPr>
        <w:rPr>
          <w:rFonts w:ascii="Arial" w:cs="Arial" w:eastAsia="Arial" w:hAnsi="Arial"/>
          <w:sz w:val="22"/>
          <w:szCs w:val="22"/>
          <w:color w:val="auto"/>
        </w:rPr>
      </w:pPr>
      <w:r>
        <w:rPr>
          <w:rFonts w:ascii="Arial" w:cs="Arial" w:eastAsia="Arial" w:hAnsi="Arial"/>
          <w:sz w:val="22"/>
          <w:szCs w:val="22"/>
          <w:color w:val="auto"/>
        </w:rPr>
        <w:t xml:space="preserve">The Borrower shall notify the Administrative Agent of any election to terminate or reduce the Commitment of any Non-Extending Lender under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at least three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be irrevocable.</w:t>
      </w:r>
    </w:p>
    <w:p>
      <w:pPr>
        <w:spacing w:after="0" w:line="187" w:lineRule="exact"/>
        <w:rPr>
          <w:rFonts w:ascii="Arial" w:cs="Arial" w:eastAsia="Arial" w:hAnsi="Arial"/>
          <w:sz w:val="22"/>
          <w:szCs w:val="22"/>
          <w:color w:val="auto"/>
        </w:rPr>
      </w:pPr>
    </w:p>
    <w:p>
      <w:pPr>
        <w:jc w:val="both"/>
        <w:ind w:left="8" w:firstLine="789"/>
        <w:spacing w:after="0"/>
        <w:tabs>
          <w:tab w:leader="none" w:pos="1777" w:val="left"/>
        </w:tabs>
        <w:numPr>
          <w:ilvl w:val="1"/>
          <w:numId w:val="174"/>
        </w:numPr>
        <w:rPr>
          <w:rFonts w:ascii="Arial" w:cs="Arial" w:eastAsia="Arial" w:hAnsi="Arial"/>
          <w:sz w:val="22"/>
          <w:szCs w:val="22"/>
          <w:color w:val="auto"/>
        </w:rPr>
      </w:pPr>
      <w:r>
        <w:rPr>
          <w:rFonts w:ascii="Arial" w:cs="Arial" w:eastAsia="Arial" w:hAnsi="Arial"/>
          <w:sz w:val="22"/>
          <w:szCs w:val="22"/>
          <w:color w:val="auto"/>
        </w:rPr>
        <w:t xml:space="preserve">Any termination or reduction of the Commitment of any Non-Extending Lender pursuant to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be permanent and shall be made concurrently with all required reallocation prepayments and cash collateralizations required under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186" w:lineRule="exact"/>
        <w:rPr>
          <w:sz w:val="20"/>
          <w:szCs w:val="20"/>
          <w:color w:val="auto"/>
        </w:rPr>
      </w:pPr>
    </w:p>
    <w:p>
      <w:pPr>
        <w:ind w:left="868"/>
        <w:spacing w:after="0"/>
        <w:tabs>
          <w:tab w:leader="none" w:pos="2988"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206" w:lineRule="exact"/>
        <w:rPr>
          <w:sz w:val="20"/>
          <w:szCs w:val="20"/>
          <w:color w:val="auto"/>
        </w:rPr>
      </w:pPr>
    </w:p>
    <w:p>
      <w:pPr>
        <w:ind w:left="-872" w:right="20" w:firstLine="1735"/>
        <w:spacing w:after="0" w:line="250" w:lineRule="auto"/>
        <w:tabs>
          <w:tab w:leader="none" w:pos="1743" w:val="left"/>
        </w:tabs>
        <w:numPr>
          <w:ilvl w:val="1"/>
          <w:numId w:val="175"/>
        </w:numPr>
        <w:rPr>
          <w:rFonts w:ascii="Arial" w:cs="Arial" w:eastAsia="Arial" w:hAnsi="Arial"/>
          <w:sz w:val="22"/>
          <w:szCs w:val="22"/>
          <w:color w:val="auto"/>
        </w:rPr>
      </w:pPr>
      <w:r>
        <w:rPr>
          <w:rFonts w:ascii="Arial" w:cs="Arial" w:eastAsia="Arial" w:hAnsi="Arial"/>
          <w:sz w:val="22"/>
          <w:szCs w:val="22"/>
          <w:u w:val="single" w:color="auto"/>
          <w:color w:val="auto"/>
        </w:rPr>
        <w:t>Repayment</w:t>
      </w:r>
      <w:r>
        <w:rPr>
          <w:rFonts w:ascii="Arial" w:cs="Arial" w:eastAsia="Arial" w:hAnsi="Arial"/>
          <w:sz w:val="22"/>
          <w:szCs w:val="22"/>
          <w:color w:val="auto"/>
        </w:rPr>
        <w:t>. The Borrower hereby unconditionally promises to pay the Loans of each Class of Final Maturity Date or Commitments, as applicable, as follows:</w:t>
      </w:r>
    </w:p>
    <w:p>
      <w:pPr>
        <w:spacing w:after="0" w:line="174" w:lineRule="exact"/>
        <w:rPr>
          <w:rFonts w:ascii="Arial" w:cs="Arial" w:eastAsia="Arial" w:hAnsi="Arial"/>
          <w:sz w:val="22"/>
          <w:szCs w:val="22"/>
          <w:color w:val="auto"/>
        </w:rPr>
      </w:pPr>
    </w:p>
    <w:p>
      <w:pPr>
        <w:jc w:val="both"/>
        <w:ind w:left="8" w:firstLine="789"/>
        <w:spacing w:after="0"/>
        <w:tabs>
          <w:tab w:leader="none" w:pos="1657"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186" w:lineRule="exact"/>
        <w:rPr>
          <w:rFonts w:ascii="Arial" w:cs="Arial" w:eastAsia="Arial" w:hAnsi="Arial"/>
          <w:sz w:val="22"/>
          <w:szCs w:val="22"/>
          <w:color w:val="auto"/>
        </w:rPr>
      </w:pPr>
    </w:p>
    <w:p>
      <w:pPr>
        <w:jc w:val="both"/>
        <w:ind w:left="8" w:firstLine="789"/>
        <w:spacing w:after="0"/>
        <w:tabs>
          <w:tab w:leader="none" w:pos="1717"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to the applicable Swingline Lender the then unpaid principal amount of each Swingline Loan of each Class of Commitment denominated in Dollars made by such Swingline Lender, on the earlier of the Extended Commitment Termination Date and the</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59690</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219" w:name="page220"/>
    <w:bookmarkEnd w:id="219"/>
    <w:p>
      <w:pPr>
        <w:jc w:val="both"/>
        <w:ind w:left="880"/>
        <w:spacing w:after="0" w:line="297" w:lineRule="auto"/>
        <w:rPr>
          <w:sz w:val="20"/>
          <w:szCs w:val="20"/>
          <w:color w:val="auto"/>
        </w:rPr>
      </w:pPr>
      <w:r>
        <w:rPr>
          <w:rFonts w:ascii="Arial" w:cs="Arial" w:eastAsia="Arial" w:hAnsi="Arial"/>
          <w:sz w:val="19"/>
          <w:szCs w:val="19"/>
          <w:color w:val="auto"/>
        </w:rPr>
        <w:t xml:space="preserve">first date after such Swingline Loan is made that is the 15th or last day of a calendar month and is at least ten Business Days after such Swingline Loan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each date that a Syndicated Borrowing of such Class of Commitment is made, the Borrower shall repay all Swingline Loans of such Class of Commitment then outstanding.</w:t>
      </w:r>
    </w:p>
    <w:p>
      <w:pPr>
        <w:spacing w:after="0" w:line="134"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78" w:lineRule="exact"/>
        <w:rPr>
          <w:sz w:val="20"/>
          <w:szCs w:val="20"/>
          <w:color w:val="auto"/>
        </w:rPr>
      </w:pPr>
    </w:p>
    <w:p>
      <w:pPr>
        <w:jc w:val="both"/>
        <w:ind w:firstLine="1735"/>
        <w:spacing w:after="0" w:line="273" w:lineRule="auto"/>
        <w:tabs>
          <w:tab w:leader="none" w:pos="2627"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Manner of Payment</w:t>
      </w:r>
      <w:r>
        <w:rPr>
          <w:rFonts w:ascii="Arial" w:cs="Arial" w:eastAsia="Arial" w:hAnsi="Arial"/>
          <w:sz w:val="19"/>
          <w:szCs w:val="19"/>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2.10(e)</w:t>
      </w:r>
      <w:r>
        <w:rPr>
          <w:rFonts w:ascii="Arial" w:cs="Arial" w:eastAsia="Arial" w:hAnsi="Arial"/>
          <w:sz w:val="19"/>
          <w:szCs w:val="19"/>
          <w:color w:val="auto"/>
        </w:rPr>
        <w:t xml:space="preserve"> prior to the scheduled date of such 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55" w:lineRule="exact"/>
        <w:rPr>
          <w:rFonts w:ascii="Arial" w:cs="Arial" w:eastAsia="Arial" w:hAnsi="Arial"/>
          <w:sz w:val="19"/>
          <w:szCs w:val="19"/>
          <w:color w:val="auto"/>
        </w:rPr>
      </w:pPr>
    </w:p>
    <w:p>
      <w:pPr>
        <w:jc w:val="both"/>
        <w:ind w:firstLine="1735"/>
        <w:spacing w:after="0" w:line="297" w:lineRule="auto"/>
        <w:tabs>
          <w:tab w:leader="none" w:pos="2615"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Maintenance of Records by Lenders</w:t>
      </w:r>
      <w:r>
        <w:rPr>
          <w:rFonts w:ascii="Arial" w:cs="Arial" w:eastAsia="Arial" w:hAnsi="Arial"/>
          <w:sz w:val="19"/>
          <w:szCs w:val="19"/>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33" w:lineRule="exact"/>
        <w:rPr>
          <w:rFonts w:ascii="Arial" w:cs="Arial" w:eastAsia="Arial" w:hAnsi="Arial"/>
          <w:sz w:val="19"/>
          <w:szCs w:val="19"/>
          <w:color w:val="auto"/>
        </w:rPr>
      </w:pPr>
    </w:p>
    <w:p>
      <w:pPr>
        <w:jc w:val="both"/>
        <w:ind w:firstLine="1735"/>
        <w:spacing w:after="0" w:line="235" w:lineRule="auto"/>
        <w:tabs>
          <w:tab w:leader="none" w:pos="2627"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Maintenance of Records by the Administrative Agent</w:t>
      </w:r>
      <w:r>
        <w:rPr>
          <w:rFonts w:ascii="Arial" w:cs="Arial" w:eastAsia="Arial" w:hAnsi="Arial"/>
          <w:sz w:val="22"/>
          <w:szCs w:val="22"/>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87"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Effect of Entries</w:t>
      </w:r>
      <w:r>
        <w:rPr>
          <w:rFonts w:ascii="Arial" w:cs="Arial" w:eastAsia="Arial" w:hAnsi="Arial"/>
          <w:sz w:val="22"/>
          <w:szCs w:val="22"/>
          <w:color w:val="auto"/>
        </w:rPr>
        <w:t xml:space="preserve">. The entries made in the records maintained pursuant to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Section shall be </w:t>
      </w:r>
      <w:r>
        <w:rPr>
          <w:rFonts w:ascii="Arial" w:cs="Arial" w:eastAsia="Arial" w:hAnsi="Arial"/>
          <w:sz w:val="22"/>
          <w:szCs w:val="22"/>
          <w:u w:val="single" w:color="auto"/>
          <w:color w:val="auto"/>
        </w:rPr>
        <w:t>prima facie</w:t>
      </w:r>
      <w:r>
        <w:rPr>
          <w:rFonts w:ascii="Arial" w:cs="Arial" w:eastAsia="Arial" w:hAnsi="Arial"/>
          <w:sz w:val="22"/>
          <w:szCs w:val="22"/>
          <w:color w:val="auto"/>
        </w:rPr>
        <w:t xml:space="preserve"> evidence, absent obvious error,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records or any error therein shall not in any manner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affect the obligation of the Borrower to repay the Loans in accordance with the terms of this Agreement.</w:t>
      </w:r>
    </w:p>
    <w:p>
      <w:pPr>
        <w:spacing w:after="0" w:line="206" w:lineRule="exact"/>
        <w:rPr>
          <w:sz w:val="20"/>
          <w:szCs w:val="20"/>
          <w:color w:val="auto"/>
        </w:rPr>
      </w:pPr>
    </w:p>
    <w:p>
      <w:pPr>
        <w:jc w:val="both"/>
        <w:ind w:firstLine="1735"/>
        <w:spacing w:after="0" w:line="279" w:lineRule="auto"/>
        <w:tabs>
          <w:tab w:leader="none" w:pos="2591"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Promissory Notes</w:t>
      </w:r>
      <w:r>
        <w:rPr>
          <w:rFonts w:ascii="Arial" w:cs="Arial" w:eastAsia="Arial" w:hAnsi="Arial"/>
          <w:sz w:val="19"/>
          <w:szCs w:val="19"/>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be represented by one or more promissory notes in such form payable to the payee named therein (or, if such promissory note is a registered note, to such payee and its registered assigns).</w:t>
      </w:r>
    </w:p>
    <w:p>
      <w:pPr>
        <w:spacing w:after="0" w:line="150"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0" w:lineRule="auto"/>
        <w:tabs>
          <w:tab w:leader="none" w:pos="2615"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Optional Prepayments</w:t>
      </w:r>
      <w:r>
        <w:rPr>
          <w:rFonts w:ascii="Arial" w:cs="Arial" w:eastAsia="Arial" w:hAnsi="Arial"/>
          <w:sz w:val="19"/>
          <w:szCs w:val="19"/>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subject to the requirements of this Section. Any prepayment of a Borrowing made in accordance with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applied ratably among the Lenders of a Class of Commitment unless such prepayment is made in connection with the reduction of Commitments in accordance with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in which case such prepayment shall be applied in accordance with </w:t>
      </w:r>
      <w:r>
        <w:rPr>
          <w:rFonts w:ascii="Arial" w:cs="Arial" w:eastAsia="Arial" w:hAnsi="Arial"/>
          <w:sz w:val="19"/>
          <w:szCs w:val="19"/>
          <w:u w:val="single" w:color="auto"/>
          <w:color w:val="auto"/>
        </w:rPr>
        <w:t>Section 2.08(d)</w:t>
      </w:r>
      <w:r>
        <w:rPr>
          <w:rFonts w:ascii="Arial" w:cs="Arial" w:eastAsia="Arial" w:hAnsi="Arial"/>
          <w:sz w:val="19"/>
          <w:szCs w:val="19"/>
          <w:color w:val="auto"/>
        </w:rPr>
        <w:t xml:space="preserve"> or</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(f)</w:t>
      </w:r>
      <w:r>
        <w:rPr>
          <w:rFonts w:ascii="Arial" w:cs="Arial" w:eastAsia="Arial" w:hAnsi="Arial"/>
          <w:sz w:val="22"/>
          <w:szCs w:val="22"/>
          <w:color w:val="auto"/>
        </w:rPr>
        <w:t>, as applicable.</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Mandatory Prepayments due to Changes in Exchange Rates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789"/>
        <w:spacing w:after="0" w:line="274" w:lineRule="auto"/>
        <w:tabs>
          <w:tab w:leader="none" w:pos="2529"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Determination of Amount Outstanding</w:t>
      </w:r>
      <w:r>
        <w:rPr>
          <w:rFonts w:ascii="Arial" w:cs="Arial" w:eastAsia="Arial" w:hAnsi="Arial"/>
          <w:sz w:val="19"/>
          <w:szCs w:val="19"/>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58" w:lineRule="exact"/>
        <w:rPr>
          <w:rFonts w:ascii="Arial" w:cs="Arial" w:eastAsia="Arial" w:hAnsi="Arial"/>
          <w:sz w:val="19"/>
          <w:szCs w:val="19"/>
          <w:color w:val="auto"/>
        </w:rPr>
      </w:pPr>
    </w:p>
    <w:p>
      <w:pPr>
        <w:jc w:val="both"/>
        <w:ind w:left="880" w:firstLine="789"/>
        <w:spacing w:after="0" w:line="246" w:lineRule="auto"/>
        <w:tabs>
          <w:tab w:leader="none" w:pos="2589"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Prepayment</w:t>
      </w:r>
      <w:r>
        <w:rPr>
          <w:rFonts w:ascii="Arial" w:cs="Arial" w:eastAsia="Arial" w:hAnsi="Arial"/>
          <w:sz w:val="21"/>
          <w:szCs w:val="21"/>
          <w:color w:val="auto"/>
        </w:rPr>
        <w:t xml:space="preserve">. If on the date of such determination the aggregate Revolving Multicurrency Credit Exposure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21"/>
          <w:szCs w:val="21"/>
          <w:u w:val="single" w:color="auto"/>
          <w:color w:val="auto"/>
        </w:rPr>
        <w:t>Section 2.05(k)</w:t>
      </w:r>
      <w:r>
        <w:rPr>
          <w:rFonts w:ascii="Arial" w:cs="Arial" w:eastAsia="Arial" w:hAnsi="Arial"/>
          <w:sz w:val="21"/>
          <w:szCs w:val="21"/>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1" w:name="page222"/>
    <w:bookmarkEnd w:id="221"/>
    <w:p>
      <w:pPr>
        <w:jc w:val="both"/>
        <w:spacing w:after="0" w:line="287" w:lineRule="auto"/>
        <w:rPr>
          <w:sz w:val="20"/>
          <w:szCs w:val="20"/>
          <w:color w:val="auto"/>
        </w:rPr>
      </w:pPr>
      <w:r>
        <w:rPr>
          <w:rFonts w:ascii="Arial" w:cs="Arial" w:eastAsia="Arial" w:hAnsi="Arial"/>
          <w:sz w:val="19"/>
          <w:szCs w:val="19"/>
          <w:color w:val="auto"/>
        </w:rPr>
        <w:t>For purposes hereof “</w:t>
      </w:r>
      <w:r>
        <w:rPr>
          <w:rFonts w:ascii="Arial" w:cs="Arial" w:eastAsia="Arial" w:hAnsi="Arial"/>
          <w:sz w:val="19"/>
          <w:szCs w:val="19"/>
          <w:u w:val="single" w:color="auto"/>
          <w:color w:val="auto"/>
        </w:rPr>
        <w:t>Currency Valuation Notice</w:t>
      </w:r>
      <w:r>
        <w:rPr>
          <w:rFonts w:ascii="Arial" w:cs="Arial" w:eastAsia="Arial" w:hAnsi="Arial"/>
          <w:sz w:val="19"/>
          <w:szCs w:val="19"/>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3"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 xml:space="preserve">Any prepayment pursuant to this paragraph shall be applied,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Swingline Multicurrency Loans outstanding,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Syndicated Multicurrency Loans outstanding and </w:t>
      </w:r>
      <w:r>
        <w:rPr>
          <w:rFonts w:ascii="Arial" w:cs="Arial" w:eastAsia="Arial" w:hAnsi="Arial"/>
          <w:sz w:val="21"/>
          <w:szCs w:val="21"/>
          <w:u w:val="single" w:color="auto"/>
          <w:color w:val="auto"/>
        </w:rPr>
        <w:t>third</w:t>
      </w:r>
      <w:r>
        <w:rPr>
          <w:rFonts w:ascii="Arial" w:cs="Arial" w:eastAsia="Arial" w:hAnsi="Arial"/>
          <w:sz w:val="21"/>
          <w:szCs w:val="21"/>
          <w:color w:val="auto"/>
        </w:rPr>
        <w:t>, as cover for Multicurrency LC Exposure.</w:t>
      </w:r>
    </w:p>
    <w:p>
      <w:pPr>
        <w:spacing w:after="0" w:line="151" w:lineRule="exact"/>
        <w:rPr>
          <w:sz w:val="20"/>
          <w:szCs w:val="20"/>
          <w:color w:val="auto"/>
        </w:rPr>
      </w:pPr>
    </w:p>
    <w:p>
      <w:pPr>
        <w:jc w:val="both"/>
        <w:ind w:firstLine="1735"/>
        <w:spacing w:after="0" w:line="272" w:lineRule="auto"/>
        <w:tabs>
          <w:tab w:leader="none" w:pos="2615" w:val="left"/>
        </w:tabs>
        <w:numPr>
          <w:ilvl w:val="1"/>
          <w:numId w:val="181"/>
        </w:numPr>
        <w:rPr>
          <w:rFonts w:ascii="Arial" w:cs="Arial" w:eastAsia="Arial" w:hAnsi="Arial"/>
          <w:sz w:val="19"/>
          <w:szCs w:val="19"/>
          <w:color w:val="auto"/>
        </w:rPr>
      </w:pPr>
      <w:r>
        <w:rPr>
          <w:rFonts w:ascii="Arial" w:cs="Arial" w:eastAsia="Arial" w:hAnsi="Arial"/>
          <w:sz w:val="19"/>
          <w:szCs w:val="19"/>
          <w:u w:val="single" w:color="auto"/>
          <w:color w:val="auto"/>
        </w:rPr>
        <w:t>Mandatory Prepayments due to Borrowing Base Deficiency</w:t>
      </w:r>
      <w:r>
        <w:rPr>
          <w:rFonts w:ascii="Arial" w:cs="Arial" w:eastAsia="Arial" w:hAnsi="Arial"/>
          <w:sz w:val="19"/>
          <w:szCs w:val="19"/>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9"/>
          <w:szCs w:val="19"/>
          <w:u w:val="single" w:color="auto"/>
          <w:color w:val="auto"/>
        </w:rPr>
        <w:t>Section 2.05(k)</w:t>
      </w:r>
      <w:r>
        <w:rPr>
          <w:rFonts w:ascii="Arial" w:cs="Arial" w:eastAsia="Arial" w:hAnsi="Arial"/>
          <w:sz w:val="19"/>
          <w:szCs w:val="19"/>
          <w:color w:val="auto"/>
        </w:rPr>
        <w:t xml:space="preserve">) or reduce Other Covered Indebtedness or any other Indebtedness that is included in the Covered Debt Amount at such time in such amounts as shall be necessary so that such Borrowing Base Deficiency is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amount of such prepayment of Loans (and Cash Collateral for Letters of Credit) shall be at least equal to the </w:t>
      </w:r>
      <w:r>
        <w:rPr>
          <w:rFonts w:ascii="Arial" w:cs="Arial" w:eastAsia="Arial" w:hAnsi="Arial"/>
          <w:sz w:val="17"/>
          <w:szCs w:val="17"/>
          <w:color w:val="auto"/>
        </w:rPr>
        <w:t>Revolving Percentage</w:t>
      </w:r>
      <w:r>
        <w:rPr>
          <w:rFonts w:ascii="Arial" w:cs="Arial" w:eastAsia="Arial" w:hAnsi="Arial"/>
          <w:sz w:val="19"/>
          <w:szCs w:val="19"/>
          <w:color w:val="auto"/>
        </w:rPr>
        <w:t xml:space="preserv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735"/>
        <w:spacing w:after="0"/>
        <w:tabs>
          <w:tab w:leader="none" w:pos="2627" w:val="left"/>
        </w:tabs>
        <w:numPr>
          <w:ilvl w:val="1"/>
          <w:numId w:val="181"/>
        </w:numPr>
        <w:rPr>
          <w:rFonts w:ascii="Arial" w:cs="Arial" w:eastAsia="Arial" w:hAnsi="Arial"/>
          <w:sz w:val="22"/>
          <w:szCs w:val="22"/>
          <w:color w:val="auto"/>
        </w:rPr>
      </w:pPr>
      <w:r>
        <w:rPr>
          <w:rFonts w:ascii="Arial" w:cs="Arial" w:eastAsia="Arial" w:hAnsi="Arial"/>
          <w:sz w:val="22"/>
          <w:szCs w:val="22"/>
          <w:u w:val="single" w:color="auto"/>
          <w:color w:val="auto"/>
        </w:rPr>
        <w:t>Mandatory Prepayments During Amortization Period</w:t>
      </w:r>
      <w:r>
        <w:rPr>
          <w:rFonts w:ascii="Arial" w:cs="Arial" w:eastAsia="Arial" w:hAnsi="Arial"/>
          <w:sz w:val="22"/>
          <w:szCs w:val="22"/>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86" w:lineRule="exact"/>
        <w:rPr>
          <w:rFonts w:ascii="Arial" w:cs="Arial" w:eastAsia="Arial" w:hAnsi="Arial"/>
          <w:sz w:val="22"/>
          <w:szCs w:val="22"/>
          <w:color w:val="auto"/>
        </w:rPr>
      </w:pPr>
    </w:p>
    <w:p>
      <w:pPr>
        <w:jc w:val="both"/>
        <w:ind w:left="880" w:firstLine="789"/>
        <w:spacing w:after="0" w:line="235" w:lineRule="auto"/>
        <w:tabs>
          <w:tab w:leader="none" w:pos="2529"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Asset Disposition</w:t>
      </w:r>
      <w:r>
        <w:rPr>
          <w:rFonts w:ascii="Arial" w:cs="Arial" w:eastAsia="Arial" w:hAnsi="Arial"/>
          <w:sz w:val="22"/>
          <w:szCs w:val="22"/>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2.09(b)</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880" w:firstLine="789"/>
        <w:spacing w:after="0" w:line="252" w:lineRule="auto"/>
        <w:tabs>
          <w:tab w:leader="none" w:pos="2589"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Equity Issuance</w:t>
      </w:r>
      <w:r>
        <w:rPr>
          <w:rFonts w:ascii="Arial" w:cs="Arial" w:eastAsia="Arial" w:hAnsi="Arial"/>
          <w:sz w:val="21"/>
          <w:szCs w:val="21"/>
          <w:color w:val="auto"/>
        </w:rPr>
        <w:t>.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2" w:name="page223"/>
    <w:bookmarkEnd w:id="222"/>
    <w:p>
      <w:pPr>
        <w:ind w:left="880" w:right="20"/>
        <w:spacing w:after="0" w:line="250" w:lineRule="auto"/>
        <w:rPr>
          <w:sz w:val="20"/>
          <w:szCs w:val="20"/>
          <w:color w:val="auto"/>
        </w:rPr>
      </w:pPr>
      <w:r>
        <w:rPr>
          <w:rFonts w:ascii="Arial" w:cs="Arial" w:eastAsia="Arial" w:hAnsi="Arial"/>
          <w:sz w:val="22"/>
          <w:szCs w:val="22"/>
          <w:color w:val="auto"/>
        </w:rPr>
        <w:t xml:space="preserve">the fifth Business Day following the receipt of such Net Cash Proceeds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75" w:lineRule="exact"/>
        <w:rPr>
          <w:sz w:val="20"/>
          <w:szCs w:val="20"/>
          <w:color w:val="auto"/>
        </w:rPr>
      </w:pPr>
    </w:p>
    <w:p>
      <w:pPr>
        <w:jc w:val="both"/>
        <w:ind w:left="880" w:firstLine="789"/>
        <w:spacing w:after="0" w:line="282" w:lineRule="auto"/>
        <w:tabs>
          <w:tab w:leader="none" w:pos="2649"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19"/>
          <w:szCs w:val="19"/>
          <w:u w:val="single" w:color="auto"/>
          <w:color w:val="auto"/>
        </w:rPr>
        <w:t>Section 2.09(b)</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880" w:firstLine="789"/>
        <w:spacing w:after="0" w:line="234" w:lineRule="auto"/>
        <w:tabs>
          <w:tab w:leader="none" w:pos="2637"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Extraordinary Receipt</w:t>
      </w:r>
      <w:r>
        <w:rPr>
          <w:rFonts w:ascii="Arial" w:cs="Arial" w:eastAsia="Arial" w:hAnsi="Arial"/>
          <w:sz w:val="22"/>
          <w:szCs w:val="22"/>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2.10(d)</w:t>
      </w:r>
      <w:r>
        <w:rPr>
          <w:rFonts w:ascii="Arial" w:cs="Arial" w:eastAsia="Arial" w:hAnsi="Arial"/>
          <w:sz w:val="22"/>
          <w:szCs w:val="22"/>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jc w:val="both"/>
        <w:ind w:left="880" w:firstLine="789"/>
        <w:spacing w:after="0" w:line="236" w:lineRule="auto"/>
        <w:tabs>
          <w:tab w:leader="none" w:pos="2577"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Return of Capital</w:t>
      </w:r>
      <w:r>
        <w:rPr>
          <w:rFonts w:ascii="Arial" w:cs="Arial" w:eastAsia="Arial" w:hAnsi="Arial"/>
          <w:sz w:val="22"/>
          <w:szCs w:val="22"/>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no later than the fifth Business Day following the receipt of such Return of Capital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8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Notwithstanding the foregoing, (I) Net Cash Proceeds and Return of Capital required to be applied to the prepayment of the Loans pursuant to this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9"/>
          <w:szCs w:val="19"/>
          <w:u w:val="single" w:color="auto"/>
          <w:color w:val="auto"/>
        </w:rPr>
        <w:t>Section 6.05(b)</w:t>
      </w:r>
      <w:r>
        <w:rPr>
          <w:rFonts w:ascii="Arial" w:cs="Arial" w:eastAsia="Arial" w:hAnsi="Arial"/>
          <w:sz w:val="19"/>
          <w:szCs w:val="19"/>
          <w:color w:val="auto"/>
        </w:rPr>
        <w:t xml:space="preserve"> herein) to maintain the status of a RIC under the Code and a “business development company” under the Investment Company Act for so long as the Borrower retains such status and (II) if the Loans to be prepaid pursuant to this </w:t>
      </w:r>
      <w:r>
        <w:rPr>
          <w:rFonts w:ascii="Arial" w:cs="Arial" w:eastAsia="Arial" w:hAnsi="Arial"/>
          <w:sz w:val="19"/>
          <w:szCs w:val="19"/>
          <w:u w:val="single" w:color="auto"/>
          <w:color w:val="auto"/>
        </w:rPr>
        <w:t>Section 2.01(d)</w:t>
      </w:r>
      <w:r>
        <w:rPr>
          <w:rFonts w:ascii="Arial" w:cs="Arial" w:eastAsia="Arial" w:hAnsi="Arial"/>
          <w:sz w:val="19"/>
          <w:szCs w:val="19"/>
          <w:color w:val="auto"/>
        </w:rPr>
        <w:t xml:space="preserve"> are Eurocurrency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Administrative Agent may direct the application of such deposits as set forth in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at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3" w:name="page224"/>
    <w:bookmarkEnd w:id="223"/>
    <w:p>
      <w:pPr>
        <w:spacing w:after="0"/>
        <w:rPr>
          <w:sz w:val="20"/>
          <w:szCs w:val="20"/>
          <w:color w:val="auto"/>
        </w:rPr>
      </w:pPr>
      <w:r>
        <w:rPr>
          <w:rFonts w:ascii="Arial" w:cs="Arial" w:eastAsia="Arial" w:hAnsi="Arial"/>
          <w:sz w:val="21"/>
          <w:szCs w:val="21"/>
          <w:color w:val="auto"/>
        </w:rPr>
        <w:t xml:space="preserve">any time and if the Administrative Agent does so, no amounts will be payable by the Borrower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w:t>
      </w:r>
    </w:p>
    <w:p>
      <w:pPr>
        <w:spacing w:after="0" w:line="218" w:lineRule="exact"/>
        <w:rPr>
          <w:sz w:val="20"/>
          <w:szCs w:val="20"/>
          <w:color w:val="auto"/>
        </w:rPr>
      </w:pPr>
    </w:p>
    <w:p>
      <w:pPr>
        <w:jc w:val="both"/>
        <w:ind w:firstLine="1735"/>
        <w:spacing w:after="0" w:line="268" w:lineRule="auto"/>
        <w:tabs>
          <w:tab w:leader="none" w:pos="2615"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Notices, Etc</w:t>
      </w:r>
      <w:r>
        <w:rPr>
          <w:rFonts w:ascii="Arial" w:cs="Arial" w:eastAsia="Arial" w:hAnsi="Arial"/>
          <w:sz w:val="19"/>
          <w:szCs w:val="19"/>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London time, four Business Days before the date of prepayment, (iii) in the case of prepayment of a RFR Borrowing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London time, four Business Days before the date of prepayment, (iv) in the case of prepayment of a Syndicated ABR Borrowing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Atlanta, Georgia time, one Business Day before the date of prepayment, (v) in the case of prepayment of a Swingline Loan, not later than 11:00 a.m., Atlanta, Georgia time, on the date of prepayment, or (vi) in the case of any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1:00 p.m., Atlanta, Georgia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(i) a notice of prepayment is given in connection with a conditional notice of termination of the Commitments of a Class as contemplated by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(ii) any notice given in connection with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Swingline Loan,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shall be made in the manner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2.09(b)</w:t>
      </w:r>
      <w:r>
        <w:rPr>
          <w:rFonts w:ascii="Arial" w:cs="Arial" w:eastAsia="Arial" w:hAnsi="Arial"/>
          <w:sz w:val="19"/>
          <w:szCs w:val="19"/>
          <w:color w:val="auto"/>
        </w:rPr>
        <w:t xml:space="preserve"> unless such prepayment is made in connection with the reduction of Commitments in accordance with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or</w:t>
      </w:r>
    </w:p>
    <w:p>
      <w:pPr>
        <w:spacing w:after="0" w:line="236" w:lineRule="exact"/>
        <w:rPr>
          <w:rFonts w:ascii="Arial" w:cs="Arial" w:eastAsia="Arial" w:hAnsi="Arial"/>
          <w:sz w:val="19"/>
          <w:szCs w:val="19"/>
          <w:color w:val="auto"/>
        </w:rPr>
      </w:pPr>
    </w:p>
    <w:p>
      <w:pPr>
        <w:ind w:left="280" w:hanging="272"/>
        <w:spacing w:after="0"/>
        <w:tabs>
          <w:tab w:leader="none" w:pos="280" w:val="left"/>
        </w:tabs>
        <w:numPr>
          <w:ilvl w:val="0"/>
          <w:numId w:val="185"/>
        </w:numPr>
        <w:rPr>
          <w:rFonts w:ascii="Arial" w:cs="Arial" w:eastAsia="Arial" w:hAnsi="Arial"/>
          <w:sz w:val="22"/>
          <w:szCs w:val="22"/>
          <w:u w:val="single" w:color="auto"/>
          <w:color w:val="auto"/>
        </w:rPr>
      </w:pPr>
      <w:r>
        <w:rPr>
          <w:rFonts w:ascii="Arial" w:cs="Arial" w:eastAsia="Arial" w:hAnsi="Arial"/>
          <w:sz w:val="22"/>
          <w:szCs w:val="22"/>
          <w:color w:val="auto"/>
        </w:rPr>
        <w:t xml:space="preserve">in which case such prepayment shall be applied in accordance with </w:t>
      </w:r>
      <w:r>
        <w:rPr>
          <w:rFonts w:ascii="Arial" w:cs="Arial" w:eastAsia="Arial" w:hAnsi="Arial"/>
          <w:sz w:val="22"/>
          <w:szCs w:val="22"/>
          <w:u w:val="single" w:color="auto"/>
          <w:color w:val="auto"/>
        </w:rPr>
        <w:t>Section 2.08(d)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(f)</w:t>
      </w:r>
      <w:r>
        <w:rPr>
          <w:rFonts w:ascii="Arial" w:cs="Arial" w:eastAsia="Arial" w:hAnsi="Arial"/>
          <w:sz w:val="22"/>
          <w:szCs w:val="22"/>
          <w:color w:val="auto"/>
        </w:rPr>
        <w:t>, as applicable.</w:t>
      </w:r>
    </w:p>
    <w:p>
      <w:pPr>
        <w:spacing w:after="0" w:line="188"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52" w:lineRule="auto"/>
        <w:tabs>
          <w:tab w:leader="none" w:pos="2615"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Commitment Fee</w:t>
      </w:r>
      <w:r>
        <w:rPr>
          <w:rFonts w:ascii="Arial" w:cs="Arial" w:eastAsia="Arial" w:hAnsi="Arial"/>
          <w:sz w:val="21"/>
          <w:szCs w:val="21"/>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4" w:name="page225"/>
    <w:bookmarkEnd w:id="224"/>
    <w:p>
      <w:pPr>
        <w:jc w:val="both"/>
        <w:spacing w:after="0" w:line="246" w:lineRule="auto"/>
        <w:rPr>
          <w:sz w:val="20"/>
          <w:szCs w:val="20"/>
          <w:color w:val="auto"/>
        </w:rPr>
      </w:pPr>
      <w:r>
        <w:rPr>
          <w:rFonts w:ascii="Arial" w:cs="Arial" w:eastAsia="Arial" w:hAnsi="Arial"/>
          <w:sz w:val="21"/>
          <w:szCs w:val="21"/>
          <w:color w:val="auto"/>
        </w:rPr>
        <w:t>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0" w:lineRule="exact"/>
        <w:rPr>
          <w:sz w:val="20"/>
          <w:szCs w:val="20"/>
          <w:color w:val="auto"/>
        </w:rPr>
      </w:pPr>
    </w:p>
    <w:p>
      <w:pPr>
        <w:jc w:val="both"/>
        <w:ind w:firstLine="1735"/>
        <w:spacing w:after="0" w:line="269" w:lineRule="auto"/>
        <w:tabs>
          <w:tab w:leader="none" w:pos="2627"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5" w:name="page226"/>
    <w:bookmarkEnd w:id="225"/>
    <w:p>
      <w:pPr>
        <w:jc w:val="both"/>
        <w:ind w:left="-880" w:firstLine="1735"/>
        <w:spacing w:after="0"/>
        <w:tabs>
          <w:tab w:leader="none" w:pos="1735"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Administrative Agent Fees</w:t>
      </w:r>
      <w:r>
        <w:rPr>
          <w:rFonts w:ascii="Arial" w:cs="Arial" w:eastAsia="Arial" w:hAnsi="Arial"/>
          <w:sz w:val="22"/>
          <w:szCs w:val="22"/>
          <w:color w:val="auto"/>
        </w:rPr>
        <w:t>. The Borrower agrees to pay to the Administrative Agent, for its own account, fees payable in the amounts and at the times separately agreed upon between the Borrower and the Administrative Agent.</w:t>
      </w:r>
    </w:p>
    <w:p>
      <w:pPr>
        <w:spacing w:after="0" w:line="186" w:lineRule="exact"/>
        <w:rPr>
          <w:rFonts w:ascii="Arial" w:cs="Arial" w:eastAsia="Arial" w:hAnsi="Arial"/>
          <w:sz w:val="22"/>
          <w:szCs w:val="22"/>
          <w:color w:val="auto"/>
        </w:rPr>
      </w:pPr>
    </w:p>
    <w:p>
      <w:pPr>
        <w:jc w:val="both"/>
        <w:ind w:left="-880" w:firstLine="1735"/>
        <w:spacing w:after="0" w:line="235" w:lineRule="auto"/>
        <w:tabs>
          <w:tab w:leader="none" w:pos="1747"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Payment of Fees</w:t>
      </w:r>
      <w:r>
        <w:rPr>
          <w:rFonts w:ascii="Arial" w:cs="Arial" w:eastAsia="Arial" w:hAnsi="Arial"/>
          <w:sz w:val="22"/>
          <w:szCs w:val="22"/>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88" w:lineRule="exact"/>
        <w:rPr>
          <w:sz w:val="20"/>
          <w:szCs w:val="20"/>
          <w:color w:val="auto"/>
        </w:rPr>
      </w:pPr>
    </w:p>
    <w:p>
      <w:pPr>
        <w:ind w:left="860"/>
        <w:spacing w:after="0"/>
        <w:tabs>
          <w:tab w:leader="none" w:pos="29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36" w:lineRule="auto"/>
        <w:tabs>
          <w:tab w:leader="none" w:pos="1735"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ABR Loans</w:t>
      </w:r>
      <w:r>
        <w:rPr>
          <w:rFonts w:ascii="Arial" w:cs="Arial" w:eastAsia="Arial" w:hAnsi="Arial"/>
          <w:sz w:val="22"/>
          <w:szCs w:val="22"/>
          <w:color w:val="auto"/>
        </w:rPr>
        <w:t xml:space="preserve">. The Loans constituting each ABR Borrowing (including each Swingline Loan) that are made by the Extending Lenders shall bear interest at a rate per annum equal to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Extended Applicable Margin. The Loans constituting each ABR Borrowing (including each Swingline Loan) that are made by the Non-Extending Lenders shall bear interest at a rate per annum equal to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Non-Extended Applicable Margin.</w:t>
      </w:r>
    </w:p>
    <w:p>
      <w:pPr>
        <w:spacing w:after="0" w:line="187" w:lineRule="exact"/>
        <w:rPr>
          <w:rFonts w:ascii="Arial" w:cs="Arial" w:eastAsia="Arial" w:hAnsi="Arial"/>
          <w:sz w:val="22"/>
          <w:szCs w:val="22"/>
          <w:color w:val="auto"/>
        </w:rPr>
      </w:pPr>
    </w:p>
    <w:p>
      <w:pPr>
        <w:jc w:val="both"/>
        <w:ind w:left="-880" w:firstLine="1735"/>
        <w:spacing w:after="0" w:line="249" w:lineRule="auto"/>
        <w:tabs>
          <w:tab w:leader="none" w:pos="1747"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Eurocurrency Loans</w:t>
      </w:r>
      <w:r>
        <w:rPr>
          <w:rFonts w:ascii="Arial" w:cs="Arial" w:eastAsia="Arial" w:hAnsi="Arial"/>
          <w:sz w:val="21"/>
          <w:szCs w:val="21"/>
          <w:color w:val="auto"/>
        </w:rPr>
        <w:t xml:space="preserve">. The Loans constituting each Eurocurrency Borrowing that are made by the Extending Lenders shall bear interest at a rate per annum equal to the Adjusted Eurocurrency Rate for the related Interest Period for such Borrowing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Extended Applicable Margin. The Loans constituting each Eurocurrency Borrowing that are made by the Non-Extending Lenders shall bear interest at a rate per annum equal to the Adjusted Eurocurrency Rate for the related Interest Period for such Borrowing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Non-Extended Applicable Margin.</w:t>
      </w:r>
    </w:p>
    <w:p>
      <w:pPr>
        <w:spacing w:after="0" w:line="178" w:lineRule="exact"/>
        <w:rPr>
          <w:rFonts w:ascii="Arial" w:cs="Arial" w:eastAsia="Arial" w:hAnsi="Arial"/>
          <w:sz w:val="21"/>
          <w:szCs w:val="21"/>
          <w:color w:val="auto"/>
        </w:rPr>
      </w:pPr>
    </w:p>
    <w:p>
      <w:pPr>
        <w:jc w:val="both"/>
        <w:ind w:left="-880" w:firstLine="1735"/>
        <w:spacing w:after="0" w:line="287" w:lineRule="auto"/>
        <w:tabs>
          <w:tab w:leader="none" w:pos="1735"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RFR Loans</w:t>
      </w:r>
      <w:r>
        <w:rPr>
          <w:rFonts w:ascii="Arial" w:cs="Arial" w:eastAsia="Arial" w:hAnsi="Arial"/>
          <w:sz w:val="19"/>
          <w:szCs w:val="19"/>
          <w:color w:val="auto"/>
        </w:rPr>
        <w:t xml:space="preserve">. The Loans constituting each RFR Borrowing that are made by the Extending Lenders shall bear interest at a rate per annum equal to the Daily Simple RFR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Extended Lender Applicable Margin for the related Interest Period. The Loans constituting each RFR Borrowing that are made by the Non-Extending Lenders shall bear interest at a rate per annum equal to the Daily Simple RFR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Non-Extended Lender Applicable Margin for the related Interest Period.</w:t>
      </w:r>
    </w:p>
    <w:p>
      <w:pPr>
        <w:spacing w:after="0" w:line="142" w:lineRule="exact"/>
        <w:rPr>
          <w:rFonts w:ascii="Arial" w:cs="Arial" w:eastAsia="Arial" w:hAnsi="Arial"/>
          <w:sz w:val="19"/>
          <w:szCs w:val="19"/>
          <w:color w:val="auto"/>
        </w:rPr>
      </w:pPr>
    </w:p>
    <w:p>
      <w:pPr>
        <w:jc w:val="both"/>
        <w:ind w:left="-880" w:firstLine="1735"/>
        <w:spacing w:after="0" w:line="279" w:lineRule="auto"/>
        <w:tabs>
          <w:tab w:leader="none" w:pos="1747"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otherwise applicable to such Loan as provided above, (ii) in the case of any Letter of Credit,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fee otherwise applicable to such Letter of Credit as provided in </w:t>
      </w:r>
      <w:r>
        <w:rPr>
          <w:rFonts w:ascii="Arial" w:cs="Arial" w:eastAsia="Arial" w:hAnsi="Arial"/>
          <w:sz w:val="19"/>
          <w:szCs w:val="19"/>
          <w:u w:val="single" w:color="auto"/>
          <w:color w:val="auto"/>
        </w:rPr>
        <w:t>Section 2.11(b)(i)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in the case of any fee or other amount,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w:t>
      </w:r>
    </w:p>
    <w:p>
      <w:pPr>
        <w:spacing w:after="0" w:line="150" w:lineRule="exact"/>
        <w:rPr>
          <w:rFonts w:ascii="Arial" w:cs="Arial" w:eastAsia="Arial" w:hAnsi="Arial"/>
          <w:sz w:val="19"/>
          <w:szCs w:val="19"/>
          <w:color w:val="auto"/>
        </w:rPr>
      </w:pPr>
    </w:p>
    <w:p>
      <w:pPr>
        <w:jc w:val="both"/>
        <w:ind w:left="-880" w:firstLine="1735"/>
        <w:spacing w:after="0"/>
        <w:tabs>
          <w:tab w:leader="none" w:pos="1735"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Payment of Interest</w:t>
      </w:r>
      <w:r>
        <w:rPr>
          <w:rFonts w:ascii="Arial" w:cs="Arial" w:eastAsia="Arial" w:hAnsi="Arial"/>
          <w:sz w:val="22"/>
          <w:szCs w:val="22"/>
          <w:color w:val="auto"/>
        </w:rPr>
        <w:t>. Accrued interest on each Loan shall be payable in arrears on each Interest Payment Date for such Loan in the Currency in which such Loan is denominated and, in the case of Syndicated Loans, with respect to any Lender, upon the earlier of</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26" w:name="page227"/>
    <w:bookmarkEnd w:id="226"/>
    <w:p>
      <w:pPr>
        <w:jc w:val="both"/>
        <w:spacing w:after="0" w:line="248" w:lineRule="auto"/>
        <w:rPr>
          <w:sz w:val="20"/>
          <w:szCs w:val="20"/>
          <w:color w:val="auto"/>
        </w:rPr>
      </w:pPr>
      <w:r>
        <w:rPr>
          <w:rFonts w:ascii="Arial" w:cs="Arial" w:eastAsia="Arial" w:hAnsi="Arial"/>
          <w:sz w:val="21"/>
          <w:szCs w:val="21"/>
          <w:color w:val="auto"/>
        </w:rPr>
        <w:t xml:space="preserve">such Lender’s Final Maturity Date and the Termination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interest accrued pursuant to </w:t>
      </w:r>
      <w:r>
        <w:rPr>
          <w:rFonts w:ascii="Arial" w:cs="Arial" w:eastAsia="Arial" w:hAnsi="Arial"/>
          <w:sz w:val="21"/>
          <w:szCs w:val="21"/>
          <w:u w:val="single" w:color="auto"/>
          <w:color w:val="auto"/>
        </w:rPr>
        <w:t>paragraph (c)</w:t>
      </w:r>
      <w:r>
        <w:rPr>
          <w:rFonts w:ascii="Arial" w:cs="Arial" w:eastAsia="Arial" w:hAnsi="Arial"/>
          <w:sz w:val="21"/>
          <w:szCs w:val="21"/>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77" w:lineRule="exact"/>
        <w:rPr>
          <w:sz w:val="20"/>
          <w:szCs w:val="20"/>
          <w:color w:val="auto"/>
        </w:rPr>
      </w:pPr>
    </w:p>
    <w:p>
      <w:pPr>
        <w:jc w:val="both"/>
        <w:ind w:firstLine="1735"/>
        <w:spacing w:after="0" w:line="279" w:lineRule="auto"/>
        <w:tabs>
          <w:tab w:leader="none" w:pos="2591"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Computation</w:t>
      </w:r>
      <w:r>
        <w:rPr>
          <w:rFonts w:ascii="Arial" w:cs="Arial" w:eastAsia="Arial" w:hAnsi="Arial"/>
          <w:sz w:val="19"/>
          <w:szCs w:val="19"/>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or Adjusted Eurocurrency Rate shall be determined by the Administrative Agent and such determination shall be conclusive absent manifest error.</w:t>
      </w:r>
    </w:p>
    <w:p>
      <w:pPr>
        <w:spacing w:after="0" w:line="150"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Inability to Determine Interest Rates</w:t>
      </w:r>
      <w:r>
        <w:rPr>
          <w:rFonts w:ascii="Arial" w:cs="Arial" w:eastAsia="Arial" w:hAnsi="Arial"/>
          <w:sz w:val="22"/>
          <w:szCs w:val="22"/>
          <w:color w:val="auto"/>
        </w:rPr>
        <w:t>. If, prior to the commencement of any Interest Period for any Eurocurrency Borrowing of a Class or at any time for a RFR Borrowing (the Currency of such Borrowing herein called the “</w:t>
      </w:r>
      <w:r>
        <w:rPr>
          <w:rFonts w:ascii="Arial" w:cs="Arial" w:eastAsia="Arial" w:hAnsi="Arial"/>
          <w:sz w:val="22"/>
          <w:szCs w:val="22"/>
          <w:u w:val="single" w:color="auto"/>
          <w:color w:val="auto"/>
        </w:rPr>
        <w:t>Affected Currency</w:t>
      </w:r>
      <w:r>
        <w:rPr>
          <w:rFonts w:ascii="Arial" w:cs="Arial" w:eastAsia="Arial" w:hAnsi="Arial"/>
          <w:sz w:val="22"/>
          <w:szCs w:val="22"/>
          <w:color w:val="auto"/>
        </w:rPr>
        <w:t>”):</w:t>
      </w:r>
    </w:p>
    <w:p>
      <w:pPr>
        <w:spacing w:after="0" w:line="186" w:lineRule="exact"/>
        <w:rPr>
          <w:sz w:val="20"/>
          <w:szCs w:val="20"/>
          <w:color w:val="auto"/>
        </w:rPr>
      </w:pPr>
    </w:p>
    <w:p>
      <w:pPr>
        <w:jc w:val="both"/>
        <w:ind w:firstLine="1735"/>
        <w:spacing w:after="0" w:line="234" w:lineRule="auto"/>
        <w:tabs>
          <w:tab w:leader="none" w:pos="2615"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 in the case of a Eurocurrency Borrowing, the Administrative Agent shall have determined (which determination shall be conclusive and binding upon the Borrower absent manifest error) that, by reason of circumstances affecting the relevant interbank market, adequate and reasonable means do not exist for ascertaining the Adjusted Eurocurrency Rate for the Affected Currency (including, without limitation, because the applicable Screen Rate is not available or published on a current basis) for such Interest Period or (ii) in the case of a RFR Borrowing, the Administrative Agent determines the Administrative Agent determines that adequate and reasonable means do not exist for ascertaining the Daily Simple RFR for the Affected Currency; or</w:t>
      </w:r>
    </w:p>
    <w:p>
      <w:pPr>
        <w:spacing w:after="0" w:line="190" w:lineRule="exact"/>
        <w:rPr>
          <w:rFonts w:ascii="Arial" w:cs="Arial" w:eastAsia="Arial" w:hAnsi="Arial"/>
          <w:sz w:val="22"/>
          <w:szCs w:val="22"/>
          <w:color w:val="auto"/>
        </w:rPr>
      </w:pPr>
    </w:p>
    <w:p>
      <w:pPr>
        <w:jc w:val="both"/>
        <w:ind w:firstLine="1735"/>
        <w:spacing w:after="0" w:line="279" w:lineRule="auto"/>
        <w:tabs>
          <w:tab w:leader="none" w:pos="262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 in the case of a Eurocurrency Borrowing, the Administrative Agent shall have received notice from the Required Lenders of such Class of Commitments that the Adjusted Eurocurrency Rate for the Affected Currency for such Interest Period will not adequately and fairly reflect the cost to such Lenders of making or maintaining their respective Loans included in such Borrowing for such Interest Period or (ii) in the case of a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7" w:name="page228"/>
    <w:bookmarkEnd w:id="227"/>
    <w:p>
      <w:pPr>
        <w:jc w:val="both"/>
        <w:spacing w:after="0" w:line="270" w:lineRule="auto"/>
        <w:rPr>
          <w:sz w:val="20"/>
          <w:szCs w:val="20"/>
          <w:color w:val="auto"/>
        </w:rPr>
      </w:pPr>
      <w:r>
        <w:rPr>
          <w:rFonts w:ascii="Arial" w:cs="Arial" w:eastAsia="Arial" w:hAnsi="Arial"/>
          <w:sz w:val="18"/>
          <w:szCs w:val="18"/>
          <w:color w:val="auto"/>
        </w:rPr>
        <w:t>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then either, at the Borrower’s election, (A) any Borrowing Request that requests a Eurocurrency Borrowing or RFR Borrowing denominated in the Affected Currency shall be ineffective, or</w:t>
      </w:r>
    </w:p>
    <w:p>
      <w:pPr>
        <w:spacing w:after="0" w:line="3" w:lineRule="exact"/>
        <w:rPr>
          <w:sz w:val="20"/>
          <w:szCs w:val="20"/>
          <w:color w:val="auto"/>
        </w:rPr>
      </w:pPr>
    </w:p>
    <w:p>
      <w:pPr>
        <w:ind w:firstLine="8"/>
        <w:spacing w:after="0" w:line="297" w:lineRule="auto"/>
        <w:tabs>
          <w:tab w:leader="none" w:pos="31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Eurocurrency Rate for such Eurocurrency Borrowing shall be the cost to each Lender to fund its pro rata share of such Eurocurrency Borrowing (from whatever source and using whatever methodologies as such Lender may select in its reasonable discretion).</w:t>
      </w:r>
    </w:p>
    <w:p>
      <w:pPr>
        <w:spacing w:after="0" w:line="34"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06" w:lineRule="exact"/>
        <w:rPr>
          <w:sz w:val="20"/>
          <w:szCs w:val="20"/>
          <w:color w:val="auto"/>
        </w:rPr>
      </w:pPr>
    </w:p>
    <w:p>
      <w:pPr>
        <w:ind w:left="2620" w:hanging="885"/>
        <w:spacing w:after="0"/>
        <w:tabs>
          <w:tab w:leader="none" w:pos="2620" w:val="left"/>
        </w:tabs>
        <w:numPr>
          <w:ilvl w:val="1"/>
          <w:numId w:val="193"/>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06" w:lineRule="exact"/>
        <w:rPr>
          <w:rFonts w:ascii="Arial" w:cs="Arial" w:eastAsia="Arial" w:hAnsi="Arial"/>
          <w:sz w:val="22"/>
          <w:szCs w:val="22"/>
          <w:color w:val="auto"/>
        </w:rPr>
      </w:pPr>
    </w:p>
    <w:p>
      <w:pPr>
        <w:jc w:val="both"/>
        <w:ind w:left="880" w:firstLine="789"/>
        <w:spacing w:after="0" w:line="297" w:lineRule="auto"/>
        <w:tabs>
          <w:tab w:leader="none" w:pos="252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Eurocurrency Rate) or any Issuing Bank; or</w:t>
      </w:r>
    </w:p>
    <w:p>
      <w:pPr>
        <w:spacing w:after="0" w:line="133" w:lineRule="exact"/>
        <w:rPr>
          <w:rFonts w:ascii="Arial" w:cs="Arial" w:eastAsia="Arial" w:hAnsi="Arial"/>
          <w:sz w:val="19"/>
          <w:szCs w:val="19"/>
          <w:color w:val="auto"/>
        </w:rPr>
      </w:pPr>
    </w:p>
    <w:p>
      <w:pPr>
        <w:jc w:val="both"/>
        <w:ind w:left="880" w:firstLine="789"/>
        <w:spacing w:after="0"/>
        <w:tabs>
          <w:tab w:leader="none" w:pos="2589"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impose on any Lender or any Issuing Bank or the London interbank market any other condition, cost or expense (other than Taxes) affecting this Agreement or Eurocurrency Loans made by such Lender or any Letter of Credit or participation therein;</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and the result of any of the foregoing shall be to increase the cost to such Lenders of making, converting to, continuing or maintaining any Eurocurrency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50" w:lineRule="exact"/>
        <w:rPr>
          <w:sz w:val="20"/>
          <w:szCs w:val="20"/>
          <w:color w:val="auto"/>
        </w:rPr>
      </w:pPr>
    </w:p>
    <w:p>
      <w:pPr>
        <w:jc w:val="both"/>
        <w:ind w:firstLine="1735"/>
        <w:spacing w:after="0" w:line="244" w:lineRule="auto"/>
        <w:tabs>
          <w:tab w:leader="none" w:pos="2627"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Capital and Liquidity Requirements</w:t>
      </w:r>
      <w:r>
        <w:rPr>
          <w:rFonts w:ascii="Arial" w:cs="Arial" w:eastAsia="Arial" w:hAnsi="Arial"/>
          <w:sz w:val="21"/>
          <w:szCs w:val="21"/>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from time to time the Borrower will pay to such Lender or such Issuing Bank, as the case may be, in Dollars, such additional amount or amounts as will compensate such Lender or such Issuing Bank or such Lender’s or such Issuing Bank’s holding company for any such reduction suffered.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8" w:name="page229"/>
    <w:bookmarkEnd w:id="228"/>
    <w:p>
      <w:pPr>
        <w:jc w:val="both"/>
        <w:ind w:firstLine="1735"/>
        <w:spacing w:after="0" w:line="236" w:lineRule="auto"/>
        <w:tabs>
          <w:tab w:leader="none" w:pos="2615"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Certificates from Lenders</w:t>
      </w:r>
      <w:r>
        <w:rPr>
          <w:rFonts w:ascii="Arial" w:cs="Arial" w:eastAsia="Arial" w:hAnsi="Arial"/>
          <w:sz w:val="22"/>
          <w:szCs w:val="22"/>
          <w:color w:val="auto"/>
        </w:rPr>
        <w:t xml:space="preserve">. A certificate of a Lender or an Issuing Bank setting forth the amount or amounts, in Dollars, necessary to compensate such Lender or such Issuing Bank or its holding company, as the case may be, as specified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187" w:lineRule="exact"/>
        <w:rPr>
          <w:rFonts w:ascii="Arial" w:cs="Arial" w:eastAsia="Arial" w:hAnsi="Arial"/>
          <w:sz w:val="22"/>
          <w:szCs w:val="22"/>
          <w:color w:val="auto"/>
        </w:rPr>
      </w:pPr>
    </w:p>
    <w:p>
      <w:pPr>
        <w:jc w:val="both"/>
        <w:ind w:firstLine="1735"/>
        <w:spacing w:after="0" w:line="246" w:lineRule="auto"/>
        <w:tabs>
          <w:tab w:leader="none" w:pos="2627"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Change in Law giving rise to such increased costs or reductions is retroactive, then the six-month period referred to above shall be extended to include the period of retroactive effect thereof.</w:t>
      </w:r>
    </w:p>
    <w:p>
      <w:pPr>
        <w:spacing w:after="0" w:line="180"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SECTION 2.15. </w:t>
      </w:r>
      <w:r>
        <w:rPr>
          <w:rFonts w:ascii="Arial" w:cs="Arial" w:eastAsia="Arial" w:hAnsi="Arial"/>
          <w:sz w:val="21"/>
          <w:szCs w:val="21"/>
          <w:u w:val="single" w:color="auto"/>
          <w:color w:val="auto"/>
        </w:rPr>
        <w:t>Break Funding Payments</w:t>
      </w:r>
      <w:r>
        <w:rPr>
          <w:rFonts w:ascii="Arial" w:cs="Arial" w:eastAsia="Arial" w:hAnsi="Arial"/>
          <w:sz w:val="21"/>
          <w:szCs w:val="21"/>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21"/>
          <w:szCs w:val="21"/>
          <w:u w:val="single" w:color="auto"/>
          <w:color w:val="auto"/>
        </w:rPr>
        <w:t>Section 2.10(e)</w:t>
      </w:r>
      <w:r>
        <w:rPr>
          <w:rFonts w:ascii="Arial" w:cs="Arial" w:eastAsia="Arial" w:hAnsi="Arial"/>
          <w:sz w:val="21"/>
          <w:szCs w:val="21"/>
          <w:color w:val="auto"/>
        </w:rPr>
        <w:t xml:space="preserve"> and is revoked in accordance herewith), or (d) the assignment as a result of a request by the Borrower pursuant to </w:t>
      </w:r>
      <w:r>
        <w:rPr>
          <w:rFonts w:ascii="Arial" w:cs="Arial" w:eastAsia="Arial" w:hAnsi="Arial"/>
          <w:sz w:val="21"/>
          <w:szCs w:val="21"/>
          <w:u w:val="single" w:color="auto"/>
          <w:color w:val="auto"/>
        </w:rPr>
        <w:t>Section 2.18(b)</w:t>
      </w:r>
      <w:r>
        <w:rPr>
          <w:rFonts w:ascii="Arial" w:cs="Arial" w:eastAsia="Arial" w:hAnsi="Arial"/>
          <w:sz w:val="21"/>
          <w:szCs w:val="21"/>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188" w:lineRule="exact"/>
        <w:rPr>
          <w:sz w:val="20"/>
          <w:szCs w:val="20"/>
          <w:color w:val="auto"/>
        </w:rPr>
      </w:pPr>
    </w:p>
    <w:p>
      <w:pPr>
        <w:jc w:val="both"/>
        <w:ind w:left="880" w:firstLine="789"/>
        <w:spacing w:after="0" w:line="235" w:lineRule="auto"/>
        <w:tabs>
          <w:tab w:leader="none" w:pos="252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Eurocurrency Rate for such Currency for such Interest Period, </w:t>
      </w:r>
      <w:r>
        <w:rPr>
          <w:rFonts w:ascii="Arial" w:cs="Arial" w:eastAsia="Arial" w:hAnsi="Arial"/>
          <w:sz w:val="22"/>
          <w:szCs w:val="22"/>
          <w:u w:val="single" w:color="auto"/>
          <w:color w:val="auto"/>
        </w:rPr>
        <w:t>over</w:t>
      </w:r>
    </w:p>
    <w:p>
      <w:pPr>
        <w:spacing w:after="0" w:line="187" w:lineRule="exact"/>
        <w:rPr>
          <w:rFonts w:ascii="Arial" w:cs="Arial" w:eastAsia="Arial" w:hAnsi="Arial"/>
          <w:sz w:val="22"/>
          <w:szCs w:val="22"/>
          <w:color w:val="auto"/>
        </w:rPr>
      </w:pPr>
    </w:p>
    <w:p>
      <w:pPr>
        <w:jc w:val="both"/>
        <w:ind w:left="880" w:firstLine="789"/>
        <w:spacing w:after="0" w:line="238" w:lineRule="auto"/>
        <w:tabs>
          <w:tab w:leader="none" w:pos="258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9" w:name="page230"/>
    <w:bookmarkEnd w:id="229"/>
    <w:p>
      <w:pPr>
        <w:jc w:val="both"/>
        <w:spacing w:after="0" w:line="249" w:lineRule="auto"/>
        <w:rPr>
          <w:sz w:val="20"/>
          <w:szCs w:val="20"/>
          <w:color w:val="auto"/>
        </w:rPr>
      </w:pPr>
      <w:r>
        <w:rPr>
          <w:rFonts w:ascii="Arial" w:cs="Arial" w:eastAsia="Arial" w:hAnsi="Arial"/>
          <w:sz w:val="21"/>
          <w:szCs w:val="21"/>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78"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75" w:lineRule="auto"/>
        <w:tabs>
          <w:tab w:leader="none" w:pos="2615"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57" w:lineRule="exact"/>
        <w:rPr>
          <w:rFonts w:ascii="Arial" w:cs="Arial" w:eastAsia="Arial" w:hAnsi="Arial"/>
          <w:sz w:val="19"/>
          <w:szCs w:val="19"/>
          <w:color w:val="auto"/>
        </w:rPr>
      </w:pPr>
    </w:p>
    <w:p>
      <w:pPr>
        <w:ind w:firstLine="1735"/>
        <w:spacing w:after="0" w:line="250" w:lineRule="auto"/>
        <w:tabs>
          <w:tab w:leader="none" w:pos="2627"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In addition, the Borrower shall pay any Other Taxes to the relevant Governmental Authority in accordance with applicable law.</w:t>
      </w:r>
    </w:p>
    <w:p>
      <w:pPr>
        <w:spacing w:after="0" w:line="174" w:lineRule="exact"/>
        <w:rPr>
          <w:rFonts w:ascii="Arial" w:cs="Arial" w:eastAsia="Arial" w:hAnsi="Arial"/>
          <w:sz w:val="22"/>
          <w:szCs w:val="22"/>
          <w:color w:val="auto"/>
        </w:rPr>
      </w:pPr>
    </w:p>
    <w:p>
      <w:pPr>
        <w:jc w:val="both"/>
        <w:ind w:firstLine="1735"/>
        <w:spacing w:after="0" w:line="274" w:lineRule="auto"/>
        <w:tabs>
          <w:tab w:leader="none" w:pos="2615"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1735"/>
        <w:spacing w:after="0" w:line="246" w:lineRule="auto"/>
        <w:tabs>
          <w:tab w:leader="none" w:pos="2627" w:val="left"/>
        </w:tabs>
        <w:numPr>
          <w:ilvl w:val="0"/>
          <w:numId w:val="198"/>
        </w:numPr>
        <w:rPr>
          <w:rFonts w:ascii="Arial" w:cs="Arial" w:eastAsia="Arial" w:hAnsi="Arial"/>
          <w:sz w:val="21"/>
          <w:szCs w:val="21"/>
          <w:color w:val="auto"/>
        </w:rPr>
      </w:pP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21"/>
          <w:szCs w:val="21"/>
          <w:u w:val="single" w:color="auto"/>
          <w:color w:val="auto"/>
        </w:rPr>
        <w:t>Section 9.04(f)</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0" w:name="page231"/>
    <w:bookmarkEnd w:id="230"/>
    <w:p>
      <w:pPr>
        <w:jc w:val="both"/>
        <w:spacing w:after="0" w:line="252" w:lineRule="auto"/>
        <w:rPr>
          <w:sz w:val="20"/>
          <w:szCs w:val="20"/>
          <w:color w:val="auto"/>
        </w:rPr>
      </w:pPr>
      <w:r>
        <w:rPr>
          <w:rFonts w:ascii="Arial" w:cs="Arial" w:eastAsia="Arial" w:hAnsi="Arial"/>
          <w:sz w:val="21"/>
          <w:szCs w:val="21"/>
          <w:color w:val="auto"/>
        </w:rPr>
        <w:t xml:space="preserve">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21"/>
          <w:szCs w:val="21"/>
          <w:u w:val="single" w:color="auto"/>
          <w:color w:val="auto"/>
        </w:rPr>
        <w:t>paragraph (d)</w:t>
      </w:r>
      <w:r>
        <w:rPr>
          <w:rFonts w:ascii="Arial" w:cs="Arial" w:eastAsia="Arial" w:hAnsi="Arial"/>
          <w:sz w:val="21"/>
          <w:szCs w:val="21"/>
          <w:color w:val="auto"/>
        </w:rPr>
        <w:t>.</w:t>
      </w:r>
    </w:p>
    <w:p>
      <w:pPr>
        <w:spacing w:after="0" w:line="174" w:lineRule="exact"/>
        <w:rPr>
          <w:sz w:val="20"/>
          <w:szCs w:val="20"/>
          <w:color w:val="auto"/>
        </w:rPr>
      </w:pPr>
    </w:p>
    <w:p>
      <w:pPr>
        <w:jc w:val="both"/>
        <w:ind w:firstLine="1735"/>
        <w:spacing w:after="0" w:line="252" w:lineRule="auto"/>
        <w:tabs>
          <w:tab w:leader="none" w:pos="2615" w:val="left"/>
        </w:tabs>
        <w:numPr>
          <w:ilvl w:val="1"/>
          <w:numId w:val="199"/>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3" w:lineRule="exact"/>
        <w:rPr>
          <w:rFonts w:ascii="Arial" w:cs="Arial" w:eastAsia="Arial" w:hAnsi="Arial"/>
          <w:sz w:val="21"/>
          <w:szCs w:val="21"/>
          <w:color w:val="auto"/>
        </w:rPr>
      </w:pPr>
    </w:p>
    <w:p>
      <w:pPr>
        <w:jc w:val="both"/>
        <w:ind w:firstLine="1735"/>
        <w:spacing w:after="0" w:line="272" w:lineRule="auto"/>
        <w:tabs>
          <w:tab w:leader="none" w:pos="2591"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Tax Documentation</w:t>
      </w:r>
      <w:r>
        <w:rPr>
          <w:rFonts w:ascii="Arial" w:cs="Arial" w:eastAsia="Arial" w:hAnsi="Arial"/>
          <w:sz w:val="19"/>
          <w:szCs w:val="19"/>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2.16(f)(ii)</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0" w:lineRule="exact"/>
        <w:rPr>
          <w:rFonts w:ascii="Arial" w:cs="Arial" w:eastAsia="Arial" w:hAnsi="Arial"/>
          <w:sz w:val="19"/>
          <w:szCs w:val="19"/>
          <w:color w:val="auto"/>
        </w:rPr>
      </w:pPr>
    </w:p>
    <w:p>
      <w:pPr>
        <w:ind w:left="2580" w:hanging="911"/>
        <w:spacing w:after="0"/>
        <w:tabs>
          <w:tab w:leader="none" w:pos="25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rFonts w:ascii="Arial" w:cs="Arial" w:eastAsia="Arial" w:hAnsi="Arial"/>
          <w:sz w:val="22"/>
          <w:szCs w:val="22"/>
          <w:color w:val="auto"/>
        </w:rPr>
      </w:pPr>
    </w:p>
    <w:p>
      <w:pPr>
        <w:jc w:val="both"/>
        <w:ind w:left="1740" w:firstLine="726"/>
        <w:spacing w:after="0" w:line="248" w:lineRule="auto"/>
        <w:tabs>
          <w:tab w:leader="none" w:pos="3419" w:val="left"/>
        </w:tabs>
        <w:numPr>
          <w:ilvl w:val="2"/>
          <w:numId w:val="200"/>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76" w:lineRule="exact"/>
        <w:rPr>
          <w:rFonts w:ascii="Arial" w:cs="Arial" w:eastAsia="Arial" w:hAnsi="Arial"/>
          <w:sz w:val="21"/>
          <w:szCs w:val="21"/>
          <w:color w:val="auto"/>
        </w:rPr>
      </w:pPr>
    </w:p>
    <w:p>
      <w:pPr>
        <w:jc w:val="both"/>
        <w:ind w:left="1740" w:firstLine="726"/>
        <w:spacing w:after="0" w:line="236" w:lineRule="auto"/>
        <w:tabs>
          <w:tab w:leader="none" w:pos="3407" w:val="left"/>
        </w:tabs>
        <w:numPr>
          <w:ilvl w:val="2"/>
          <w:numId w:val="200"/>
        </w:numPr>
        <w:rPr>
          <w:rFonts w:ascii="Arial" w:cs="Arial" w:eastAsia="Arial" w:hAnsi="Arial"/>
          <w:sz w:val="22"/>
          <w:szCs w:val="22"/>
          <w:color w:val="auto"/>
        </w:rPr>
      </w:pPr>
      <w:r>
        <w:rPr>
          <w:rFonts w:ascii="Arial" w:cs="Arial" w:eastAsia="Arial" w:hAnsi="Arial"/>
          <w:sz w:val="22"/>
          <w:szCs w:val="22"/>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1" w:name="page232"/>
    <w:bookmarkEnd w:id="231"/>
    <w:p>
      <w:pPr>
        <w:jc w:val="both"/>
        <w:ind w:left="1720" w:firstLine="664"/>
        <w:spacing w:after="0"/>
        <w:tabs>
          <w:tab w:leader="none" w:pos="3332" w:val="left"/>
        </w:tabs>
        <w:numPr>
          <w:ilvl w:val="2"/>
          <w:numId w:val="201"/>
        </w:numPr>
        <w:rPr>
          <w:rFonts w:ascii="Arial" w:cs="Arial" w:eastAsia="Arial" w:hAnsi="Arial"/>
          <w:sz w:val="22"/>
          <w:szCs w:val="22"/>
          <w:color w:val="auto"/>
        </w:rPr>
      </w:pPr>
      <w:r>
        <w:rPr>
          <w:rFonts w:ascii="Arial" w:cs="Arial" w:eastAsia="Arial" w:hAnsi="Arial"/>
          <w:sz w:val="22"/>
          <w:szCs w:val="22"/>
          <w:color w:val="auto"/>
        </w:rPr>
        <w:t>duly completed and executed copies of Internal Revenue Service Form W-8BEN or W-8BEN-E or any successor form claiming eligibility for benefits of an income tax treaty to which the United States is a party,</w:t>
      </w:r>
    </w:p>
    <w:p>
      <w:pPr>
        <w:spacing w:after="0" w:line="186" w:lineRule="exact"/>
        <w:rPr>
          <w:rFonts w:ascii="Arial" w:cs="Arial" w:eastAsia="Arial" w:hAnsi="Arial"/>
          <w:sz w:val="22"/>
          <w:szCs w:val="22"/>
          <w:color w:val="auto"/>
        </w:rPr>
      </w:pPr>
    </w:p>
    <w:p>
      <w:pPr>
        <w:jc w:val="both"/>
        <w:ind w:left="1720" w:firstLine="664"/>
        <w:spacing w:after="0"/>
        <w:tabs>
          <w:tab w:leader="none" w:pos="3284" w:val="left"/>
        </w:tabs>
        <w:numPr>
          <w:ilvl w:val="2"/>
          <w:numId w:val="201"/>
        </w:numPr>
        <w:rPr>
          <w:rFonts w:ascii="Arial" w:cs="Arial" w:eastAsia="Arial" w:hAnsi="Arial"/>
          <w:sz w:val="22"/>
          <w:szCs w:val="22"/>
          <w:color w:val="auto"/>
        </w:rPr>
      </w:pPr>
      <w:r>
        <w:rPr>
          <w:rFonts w:ascii="Arial" w:cs="Arial" w:eastAsia="Arial" w:hAnsi="Arial"/>
          <w:sz w:val="22"/>
          <w:szCs w:val="22"/>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86" w:lineRule="exact"/>
        <w:rPr>
          <w:rFonts w:ascii="Arial" w:cs="Arial" w:eastAsia="Arial" w:hAnsi="Arial"/>
          <w:sz w:val="22"/>
          <w:szCs w:val="22"/>
          <w:color w:val="auto"/>
        </w:rPr>
      </w:pPr>
    </w:p>
    <w:p>
      <w:pPr>
        <w:jc w:val="both"/>
        <w:ind w:left="1720" w:firstLine="664"/>
        <w:spacing w:after="0" w:line="271" w:lineRule="auto"/>
        <w:tabs>
          <w:tab w:leader="none" w:pos="3284" w:val="left"/>
        </w:tabs>
        <w:numPr>
          <w:ilvl w:val="2"/>
          <w:numId w:val="201"/>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w:t>
      </w:r>
    </w:p>
    <w:p>
      <w:pPr>
        <w:spacing w:after="0" w:line="3" w:lineRule="exact"/>
        <w:rPr>
          <w:rFonts w:ascii="Arial" w:cs="Arial" w:eastAsia="Arial" w:hAnsi="Arial"/>
          <w:sz w:val="19"/>
          <w:szCs w:val="19"/>
          <w:color w:val="auto"/>
        </w:rPr>
      </w:pPr>
    </w:p>
    <w:p>
      <w:pPr>
        <w:jc w:val="both"/>
        <w:ind w:left="1720"/>
        <w:spacing w:after="0" w:line="248" w:lineRule="auto"/>
        <w:tabs>
          <w:tab w:leader="none" w:pos="2043" w:val="left"/>
        </w:tabs>
        <w:numPr>
          <w:ilvl w:val="1"/>
          <w:numId w:val="202"/>
        </w:numPr>
        <w:rPr>
          <w:rFonts w:ascii="Arial" w:cs="Arial" w:eastAsia="Arial" w:hAnsi="Arial"/>
          <w:sz w:val="21"/>
          <w:szCs w:val="21"/>
          <w:color w:val="auto"/>
        </w:rPr>
      </w:pPr>
      <w:r>
        <w:rPr>
          <w:rFonts w:ascii="Arial" w:cs="Arial" w:eastAsia="Arial" w:hAnsi="Arial"/>
          <w:sz w:val="21"/>
          <w:szCs w:val="21"/>
          <w:color w:val="auto"/>
        </w:rPr>
        <w:t>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178" w:lineRule="exact"/>
        <w:rPr>
          <w:rFonts w:ascii="Arial" w:cs="Arial" w:eastAsia="Arial" w:hAnsi="Arial"/>
          <w:sz w:val="21"/>
          <w:szCs w:val="21"/>
          <w:color w:val="auto"/>
        </w:rPr>
      </w:pPr>
    </w:p>
    <w:p>
      <w:pPr>
        <w:jc w:val="both"/>
        <w:ind w:left="1720" w:firstLine="664"/>
        <w:spacing w:after="0" w:line="236" w:lineRule="auto"/>
        <w:tabs>
          <w:tab w:leader="none" w:pos="3272" w:val="left"/>
        </w:tabs>
        <w:numPr>
          <w:ilvl w:val="2"/>
          <w:numId w:val="202"/>
        </w:numPr>
        <w:rPr>
          <w:rFonts w:ascii="Arial" w:cs="Arial" w:eastAsia="Arial" w:hAnsi="Arial"/>
          <w:sz w:val="22"/>
          <w:szCs w:val="22"/>
          <w:color w:val="auto"/>
        </w:rPr>
      </w:pPr>
      <w:r>
        <w:rPr>
          <w:rFonts w:ascii="Arial" w:cs="Arial" w:eastAsia="Arial" w:hAnsi="Arial"/>
          <w:sz w:val="22"/>
          <w:szCs w:val="22"/>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87" w:lineRule="exact"/>
        <w:rPr>
          <w:rFonts w:ascii="Arial" w:cs="Arial" w:eastAsia="Arial" w:hAnsi="Arial"/>
          <w:sz w:val="22"/>
          <w:szCs w:val="22"/>
          <w:color w:val="auto"/>
        </w:rPr>
      </w:pPr>
    </w:p>
    <w:p>
      <w:pPr>
        <w:jc w:val="both"/>
        <w:ind w:firstLine="789"/>
        <w:spacing w:after="0" w:line="235" w:lineRule="auto"/>
        <w:tabs>
          <w:tab w:leader="none" w:pos="1769"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In addition, each Lender shall deliver such forms promptly upon the obsolescence, expiration or invalidity of any form previously delivered by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88" w:lineRule="exact"/>
        <w:rPr>
          <w:sz w:val="20"/>
          <w:szCs w:val="20"/>
          <w:color w:val="auto"/>
        </w:rPr>
      </w:pPr>
    </w:p>
    <w:p>
      <w:pPr>
        <w:jc w:val="both"/>
        <w:ind w:left="-880" w:firstLine="1735"/>
        <w:spacing w:after="0" w:line="274" w:lineRule="auto"/>
        <w:tabs>
          <w:tab w:leader="none" w:pos="1747"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Documentation Required by FATCA</w:t>
      </w:r>
      <w:r>
        <w:rPr>
          <w:rFonts w:ascii="Arial" w:cs="Arial" w:eastAsia="Arial" w:hAnsi="Arial"/>
          <w:sz w:val="19"/>
          <w:szCs w:val="19"/>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9"/>
          <w:szCs w:val="19"/>
          <w:u w:val="single" w:color="auto"/>
          <w:color w:val="auto"/>
        </w:rPr>
        <w:t>Section 2.16(g)</w:t>
      </w:r>
      <w:r>
        <w:rPr>
          <w:rFonts w:ascii="Arial" w:cs="Arial" w:eastAsia="Arial" w:hAnsi="Arial"/>
          <w:sz w:val="19"/>
          <w:szCs w:val="19"/>
          <w:color w:val="auto"/>
        </w:rPr>
        <w:t>, “FATCA” shall include any amendments made to FATCA after the date of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2" w:name="page233"/>
    <w:bookmarkEnd w:id="232"/>
    <w:p>
      <w:pPr>
        <w:jc w:val="both"/>
        <w:ind w:firstLine="1735"/>
        <w:spacing w:after="0" w:line="270" w:lineRule="auto"/>
        <w:tabs>
          <w:tab w:leader="none" w:pos="2627"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in no event will the Administrative Agent, any Lender or an Issuing Bank be required to pay any amount to Borrower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200" w:lineRule="exact"/>
        <w:rPr>
          <w:sz w:val="20"/>
          <w:szCs w:val="20"/>
          <w:color w:val="auto"/>
        </w:rPr>
      </w:pPr>
    </w:p>
    <w:p>
      <w:pPr>
        <w:spacing w:after="0" w:line="214"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Payments by the Borrower</w:t>
      </w:r>
      <w:r>
        <w:rPr>
          <w:rFonts w:ascii="Arial" w:cs="Arial" w:eastAsia="Arial" w:hAnsi="Arial"/>
          <w:sz w:val="21"/>
          <w:szCs w:val="21"/>
          <w:color w:val="auto"/>
        </w:rPr>
        <w:t xml:space="preserve">. The Borrower shall make each payment required to be made by it hereunder (whether of principal, interest, fees or reimbursement of LC Disbursements, or under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Arial" w:cs="Arial" w:eastAsia="Arial" w:hAnsi="Arial"/>
          <w:sz w:val="21"/>
          <w:szCs w:val="21"/>
          <w:u w:val="single" w:color="auto"/>
          <w:color w:val="auto"/>
        </w:rPr>
        <w:t>Sections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3"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 xml:space="preserve">All amounts owing under this Agreement (including commitment fees, payments required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payments required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9"/>
          <w:szCs w:val="19"/>
          <w:u w:val="single" w:color="auto"/>
          <w:color w:val="auto"/>
        </w:rPr>
        <w:t>Section 2.15</w:t>
      </w:r>
      <w:r>
        <w:rPr>
          <w:rFonts w:ascii="Arial" w:cs="Arial" w:eastAsia="Arial" w:hAnsi="Arial"/>
          <w:sz w:val="19"/>
          <w:szCs w:val="19"/>
          <w:color w:val="auto"/>
        </w:rPr>
        <w:t>, which are payable in such Foreign Currency) or under any other Loan Document (except to the extent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3" w:name="page234"/>
    <w:bookmarkEnd w:id="233"/>
    <w:p>
      <w:pPr>
        <w:jc w:val="both"/>
        <w:spacing w:after="0" w:line="274" w:lineRule="auto"/>
        <w:rPr>
          <w:sz w:val="20"/>
          <w:szCs w:val="20"/>
          <w:color w:val="auto"/>
        </w:rPr>
      </w:pPr>
      <w:r>
        <w:rPr>
          <w:rFonts w:ascii="Arial" w:cs="Arial" w:eastAsia="Arial" w:hAnsi="Arial"/>
          <w:sz w:val="19"/>
          <w:szCs w:val="19"/>
          <w:color w:val="auto"/>
        </w:rPr>
        <w:t>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58"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9"/>
          <w:szCs w:val="19"/>
          <w:u w:val="single" w:color="auto"/>
          <w:color w:val="auto"/>
        </w:rPr>
        <w:t>Original Currency</w:t>
      </w:r>
      <w:r>
        <w:rPr>
          <w:rFonts w:ascii="Arial" w:cs="Arial" w:eastAsia="Arial" w:hAnsi="Arial"/>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52" w:lineRule="exact"/>
        <w:rPr>
          <w:sz w:val="20"/>
          <w:szCs w:val="20"/>
          <w:color w:val="auto"/>
        </w:rPr>
      </w:pPr>
    </w:p>
    <w:p>
      <w:pPr>
        <w:jc w:val="both"/>
        <w:ind w:firstLine="1735"/>
        <w:spacing w:after="0" w:line="246" w:lineRule="auto"/>
        <w:tabs>
          <w:tab w:leader="none" w:pos="2627"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Application of Insufficient Payments</w:t>
      </w:r>
      <w:r>
        <w:rPr>
          <w:rFonts w:ascii="Arial" w:cs="Arial" w:eastAsia="Arial" w:hAnsi="Arial"/>
          <w:sz w:val="21"/>
          <w:szCs w:val="21"/>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84" w:lineRule="exact"/>
        <w:rPr>
          <w:rFonts w:ascii="Arial" w:cs="Arial" w:eastAsia="Arial" w:hAnsi="Arial"/>
          <w:sz w:val="21"/>
          <w:szCs w:val="21"/>
          <w:color w:val="auto"/>
        </w:rPr>
      </w:pPr>
    </w:p>
    <w:p>
      <w:pPr>
        <w:jc w:val="both"/>
        <w:ind w:firstLine="1735"/>
        <w:spacing w:after="0" w:line="273" w:lineRule="auto"/>
        <w:tabs>
          <w:tab w:leader="none" w:pos="2615"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Pro Rata Treatment</w:t>
      </w:r>
      <w:r>
        <w:rPr>
          <w:rFonts w:ascii="Arial" w:cs="Arial" w:eastAsia="Arial" w:hAnsi="Arial"/>
          <w:sz w:val="19"/>
          <w:szCs w:val="19"/>
          <w:color w:val="auto"/>
        </w:rPr>
        <w:t xml:space="preserve">. Except to the extent otherwise provided herein: (i) other than with respect any Syndicated Borrowing requested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be made for account of the Lenders of the applicable Class, and each termination or reduction of the amount of the Commitments of a Class of Commitments or Final Maturity Date under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4" w:name="page235"/>
    <w:bookmarkEnd w:id="234"/>
    <w:p>
      <w:pPr>
        <w:jc w:val="both"/>
        <w:spacing w:after="0" w:line="279" w:lineRule="auto"/>
        <w:rPr>
          <w:sz w:val="20"/>
          <w:szCs w:val="20"/>
          <w:color w:val="auto"/>
        </w:rPr>
      </w:pPr>
      <w:r>
        <w:rPr>
          <w:rFonts w:ascii="Arial" w:cs="Arial" w:eastAsia="Arial" w:hAnsi="Arial"/>
          <w:sz w:val="19"/>
          <w:szCs w:val="19"/>
          <w:color w:val="auto"/>
        </w:rPr>
        <w:t>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50" w:lineRule="exact"/>
        <w:rPr>
          <w:sz w:val="20"/>
          <w:szCs w:val="20"/>
          <w:color w:val="auto"/>
        </w:rPr>
      </w:pPr>
    </w:p>
    <w:p>
      <w:pPr>
        <w:jc w:val="both"/>
        <w:ind w:firstLine="1735"/>
        <w:spacing w:after="0" w:line="270" w:lineRule="auto"/>
        <w:tabs>
          <w:tab w:leader="none" w:pos="2627"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w:t>
      </w:r>
    </w:p>
    <w:p>
      <w:pPr>
        <w:spacing w:after="0" w:line="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05" w:lineRule="exact"/>
        <w:rPr>
          <w:sz w:val="20"/>
          <w:szCs w:val="20"/>
          <w:color w:val="auto"/>
        </w:rPr>
      </w:pPr>
    </w:p>
    <w:p>
      <w:pPr>
        <w:jc w:val="both"/>
        <w:ind w:firstLine="1735"/>
        <w:spacing w:after="0" w:line="245" w:lineRule="auto"/>
        <w:tabs>
          <w:tab w:leader="none" w:pos="2615"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Presumptions of Payment</w:t>
      </w:r>
      <w:r>
        <w:rPr>
          <w:rFonts w:ascii="Arial" w:cs="Arial" w:eastAsia="Arial" w:hAnsi="Arial"/>
          <w:sz w:val="21"/>
          <w:szCs w:val="21"/>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5" w:name="page236"/>
    <w:bookmarkEnd w:id="235"/>
    <w:p>
      <w:pPr>
        <w:jc w:val="both"/>
        <w:ind w:left="-880" w:firstLine="1735"/>
        <w:spacing w:after="0" w:line="236" w:lineRule="auto"/>
        <w:tabs>
          <w:tab w:leader="none" w:pos="1711"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Certain Deductions by the Administrative Agent</w:t>
      </w:r>
      <w:r>
        <w:rPr>
          <w:rFonts w:ascii="Arial" w:cs="Arial" w:eastAsia="Arial" w:hAnsi="Arial"/>
          <w:sz w:val="22"/>
          <w:szCs w:val="22"/>
          <w:color w:val="auto"/>
        </w:rPr>
        <w:t xml:space="preserve">. If any Lender shall fail to make any payment required to be made by it pursuant to </w:t>
      </w:r>
      <w:r>
        <w:rPr>
          <w:rFonts w:ascii="Arial" w:cs="Arial" w:eastAsia="Arial" w:hAnsi="Arial"/>
          <w:sz w:val="22"/>
          <w:szCs w:val="22"/>
          <w:u w:val="single" w:color="auto"/>
          <w:color w:val="auto"/>
        </w:rPr>
        <w:t>Section 2.04(c)</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2.05(e)</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2.17(e)</w:t>
      </w:r>
      <w:r>
        <w:rPr>
          <w:rFonts w:ascii="Arial" w:cs="Arial" w:eastAsia="Arial" w:hAnsi="Arial"/>
          <w:sz w:val="22"/>
          <w:szCs w:val="22"/>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87" w:lineRule="exact"/>
        <w:rPr>
          <w:sz w:val="20"/>
          <w:szCs w:val="20"/>
          <w:color w:val="auto"/>
        </w:rPr>
      </w:pPr>
    </w:p>
    <w:p>
      <w:pPr>
        <w:ind w:left="860"/>
        <w:spacing w:after="0"/>
        <w:tabs>
          <w:tab w:leader="none" w:pos="298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33" w:lineRule="auto"/>
        <w:tabs>
          <w:tab w:leader="none" w:pos="1735"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Designation of a Different Lending Office</w:t>
      </w:r>
      <w:r>
        <w:rPr>
          <w:rFonts w:ascii="Arial" w:cs="Arial" w:eastAsia="Arial" w:hAnsi="Arial"/>
          <w:sz w:val="22"/>
          <w:szCs w:val="22"/>
          <w:color w:val="auto"/>
        </w:rPr>
        <w:t xml:space="preserve">. If any Lender requests compensation under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or if the Borrower is required to pay any additional amount to any Lender or any Governmental Authority for the account of any Lender pursuant to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2.16</w:t>
      </w:r>
      <w:r>
        <w:rPr>
          <w:rFonts w:ascii="Arial" w:cs="Arial" w:eastAsia="Arial" w:hAnsi="Arial"/>
          <w:sz w:val="22"/>
          <w:szCs w:val="22"/>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92" w:lineRule="exact"/>
        <w:rPr>
          <w:rFonts w:ascii="Arial" w:cs="Arial" w:eastAsia="Arial" w:hAnsi="Arial"/>
          <w:sz w:val="22"/>
          <w:szCs w:val="22"/>
          <w:color w:val="auto"/>
        </w:rPr>
      </w:pPr>
    </w:p>
    <w:p>
      <w:pPr>
        <w:jc w:val="both"/>
        <w:ind w:left="-880" w:firstLine="1735"/>
        <w:spacing w:after="0" w:line="271" w:lineRule="auto"/>
        <w:tabs>
          <w:tab w:leader="none" w:pos="1747"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additional amount to any Lender or any Governmental Authority for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if any Lender becomes a Defaulting Lender or is a Non-Consenting Lender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9.02(d)</w:t>
      </w:r>
      <w:r>
        <w:rPr>
          <w:rFonts w:ascii="Arial" w:cs="Arial" w:eastAsia="Arial" w:hAnsi="Arial"/>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(and, if a Commitment is being assigned, each Issuing Bank and each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6" w:name="page237"/>
    <w:bookmarkEnd w:id="236"/>
    <w:p>
      <w:pPr>
        <w:ind w:left="860"/>
        <w:spacing w:after="0"/>
        <w:tabs>
          <w:tab w:leader="none" w:pos="298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206" w:lineRule="exact"/>
        <w:rPr>
          <w:sz w:val="20"/>
          <w:szCs w:val="20"/>
          <w:color w:val="auto"/>
        </w:rPr>
      </w:pPr>
    </w:p>
    <w:p>
      <w:pPr>
        <w:jc w:val="both"/>
        <w:ind w:left="-880" w:right="20" w:firstLine="1735"/>
        <w:spacing w:after="0"/>
        <w:tabs>
          <w:tab w:leader="none" w:pos="1735"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6" w:lineRule="exact"/>
        <w:rPr>
          <w:rFonts w:ascii="Arial" w:cs="Arial" w:eastAsia="Arial" w:hAnsi="Arial"/>
          <w:sz w:val="22"/>
          <w:szCs w:val="22"/>
          <w:color w:val="auto"/>
        </w:rPr>
      </w:pPr>
    </w:p>
    <w:p>
      <w:pPr>
        <w:jc w:val="both"/>
        <w:ind w:firstLine="789"/>
        <w:spacing w:after="0" w:line="268" w:lineRule="auto"/>
        <w:tabs>
          <w:tab w:leader="none" w:pos="1649"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otherwise) or received by Administrative Agent from a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any Issuing Bank or any Swingline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to Cash Collateralize each Issuing Bank’s Fronting Exposure with respect to such Defaulting Lender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2.19(a)(iii)</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2.19(a)(i)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7" w:name="page238"/>
    <w:bookmarkEnd w:id="237"/>
    <w:p>
      <w:pPr>
        <w:ind w:left="1700" w:hanging="911"/>
        <w:spacing w:after="0"/>
        <w:tabs>
          <w:tab w:leader="none" w:pos="170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40" w:hanging="954"/>
        <w:spacing w:after="0"/>
        <w:tabs>
          <w:tab w:leader="none" w:pos="2540" w:val="left"/>
        </w:tabs>
        <w:numPr>
          <w:ilvl w:val="2"/>
          <w:numId w:val="214"/>
        </w:numPr>
        <w:rPr>
          <w:rFonts w:ascii="Arial" w:cs="Arial" w:eastAsia="Arial" w:hAnsi="Arial"/>
          <w:sz w:val="19"/>
          <w:szCs w:val="19"/>
          <w:color w:val="auto"/>
        </w:rPr>
      </w:pPr>
      <w:r>
        <w:rPr>
          <w:rFonts w:ascii="Arial" w:cs="Arial" w:eastAsia="Arial" w:hAnsi="Arial"/>
          <w:sz w:val="19"/>
          <w:szCs w:val="19"/>
          <w:color w:val="auto"/>
        </w:rPr>
        <w:t xml:space="preserve">No Defaulting Lender shall be entitled to receive any fee pursuant to </w:t>
      </w:r>
      <w:r>
        <w:rPr>
          <w:rFonts w:ascii="Arial" w:cs="Arial" w:eastAsia="Arial" w:hAnsi="Arial"/>
          <w:sz w:val="19"/>
          <w:szCs w:val="19"/>
          <w:u w:val="single" w:color="auto"/>
          <w:color w:val="auto"/>
        </w:rPr>
        <w:t>Sections 2.11(a)</w:t>
      </w:r>
      <w:r>
        <w:rPr>
          <w:rFonts w:ascii="Arial" w:cs="Arial" w:eastAsia="Arial" w:hAnsi="Arial"/>
          <w:sz w:val="19"/>
          <w:szCs w:val="19"/>
          <w:color w:val="auto"/>
        </w:rPr>
        <w:t xml:space="preserve"> and</w:t>
      </w:r>
    </w:p>
    <w:p>
      <w:pPr>
        <w:spacing w:after="0" w:line="42" w:lineRule="exact"/>
        <w:rPr>
          <w:rFonts w:ascii="Arial" w:cs="Arial" w:eastAsia="Arial" w:hAnsi="Arial"/>
          <w:sz w:val="19"/>
          <w:szCs w:val="19"/>
          <w:color w:val="auto"/>
        </w:rPr>
      </w:pPr>
    </w:p>
    <w:p>
      <w:pPr>
        <w:jc w:val="both"/>
        <w:ind w:left="860" w:hanging="5"/>
        <w:spacing w:after="0" w:line="277" w:lineRule="auto"/>
        <w:tabs>
          <w:tab w:leader="none" w:pos="1166" w:val="left"/>
        </w:tabs>
        <w:numPr>
          <w:ilvl w:val="1"/>
          <w:numId w:val="214"/>
        </w:numPr>
        <w:rPr>
          <w:rFonts w:ascii="Arial" w:cs="Arial" w:eastAsia="Arial" w:hAnsi="Arial"/>
          <w:sz w:val="19"/>
          <w:szCs w:val="19"/>
          <w:u w:val="single" w:color="auto"/>
          <w:color w:val="auto"/>
        </w:rPr>
      </w:pPr>
      <w:r>
        <w:rPr>
          <w:rFonts w:ascii="Arial" w:cs="Arial" w:eastAsia="Arial" w:hAnsi="Arial"/>
          <w:sz w:val="19"/>
          <w:szCs w:val="19"/>
          <w:color w:val="auto"/>
        </w:rPr>
        <w:t xml:space="preserve">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Defaulting Lender shall be entitled to receive fees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9"/>
          <w:szCs w:val="19"/>
          <w:u w:val="single" w:color="auto"/>
          <w:color w:val="auto"/>
        </w:rPr>
        <w:t>Section 2.19(d)</w:t>
      </w:r>
      <w:r>
        <w:rPr>
          <w:rFonts w:ascii="Arial" w:cs="Arial" w:eastAsia="Arial" w:hAnsi="Arial"/>
          <w:sz w:val="19"/>
          <w:szCs w:val="19"/>
          <w:color w:val="auto"/>
        </w:rPr>
        <w:t>.</w:t>
      </w:r>
    </w:p>
    <w:p>
      <w:pPr>
        <w:spacing w:after="0" w:line="152" w:lineRule="exact"/>
        <w:rPr>
          <w:rFonts w:ascii="Arial" w:cs="Arial" w:eastAsia="Arial" w:hAnsi="Arial"/>
          <w:sz w:val="19"/>
          <w:szCs w:val="19"/>
          <w:u w:val="single" w:color="auto"/>
          <w:color w:val="auto"/>
        </w:rPr>
      </w:pPr>
    </w:p>
    <w:p>
      <w:pPr>
        <w:jc w:val="both"/>
        <w:ind w:left="860" w:firstLine="726"/>
        <w:spacing w:after="0" w:line="277" w:lineRule="auto"/>
        <w:tabs>
          <w:tab w:leader="none" w:pos="2527" w:val="left"/>
        </w:tabs>
        <w:numPr>
          <w:ilvl w:val="2"/>
          <w:numId w:val="215"/>
        </w:numPr>
        <w:rPr>
          <w:rFonts w:ascii="Arial" w:cs="Arial" w:eastAsia="Arial" w:hAnsi="Arial"/>
          <w:sz w:val="19"/>
          <w:szCs w:val="19"/>
          <w:color w:val="auto"/>
        </w:rPr>
      </w:pPr>
      <w:r>
        <w:rPr>
          <w:rFonts w:ascii="Arial" w:cs="Arial" w:eastAsia="Arial" w:hAnsi="Arial"/>
          <w:sz w:val="19"/>
          <w:szCs w:val="19"/>
          <w:color w:val="auto"/>
        </w:rPr>
        <w:t xml:space="preserve">With respect to any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fees not required to be paid to any Defaulting Lender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52" w:lineRule="exact"/>
        <w:rPr>
          <w:sz w:val="20"/>
          <w:szCs w:val="20"/>
          <w:color w:val="auto"/>
        </w:rPr>
      </w:pPr>
    </w:p>
    <w:p>
      <w:pPr>
        <w:jc w:val="both"/>
        <w:ind w:firstLine="789"/>
        <w:spacing w:after="0" w:line="272" w:lineRule="auto"/>
        <w:tabs>
          <w:tab w:leader="none" w:pos="1769"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9"/>
          <w:szCs w:val="19"/>
          <w:u w:val="single" w:color="auto"/>
          <w:color w:val="auto"/>
        </w:rPr>
        <w:t>Section 9.17</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789"/>
        <w:spacing w:after="0" w:line="277" w:lineRule="auto"/>
        <w:tabs>
          <w:tab w:leader="none" w:pos="1757"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xml:space="preserve">. If the reallocation described in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8" w:name="page239"/>
    <w:bookmarkEnd w:id="238"/>
    <w:p>
      <w:pPr>
        <w:jc w:val="both"/>
        <w:ind w:right="20"/>
        <w:spacing w:after="0" w:line="238" w:lineRule="auto"/>
        <w:rPr>
          <w:sz w:val="20"/>
          <w:szCs w:val="20"/>
          <w:color w:val="auto"/>
        </w:rPr>
      </w:pPr>
      <w:r>
        <w:rPr>
          <w:rFonts w:ascii="Arial" w:cs="Arial" w:eastAsia="Arial" w:hAnsi="Arial"/>
          <w:sz w:val="22"/>
          <w:szCs w:val="22"/>
          <w:color w:val="auto"/>
        </w:rPr>
        <w:t xml:space="preserve">Collateralized in accordance with the terms hereof)) and (y) second, Cash Collateralize each Issuing Bank’s Fronting Exposure in accordance with the procedures set forth in </w:t>
      </w:r>
      <w:r>
        <w:rPr>
          <w:rFonts w:ascii="Arial" w:cs="Arial" w:eastAsia="Arial" w:hAnsi="Arial"/>
          <w:sz w:val="22"/>
          <w:szCs w:val="22"/>
          <w:u w:val="single" w:color="auto"/>
          <w:color w:val="auto"/>
        </w:rPr>
        <w:t>Section 2.19(d)</w:t>
      </w:r>
      <w:r>
        <w:rPr>
          <w:rFonts w:ascii="Arial" w:cs="Arial" w:eastAsia="Arial" w:hAnsi="Arial"/>
          <w:sz w:val="22"/>
          <w:szCs w:val="22"/>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85" w:lineRule="exact"/>
        <w:rPr>
          <w:sz w:val="20"/>
          <w:szCs w:val="20"/>
          <w:color w:val="auto"/>
        </w:rPr>
      </w:pPr>
    </w:p>
    <w:p>
      <w:pPr>
        <w:jc w:val="both"/>
        <w:ind w:left="-880" w:firstLine="1735"/>
        <w:spacing w:after="0" w:line="272" w:lineRule="auto"/>
        <w:tabs>
          <w:tab w:leader="none" w:pos="1747"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55" w:lineRule="exact"/>
        <w:rPr>
          <w:rFonts w:ascii="Arial" w:cs="Arial" w:eastAsia="Arial" w:hAnsi="Arial"/>
          <w:sz w:val="19"/>
          <w:szCs w:val="19"/>
          <w:color w:val="auto"/>
        </w:rPr>
      </w:pPr>
    </w:p>
    <w:p>
      <w:pPr>
        <w:jc w:val="both"/>
        <w:ind w:left="-880" w:firstLine="1735"/>
        <w:spacing w:after="0" w:line="246" w:lineRule="auto"/>
        <w:tabs>
          <w:tab w:leader="none" w:pos="1735"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New Swingline Loans/Letters of Credit</w:t>
      </w:r>
      <w:r>
        <w:rPr>
          <w:rFonts w:ascii="Arial" w:cs="Arial" w:eastAsia="Arial" w:hAnsi="Arial"/>
          <w:sz w:val="21"/>
          <w:szCs w:val="21"/>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21"/>
          <w:szCs w:val="21"/>
          <w:u w:val="single" w:color="auto"/>
          <w:color w:val="auto"/>
        </w:rPr>
        <w:t>Section 2.19(d)</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880" w:firstLine="1735"/>
        <w:spacing w:after="0" w:line="236" w:lineRule="auto"/>
        <w:tabs>
          <w:tab w:leader="none" w:pos="1747"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Arial" w:cs="Arial" w:eastAsia="Arial" w:hAnsi="Arial"/>
          <w:sz w:val="22"/>
          <w:szCs w:val="22"/>
          <w:u w:val="single" w:color="auto"/>
          <w:color w:val="auto"/>
        </w:rPr>
        <w:t>Section 2.19(a)(iii)</w:t>
      </w:r>
      <w:r>
        <w:rPr>
          <w:rFonts w:ascii="Arial" w:cs="Arial" w:eastAsia="Arial" w:hAnsi="Arial"/>
          <w:sz w:val="22"/>
          <w:szCs w:val="22"/>
          <w:color w:val="auto"/>
        </w:rPr>
        <w:t xml:space="preserve"> and any Cash Collateral provided by such Defaulting Lender) in an amount not less than the Minimum Collateral Amount.</w:t>
      </w:r>
    </w:p>
    <w:p>
      <w:pPr>
        <w:spacing w:after="0" w:line="187" w:lineRule="exact"/>
        <w:rPr>
          <w:sz w:val="20"/>
          <w:szCs w:val="20"/>
          <w:color w:val="auto"/>
        </w:rPr>
      </w:pPr>
    </w:p>
    <w:p>
      <w:pPr>
        <w:jc w:val="both"/>
        <w:ind w:firstLine="789"/>
        <w:spacing w:after="0" w:line="252" w:lineRule="auto"/>
        <w:tabs>
          <w:tab w:leader="none" w:pos="1649" w:val="left"/>
        </w:tabs>
        <w:numPr>
          <w:ilvl w:val="0"/>
          <w:numId w:val="218"/>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9" w:name="page240"/>
    <w:bookmarkEnd w:id="239"/>
    <w:p>
      <w:pPr>
        <w:jc w:val="both"/>
        <w:spacing w:after="0" w:line="245" w:lineRule="auto"/>
        <w:rPr>
          <w:sz w:val="20"/>
          <w:szCs w:val="20"/>
          <w:color w:val="auto"/>
        </w:rPr>
      </w:pPr>
      <w:r>
        <w:rPr>
          <w:rFonts w:ascii="Arial" w:cs="Arial" w:eastAsia="Arial" w:hAnsi="Arial"/>
          <w:sz w:val="21"/>
          <w:szCs w:val="21"/>
          <w:color w:val="auto"/>
        </w:rPr>
        <w:t xml:space="preserve">pursuant to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84" w:lineRule="exact"/>
        <w:rPr>
          <w:sz w:val="20"/>
          <w:szCs w:val="20"/>
          <w:color w:val="auto"/>
        </w:rPr>
      </w:pPr>
    </w:p>
    <w:p>
      <w:pPr>
        <w:jc w:val="both"/>
        <w:ind w:firstLine="789"/>
        <w:spacing w:after="0" w:line="282" w:lineRule="auto"/>
        <w:tabs>
          <w:tab w:leader="none" w:pos="1709"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47" w:lineRule="exact"/>
        <w:rPr>
          <w:rFonts w:ascii="Arial" w:cs="Arial" w:eastAsia="Arial" w:hAnsi="Arial"/>
          <w:sz w:val="19"/>
          <w:szCs w:val="19"/>
          <w:color w:val="auto"/>
        </w:rPr>
      </w:pPr>
    </w:p>
    <w:p>
      <w:pPr>
        <w:jc w:val="both"/>
        <w:ind w:firstLine="789"/>
        <w:spacing w:after="0" w:line="275" w:lineRule="auto"/>
        <w:tabs>
          <w:tab w:leader="none" w:pos="1769"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other provisions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the Person providing Cash Collateral and each Issuing Bank may agree that Cash Collateral shall be held to support future anticipated Fronting Exposure;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that such Cash Collateral was provided by Borrower, such Cash Collateral shall remain subject to the security interest granted pursuant to the Loan Documents.</w:t>
      </w:r>
    </w:p>
    <w:p>
      <w:pPr>
        <w:spacing w:after="0" w:line="157" w:lineRule="exact"/>
        <w:rPr>
          <w:sz w:val="20"/>
          <w:szCs w:val="20"/>
          <w:color w:val="auto"/>
        </w:rPr>
      </w:pPr>
    </w:p>
    <w:p>
      <w:pPr>
        <w:ind w:left="860"/>
        <w:spacing w:after="0"/>
        <w:tabs>
          <w:tab w:leader="none" w:pos="2940" w:val="left"/>
        </w:tabs>
        <w:rPr>
          <w:sz w:val="20"/>
          <w:szCs w:val="20"/>
          <w:color w:val="auto"/>
        </w:rPr>
      </w:pPr>
      <w:r>
        <w:rPr>
          <w:rFonts w:ascii="Arial" w:cs="Arial" w:eastAsia="Arial" w:hAnsi="Arial"/>
          <w:sz w:val="22"/>
          <w:szCs w:val="22"/>
          <w:color w:val="auto"/>
        </w:rPr>
        <w:t>SECTION 2.20.</w:t>
      </w:r>
      <w:r>
        <w:rPr>
          <w:sz w:val="20"/>
          <w:szCs w:val="20"/>
          <w:color w:val="auto"/>
        </w:rPr>
        <w:tab/>
      </w:r>
      <w:r>
        <w:rPr>
          <w:rFonts w:ascii="Arial" w:cs="Arial" w:eastAsia="Arial" w:hAnsi="Arial"/>
          <w:sz w:val="19"/>
          <w:szCs w:val="19"/>
          <w:u w:val="single" w:color="auto"/>
          <w:color w:val="auto"/>
        </w:rPr>
        <w:t>Reallocation Following a Non-Extended Commitment Termination Date</w:t>
      </w:r>
      <w:r>
        <w:rPr>
          <w:rFonts w:ascii="Arial" w:cs="Arial" w:eastAsia="Arial" w:hAnsi="Arial"/>
          <w:sz w:val="19"/>
          <w:szCs w:val="19"/>
          <w:color w:val="auto"/>
        </w:rPr>
        <w:t>.</w:t>
      </w:r>
    </w:p>
    <w:p>
      <w:pPr>
        <w:spacing w:after="0" w:line="206" w:lineRule="exact"/>
        <w:rPr>
          <w:sz w:val="20"/>
          <w:szCs w:val="20"/>
          <w:color w:val="auto"/>
        </w:rPr>
      </w:pPr>
    </w:p>
    <w:p>
      <w:pPr>
        <w:ind w:left="1740" w:hanging="885"/>
        <w:spacing w:after="0"/>
        <w:tabs>
          <w:tab w:leader="none" w:pos="1740" w:val="left"/>
        </w:tabs>
        <w:numPr>
          <w:ilvl w:val="1"/>
          <w:numId w:val="220"/>
        </w:numPr>
        <w:rPr>
          <w:rFonts w:ascii="Arial" w:cs="Arial" w:eastAsia="Arial" w:hAnsi="Arial"/>
          <w:sz w:val="22"/>
          <w:szCs w:val="22"/>
          <w:color w:val="auto"/>
        </w:rPr>
      </w:pPr>
      <w:r>
        <w:rPr>
          <w:rFonts w:ascii="Arial" w:cs="Arial" w:eastAsia="Arial" w:hAnsi="Arial"/>
          <w:sz w:val="22"/>
          <w:szCs w:val="22"/>
          <w:u w:val="single" w:color="auto"/>
          <w:color w:val="auto"/>
        </w:rPr>
        <w:t>Reallocation of Participations and Loans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89"/>
        <w:spacing w:after="0" w:line="277" w:lineRule="auto"/>
        <w:tabs>
          <w:tab w:leader="none" w:pos="1649"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(a) in connection with the reduction or termination of any Non-Extending Lender’s Commitments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on any date prior to the Non-Extended Commitment Termination Date for such Non-Extending Lender, the Borrower shall be permitted to request a Dollar Loan be made ratably among the Extending Lenders and Non-Extending Lenders for which the Non-Extended Commitment Termination Date shall not have occurred in accordance with the provisions of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in an amount up to the amount by which such Non-Extending Lender’s Revolving Credit Exposure exceeds such Non-Extending Lender’s Commitments after giving effect to such Commitment reduction and (b) on any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40" w:name="page241"/>
    <w:bookmarkEnd w:id="240"/>
    <w:p>
      <w:pPr>
        <w:jc w:val="both"/>
        <w:spacing w:after="0" w:line="271" w:lineRule="auto"/>
        <w:rPr>
          <w:sz w:val="20"/>
          <w:szCs w:val="20"/>
          <w:color w:val="auto"/>
        </w:rPr>
      </w:pPr>
      <w:r>
        <w:rPr>
          <w:rFonts w:ascii="Arial" w:cs="Arial" w:eastAsia="Arial" w:hAnsi="Arial"/>
          <w:sz w:val="19"/>
          <w:szCs w:val="19"/>
          <w:color w:val="auto"/>
        </w:rPr>
        <w:t xml:space="preserve">date following the Non-Extended Commitment Termination Date for any Non-Extending Lender until the Extended Commitment Termination Date, the Borrower shall be permitted to request a Dollar Loan to be made ratably among the Extending Lenders and Non-Extending Lenders for which the Non-Extended Commitment Termination Date shall not have occurred in accordance with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in an amount up to the Revolving Credit Exposure of each Non-Extending Lender for which the Non-Extended Commitment Termination shall have occurred, in each case, so long as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64" w:lineRule="exact"/>
        <w:rPr>
          <w:sz w:val="20"/>
          <w:szCs w:val="20"/>
          <w:color w:val="auto"/>
        </w:rPr>
      </w:pPr>
    </w:p>
    <w:p>
      <w:pPr>
        <w:jc w:val="both"/>
        <w:ind w:firstLine="789"/>
        <w:spacing w:after="0" w:line="243" w:lineRule="auto"/>
        <w:tabs>
          <w:tab w:leader="none" w:pos="1709" w:val="left"/>
        </w:tabs>
        <w:numPr>
          <w:ilvl w:val="0"/>
          <w:numId w:val="222"/>
        </w:numPr>
        <w:rPr>
          <w:rFonts w:ascii="Arial" w:cs="Arial" w:eastAsia="Arial" w:hAnsi="Arial"/>
          <w:sz w:val="21"/>
          <w:szCs w:val="21"/>
          <w:color w:val="auto"/>
        </w:rPr>
      </w:pPr>
      <w:r>
        <w:rPr>
          <w:rFonts w:ascii="Arial" w:cs="Arial" w:eastAsia="Arial" w:hAnsi="Arial"/>
          <w:sz w:val="21"/>
          <w:szCs w:val="21"/>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Arial" w:cs="Arial" w:eastAsia="Arial" w:hAnsi="Arial"/>
          <w:sz w:val="21"/>
          <w:szCs w:val="21"/>
          <w:u w:val="single" w:color="auto"/>
          <w:color w:val="auto"/>
        </w:rPr>
        <w:t>Section 2.08(f)</w:t>
      </w:r>
      <w:r>
        <w:rPr>
          <w:rFonts w:ascii="Arial" w:cs="Arial" w:eastAsia="Arial" w:hAnsi="Arial"/>
          <w:sz w:val="21"/>
          <w:szCs w:val="21"/>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93" w:lineRule="exact"/>
        <w:rPr>
          <w:rFonts w:ascii="Arial" w:cs="Arial" w:eastAsia="Arial" w:hAnsi="Arial"/>
          <w:sz w:val="21"/>
          <w:szCs w:val="21"/>
          <w:color w:val="auto"/>
        </w:rPr>
      </w:pPr>
    </w:p>
    <w:p>
      <w:pPr>
        <w:jc w:val="both"/>
        <w:ind w:left="-880" w:firstLine="1735"/>
        <w:spacing w:after="0" w:line="234" w:lineRule="auto"/>
        <w:tabs>
          <w:tab w:leader="none" w:pos="1747" w:val="left"/>
        </w:tabs>
        <w:numPr>
          <w:ilvl w:val="1"/>
          <w:numId w:val="222"/>
        </w:numPr>
        <w:rPr>
          <w:rFonts w:ascii="Arial" w:cs="Arial" w:eastAsia="Arial" w:hAnsi="Arial"/>
          <w:sz w:val="22"/>
          <w:szCs w:val="22"/>
          <w:color w:val="auto"/>
        </w:rPr>
      </w:pPr>
      <w:r>
        <w:rPr>
          <w:rFonts w:ascii="Arial" w:cs="Arial" w:eastAsia="Arial" w:hAnsi="Arial"/>
          <w:sz w:val="22"/>
          <w:szCs w:val="22"/>
          <w:u w:val="single" w:color="auto"/>
          <w:color w:val="auto"/>
        </w:rPr>
        <w:t>Cash Collateral; Repayment of Swingline Loans</w:t>
      </w:r>
      <w:r>
        <w:rPr>
          <w:rFonts w:ascii="Arial" w:cs="Arial" w:eastAsia="Arial" w:hAnsi="Arial"/>
          <w:sz w:val="22"/>
          <w:szCs w:val="22"/>
          <w:color w:val="auto"/>
        </w:rPr>
        <w:t xml:space="preserve">. If any Loan related to the reduction or termination of a Non-Extending Lender’s Commitment prior to the Non-Extended Commitment Termination Date described in </w:t>
      </w:r>
      <w:r>
        <w:rPr>
          <w:rFonts w:ascii="Arial" w:cs="Arial" w:eastAsia="Arial" w:hAnsi="Arial"/>
          <w:sz w:val="22"/>
          <w:szCs w:val="22"/>
          <w:u w:val="single" w:color="auto"/>
          <w:color w:val="auto"/>
        </w:rPr>
        <w:t>clause (a)(i)</w:t>
      </w:r>
      <w:r>
        <w:rPr>
          <w:rFonts w:ascii="Arial" w:cs="Arial" w:eastAsia="Arial" w:hAnsi="Arial"/>
          <w:sz w:val="22"/>
          <w:szCs w:val="22"/>
          <w:color w:val="auto"/>
        </w:rPr>
        <w:t xml:space="preserve"> above or any reallocation described in </w:t>
      </w:r>
      <w:r>
        <w:rPr>
          <w:rFonts w:ascii="Arial" w:cs="Arial" w:eastAsia="Arial" w:hAnsi="Arial"/>
          <w:sz w:val="22"/>
          <w:szCs w:val="22"/>
          <w:u w:val="single" w:color="auto"/>
          <w:color w:val="auto"/>
        </w:rPr>
        <w:t>clause (a)(ii)</w:t>
      </w:r>
      <w:r>
        <w:rPr>
          <w:rFonts w:ascii="Arial" w:cs="Arial" w:eastAsia="Arial" w:hAnsi="Arial"/>
          <w:sz w:val="22"/>
          <w:szCs w:val="22"/>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22"/>
          <w:szCs w:val="22"/>
          <w:u w:val="single" w:color="auto"/>
          <w:color w:val="auto"/>
        </w:rPr>
        <w:t>Section 2.08(f)</w:t>
      </w:r>
      <w:r>
        <w:rPr>
          <w:rFonts w:ascii="Arial" w:cs="Arial" w:eastAsia="Arial" w:hAnsi="Arial"/>
          <w:sz w:val="22"/>
          <w:szCs w:val="22"/>
          <w:color w:val="auto"/>
        </w:rPr>
        <w:t>, the date of such Commitment reduction or termination or, (ii) with respect to any reallocation of participations in Letters of Credit and Swingline Loans on the Non-Extended Commitment Termination Date for any Non-Extending Lender, on the Non-Extended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41" w:name="page242"/>
    <w:bookmarkEnd w:id="241"/>
    <w:p>
      <w:pPr>
        <w:jc w:val="both"/>
        <w:spacing w:after="0" w:line="273" w:lineRule="auto"/>
        <w:rPr>
          <w:sz w:val="20"/>
          <w:szCs w:val="20"/>
          <w:color w:val="auto"/>
        </w:rPr>
      </w:pPr>
      <w:r>
        <w:rPr>
          <w:rFonts w:ascii="Arial" w:cs="Arial" w:eastAsia="Arial" w:hAnsi="Arial"/>
          <w:sz w:val="19"/>
          <w:szCs w:val="19"/>
          <w:color w:val="auto"/>
        </w:rPr>
        <w:t xml:space="preserve">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(y) provide Cash Collateral in an amount equal to the amount by which the participation obligations of such Non-Extending Lenders in Letters of Credit have not been reallocated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Arial" w:cs="Arial" w:eastAsia="Arial" w:hAnsi="Arial"/>
          <w:sz w:val="19"/>
          <w:szCs w:val="19"/>
          <w:u w:val="single" w:color="auto"/>
          <w:color w:val="auto"/>
        </w:rPr>
        <w:t>clause (a)(i)(z) above</w:t>
      </w:r>
      <w:r>
        <w:rPr>
          <w:rFonts w:ascii="Arial" w:cs="Arial" w:eastAsia="Arial" w:hAnsi="Arial"/>
          <w:sz w:val="19"/>
          <w:szCs w:val="19"/>
          <w:color w:val="auto"/>
        </w:rPr>
        <w:t xml:space="preserve"> exceeds such Non-Extending Lender’s Commitment after giving effect to any reduction in such Non-Extending Lender’s Commitment.</w:t>
      </w:r>
    </w:p>
    <w:p>
      <w:pPr>
        <w:spacing w:after="0" w:line="161" w:lineRule="exact"/>
        <w:rPr>
          <w:sz w:val="20"/>
          <w:szCs w:val="20"/>
          <w:color w:val="auto"/>
        </w:rPr>
      </w:pPr>
    </w:p>
    <w:p>
      <w:pPr>
        <w:ind w:left="1740"/>
        <w:spacing w:after="0"/>
        <w:tabs>
          <w:tab w:leader="none" w:pos="3820" w:val="left"/>
        </w:tabs>
        <w:rPr>
          <w:sz w:val="20"/>
          <w:szCs w:val="20"/>
          <w:color w:val="auto"/>
        </w:rPr>
      </w:pPr>
      <w:r>
        <w:rPr>
          <w:rFonts w:ascii="Arial" w:cs="Arial" w:eastAsia="Arial" w:hAnsi="Arial"/>
          <w:sz w:val="22"/>
          <w:szCs w:val="22"/>
          <w:color w:val="auto"/>
        </w:rPr>
        <w:t>SECTION 2.21.</w:t>
      </w:r>
      <w:r>
        <w:rPr>
          <w:sz w:val="20"/>
          <w:szCs w:val="20"/>
          <w:color w:val="auto"/>
        </w:rPr>
        <w:tab/>
      </w:r>
      <w:r>
        <w:rPr>
          <w:rFonts w:ascii="Arial" w:cs="Arial" w:eastAsia="Arial" w:hAnsi="Arial"/>
          <w:sz w:val="19"/>
          <w:szCs w:val="19"/>
          <w:u w:val="single" w:color="auto"/>
          <w:color w:val="auto"/>
        </w:rPr>
        <w:t>Assignment and Reallocation of Existing Commitments and Existing Loans</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On the Tenth Amendment Effective Date, the Borrower shall (A) prepay the outstanding Loans and</w:t>
      </w:r>
    </w:p>
    <w:p>
      <w:pPr>
        <w:spacing w:after="0" w:line="42" w:lineRule="exact"/>
        <w:rPr>
          <w:rFonts w:ascii="Arial" w:cs="Arial" w:eastAsia="Arial" w:hAnsi="Arial"/>
          <w:sz w:val="19"/>
          <w:szCs w:val="19"/>
          <w:color w:val="auto"/>
        </w:rPr>
      </w:pPr>
    </w:p>
    <w:p>
      <w:pPr>
        <w:ind w:left="360" w:hanging="352"/>
        <w:spacing w:after="0"/>
        <w:tabs>
          <w:tab w:leader="none" w:pos="36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simultaneously borrow new Loans in an amount equal to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w:t>
      </w:r>
    </w:p>
    <w:p>
      <w:pPr>
        <w:spacing w:after="0" w:line="24" w:lineRule="exact"/>
        <w:rPr>
          <w:rFonts w:ascii="Arial" w:cs="Arial" w:eastAsia="Arial" w:hAnsi="Arial"/>
          <w:sz w:val="19"/>
          <w:szCs w:val="19"/>
          <w:color w:val="auto"/>
        </w:rPr>
      </w:pPr>
    </w:p>
    <w:p>
      <w:pPr>
        <w:jc w:val="both"/>
        <w:ind w:firstLine="8"/>
        <w:spacing w:after="0" w:line="272" w:lineRule="auto"/>
        <w:tabs>
          <w:tab w:leader="none" w:pos="288" w:val="left"/>
        </w:tabs>
        <w:numPr>
          <w:ilvl w:val="0"/>
          <w:numId w:val="225"/>
        </w:numPr>
        <w:rPr>
          <w:rFonts w:ascii="Arial" w:cs="Arial" w:eastAsia="Arial" w:hAnsi="Arial"/>
          <w:sz w:val="19"/>
          <w:szCs w:val="19"/>
          <w:u w:val="single" w:color="auto"/>
          <w:color w:val="auto"/>
        </w:rPr>
      </w:pPr>
      <w:r>
        <w:rPr>
          <w:rFonts w:ascii="Arial" w:cs="Arial" w:eastAsia="Arial" w:hAnsi="Arial"/>
          <w:sz w:val="19"/>
          <w:szCs w:val="19"/>
          <w:color w:val="auto"/>
        </w:rPr>
        <w:t xml:space="preserve">, (x) the prepayment to, and borrowing from, any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61" w:lineRule="exact"/>
        <w:rPr>
          <w:rFonts w:ascii="Arial" w:cs="Arial" w:eastAsia="Arial" w:hAnsi="Arial"/>
          <w:sz w:val="19"/>
          <w:szCs w:val="19"/>
          <w:u w:val="single" w:color="auto"/>
          <w:color w:val="auto"/>
        </w:rPr>
      </w:pPr>
    </w:p>
    <w:p>
      <w:pPr>
        <w:jc w:val="both"/>
        <w:ind w:firstLine="1735"/>
        <w:spacing w:after="0" w:line="275" w:lineRule="auto"/>
        <w:tabs>
          <w:tab w:leader="none" w:pos="262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2" w:name="page243"/>
    <w:bookmarkEnd w:id="242"/>
    <w:p>
      <w:pPr>
        <w:ind w:left="860"/>
        <w:spacing w:after="0"/>
        <w:tabs>
          <w:tab w:leader="none" w:pos="2940" w:val="left"/>
        </w:tabs>
        <w:rPr>
          <w:sz w:val="20"/>
          <w:szCs w:val="20"/>
          <w:color w:val="auto"/>
        </w:rPr>
      </w:pPr>
      <w:r>
        <w:rPr>
          <w:rFonts w:ascii="Arial" w:cs="Arial" w:eastAsia="Arial" w:hAnsi="Arial"/>
          <w:sz w:val="22"/>
          <w:szCs w:val="22"/>
          <w:color w:val="auto"/>
        </w:rPr>
        <w:t>SECTION 2.22.</w:t>
      </w:r>
      <w:r>
        <w:rPr>
          <w:sz w:val="20"/>
          <w:szCs w:val="20"/>
          <w:color w:val="auto"/>
        </w:rPr>
        <w:tab/>
      </w:r>
      <w:r>
        <w:rPr>
          <w:rFonts w:ascii="Arial" w:cs="Arial" w:eastAsia="Arial" w:hAnsi="Arial"/>
          <w:sz w:val="19"/>
          <w:szCs w:val="19"/>
          <w:u w:val="single" w:color="auto"/>
          <w:color w:val="auto"/>
        </w:rPr>
        <w:t>Effect of Benchmark Transition Event</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44" w:lineRule="auto"/>
        <w:tabs>
          <w:tab w:leader="none" w:pos="1735"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Benchmark Replacement</w:t>
      </w:r>
      <w:r>
        <w:rPr>
          <w:rFonts w:ascii="Arial" w:cs="Arial" w:eastAsia="Arial" w:hAnsi="Arial"/>
          <w:sz w:val="21"/>
          <w:szCs w:val="21"/>
          <w:color w:val="auto"/>
        </w:rPr>
        <w:t xml:space="preserve">. Notwithstanding anything to the contrary herein or in any other Loan Document, upon the occurrence of a Benchmark Transition Event or an Early Opt-in Election with respect to any then-current Benchmark for a Currency, as applicable, the Administrative Agent and the Borrower may amend this Agreement to replace such Benchmark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of each Class. Any such amendment with respect to an Early Opt-in Election will become effective on the date that Lenders comprising the Required Lenders of each Class have delivered to the Administrative Agent written notice that such Required Lenders accept such amendment. No replacement of any then-current Benchmark with a Benchmark Replacement pursuant to this </w:t>
      </w:r>
      <w:r>
        <w:rPr>
          <w:rFonts w:ascii="Arial" w:cs="Arial" w:eastAsia="Arial" w:hAnsi="Arial"/>
          <w:sz w:val="21"/>
          <w:szCs w:val="21"/>
          <w:u w:val="single" w:color="auto"/>
          <w:color w:val="auto"/>
        </w:rPr>
        <w:t>Section 2.22</w:t>
      </w:r>
      <w:r>
        <w:rPr>
          <w:rFonts w:ascii="Arial" w:cs="Arial" w:eastAsia="Arial" w:hAnsi="Arial"/>
          <w:sz w:val="21"/>
          <w:szCs w:val="21"/>
          <w:color w:val="auto"/>
        </w:rPr>
        <w:t xml:space="preserve"> will occur prior to the applicable Benchmark Transition Start Date.</w:t>
      </w:r>
    </w:p>
    <w:p>
      <w:pPr>
        <w:spacing w:after="0" w:line="188" w:lineRule="exact"/>
        <w:rPr>
          <w:rFonts w:ascii="Arial" w:cs="Arial" w:eastAsia="Arial" w:hAnsi="Arial"/>
          <w:sz w:val="21"/>
          <w:szCs w:val="21"/>
          <w:color w:val="auto"/>
        </w:rPr>
      </w:pPr>
    </w:p>
    <w:p>
      <w:pPr>
        <w:jc w:val="both"/>
        <w:ind w:left="-880" w:firstLine="1735"/>
        <w:spacing w:after="0" w:line="249" w:lineRule="auto"/>
        <w:tabs>
          <w:tab w:leader="none" w:pos="1747"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implementation of a Benchmark Replacement, the Administrative Agent (after consulting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8" w:lineRule="exact"/>
        <w:rPr>
          <w:rFonts w:ascii="Arial" w:cs="Arial" w:eastAsia="Arial" w:hAnsi="Arial"/>
          <w:sz w:val="21"/>
          <w:szCs w:val="21"/>
          <w:color w:val="auto"/>
        </w:rPr>
      </w:pPr>
    </w:p>
    <w:p>
      <w:pPr>
        <w:jc w:val="both"/>
        <w:ind w:left="-880" w:firstLine="1735"/>
        <w:spacing w:after="0" w:line="274" w:lineRule="auto"/>
        <w:tabs>
          <w:tab w:leader="none" w:pos="1735"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left="-880" w:firstLine="1735"/>
        <w:spacing w:after="0" w:line="234" w:lineRule="auto"/>
        <w:tabs>
          <w:tab w:leader="none" w:pos="1747"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Upon the Borrower’s receipt of notice of the commencement of a Benchmark Unavailability Period with respect to any then-current Benchmark, the Borrower may revoke any request for a Eurocurrency Borrowing or RFR Borrowing of, conversion to or continuation of Eurocurrency Loans or RFR Loans in each affected Currency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the Eurocurrency Rate will not be used in any determination of ABR.</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43" w:name="page244"/>
    <w:bookmarkEnd w:id="243"/>
    <w:p>
      <w:pPr>
        <w:ind w:left="4720"/>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ind w:left="1740" w:right="3660" w:firstLine="1923"/>
        <w:spacing w:after="0" w:line="504" w:lineRule="auto"/>
        <w:rPr>
          <w:sz w:val="20"/>
          <w:szCs w:val="20"/>
          <w:color w:val="auto"/>
        </w:rPr>
      </w:pPr>
      <w:r>
        <w:rPr>
          <w:rFonts w:ascii="Arial" w:cs="Arial" w:eastAsia="Arial" w:hAnsi="Arial"/>
          <w:sz w:val="19"/>
          <w:szCs w:val="19"/>
          <w:color w:val="auto"/>
        </w:rPr>
        <w:t>REPRESENTATIONS AND WARRANTIES The Borrower represents and warrants to the Lenders that:</w:t>
      </w:r>
    </w:p>
    <w:p>
      <w:pPr>
        <w:jc w:val="both"/>
        <w:ind w:firstLine="1727"/>
        <w:spacing w:after="0" w:line="282"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4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7"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w:t>
      </w:r>
    </w:p>
    <w:p>
      <w:pPr>
        <w:spacing w:after="0" w:line="4" w:lineRule="exact"/>
        <w:rPr>
          <w:sz w:val="20"/>
          <w:szCs w:val="20"/>
          <w:color w:val="auto"/>
        </w:rPr>
      </w:pPr>
    </w:p>
    <w:p>
      <w:pPr>
        <w:jc w:val="both"/>
        <w:ind w:firstLine="8"/>
        <w:spacing w:after="0" w:line="280" w:lineRule="auto"/>
        <w:tabs>
          <w:tab w:leader="none" w:pos="30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50"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9" w:lineRule="auto"/>
        <w:tabs>
          <w:tab w:leader="none" w:pos="2615"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Financial Statements</w:t>
      </w:r>
      <w:r>
        <w:rPr>
          <w:rFonts w:ascii="Arial" w:cs="Arial" w:eastAsia="Arial" w:hAnsi="Arial"/>
          <w:sz w:val="21"/>
          <w:szCs w:val="21"/>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4" w:name="page245"/>
    <w:bookmarkEnd w:id="244"/>
    <w:p>
      <w:pPr>
        <w:jc w:val="both"/>
        <w:ind w:firstLine="1735"/>
        <w:spacing w:after="0" w:line="246" w:lineRule="auto"/>
        <w:tabs>
          <w:tab w:leader="none" w:pos="2627"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No Material Adverse Change</w:t>
      </w:r>
      <w:r>
        <w:rPr>
          <w:rFonts w:ascii="Arial" w:cs="Arial" w:eastAsia="Arial" w:hAnsi="Arial"/>
          <w:sz w:val="21"/>
          <w:szCs w:val="21"/>
          <w:color w:val="auto"/>
        </w:rPr>
        <w:t>. Since the date of the most recent Applicable Financial Statements, there has not been any event, development or circumstance (herein, a “</w:t>
      </w:r>
      <w:r>
        <w:rPr>
          <w:rFonts w:ascii="Arial" w:cs="Arial" w:eastAsia="Arial" w:hAnsi="Arial"/>
          <w:sz w:val="21"/>
          <w:szCs w:val="21"/>
          <w:u w:val="single" w:color="auto"/>
          <w:color w:val="auto"/>
        </w:rPr>
        <w:t>Material Adverse Change</w:t>
      </w:r>
      <w:r>
        <w:rPr>
          <w:rFonts w:ascii="Arial" w:cs="Arial" w:eastAsia="Arial" w:hAnsi="Arial"/>
          <w:sz w:val="21"/>
          <w:szCs w:val="21"/>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84"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7"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Compliance with Laws and Agreements</w:t>
      </w:r>
      <w:r>
        <w:rPr>
          <w:rFonts w:ascii="Arial" w:cs="Arial" w:eastAsia="Arial" w:hAnsi="Arial"/>
          <w:sz w:val="21"/>
          <w:szCs w:val="21"/>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77"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8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Disclosure</w:t>
      </w:r>
      <w:r>
        <w:rPr>
          <w:rFonts w:ascii="Arial" w:cs="Arial" w:eastAsia="Arial" w:hAnsi="Arial"/>
          <w:sz w:val="19"/>
          <w:szCs w:val="19"/>
          <w:color w:val="auto"/>
        </w:rPr>
        <w:t>.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5" w:name="page246"/>
    <w:bookmarkEnd w:id="245"/>
    <w:p>
      <w:pPr>
        <w:jc w:val="both"/>
        <w:spacing w:after="0" w:line="238" w:lineRule="auto"/>
        <w:rPr>
          <w:sz w:val="20"/>
          <w:szCs w:val="20"/>
          <w:color w:val="auto"/>
        </w:rPr>
      </w:pPr>
      <w:r>
        <w:rPr>
          <w:rFonts w:ascii="Arial" w:cs="Arial" w:eastAsia="Arial" w:hAnsi="Arial"/>
          <w:sz w:val="22"/>
          <w:szCs w:val="22"/>
          <w:color w:val="auto"/>
        </w:rPr>
        <w:t xml:space="preserve">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projected financial information, the Borrower represents only that such information was prepared in good faith based upon assumptions believed to be reasonable at the time.</w:t>
      </w:r>
    </w:p>
    <w:p>
      <w:pPr>
        <w:spacing w:after="0" w:line="185"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Investment Company Act; Margin Regulations</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50" w:lineRule="auto"/>
        <w:tabs>
          <w:tab w:leader="none" w:pos="2615"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Status as Business Development Company</w:t>
      </w:r>
      <w:r>
        <w:rPr>
          <w:rFonts w:ascii="Arial" w:cs="Arial" w:eastAsia="Arial" w:hAnsi="Arial"/>
          <w:sz w:val="22"/>
          <w:szCs w:val="22"/>
          <w:color w:val="auto"/>
        </w:rPr>
        <w:t>. The Borrower has elected to be regulated as a “business development company” within the meaning of the Investment Company Act and qualifies as a RIC.</w:t>
      </w:r>
    </w:p>
    <w:p>
      <w:pPr>
        <w:spacing w:after="0" w:line="174" w:lineRule="exact"/>
        <w:rPr>
          <w:rFonts w:ascii="Arial" w:cs="Arial" w:eastAsia="Arial" w:hAnsi="Arial"/>
          <w:sz w:val="22"/>
          <w:szCs w:val="22"/>
          <w:color w:val="auto"/>
        </w:rPr>
      </w:pPr>
    </w:p>
    <w:p>
      <w:pPr>
        <w:jc w:val="both"/>
        <w:ind w:firstLine="1735"/>
        <w:spacing w:after="0" w:line="282" w:lineRule="auto"/>
        <w:tabs>
          <w:tab w:leader="none" w:pos="2627"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Compliance with Investment Company Act</w:t>
      </w:r>
      <w:r>
        <w:rPr>
          <w:rFonts w:ascii="Arial" w:cs="Arial" w:eastAsia="Arial" w:hAnsi="Arial"/>
          <w:sz w:val="19"/>
          <w:szCs w:val="19"/>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47" w:lineRule="exact"/>
        <w:rPr>
          <w:rFonts w:ascii="Arial" w:cs="Arial" w:eastAsia="Arial" w:hAnsi="Arial"/>
          <w:sz w:val="19"/>
          <w:szCs w:val="19"/>
          <w:color w:val="auto"/>
        </w:rPr>
      </w:pPr>
    </w:p>
    <w:p>
      <w:pPr>
        <w:jc w:val="both"/>
        <w:ind w:firstLine="1735"/>
        <w:spacing w:after="0"/>
        <w:tabs>
          <w:tab w:leader="none" w:pos="2615"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Investment Policies</w:t>
      </w:r>
      <w:r>
        <w:rPr>
          <w:rFonts w:ascii="Arial" w:cs="Arial" w:eastAsia="Arial" w:hAnsi="Arial"/>
          <w:sz w:val="22"/>
          <w:szCs w:val="22"/>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Use of Credit</w:t>
      </w:r>
      <w:r>
        <w:rPr>
          <w:rFonts w:ascii="Arial" w:cs="Arial" w:eastAsia="Arial" w:hAnsi="Arial"/>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5"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Material Agreements and Liens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Material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735"/>
        <w:spacing w:after="0" w:line="287" w:lineRule="auto"/>
        <w:tabs>
          <w:tab w:leader="none" w:pos="2627"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3.11</w:t>
      </w:r>
      <w:r>
        <w:rPr>
          <w:rFonts w:ascii="Arial" w:cs="Arial" w:eastAsia="Arial" w:hAnsi="Arial"/>
          <w:sz w:val="19"/>
          <w:szCs w:val="19"/>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19"/>
          <w:szCs w:val="19"/>
          <w:u w:val="single" w:color="auto"/>
          <w:color w:val="auto"/>
        </w:rPr>
        <w:t>Part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3.11</w:t>
      </w:r>
      <w:r>
        <w:rPr>
          <w:rFonts w:ascii="Arial" w:cs="Arial" w:eastAsia="Arial" w:hAnsi="Arial"/>
          <w:sz w:val="19"/>
          <w:szCs w:val="19"/>
          <w:color w:val="auto"/>
        </w:rPr>
        <w: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6" w:name="page247"/>
    <w:bookmarkEnd w:id="246"/>
    <w:p>
      <w:pPr>
        <w:ind w:left="1740"/>
        <w:spacing w:after="0"/>
        <w:tabs>
          <w:tab w:leader="none" w:pos="386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Subsidiaries and Investments</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1"/>
          <w:numId w:val="232"/>
        </w:numPr>
        <w:rPr>
          <w:rFonts w:ascii="Arial" w:cs="Arial" w:eastAsia="Arial" w:hAnsi="Arial"/>
          <w:sz w:val="21"/>
          <w:szCs w:val="21"/>
          <w:color w:val="auto"/>
        </w:rPr>
      </w:pPr>
      <w:r>
        <w:rPr>
          <w:rFonts w:ascii="Arial" w:cs="Arial" w:eastAsia="Arial" w:hAnsi="Arial"/>
          <w:sz w:val="21"/>
          <w:szCs w:val="21"/>
          <w:u w:val="single" w:color="auto"/>
          <w:color w:val="auto"/>
        </w:rPr>
        <w:t>Subsidiaries</w:t>
      </w:r>
      <w:r>
        <w:rPr>
          <w:rFonts w:ascii="Arial" w:cs="Arial" w:eastAsia="Arial" w:hAnsi="Arial"/>
          <w:sz w:val="21"/>
          <w:szCs w:val="21"/>
          <w:color w:val="auto"/>
        </w:rPr>
        <w:t xml:space="preserve">.  Set forth on </w:t>
      </w:r>
      <w:r>
        <w:rPr>
          <w:rFonts w:ascii="Arial" w:cs="Arial" w:eastAsia="Arial" w:hAnsi="Arial"/>
          <w:sz w:val="21"/>
          <w:szCs w:val="21"/>
          <w:u w:val="single" w:color="auto"/>
          <w:color w:val="auto"/>
        </w:rPr>
        <w:t>Schedule 3.12(a)</w:t>
      </w:r>
      <w:r>
        <w:rPr>
          <w:rFonts w:ascii="Arial" w:cs="Arial" w:eastAsia="Arial" w:hAnsi="Arial"/>
          <w:sz w:val="21"/>
          <w:szCs w:val="21"/>
          <w:color w:val="auto"/>
        </w:rPr>
        <w:t xml:space="preserve"> is a list of the Borrower’s Subsidiaries as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Original Effective Date.</w:t>
      </w:r>
    </w:p>
    <w:p>
      <w:pPr>
        <w:spacing w:after="0" w:line="188" w:lineRule="exact"/>
        <w:rPr>
          <w:rFonts w:ascii="Arial" w:cs="Arial" w:eastAsia="Arial" w:hAnsi="Arial"/>
          <w:sz w:val="21"/>
          <w:szCs w:val="21"/>
          <w:color w:val="auto"/>
        </w:rPr>
      </w:pPr>
    </w:p>
    <w:p>
      <w:pPr>
        <w:jc w:val="both"/>
        <w:ind w:firstLine="1735"/>
        <w:spacing w:after="0" w:line="273" w:lineRule="auto"/>
        <w:tabs>
          <w:tab w:leader="none" w:pos="2627" w:val="left"/>
        </w:tabs>
        <w:numPr>
          <w:ilvl w:val="1"/>
          <w:numId w:val="232"/>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3.12(b)</w:t>
      </w:r>
      <w:r>
        <w:rPr>
          <w:rFonts w:ascii="Arial" w:cs="Arial" w:eastAsia="Arial" w:hAnsi="Arial"/>
          <w:sz w:val="19"/>
          <w:szCs w:val="19"/>
          <w:color w:val="auto"/>
        </w:rPr>
        <w:t xml:space="preserve"> is a complete and correct list, as of the Original Effective Date, of all Investments (other than Investments of the types referred to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6.04</w:t>
      </w:r>
      <w:r>
        <w:rPr>
          <w:rFonts w:ascii="Arial" w:cs="Arial" w:eastAsia="Arial" w:hAnsi="Arial"/>
          <w:sz w:val="19"/>
          <w:szCs w:val="19"/>
          <w:color w:val="auto"/>
        </w:rPr>
        <w:t>) held by the Borrower or any of the Subsidiary Guarantors in any Person on the Original Effective Date and, for each such Investment,</w:t>
      </w:r>
    </w:p>
    <w:p>
      <w:pPr>
        <w:spacing w:after="0" w:line="1" w:lineRule="exact"/>
        <w:rPr>
          <w:rFonts w:ascii="Arial" w:cs="Arial" w:eastAsia="Arial" w:hAnsi="Arial"/>
          <w:sz w:val="19"/>
          <w:szCs w:val="19"/>
          <w:color w:val="auto"/>
        </w:rPr>
      </w:pPr>
    </w:p>
    <w:p>
      <w:pPr>
        <w:jc w:val="both"/>
        <w:ind w:firstLine="8"/>
        <w:spacing w:after="0" w:line="287" w:lineRule="auto"/>
        <w:tabs>
          <w:tab w:leader="none" w:pos="318"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the identity of the Person or Persons holding such Investment and (y) the nature of such Investment. Except as disclosed in </w:t>
      </w:r>
      <w:r>
        <w:rPr>
          <w:rFonts w:ascii="Arial" w:cs="Arial" w:eastAsia="Arial" w:hAnsi="Arial"/>
          <w:sz w:val="19"/>
          <w:szCs w:val="19"/>
          <w:u w:val="single" w:color="auto"/>
          <w:color w:val="auto"/>
        </w:rPr>
        <w:t>Schedule 3.12</w:t>
      </w:r>
      <w:r>
        <w:rPr>
          <w:rFonts w:ascii="Arial" w:cs="Arial" w:eastAsia="Arial" w:hAnsi="Arial"/>
          <w:sz w:val="19"/>
          <w:szCs w:val="19"/>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43"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97" w:lineRule="auto"/>
        <w:tabs>
          <w:tab w:leader="none" w:pos="2615"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Title Generally</w:t>
      </w:r>
      <w:r>
        <w:rPr>
          <w:rFonts w:ascii="Arial" w:cs="Arial" w:eastAsia="Arial" w:hAnsi="Arial"/>
          <w:sz w:val="19"/>
          <w:szCs w:val="19"/>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33" w:lineRule="exact"/>
        <w:rPr>
          <w:rFonts w:ascii="Arial" w:cs="Arial" w:eastAsia="Arial" w:hAnsi="Arial"/>
          <w:sz w:val="19"/>
          <w:szCs w:val="19"/>
          <w:color w:val="auto"/>
        </w:rPr>
      </w:pPr>
    </w:p>
    <w:p>
      <w:pPr>
        <w:jc w:val="both"/>
        <w:ind w:firstLine="1735"/>
        <w:spacing w:after="0" w:line="236" w:lineRule="auto"/>
        <w:tabs>
          <w:tab w:leader="none" w:pos="2627"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87"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85"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Sanctions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8" w:lineRule="auto"/>
        <w:tabs>
          <w:tab w:leader="none" w:pos="2615" w:val="left"/>
        </w:tabs>
        <w:numPr>
          <w:ilvl w:val="0"/>
          <w:numId w:val="235"/>
        </w:numPr>
        <w:rPr>
          <w:rFonts w:ascii="Arial" w:cs="Arial" w:eastAsia="Arial" w:hAnsi="Arial"/>
          <w:sz w:val="21"/>
          <w:szCs w:val="21"/>
          <w:color w:val="auto"/>
        </w:rPr>
      </w:pPr>
      <w:r>
        <w:rPr>
          <w:rFonts w:ascii="Arial" w:cs="Arial" w:eastAsia="Arial" w:hAnsi="Arial"/>
          <w:sz w:val="21"/>
          <w:szCs w:val="21"/>
          <w:color w:val="auto"/>
        </w:rPr>
        <w:t>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under (A) any U.S. Department of Treasury’s Office of Foreign Assets Control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176" w:lineRule="exact"/>
        <w:rPr>
          <w:rFonts w:ascii="Arial" w:cs="Arial" w:eastAsia="Arial" w:hAnsi="Arial"/>
          <w:sz w:val="21"/>
          <w:szCs w:val="21"/>
          <w:color w:val="auto"/>
        </w:rPr>
      </w:pPr>
    </w:p>
    <w:p>
      <w:pPr>
        <w:ind w:firstLine="1735"/>
        <w:spacing w:after="0" w:line="250" w:lineRule="auto"/>
        <w:tabs>
          <w:tab w:leader="none" w:pos="2627"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Borrower has implemented and maintains in effect policies and procedures reasonably designed to ensure compliance by the Borrower, its Subsidiaries and their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7" w:name="page248"/>
    <w:bookmarkEnd w:id="247"/>
    <w:p>
      <w:pPr>
        <w:jc w:val="both"/>
        <w:ind w:right="20"/>
        <w:spacing w:after="0" w:line="250" w:lineRule="auto"/>
        <w:rPr>
          <w:sz w:val="20"/>
          <w:szCs w:val="20"/>
          <w:color w:val="auto"/>
        </w:rPr>
      </w:pPr>
      <w:r>
        <w:rPr>
          <w:rFonts w:ascii="Arial" w:cs="Arial" w:eastAsia="Arial" w:hAnsi="Arial"/>
          <w:sz w:val="22"/>
          <w:szCs w:val="22"/>
          <w:color w:val="auto"/>
        </w:rPr>
        <w:t>respective directors, officers, employees and investment advisors with Anti-Corruption Laws and applicable Sanctions in all material respects.</w:t>
      </w:r>
    </w:p>
    <w:p>
      <w:pPr>
        <w:spacing w:after="0" w:line="175"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Patriot Act</w:t>
      </w:r>
      <w:r>
        <w:rPr>
          <w:rFonts w:ascii="Arial" w:cs="Arial" w:eastAsia="Arial" w:hAnsi="Arial"/>
          <w:sz w:val="19"/>
          <w:szCs w:val="19"/>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w:t>
      </w:r>
    </w:p>
    <w:p>
      <w:pPr>
        <w:spacing w:after="0" w:line="15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8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EEA Financial Institutions</w:t>
      </w:r>
      <w:r>
        <w:rPr>
          <w:rFonts w:ascii="Arial" w:cs="Arial" w:eastAsia="Arial" w:hAnsi="Arial"/>
          <w:sz w:val="22"/>
          <w:szCs w:val="22"/>
          <w:color w:val="auto"/>
        </w:rPr>
        <w:t>. Neither the Borrower nor any Subsidiary is an EEA Financial Institution.</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34" w:lineRule="exact"/>
        <w:rPr>
          <w:sz w:val="20"/>
          <w:szCs w:val="20"/>
          <w:color w:val="auto"/>
        </w:rPr>
      </w:pPr>
    </w:p>
    <w:p>
      <w:pPr>
        <w:jc w:val="both"/>
        <w:ind w:firstLine="1735"/>
        <w:spacing w:after="0" w:line="328" w:lineRule="auto"/>
        <w:tabs>
          <w:tab w:leader="none" w:pos="2615" w:val="left"/>
        </w:tabs>
        <w:numPr>
          <w:ilvl w:val="1"/>
          <w:numId w:val="236"/>
        </w:numPr>
        <w:rPr>
          <w:rFonts w:ascii="Arial" w:cs="Arial" w:eastAsia="Arial" w:hAnsi="Arial"/>
          <w:sz w:val="19"/>
          <w:szCs w:val="19"/>
          <w:color w:val="auto"/>
        </w:rPr>
      </w:pPr>
      <w:r>
        <w:rPr>
          <w:rFonts w:ascii="Arial" w:cs="Arial" w:eastAsia="Arial" w:hAnsi="Arial"/>
          <w:sz w:val="19"/>
          <w:szCs w:val="19"/>
          <w:u w:val="single" w:color="auto"/>
          <w:color w:val="auto"/>
        </w:rPr>
        <w:t>Documents</w:t>
      </w:r>
      <w:r>
        <w:rPr>
          <w:rFonts w:ascii="Arial" w:cs="Arial" w:eastAsia="Arial" w:hAnsi="Arial"/>
          <w:sz w:val="19"/>
          <w:szCs w:val="19"/>
          <w:color w:val="auto"/>
        </w:rPr>
        <w:t>. Administrative Agent shall have received each of the following documents, each of which shall be satisfactory to the Administrative Agent (and to the extent specified below to each Lender) in form and substance:</w:t>
      </w:r>
    </w:p>
    <w:p>
      <w:pPr>
        <w:spacing w:after="0" w:line="104" w:lineRule="exact"/>
        <w:rPr>
          <w:rFonts w:ascii="Arial" w:cs="Arial" w:eastAsia="Arial" w:hAnsi="Arial"/>
          <w:sz w:val="19"/>
          <w:szCs w:val="19"/>
          <w:color w:val="auto"/>
        </w:rPr>
      </w:pPr>
    </w:p>
    <w:p>
      <w:pPr>
        <w:ind w:left="880" w:firstLine="789"/>
        <w:spacing w:after="0" w:line="250" w:lineRule="auto"/>
        <w:tabs>
          <w:tab w:leader="none" w:pos="2529"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Executed Counterparts</w:t>
      </w:r>
      <w:r>
        <w:rPr>
          <w:rFonts w:ascii="Arial" w:cs="Arial" w:eastAsia="Arial" w:hAnsi="Arial"/>
          <w:sz w:val="22"/>
          <w:szCs w:val="22"/>
          <w:color w:val="auto"/>
        </w:rPr>
        <w:t>. From each party hereto either (i) a counterpart of this Agreement signed on behalf of such party or (ii) written evidence satisfactory to the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8" w:name="page249"/>
    <w:bookmarkEnd w:id="248"/>
    <w:p>
      <w:pPr>
        <w:ind w:left="880" w:right="20"/>
        <w:spacing w:after="0" w:line="250" w:lineRule="auto"/>
        <w:rPr>
          <w:sz w:val="20"/>
          <w:szCs w:val="20"/>
          <w:color w:val="auto"/>
        </w:rPr>
      </w:pPr>
      <w:r>
        <w:rPr>
          <w:rFonts w:ascii="Arial" w:cs="Arial" w:eastAsia="Arial" w:hAnsi="Arial"/>
          <w:sz w:val="22"/>
          <w:szCs w:val="22"/>
          <w:color w:val="auto"/>
        </w:rPr>
        <w:t>Administrative Agent (which may include telecopy transmission of a signed signature page to this Agreement) that such party has signed a counterpart of this Agreement.</w:t>
      </w:r>
    </w:p>
    <w:p>
      <w:pPr>
        <w:spacing w:after="0" w:line="175" w:lineRule="exact"/>
        <w:rPr>
          <w:sz w:val="20"/>
          <w:szCs w:val="20"/>
          <w:color w:val="auto"/>
        </w:rPr>
      </w:pPr>
    </w:p>
    <w:p>
      <w:pPr>
        <w:jc w:val="both"/>
        <w:ind w:left="880" w:firstLine="789"/>
        <w:spacing w:after="0" w:line="235" w:lineRule="auto"/>
        <w:tabs>
          <w:tab w:leader="none" w:pos="2589" w:val="left"/>
        </w:tabs>
        <w:numPr>
          <w:ilvl w:val="1"/>
          <w:numId w:val="238"/>
        </w:numPr>
        <w:rPr>
          <w:rFonts w:ascii="Arial" w:cs="Arial" w:eastAsia="Arial" w:hAnsi="Arial"/>
          <w:sz w:val="22"/>
          <w:szCs w:val="22"/>
          <w:color w:val="auto"/>
        </w:rPr>
      </w:pPr>
      <w:r>
        <w:rPr>
          <w:rFonts w:ascii="Arial" w:cs="Arial" w:eastAsia="Arial" w:hAnsi="Arial"/>
          <w:sz w:val="22"/>
          <w:szCs w:val="22"/>
          <w:u w:val="single" w:color="auto"/>
          <w:color w:val="auto"/>
        </w:rPr>
        <w:t>Opinion of Counsel to the Borrower</w:t>
      </w:r>
      <w:r>
        <w:rPr>
          <w:rFonts w:ascii="Arial" w:cs="Arial" w:eastAsia="Arial" w:hAnsi="Arial"/>
          <w:sz w:val="22"/>
          <w:szCs w:val="22"/>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87" w:lineRule="exact"/>
        <w:rPr>
          <w:rFonts w:ascii="Arial" w:cs="Arial" w:eastAsia="Arial" w:hAnsi="Arial"/>
          <w:sz w:val="22"/>
          <w:szCs w:val="22"/>
          <w:color w:val="auto"/>
        </w:rPr>
      </w:pPr>
    </w:p>
    <w:p>
      <w:pPr>
        <w:jc w:val="both"/>
        <w:ind w:left="880" w:firstLine="789"/>
        <w:spacing w:after="0" w:line="252" w:lineRule="auto"/>
        <w:tabs>
          <w:tab w:leader="none" w:pos="2649" w:val="left"/>
        </w:tabs>
        <w:numPr>
          <w:ilvl w:val="1"/>
          <w:numId w:val="238"/>
        </w:numPr>
        <w:rPr>
          <w:rFonts w:ascii="Arial" w:cs="Arial" w:eastAsia="Arial" w:hAnsi="Arial"/>
          <w:sz w:val="21"/>
          <w:szCs w:val="21"/>
          <w:color w:val="auto"/>
        </w:rPr>
      </w:pPr>
      <w:r>
        <w:rPr>
          <w:rFonts w:ascii="Arial" w:cs="Arial" w:eastAsia="Arial" w:hAnsi="Arial"/>
          <w:sz w:val="21"/>
          <w:szCs w:val="21"/>
          <w:u w:val="single" w:color="auto"/>
          <w:color w:val="auto"/>
        </w:rPr>
        <w:t>Corporate Documents</w:t>
      </w:r>
      <w:r>
        <w:rPr>
          <w:rFonts w:ascii="Arial" w:cs="Arial" w:eastAsia="Arial" w:hAnsi="Arial"/>
          <w:sz w:val="21"/>
          <w:szCs w:val="21"/>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73" w:lineRule="exact"/>
        <w:rPr>
          <w:rFonts w:ascii="Arial" w:cs="Arial" w:eastAsia="Arial" w:hAnsi="Arial"/>
          <w:sz w:val="21"/>
          <w:szCs w:val="21"/>
          <w:color w:val="auto"/>
        </w:rPr>
      </w:pPr>
    </w:p>
    <w:p>
      <w:pPr>
        <w:jc w:val="both"/>
        <w:ind w:left="860" w:hanging="787"/>
        <w:spacing w:after="0"/>
        <w:tabs>
          <w:tab w:leader="none" w:pos="1658"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2"/>
          <w:numId w:val="239"/>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The obligation of each Lender to make any Loan, and of each Issuing Bank to issue, amend, renew or extend any Letter of Credit, is additionally subject to the satisfaction of the following conditions:</w:t>
      </w:r>
    </w:p>
    <w:p>
      <w:pPr>
        <w:spacing w:after="0" w:line="186" w:lineRule="exact"/>
        <w:rPr>
          <w:sz w:val="20"/>
          <w:szCs w:val="20"/>
          <w:color w:val="auto"/>
        </w:rPr>
      </w:pPr>
    </w:p>
    <w:p>
      <w:pPr>
        <w:jc w:val="both"/>
        <w:ind w:firstLine="1735"/>
        <w:spacing w:after="0" w:line="236" w:lineRule="auto"/>
        <w:tabs>
          <w:tab w:leader="none" w:pos="2615"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87" w:lineRule="exact"/>
        <w:rPr>
          <w:rFonts w:ascii="Arial" w:cs="Arial" w:eastAsia="Arial" w:hAnsi="Arial"/>
          <w:sz w:val="22"/>
          <w:szCs w:val="22"/>
          <w:color w:val="auto"/>
        </w:rPr>
      </w:pPr>
    </w:p>
    <w:p>
      <w:pPr>
        <w:ind w:right="20" w:firstLine="1735"/>
        <w:spacing w:after="0" w:line="274" w:lineRule="auto"/>
        <w:tabs>
          <w:tab w:leader="none" w:pos="2627" w:val="left"/>
        </w:tabs>
        <w:numPr>
          <w:ilvl w:val="0"/>
          <w:numId w:val="240"/>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Loan or the issuance, amendment, renewal or extension of such Letter of Credit, as applicable, no Default shall have occurred and be continuing; and</w:t>
      </w:r>
    </w:p>
    <w:p>
      <w:pPr>
        <w:spacing w:after="0" w:line="150" w:lineRule="exact"/>
        <w:rPr>
          <w:rFonts w:ascii="Arial" w:cs="Arial" w:eastAsia="Arial" w:hAnsi="Arial"/>
          <w:sz w:val="21"/>
          <w:szCs w:val="21"/>
          <w:color w:val="auto"/>
        </w:rPr>
      </w:pPr>
    </w:p>
    <w:p>
      <w:pPr>
        <w:jc w:val="both"/>
        <w:ind w:firstLine="1735"/>
        <w:spacing w:after="0" w:line="249" w:lineRule="auto"/>
        <w:tabs>
          <w:tab w:leader="none" w:pos="2615"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9" w:name="page250"/>
    <w:bookmarkEnd w:id="249"/>
    <w:p>
      <w:pPr>
        <w:jc w:val="both"/>
        <w:spacing w:after="0" w:line="250" w:lineRule="auto"/>
        <w:rPr>
          <w:sz w:val="20"/>
          <w:szCs w:val="20"/>
          <w:color w:val="auto"/>
        </w:rPr>
      </w:pPr>
      <w:r>
        <w:rPr>
          <w:rFonts w:ascii="Arial" w:cs="Arial" w:eastAsia="Arial" w:hAnsi="Arial"/>
          <w:sz w:val="22"/>
          <w:szCs w:val="22"/>
          <w:color w:val="auto"/>
        </w:rPr>
        <w:t>or payment of outstanding Loans or Other Covered Indebtedness or any other Indebtedness that is included in the Covered Debt Amount at such time.</w:t>
      </w:r>
    </w:p>
    <w:p>
      <w:pPr>
        <w:spacing w:after="0" w:line="175"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10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5" w:lineRule="exact"/>
        <w:rPr>
          <w:sz w:val="20"/>
          <w:szCs w:val="20"/>
          <w:color w:val="auto"/>
        </w:rPr>
      </w:pPr>
    </w:p>
    <w:p>
      <w:pPr>
        <w:ind w:left="1740"/>
        <w:spacing w:after="0"/>
        <w:tabs>
          <w:tab w:leader="none" w:pos="4000" w:val="left"/>
          <w:tab w:leader="none" w:pos="820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Borrower will furnish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each Lender:</w:t>
      </w:r>
    </w:p>
    <w:p>
      <w:pPr>
        <w:spacing w:after="0" w:line="188" w:lineRule="exact"/>
        <w:rPr>
          <w:sz w:val="20"/>
          <w:szCs w:val="20"/>
          <w:color w:val="auto"/>
        </w:rPr>
      </w:pPr>
    </w:p>
    <w:p>
      <w:pPr>
        <w:jc w:val="both"/>
        <w:ind w:firstLine="1735"/>
        <w:spacing w:after="0" w:line="246" w:lineRule="auto"/>
        <w:tabs>
          <w:tab w:leader="none" w:pos="261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set forth in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may be fulfilled by providing to the Administrative Agent and the Lenders the report of the Borrower to the SEC on Form 10-K for the applicable fiscal year;</w:t>
      </w:r>
    </w:p>
    <w:p>
      <w:pPr>
        <w:spacing w:after="0" w:line="179" w:lineRule="exact"/>
        <w:rPr>
          <w:rFonts w:ascii="Arial" w:cs="Arial" w:eastAsia="Arial" w:hAnsi="Arial"/>
          <w:sz w:val="21"/>
          <w:szCs w:val="21"/>
          <w:color w:val="auto"/>
        </w:rPr>
      </w:pPr>
    </w:p>
    <w:p>
      <w:pPr>
        <w:jc w:val="both"/>
        <w:ind w:firstLine="1735"/>
        <w:spacing w:after="0" w:line="274" w:lineRule="auto"/>
        <w:tabs>
          <w:tab w:leader="none" w:pos="2627"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may be fulfilled by providing to the Lenders the report of the Borrower to the SEC on Form 10-Q for the applicable quarterly period;</w:t>
      </w:r>
    </w:p>
    <w:p>
      <w:pPr>
        <w:spacing w:after="0" w:line="158" w:lineRule="exact"/>
        <w:rPr>
          <w:rFonts w:ascii="Arial" w:cs="Arial" w:eastAsia="Arial" w:hAnsi="Arial"/>
          <w:sz w:val="19"/>
          <w:szCs w:val="19"/>
          <w:color w:val="auto"/>
        </w:rPr>
      </w:pPr>
    </w:p>
    <w:p>
      <w:pPr>
        <w:jc w:val="both"/>
        <w:ind w:right="20" w:firstLine="1735"/>
        <w:spacing w:after="0"/>
        <w:tabs>
          <w:tab w:leader="none" w:pos="261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concurrently with any delivery of financial statements under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a certificate of a Financial Officer of the Borrower (i) certifying that such statements are consistent with the financial statements filed by the Borrower with the Securities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0" w:name="page251"/>
    <w:bookmarkEnd w:id="250"/>
    <w:p>
      <w:pPr>
        <w:jc w:val="both"/>
        <w:spacing w:after="0" w:line="235" w:lineRule="auto"/>
        <w:rPr>
          <w:sz w:val="20"/>
          <w:szCs w:val="20"/>
          <w:color w:val="auto"/>
        </w:rPr>
      </w:pPr>
      <w:r>
        <w:rPr>
          <w:rFonts w:ascii="Arial" w:cs="Arial" w:eastAsia="Arial" w:hAnsi="Arial"/>
          <w:sz w:val="22"/>
          <w:szCs w:val="22"/>
          <w:color w:val="auto"/>
        </w:rPr>
        <w:t xml:space="preserve">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22"/>
          <w:szCs w:val="22"/>
          <w:u w:val="single" w:color="auto"/>
          <w:color w:val="auto"/>
        </w:rPr>
        <w:t>Sections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6.07</w:t>
      </w:r>
      <w:r>
        <w:rPr>
          <w:rFonts w:ascii="Arial" w:cs="Arial" w:eastAsia="Arial" w:hAnsi="Arial"/>
          <w:sz w:val="22"/>
          <w:szCs w:val="22"/>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88" w:lineRule="exact"/>
        <w:rPr>
          <w:sz w:val="20"/>
          <w:szCs w:val="20"/>
          <w:color w:val="auto"/>
        </w:rPr>
      </w:pPr>
    </w:p>
    <w:p>
      <w:pPr>
        <w:jc w:val="both"/>
        <w:ind w:firstLine="1735"/>
        <w:spacing w:after="0" w:line="279" w:lineRule="auto"/>
        <w:tabs>
          <w:tab w:leader="none" w:pos="2627"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such Borrowing Base Certificate shall certify that the condition set forth in </w:t>
      </w:r>
      <w:r>
        <w:rPr>
          <w:rFonts w:ascii="Arial" w:cs="Arial" w:eastAsia="Arial" w:hAnsi="Arial"/>
          <w:sz w:val="19"/>
          <w:szCs w:val="19"/>
          <w:u w:val="single" w:color="auto"/>
          <w:color w:val="auto"/>
        </w:rPr>
        <w:t>Section 6.05(d)(x)</w:t>
      </w:r>
      <w:r>
        <w:rPr>
          <w:rFonts w:ascii="Arial" w:cs="Arial" w:eastAsia="Arial" w:hAnsi="Arial"/>
          <w:sz w:val="19"/>
          <w:szCs w:val="19"/>
          <w:color w:val="auto"/>
        </w:rPr>
        <w:t xml:space="preserve"> was satisfied on the date of each such Restricted Payment;</w:t>
      </w:r>
    </w:p>
    <w:p>
      <w:pPr>
        <w:spacing w:after="0" w:line="150" w:lineRule="exact"/>
        <w:rPr>
          <w:rFonts w:ascii="Arial" w:cs="Arial" w:eastAsia="Arial" w:hAnsi="Arial"/>
          <w:sz w:val="19"/>
          <w:szCs w:val="19"/>
          <w:color w:val="auto"/>
        </w:rPr>
      </w:pPr>
    </w:p>
    <w:p>
      <w:pPr>
        <w:jc w:val="both"/>
        <w:ind w:firstLine="1735"/>
        <w:spacing w:after="0" w:line="235" w:lineRule="auto"/>
        <w:tabs>
          <w:tab w:leader="none" w:pos="2615" w:val="left"/>
        </w:tabs>
        <w:numPr>
          <w:ilvl w:val="0"/>
          <w:numId w:val="242"/>
        </w:numPr>
        <w:rPr>
          <w:rFonts w:ascii="Arial" w:cs="Arial" w:eastAsia="Arial" w:hAnsi="Arial"/>
          <w:sz w:val="22"/>
          <w:szCs w:val="22"/>
          <w:color w:val="auto"/>
        </w:rPr>
      </w:pPr>
      <w:r>
        <w:rPr>
          <w:rFonts w:ascii="Arial" w:cs="Arial" w:eastAsia="Arial" w:hAnsi="Arial"/>
          <w:sz w:val="22"/>
          <w:szCs w:val="22"/>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87" w:lineRule="exact"/>
        <w:rPr>
          <w:rFonts w:ascii="Arial" w:cs="Arial" w:eastAsia="Arial" w:hAnsi="Arial"/>
          <w:sz w:val="22"/>
          <w:szCs w:val="22"/>
          <w:color w:val="auto"/>
        </w:rPr>
      </w:pPr>
    </w:p>
    <w:p>
      <w:pPr>
        <w:jc w:val="both"/>
        <w:ind w:firstLine="1735"/>
        <w:spacing w:after="0" w:line="238" w:lineRule="auto"/>
        <w:tabs>
          <w:tab w:leader="none" w:pos="2591" w:val="left"/>
        </w:tabs>
        <w:numPr>
          <w:ilvl w:val="0"/>
          <w:numId w:val="242"/>
        </w:numPr>
        <w:rPr>
          <w:rFonts w:ascii="Arial" w:cs="Arial" w:eastAsia="Arial" w:hAnsi="Arial"/>
          <w:sz w:val="22"/>
          <w:szCs w:val="22"/>
          <w:color w:val="auto"/>
        </w:rPr>
      </w:pPr>
      <w:r>
        <w:rPr>
          <w:rFonts w:ascii="Arial" w:cs="Arial" w:eastAsia="Arial" w:hAnsi="Arial"/>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242"/>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84" w:lineRule="exact"/>
        <w:rPr>
          <w:rFonts w:ascii="Arial" w:cs="Arial" w:eastAsia="Arial" w:hAnsi="Arial"/>
          <w:sz w:val="22"/>
          <w:szCs w:val="22"/>
          <w:color w:val="auto"/>
        </w:rPr>
      </w:pPr>
    </w:p>
    <w:p>
      <w:pPr>
        <w:jc w:val="both"/>
        <w:ind w:firstLine="1735"/>
        <w:spacing w:after="0" w:line="257" w:lineRule="auto"/>
        <w:tabs>
          <w:tab w:leader="none" w:pos="2627" w:val="left"/>
        </w:tabs>
        <w:numPr>
          <w:ilvl w:val="0"/>
          <w:numId w:val="242"/>
        </w:numPr>
        <w:rPr>
          <w:rFonts w:ascii="Arial" w:cs="Arial" w:eastAsia="Arial" w:hAnsi="Arial"/>
          <w:sz w:val="21"/>
          <w:szCs w:val="21"/>
          <w:color w:val="auto"/>
        </w:rPr>
      </w:pPr>
      <w:r>
        <w:rPr>
          <w:rFonts w:ascii="Arial" w:cs="Arial" w:eastAsia="Arial" w:hAnsi="Arial"/>
          <w:sz w:val="21"/>
          <w:szCs w:val="21"/>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69" w:lineRule="exact"/>
        <w:rPr>
          <w:rFonts w:ascii="Arial" w:cs="Arial" w:eastAsia="Arial" w:hAnsi="Arial"/>
          <w:sz w:val="21"/>
          <w:szCs w:val="21"/>
          <w:color w:val="auto"/>
        </w:rPr>
      </w:pPr>
    </w:p>
    <w:p>
      <w:pPr>
        <w:jc w:val="both"/>
        <w:ind w:firstLine="1735"/>
        <w:spacing w:after="0" w:line="287" w:lineRule="auto"/>
        <w:tabs>
          <w:tab w:leader="none" w:pos="2579"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Borrower and each Lender acknowledge that certain of the Lenders may be Public Lenders and, if documents or notices required to be delivered pursuant to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otherwise are being distributed through IntraLinks/IntraAgency, SyndTrak or another relevant website or other information platform (the “</w:t>
      </w:r>
      <w:r>
        <w:rPr>
          <w:rFonts w:ascii="Arial" w:cs="Arial" w:eastAsia="Arial" w:hAnsi="Arial"/>
          <w:sz w:val="19"/>
          <w:szCs w:val="19"/>
          <w:u w:val="single" w:color="auto"/>
          <w:color w:val="auto"/>
        </w:rPr>
        <w:t>Platform</w:t>
      </w:r>
      <w:r>
        <w:rPr>
          <w:rFonts w:ascii="Arial" w:cs="Arial" w:eastAsia="Arial" w:hAnsi="Arial"/>
          <w:sz w:val="19"/>
          <w:szCs w:val="19"/>
          <w:color w:val="auto"/>
        </w:rPr>
        <w:t>”), any document or notice that Borrower has indicated contains Non-Public Information shall not be posted by Administrative Agent on that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1" w:name="page252"/>
    <w:bookmarkEnd w:id="251"/>
    <w:p>
      <w:pPr>
        <w:jc w:val="both"/>
        <w:spacing w:after="0" w:line="248" w:lineRule="auto"/>
        <w:rPr>
          <w:sz w:val="20"/>
          <w:szCs w:val="20"/>
          <w:color w:val="auto"/>
        </w:rPr>
      </w:pPr>
      <w:r>
        <w:rPr>
          <w:rFonts w:ascii="Arial" w:cs="Arial" w:eastAsia="Arial" w:hAnsi="Arial"/>
          <w:sz w:val="21"/>
          <w:szCs w:val="21"/>
          <w:color w:val="auto"/>
        </w:rPr>
        <w:t xml:space="preserve">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of this Agreement).</w:t>
      </w:r>
    </w:p>
    <w:p>
      <w:pPr>
        <w:spacing w:after="0" w:line="177" w:lineRule="exact"/>
        <w:rPr>
          <w:sz w:val="20"/>
          <w:szCs w:val="20"/>
          <w:color w:val="auto"/>
        </w:rPr>
      </w:pPr>
    </w:p>
    <w:p>
      <w:pPr>
        <w:jc w:val="both"/>
        <w:ind w:firstLine="1735"/>
        <w:spacing w:after="0" w:line="238" w:lineRule="auto"/>
        <w:tabs>
          <w:tab w:leader="none" w:pos="257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herein, the requirements to deliver documents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will be fulfilled by filing by the Borrower of the applicable documents for public availability on the SEC’s Electronic Data Gathering and Retrieval system; </w:t>
      </w:r>
      <w:r>
        <w:rPr>
          <w:rFonts w:ascii="Arial" w:cs="Arial" w:eastAsia="Arial" w:hAnsi="Arial"/>
          <w:sz w:val="22"/>
          <w:szCs w:val="22"/>
          <w:u w:val="single" w:color="auto"/>
          <w:color w:val="auto"/>
        </w:rPr>
        <w:t>provided</w:t>
      </w:r>
      <w:r>
        <w:rPr>
          <w:rFonts w:ascii="Arial" w:cs="Arial" w:eastAsia="Arial" w:hAnsi="Arial"/>
          <w:sz w:val="22"/>
          <w:szCs w:val="22"/>
          <w:color w:val="auto"/>
        </w:rPr>
        <w:t>, that the Borrower shall notify the Administrative Agent (by telecopier or electronic mail) of the posting of any such documents.</w:t>
      </w:r>
    </w:p>
    <w:p>
      <w:pPr>
        <w:spacing w:after="0" w:line="185"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Borrower will furnish to the Administrative Agent and each Lender prompt written notice upon any Responsible Officer obtaining knowledge of the following:</w:t>
      </w:r>
    </w:p>
    <w:p>
      <w:pPr>
        <w:spacing w:after="0" w:line="175" w:lineRule="exact"/>
        <w:rPr>
          <w:sz w:val="20"/>
          <w:szCs w:val="20"/>
          <w:color w:val="auto"/>
        </w:rPr>
      </w:pPr>
    </w:p>
    <w:p>
      <w:pPr>
        <w:ind w:left="2620" w:hanging="885"/>
        <w:spacing w:after="0"/>
        <w:tabs>
          <w:tab w:leader="none" w:pos="262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06" w:lineRule="exact"/>
        <w:rPr>
          <w:rFonts w:ascii="Arial" w:cs="Arial" w:eastAsia="Arial" w:hAnsi="Arial"/>
          <w:sz w:val="22"/>
          <w:szCs w:val="22"/>
          <w:color w:val="auto"/>
        </w:rPr>
      </w:pPr>
    </w:p>
    <w:p>
      <w:pPr>
        <w:jc w:val="both"/>
        <w:ind w:firstLine="1735"/>
        <w:spacing w:after="0"/>
        <w:tabs>
          <w:tab w:leader="none" w:pos="2627"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86" w:lineRule="exact"/>
        <w:rPr>
          <w:rFonts w:ascii="Arial" w:cs="Arial" w:eastAsia="Arial" w:hAnsi="Arial"/>
          <w:sz w:val="22"/>
          <w:szCs w:val="22"/>
          <w:color w:val="auto"/>
        </w:rPr>
      </w:pPr>
    </w:p>
    <w:p>
      <w:pPr>
        <w:jc w:val="both"/>
        <w:ind w:firstLine="1735"/>
        <w:spacing w:after="0"/>
        <w:tabs>
          <w:tab w:leader="none" w:pos="261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could reasonably be expected to result in liability of the Borrower and its Subsidiaries in an aggregate amount exceeding $25,000,000; and</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Existence: Conduct of Business</w:t>
      </w:r>
      <w:r>
        <w:rPr>
          <w:rFonts w:ascii="Arial" w:cs="Arial" w:eastAsia="Arial" w:hAnsi="Arial"/>
          <w:sz w:val="22"/>
          <w:szCs w:val="22"/>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prohibit any merger, consolidation, liquidation or dissolution permitted under </w:t>
      </w:r>
      <w:r>
        <w:rPr>
          <w:rFonts w:ascii="Arial" w:cs="Arial" w:eastAsia="Arial" w:hAnsi="Arial"/>
          <w:sz w:val="22"/>
          <w:szCs w:val="22"/>
          <w:u w:val="single" w:color="auto"/>
          <w:color w:val="auto"/>
        </w:rPr>
        <w:t>Section 6.03</w:t>
      </w:r>
      <w:r>
        <w:rPr>
          <w:rFonts w:ascii="Arial" w:cs="Arial" w:eastAsia="Arial" w:hAnsi="Arial"/>
          <w:sz w:val="22"/>
          <w:szCs w:val="22"/>
          <w:color w:val="auto"/>
        </w:rPr>
        <w:t>.</w:t>
      </w:r>
    </w:p>
    <w:p>
      <w:pPr>
        <w:spacing w:after="0" w:line="18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The Borrower will, and will cause each of its Subsidiaries to, pay its obligations, including income tax and other material tax liabilities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2" w:name="page253"/>
    <w:bookmarkEnd w:id="252"/>
    <w:p>
      <w:pPr>
        <w:jc w:val="both"/>
        <w:spacing w:after="0" w:line="236" w:lineRule="auto"/>
        <w:rPr>
          <w:sz w:val="20"/>
          <w:szCs w:val="20"/>
          <w:color w:val="auto"/>
        </w:rPr>
      </w:pPr>
      <w:r>
        <w:rPr>
          <w:rFonts w:ascii="Arial" w:cs="Arial" w:eastAsia="Arial" w:hAnsi="Arial"/>
          <w:sz w:val="22"/>
          <w:szCs w:val="22"/>
          <w:color w:val="auto"/>
        </w:rPr>
        <w:t>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87"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 Insurance</w:t>
      </w:r>
      <w:r>
        <w:rPr>
          <w:rFonts w:ascii="Arial" w:cs="Arial" w:eastAsia="Arial" w:hAnsi="Arial"/>
          <w:sz w:val="22"/>
          <w:szCs w:val="22"/>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7"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Books and Records; Inspection and Audit Rights</w:t>
      </w:r>
      <w:r>
        <w:rPr>
          <w:rFonts w:ascii="Arial" w:cs="Arial" w:eastAsia="Arial" w:hAnsi="Arial"/>
          <w:sz w:val="19"/>
          <w:szCs w:val="19"/>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or such Obligor shall be entitled to have its representatives and advisors present during any inspection of its books and records and</w:t>
      </w:r>
    </w:p>
    <w:p>
      <w:pPr>
        <w:spacing w:after="0" w:line="3" w:lineRule="exact"/>
        <w:rPr>
          <w:sz w:val="20"/>
          <w:szCs w:val="20"/>
          <w:color w:val="auto"/>
        </w:rPr>
      </w:pPr>
    </w:p>
    <w:p>
      <w:pPr>
        <w:jc w:val="both"/>
        <w:ind w:firstLine="8"/>
        <w:spacing w:after="0" w:line="234" w:lineRule="auto"/>
        <w:tabs>
          <w:tab w:leader="none" w:pos="349" w:val="left"/>
        </w:tabs>
        <w:numPr>
          <w:ilvl w:val="0"/>
          <w:numId w:val="245"/>
        </w:numPr>
        <w:rPr>
          <w:rFonts w:ascii="Arial" w:cs="Arial" w:eastAsia="Arial" w:hAnsi="Arial"/>
          <w:sz w:val="22"/>
          <w:szCs w:val="22"/>
          <w:color w:val="auto"/>
        </w:rPr>
      </w:pPr>
      <w:r>
        <w:rPr>
          <w:rFonts w:ascii="Arial" w:cs="Arial" w:eastAsia="Arial" w:hAnsi="Arial"/>
          <w:sz w:val="22"/>
          <w:szCs w:val="22"/>
          <w:color w:val="auto"/>
        </w:rPr>
        <w:t>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8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91"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u w:val="single" w:color="auto"/>
          <w:color w:val="auto"/>
        </w:rPr>
        <w:t>Certain Obligations Respecting Subsidiaries; Further Assurances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2" w:lineRule="auto"/>
        <w:tabs>
          <w:tab w:leader="none" w:pos="2615"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Subsidiary Guarantors</w:t>
      </w:r>
      <w:r>
        <w:rPr>
          <w:rFonts w:ascii="Arial" w:cs="Arial" w:eastAsia="Arial" w:hAnsi="Arial"/>
          <w:sz w:val="19"/>
          <w:szCs w:val="19"/>
          <w:color w:val="auto"/>
        </w:rPr>
        <w:t>.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3" w:name="page254"/>
    <w:bookmarkEnd w:id="253"/>
    <w:p>
      <w:pPr>
        <w:spacing w:after="0" w:line="250" w:lineRule="auto"/>
        <w:rPr>
          <w:sz w:val="20"/>
          <w:szCs w:val="20"/>
          <w:color w:val="auto"/>
        </w:rPr>
      </w:pPr>
      <w:r>
        <w:rPr>
          <w:rFonts w:ascii="Arial" w:cs="Arial" w:eastAsia="Arial" w:hAnsi="Arial"/>
          <w:sz w:val="22"/>
          <w:szCs w:val="22"/>
          <w:color w:val="auto"/>
        </w:rPr>
        <w:t xml:space="preserve">other documents as is consistent with those delivered by the Borrower pursuant to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upon the Effective Date or as the Administrative Agent shall have reasonably requested.</w:t>
      </w:r>
    </w:p>
    <w:p>
      <w:pPr>
        <w:spacing w:after="0" w:line="175" w:lineRule="exact"/>
        <w:rPr>
          <w:sz w:val="20"/>
          <w:szCs w:val="20"/>
          <w:color w:val="auto"/>
        </w:rPr>
      </w:pPr>
    </w:p>
    <w:p>
      <w:pPr>
        <w:ind w:right="20" w:firstLine="1735"/>
        <w:spacing w:after="0" w:line="274" w:lineRule="auto"/>
        <w:tabs>
          <w:tab w:leader="none" w:pos="2627" w:val="left"/>
        </w:tabs>
        <w:numPr>
          <w:ilvl w:val="0"/>
          <w:numId w:val="247"/>
        </w:numPr>
        <w:rPr>
          <w:rFonts w:ascii="Arial" w:cs="Arial" w:eastAsia="Arial" w:hAnsi="Arial"/>
          <w:sz w:val="21"/>
          <w:szCs w:val="21"/>
          <w:color w:val="auto"/>
        </w:rPr>
      </w:pPr>
      <w:r>
        <w:rPr>
          <w:rFonts w:ascii="Arial" w:cs="Arial" w:eastAsia="Arial" w:hAnsi="Arial"/>
          <w:sz w:val="21"/>
          <w:szCs w:val="21"/>
          <w:u w:val="single" w:color="auto"/>
          <w:color w:val="auto"/>
        </w:rPr>
        <w:t>Ownership of Subsidiaries</w:t>
      </w:r>
      <w:r>
        <w:rPr>
          <w:rFonts w:ascii="Arial" w:cs="Arial" w:eastAsia="Arial" w:hAnsi="Arial"/>
          <w:sz w:val="21"/>
          <w:szCs w:val="21"/>
          <w:color w:val="auto"/>
        </w:rPr>
        <w:t>. The Borrower will, and will cause each of its Subsidiaries to, take such action from time to time as shall be necessary to ensure that each of its Subsidiaries is a wholly owned Subsidiary.</w:t>
      </w:r>
    </w:p>
    <w:p>
      <w:pPr>
        <w:spacing w:after="0" w:line="150" w:lineRule="exact"/>
        <w:rPr>
          <w:rFonts w:ascii="Arial" w:cs="Arial" w:eastAsia="Arial" w:hAnsi="Arial"/>
          <w:sz w:val="21"/>
          <w:szCs w:val="21"/>
          <w:color w:val="auto"/>
        </w:rPr>
      </w:pPr>
    </w:p>
    <w:p>
      <w:pPr>
        <w:jc w:val="both"/>
        <w:ind w:firstLine="1735"/>
        <w:spacing w:after="0" w:line="269" w:lineRule="auto"/>
        <w:tabs>
          <w:tab w:leader="none" w:pos="2615"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9"/>
          <w:szCs w:val="19"/>
          <w:u w:val="single" w:color="auto"/>
          <w:color w:val="auto"/>
        </w:rPr>
        <w:t>Section 5.13</w:t>
      </w:r>
      <w:r>
        <w:rPr>
          <w:rFonts w:ascii="Arial" w:cs="Arial" w:eastAsia="Arial" w:hAnsi="Arial"/>
          <w:sz w:val="19"/>
          <w:szCs w:val="19"/>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200" w:lineRule="exact"/>
        <w:rPr>
          <w:sz w:val="20"/>
          <w:szCs w:val="20"/>
          <w:color w:val="auto"/>
        </w:rPr>
      </w:pPr>
    </w:p>
    <w:p>
      <w:pPr>
        <w:spacing w:after="0" w:line="217"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w:t>
      </w:r>
      <w:r>
        <w:rPr>
          <w:rFonts w:ascii="Arial" w:cs="Arial" w:eastAsia="Arial" w:hAnsi="Arial"/>
          <w:sz w:val="19"/>
          <w:szCs w:val="19"/>
          <w:color w:val="auto"/>
        </w:rPr>
        <w:t>. Margin Stock shall be purchased by the Obligors only with the proceeds of Indebtedness not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directly or indirectly secured by Margin Stock, or with the proceeds of equity capital of the Borrower.</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Status of RIC and BDC</w:t>
      </w:r>
      <w:r>
        <w:rPr>
          <w:rFonts w:ascii="Arial" w:cs="Arial" w:eastAsia="Arial" w:hAnsi="Arial"/>
          <w:sz w:val="22"/>
          <w:szCs w:val="22"/>
          <w:color w:val="auto"/>
        </w:rPr>
        <w:t>. The Borrower shall at all times, subject to applicable grace periods set forth in the Code, maintain its status as a RIC under the Code, and as a “business development company” under the Investment Company Act.</w:t>
      </w:r>
    </w:p>
    <w:p>
      <w:pPr>
        <w:spacing w:after="0" w:line="18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Investment Policies</w:t>
      </w:r>
      <w:r>
        <w:rPr>
          <w:rFonts w:ascii="Arial" w:cs="Arial" w:eastAsia="Arial" w:hAnsi="Arial"/>
          <w:sz w:val="22"/>
          <w:szCs w:val="22"/>
          <w:color w:val="auto"/>
        </w:rPr>
        <w:t>. The Borrower shall at all times be in compliance in all material respects with its Investment Policies (after giving effect to any Permitted Policy Amendments).</w:t>
      </w:r>
    </w:p>
    <w:p>
      <w:pPr>
        <w:spacing w:after="0" w:line="175"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u w:val="single" w:color="auto"/>
          <w:color w:val="auto"/>
        </w:rPr>
        <w:t>Portfolio Valuation and Diversification Etc</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8" w:lineRule="auto"/>
        <w:tabs>
          <w:tab w:leader="none" w:pos="2615" w:val="left"/>
        </w:tabs>
        <w:numPr>
          <w:ilvl w:val="1"/>
          <w:numId w:val="248"/>
        </w:numPr>
        <w:rPr>
          <w:rFonts w:ascii="Arial" w:cs="Arial" w:eastAsia="Arial" w:hAnsi="Arial"/>
          <w:sz w:val="21"/>
          <w:szCs w:val="21"/>
          <w:color w:val="auto"/>
        </w:rPr>
      </w:pPr>
      <w:r>
        <w:rPr>
          <w:rFonts w:ascii="Arial" w:cs="Arial" w:eastAsia="Arial" w:hAnsi="Arial"/>
          <w:sz w:val="21"/>
          <w:szCs w:val="21"/>
          <w:u w:val="single" w:color="auto"/>
          <w:color w:val="auto"/>
        </w:rPr>
        <w:t>Industry Classification Groups</w:t>
      </w:r>
      <w:r>
        <w:rPr>
          <w:rFonts w:ascii="Arial" w:cs="Arial" w:eastAsia="Arial" w:hAnsi="Arial"/>
          <w:sz w:val="21"/>
          <w:szCs w:val="21"/>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76" w:lineRule="exact"/>
        <w:rPr>
          <w:rFonts w:ascii="Arial" w:cs="Arial" w:eastAsia="Arial" w:hAnsi="Arial"/>
          <w:sz w:val="21"/>
          <w:szCs w:val="21"/>
          <w:color w:val="auto"/>
        </w:rPr>
      </w:pPr>
    </w:p>
    <w:p>
      <w:pPr>
        <w:ind w:left="2640" w:hanging="905"/>
        <w:spacing w:after="0"/>
        <w:tabs>
          <w:tab w:leader="none" w:pos="2640" w:val="left"/>
        </w:tabs>
        <w:numPr>
          <w:ilvl w:val="1"/>
          <w:numId w:val="248"/>
        </w:numPr>
        <w:rPr>
          <w:rFonts w:ascii="Arial" w:cs="Arial" w:eastAsia="Arial" w:hAnsi="Arial"/>
          <w:sz w:val="22"/>
          <w:szCs w:val="22"/>
          <w:color w:val="auto"/>
        </w:rPr>
      </w:pPr>
      <w:r>
        <w:rPr>
          <w:rFonts w:ascii="Arial" w:cs="Arial" w:eastAsia="Arial" w:hAnsi="Arial"/>
          <w:sz w:val="22"/>
          <w:szCs w:val="22"/>
          <w:u w:val="single" w:color="auto"/>
          <w:color w:val="auto"/>
        </w:rPr>
        <w:t>Portfolio Valuation Etc</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789"/>
        <w:spacing w:after="0" w:line="282" w:lineRule="auto"/>
        <w:tabs>
          <w:tab w:leader="none" w:pos="2529"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Settlement Date Basis</w:t>
      </w:r>
      <w:r>
        <w:rPr>
          <w:rFonts w:ascii="Arial" w:cs="Arial" w:eastAsia="Arial" w:hAnsi="Arial"/>
          <w:sz w:val="19"/>
          <w:szCs w:val="19"/>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investment shall be included as a Portfolio Investment to the extent it has not been paid for in full.</w:t>
      </w:r>
    </w:p>
    <w:p>
      <w:pPr>
        <w:spacing w:after="0" w:line="147" w:lineRule="exact"/>
        <w:rPr>
          <w:rFonts w:ascii="Arial" w:cs="Arial" w:eastAsia="Arial" w:hAnsi="Arial"/>
          <w:sz w:val="19"/>
          <w:szCs w:val="19"/>
          <w:color w:val="auto"/>
        </w:rPr>
      </w:pPr>
    </w:p>
    <w:p>
      <w:pPr>
        <w:ind w:left="880" w:firstLine="789"/>
        <w:spacing w:after="0" w:line="250" w:lineRule="auto"/>
        <w:tabs>
          <w:tab w:leader="none" w:pos="2589"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Determination of Values</w:t>
      </w:r>
      <w:r>
        <w:rPr>
          <w:rFonts w:ascii="Arial" w:cs="Arial" w:eastAsia="Arial" w:hAnsi="Arial"/>
          <w:sz w:val="22"/>
          <w:szCs w:val="22"/>
          <w:color w:val="auto"/>
        </w:rPr>
        <w:t>. The Borrower will conduct reviews of the value to be assigned to each of its Portfolio Investments as follows:</w:t>
      </w:r>
    </w:p>
    <w:p>
      <w:pPr>
        <w:spacing w:after="0" w:line="174" w:lineRule="exact"/>
        <w:rPr>
          <w:rFonts w:ascii="Arial" w:cs="Arial" w:eastAsia="Arial" w:hAnsi="Arial"/>
          <w:sz w:val="22"/>
          <w:szCs w:val="22"/>
          <w:color w:val="auto"/>
        </w:rPr>
      </w:pPr>
    </w:p>
    <w:p>
      <w:pPr>
        <w:jc w:val="both"/>
        <w:ind w:left="1740" w:firstLine="726"/>
        <w:spacing w:after="0" w:line="287" w:lineRule="auto"/>
        <w:tabs>
          <w:tab w:leader="none" w:pos="3419" w:val="left"/>
        </w:tabs>
        <w:numPr>
          <w:ilvl w:val="3"/>
          <w:numId w:val="249"/>
        </w:numPr>
        <w:rPr>
          <w:rFonts w:ascii="Arial" w:cs="Arial" w:eastAsia="Arial" w:hAnsi="Arial"/>
          <w:sz w:val="19"/>
          <w:szCs w:val="19"/>
          <w:color w:val="auto"/>
        </w:rPr>
      </w:pPr>
      <w:r>
        <w:rPr>
          <w:rFonts w:ascii="Arial" w:cs="Arial" w:eastAsia="Arial" w:hAnsi="Arial"/>
          <w:sz w:val="19"/>
          <w:szCs w:val="19"/>
          <w:u w:val="single" w:color="auto"/>
          <w:color w:val="auto"/>
        </w:rPr>
        <w:t>Quoted Investments - External Review</w:t>
      </w:r>
      <w:r>
        <w:rPr>
          <w:rFonts w:ascii="Arial" w:cs="Arial" w:eastAsia="Arial" w:hAnsi="Arial"/>
          <w:sz w:val="19"/>
          <w:szCs w:val="19"/>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42" w:lineRule="exact"/>
        <w:rPr>
          <w:rFonts w:ascii="Arial" w:cs="Arial" w:eastAsia="Arial" w:hAnsi="Arial"/>
          <w:sz w:val="19"/>
          <w:szCs w:val="19"/>
          <w:color w:val="auto"/>
        </w:rPr>
      </w:pPr>
    </w:p>
    <w:p>
      <w:pPr>
        <w:ind w:left="2580" w:hanging="792"/>
        <w:spacing w:after="0" w:line="250" w:lineRule="auto"/>
        <w:tabs>
          <w:tab w:leader="none" w:pos="3246" w:val="left"/>
        </w:tabs>
        <w:numPr>
          <w:ilvl w:val="2"/>
          <w:numId w:val="249"/>
        </w:numPr>
        <w:rPr>
          <w:rFonts w:ascii="Arial" w:cs="Arial" w:eastAsia="Arial" w:hAnsi="Arial"/>
          <w:sz w:val="22"/>
          <w:szCs w:val="22"/>
          <w:color w:val="auto"/>
        </w:rPr>
      </w:pPr>
      <w:r>
        <w:rPr>
          <w:rFonts w:ascii="Arial" w:cs="Arial" w:eastAsia="Arial" w:hAnsi="Arial"/>
          <w:sz w:val="22"/>
          <w:szCs w:val="22"/>
          <w:color w:val="auto"/>
        </w:rPr>
        <w:t>in the case of public and 144A securities, the average of the bid prices as determined by two Approved Dealers selected by the Borrower,</w:t>
      </w:r>
    </w:p>
    <w:p>
      <w:pPr>
        <w:spacing w:after="0" w:line="174" w:lineRule="exact"/>
        <w:rPr>
          <w:rFonts w:ascii="Arial" w:cs="Arial" w:eastAsia="Arial" w:hAnsi="Arial"/>
          <w:sz w:val="22"/>
          <w:szCs w:val="22"/>
          <w:color w:val="auto"/>
        </w:rPr>
      </w:pPr>
    </w:p>
    <w:p>
      <w:pPr>
        <w:ind w:left="2580" w:hanging="792"/>
        <w:spacing w:after="0" w:line="250" w:lineRule="auto"/>
        <w:tabs>
          <w:tab w:leader="none" w:pos="3246" w:val="left"/>
        </w:tabs>
        <w:numPr>
          <w:ilvl w:val="2"/>
          <w:numId w:val="249"/>
        </w:numPr>
        <w:rPr>
          <w:rFonts w:ascii="Arial" w:cs="Arial" w:eastAsia="Arial" w:hAnsi="Arial"/>
          <w:sz w:val="22"/>
          <w:szCs w:val="22"/>
          <w:color w:val="auto"/>
        </w:rPr>
      </w:pPr>
      <w:r>
        <w:rPr>
          <w:rFonts w:ascii="Arial" w:cs="Arial" w:eastAsia="Arial" w:hAnsi="Arial"/>
          <w:sz w:val="22"/>
          <w:szCs w:val="22"/>
          <w:color w:val="auto"/>
        </w:rPr>
        <w:t>in the case of bank loans, the bid price as determined by one Approved Dealer selected by the Borrower,</w:t>
      </w:r>
    </w:p>
    <w:p>
      <w:pPr>
        <w:spacing w:after="0" w:line="39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5" w:name="page256"/>
    <w:bookmarkEnd w:id="255"/>
    <w:p>
      <w:pPr>
        <w:ind w:left="1700" w:hanging="792"/>
        <w:spacing w:after="0" w:line="250" w:lineRule="auto"/>
        <w:tabs>
          <w:tab w:leader="none" w:pos="2366"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in the case of any Portfolio Investment traded on an exchange, the closing price for such Portfolio Investment most recently posted on such exchange, and</w:t>
      </w:r>
    </w:p>
    <w:p>
      <w:pPr>
        <w:spacing w:after="0" w:line="174" w:lineRule="exact"/>
        <w:rPr>
          <w:rFonts w:ascii="Arial" w:cs="Arial" w:eastAsia="Arial" w:hAnsi="Arial"/>
          <w:sz w:val="22"/>
          <w:szCs w:val="22"/>
          <w:color w:val="auto"/>
        </w:rPr>
      </w:pPr>
    </w:p>
    <w:p>
      <w:pPr>
        <w:ind w:left="1700" w:hanging="792"/>
        <w:spacing w:after="0" w:line="250" w:lineRule="auto"/>
        <w:tabs>
          <w:tab w:leader="none" w:pos="2366"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in the case of any other Portfolio Investment, the fair market value thereof as determined by an Approved Pricing Service selected by the Borrower; and</w:t>
      </w:r>
    </w:p>
    <w:p>
      <w:pPr>
        <w:spacing w:after="0" w:line="174" w:lineRule="exact"/>
        <w:rPr>
          <w:rFonts w:ascii="Arial" w:cs="Arial" w:eastAsia="Arial" w:hAnsi="Arial"/>
          <w:sz w:val="22"/>
          <w:szCs w:val="22"/>
          <w:color w:val="auto"/>
        </w:rPr>
      </w:pPr>
    </w:p>
    <w:p>
      <w:pPr>
        <w:jc w:val="both"/>
        <w:ind w:left="860" w:firstLine="726"/>
        <w:spacing w:after="0" w:line="248" w:lineRule="auto"/>
        <w:tabs>
          <w:tab w:leader="none" w:pos="2527" w:val="left"/>
        </w:tabs>
        <w:numPr>
          <w:ilvl w:val="1"/>
          <w:numId w:val="250"/>
        </w:numPr>
        <w:rPr>
          <w:rFonts w:ascii="Arial" w:cs="Arial" w:eastAsia="Arial" w:hAnsi="Arial"/>
          <w:sz w:val="21"/>
          <w:szCs w:val="21"/>
          <w:color w:val="auto"/>
        </w:rPr>
      </w:pPr>
      <w:r>
        <w:rPr>
          <w:rFonts w:ascii="Arial" w:cs="Arial" w:eastAsia="Arial" w:hAnsi="Arial"/>
          <w:sz w:val="21"/>
          <w:szCs w:val="21"/>
          <w:u w:val="single" w:color="auto"/>
          <w:color w:val="auto"/>
        </w:rPr>
        <w:t>Unquoted Investments- External Review</w:t>
      </w:r>
      <w:r>
        <w:rPr>
          <w:rFonts w:ascii="Arial" w:cs="Arial" w:eastAsia="Arial" w:hAnsi="Arial"/>
          <w:sz w:val="21"/>
          <w:szCs w:val="21"/>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21"/>
          <w:szCs w:val="21"/>
          <w:u w:val="single" w:color="auto"/>
          <w:color w:val="auto"/>
        </w:rPr>
        <w:t>Testing Quarter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77" w:lineRule="exact"/>
        <w:rPr>
          <w:sz w:val="20"/>
          <w:szCs w:val="20"/>
          <w:color w:val="auto"/>
        </w:rPr>
      </w:pPr>
    </w:p>
    <w:p>
      <w:pPr>
        <w:jc w:val="both"/>
        <w:ind w:left="1700" w:hanging="792"/>
        <w:spacing w:after="0" w:line="282" w:lineRule="auto"/>
        <w:tabs>
          <w:tab w:leader="none" w:pos="236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9"/>
          <w:szCs w:val="19"/>
          <w:u w:val="single" w:color="auto"/>
          <w:color w:val="auto"/>
        </w:rPr>
        <w:t>sub-clause (B)</w:t>
      </w:r>
      <w:r>
        <w:rPr>
          <w:rFonts w:ascii="Arial" w:cs="Arial" w:eastAsia="Arial" w:hAnsi="Arial"/>
          <w:sz w:val="19"/>
          <w:szCs w:val="19"/>
          <w:color w:val="auto"/>
        </w:rPr>
        <w:t xml:space="preserve"> as at the last day of the next succeeding Testing Quarter with respect to such Portfolio Investment;</w:t>
      </w:r>
    </w:p>
    <w:p>
      <w:pPr>
        <w:spacing w:after="0" w:line="147" w:lineRule="exact"/>
        <w:rPr>
          <w:rFonts w:ascii="Arial" w:cs="Arial" w:eastAsia="Arial" w:hAnsi="Arial"/>
          <w:sz w:val="19"/>
          <w:szCs w:val="19"/>
          <w:color w:val="auto"/>
        </w:rPr>
      </w:pPr>
    </w:p>
    <w:p>
      <w:pPr>
        <w:jc w:val="both"/>
        <w:ind w:left="1700" w:hanging="792"/>
        <w:spacing w:after="0" w:line="273" w:lineRule="auto"/>
        <w:tabs>
          <w:tab w:leader="none" w:pos="236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55" w:lineRule="exact"/>
        <w:rPr>
          <w:rFonts w:ascii="Arial" w:cs="Arial" w:eastAsia="Arial" w:hAnsi="Arial"/>
          <w:sz w:val="19"/>
          <w:szCs w:val="19"/>
          <w:color w:val="auto"/>
        </w:rPr>
      </w:pPr>
    </w:p>
    <w:p>
      <w:pPr>
        <w:jc w:val="both"/>
        <w:ind w:left="1720" w:firstLine="664"/>
        <w:spacing w:after="0"/>
        <w:tabs>
          <w:tab w:leader="none" w:pos="2681" w:val="left"/>
        </w:tabs>
        <w:numPr>
          <w:ilvl w:val="1"/>
          <w:numId w:val="251"/>
        </w:numPr>
        <w:rPr>
          <w:rFonts w:ascii="Arial" w:cs="Arial" w:eastAsia="Arial" w:hAnsi="Arial"/>
          <w:sz w:val="22"/>
          <w:szCs w:val="22"/>
          <w:color w:val="auto"/>
        </w:rPr>
      </w:pPr>
      <w:r>
        <w:rPr>
          <w:rFonts w:ascii="Arial" w:cs="Arial" w:eastAsia="Arial" w:hAnsi="Arial"/>
          <w:sz w:val="22"/>
          <w:szCs w:val="22"/>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56" w:name="page257"/>
    <w:bookmarkEnd w:id="256"/>
    <w:p>
      <w:pPr>
        <w:jc w:val="both"/>
        <w:ind w:left="860" w:firstLine="726"/>
        <w:spacing w:after="0" w:line="272" w:lineRule="auto"/>
        <w:tabs>
          <w:tab w:leader="none" w:pos="2527" w:val="left"/>
        </w:tabs>
        <w:numPr>
          <w:ilvl w:val="1"/>
          <w:numId w:val="252"/>
        </w:numPr>
        <w:rPr>
          <w:rFonts w:ascii="Arial" w:cs="Arial" w:eastAsia="Arial" w:hAnsi="Arial"/>
          <w:sz w:val="19"/>
          <w:szCs w:val="19"/>
          <w:color w:val="auto"/>
        </w:rPr>
      </w:pPr>
      <w:r>
        <w:rPr>
          <w:rFonts w:ascii="Arial" w:cs="Arial" w:eastAsia="Arial" w:hAnsi="Arial"/>
          <w:sz w:val="19"/>
          <w:szCs w:val="19"/>
          <w:u w:val="single" w:color="auto"/>
          <w:color w:val="auto"/>
        </w:rPr>
        <w:t>Internal Review</w:t>
      </w:r>
      <w:r>
        <w:rPr>
          <w:rFonts w:ascii="Arial" w:cs="Arial" w:eastAsia="Arial" w:hAnsi="Arial"/>
          <w:sz w:val="19"/>
          <w:szCs w:val="19"/>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Arial" w:cs="Arial" w:eastAsia="Arial" w:hAnsi="Arial"/>
          <w:sz w:val="19"/>
          <w:szCs w:val="19"/>
          <w:u w:val="single" w:color="auto"/>
          <w:color w:val="auto"/>
        </w:rPr>
        <w:t>Section 5.12(b)(ii)(C)</w:t>
      </w:r>
      <w:r>
        <w:rPr>
          <w:rFonts w:ascii="Arial" w:cs="Arial" w:eastAsia="Arial" w:hAnsi="Arial"/>
          <w:sz w:val="19"/>
          <w:szCs w:val="19"/>
          <w:color w:val="auto"/>
        </w:rPr>
        <w:t xml:space="preserve"> is lower than the value of such Portfolio Investment as most recently determined pursuant to </w:t>
      </w:r>
      <w:r>
        <w:rPr>
          <w:rFonts w:ascii="Arial" w:cs="Arial" w:eastAsia="Arial" w:hAnsi="Arial"/>
          <w:sz w:val="19"/>
          <w:szCs w:val="19"/>
          <w:u w:val="single" w:color="auto"/>
          <w:color w:val="auto"/>
        </w:rPr>
        <w:t>Section 5.12(b)</w:t>
      </w:r>
      <w:r>
        <w:rPr>
          <w:rFonts w:ascii="Arial" w:cs="Arial" w:eastAsia="Arial" w:hAnsi="Arial"/>
          <w:sz w:val="19"/>
          <w:szCs w:val="19"/>
          <w:color w:val="auto"/>
        </w:rPr>
        <w:t xml:space="preserve"> </w:t>
      </w:r>
      <w:r>
        <w:rPr>
          <w:rFonts w:ascii="Arial" w:cs="Arial" w:eastAsia="Arial" w:hAnsi="Arial"/>
          <w:sz w:val="19"/>
          <w:szCs w:val="19"/>
          <w:u w:val="single" w:color="auto"/>
          <w:color w:val="auto"/>
        </w:rPr>
        <w:t>(ii)(A)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such lower value shall be deemed to be the “Value” of such Portfolio Investment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860" w:firstLine="726"/>
        <w:spacing w:after="0" w:line="257" w:lineRule="auto"/>
        <w:tabs>
          <w:tab w:leader="none" w:pos="2539" w:val="left"/>
        </w:tabs>
        <w:numPr>
          <w:ilvl w:val="1"/>
          <w:numId w:val="252"/>
        </w:numPr>
        <w:rPr>
          <w:rFonts w:ascii="Arial" w:cs="Arial" w:eastAsia="Arial" w:hAnsi="Arial"/>
          <w:sz w:val="21"/>
          <w:szCs w:val="21"/>
          <w:color w:val="auto"/>
        </w:rPr>
      </w:pPr>
      <w:r>
        <w:rPr>
          <w:rFonts w:ascii="Arial" w:cs="Arial" w:eastAsia="Arial" w:hAnsi="Arial"/>
          <w:sz w:val="21"/>
          <w:szCs w:val="21"/>
          <w:u w:val="single" w:color="auto"/>
          <w:color w:val="auto"/>
        </w:rPr>
        <w:t>Failure to Determine Values</w:t>
      </w:r>
      <w:r>
        <w:rPr>
          <w:rFonts w:ascii="Arial" w:cs="Arial" w:eastAsia="Arial" w:hAnsi="Arial"/>
          <w:sz w:val="21"/>
          <w:szCs w:val="21"/>
          <w:color w:val="auto"/>
        </w:rPr>
        <w:t xml:space="preserve">. If the Borrower shall fail to determine the value of any Portfolio Investment as at any date pursuant to the requirements of the foregoing </w:t>
      </w:r>
      <w:r>
        <w:rPr>
          <w:rFonts w:ascii="Arial" w:cs="Arial" w:eastAsia="Arial" w:hAnsi="Arial"/>
          <w:sz w:val="21"/>
          <w:szCs w:val="21"/>
          <w:u w:val="single" w:color="auto"/>
          <w:color w:val="auto"/>
        </w:rPr>
        <w:t>sub-clauses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then the “Value” of such Portfolio Investment as at such date shall be deemed to be zero.</w:t>
      </w:r>
    </w:p>
    <w:p>
      <w:pPr>
        <w:spacing w:after="0" w:line="169" w:lineRule="exact"/>
        <w:rPr>
          <w:rFonts w:ascii="Arial" w:cs="Arial" w:eastAsia="Arial" w:hAnsi="Arial"/>
          <w:sz w:val="21"/>
          <w:szCs w:val="21"/>
          <w:color w:val="auto"/>
        </w:rPr>
      </w:pPr>
    </w:p>
    <w:p>
      <w:pPr>
        <w:ind w:left="2520" w:hanging="934"/>
        <w:spacing w:after="0"/>
        <w:tabs>
          <w:tab w:leader="none" w:pos="2520" w:val="left"/>
        </w:tabs>
        <w:numPr>
          <w:ilvl w:val="1"/>
          <w:numId w:val="252"/>
        </w:numPr>
        <w:rPr>
          <w:rFonts w:ascii="Arial" w:cs="Arial" w:eastAsia="Arial" w:hAnsi="Arial"/>
          <w:sz w:val="22"/>
          <w:szCs w:val="22"/>
          <w:color w:val="auto"/>
        </w:rPr>
      </w:pPr>
      <w:r>
        <w:rPr>
          <w:rFonts w:ascii="Arial" w:cs="Arial" w:eastAsia="Arial" w:hAnsi="Arial"/>
          <w:sz w:val="22"/>
          <w:szCs w:val="22"/>
          <w:u w:val="single" w:color="auto"/>
          <w:color w:val="auto"/>
        </w:rPr>
        <w:t>Testing of Values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00" w:hanging="792"/>
        <w:spacing w:after="0" w:line="269" w:lineRule="auto"/>
        <w:tabs>
          <w:tab w:leader="none" w:pos="2366" w:val="left"/>
        </w:tabs>
        <w:numPr>
          <w:ilvl w:val="0"/>
          <w:numId w:val="253"/>
        </w:numPr>
        <w:rPr>
          <w:rFonts w:ascii="Arial" w:cs="Arial" w:eastAsia="Arial" w:hAnsi="Arial"/>
          <w:sz w:val="19"/>
          <w:szCs w:val="19"/>
          <w:color w:val="auto"/>
        </w:rPr>
      </w:pPr>
      <w:r>
        <w:rPr>
          <w:rFonts w:ascii="Arial" w:cs="Arial" w:eastAsia="Arial" w:hAnsi="Arial"/>
          <w:sz w:val="19"/>
          <w:szCs w:val="19"/>
          <w:color w:val="auto"/>
        </w:rPr>
        <w:t>For the second calendar month immediately following the end of each fiscal quarter (the last such fiscal quarter is referred to herein as, the “</w:t>
      </w:r>
      <w:r>
        <w:rPr>
          <w:rFonts w:ascii="Arial" w:cs="Arial" w:eastAsia="Arial" w:hAnsi="Arial"/>
          <w:sz w:val="19"/>
          <w:szCs w:val="19"/>
          <w:u w:val="single" w:color="auto"/>
          <w:color w:val="auto"/>
        </w:rPr>
        <w:t>Testing Period</w:t>
      </w:r>
      <w:r>
        <w:rPr>
          <w:rFonts w:ascii="Arial" w:cs="Arial" w:eastAsia="Arial" w:hAnsi="Arial"/>
          <w:sz w:val="19"/>
          <w:szCs w:val="19"/>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9"/>
          <w:szCs w:val="19"/>
          <w:u w:val="single" w:color="auto"/>
          <w:color w:val="auto"/>
        </w:rPr>
        <w:t>sub-clause</w:t>
      </w:r>
    </w:p>
    <w:p>
      <w:pPr>
        <w:spacing w:after="0" w:line="1" w:lineRule="exact"/>
        <w:rPr>
          <w:rFonts w:ascii="Arial" w:cs="Arial" w:eastAsia="Arial" w:hAnsi="Arial"/>
          <w:sz w:val="19"/>
          <w:szCs w:val="19"/>
          <w:color w:val="auto"/>
        </w:rPr>
      </w:pPr>
    </w:p>
    <w:p>
      <w:pPr>
        <w:ind w:left="1700"/>
        <w:spacing w:after="0"/>
        <w:rPr>
          <w:rFonts w:ascii="Arial" w:cs="Arial" w:eastAsia="Arial" w:hAnsi="Arial"/>
          <w:sz w:val="19"/>
          <w:szCs w:val="19"/>
          <w:color w:val="auto"/>
        </w:rPr>
      </w:pPr>
      <w:r>
        <w:rPr>
          <w:rFonts w:ascii="Arial" w:cs="Arial" w:eastAsia="Arial" w:hAnsi="Arial"/>
          <w:sz w:val="22"/>
          <w:szCs w:val="22"/>
          <w:u w:val="single" w:color="auto"/>
          <w:color w:val="auto"/>
        </w:rPr>
        <w:t>(F)</w:t>
      </w:r>
      <w:r>
        <w:rPr>
          <w:rFonts w:ascii="Arial" w:cs="Arial" w:eastAsia="Arial" w:hAnsi="Arial"/>
          <w:sz w:val="22"/>
          <w:szCs w:val="22"/>
          <w:color w:val="auto"/>
        </w:rPr>
        <w:t xml:space="preserve"> below.</w:t>
      </w:r>
    </w:p>
    <w:p>
      <w:pPr>
        <w:spacing w:after="0" w:line="188" w:lineRule="exact"/>
        <w:rPr>
          <w:rFonts w:ascii="Arial" w:cs="Arial" w:eastAsia="Arial" w:hAnsi="Arial"/>
          <w:sz w:val="19"/>
          <w:szCs w:val="19"/>
          <w:color w:val="auto"/>
        </w:rPr>
      </w:pPr>
    </w:p>
    <w:p>
      <w:pPr>
        <w:jc w:val="both"/>
        <w:ind w:left="1700" w:hanging="792"/>
        <w:spacing w:after="0" w:line="246" w:lineRule="auto"/>
        <w:tabs>
          <w:tab w:leader="none" w:pos="2366" w:val="left"/>
        </w:tabs>
        <w:numPr>
          <w:ilvl w:val="0"/>
          <w:numId w:val="253"/>
        </w:numPr>
        <w:rPr>
          <w:rFonts w:ascii="Arial" w:cs="Arial" w:eastAsia="Arial" w:hAnsi="Arial"/>
          <w:sz w:val="21"/>
          <w:szCs w:val="21"/>
          <w:color w:val="auto"/>
        </w:rPr>
      </w:pPr>
      <w:r>
        <w:rPr>
          <w:rFonts w:ascii="Arial" w:cs="Arial" w:eastAsia="Arial" w:hAnsi="Arial"/>
          <w:sz w:val="21"/>
          <w:szCs w:val="21"/>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21"/>
          <w:szCs w:val="21"/>
          <w:u w:val="single" w:color="auto"/>
          <w:color w:val="auto"/>
        </w:rPr>
        <w:t>Administrative Agent Appraisal Testing Period</w:t>
      </w:r>
      <w:r>
        <w:rPr>
          <w:rFonts w:ascii="Arial" w:cs="Arial" w:eastAsia="Arial" w:hAnsi="Arial"/>
          <w:sz w:val="21"/>
          <w:szCs w:val="21"/>
          <w:color w:val="auto"/>
        </w:rPr>
        <w:t>”) and would be reflected in the Borrowing Base Certificate for such month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Approved Third-Party Appraiser delivers such valuation at least seven (7) Business Days before the 20</w:t>
      </w:r>
      <w:r>
        <w:rPr>
          <w:rFonts w:ascii="Arial" w:cs="Arial" w:eastAsia="Arial" w:hAnsi="Arial"/>
          <w:sz w:val="17"/>
          <w:szCs w:val="17"/>
          <w:color w:val="auto"/>
        </w:rPr>
        <w:t>th</w:t>
      </w:r>
      <w:r>
        <w:rPr>
          <w:rFonts w:ascii="Arial" w:cs="Arial" w:eastAsia="Arial" w:hAnsi="Arial"/>
          <w:sz w:val="21"/>
          <w:szCs w:val="21"/>
          <w:color w:val="auto"/>
        </w:rPr>
        <w:t xml:space="preserve"> day after the end of the applicable monthly accounting period and, if such valuation is delivered after such time, it shall be included in the Borrowing Base</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57" w:name="page258"/>
    <w:bookmarkEnd w:id="257"/>
    <w:p>
      <w:pPr>
        <w:jc w:val="both"/>
        <w:ind w:left="2580" w:firstLine="666"/>
        <w:spacing w:after="0" w:line="273" w:lineRule="auto"/>
        <w:rPr>
          <w:sz w:val="20"/>
          <w:szCs w:val="20"/>
          <w:color w:val="auto"/>
        </w:rPr>
      </w:pPr>
      <w:r>
        <w:rPr>
          <w:rFonts w:ascii="Arial" w:cs="Arial" w:eastAsia="Arial" w:hAnsi="Arial"/>
          <w:sz w:val="19"/>
          <w:szCs w:val="19"/>
          <w:color w:val="auto"/>
        </w:rPr>
        <w:t>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61" w:lineRule="exact"/>
        <w:rPr>
          <w:sz w:val="20"/>
          <w:szCs w:val="20"/>
          <w:color w:val="auto"/>
        </w:rPr>
      </w:pPr>
    </w:p>
    <w:p>
      <w:pPr>
        <w:ind w:left="2600"/>
        <w:spacing w:after="0" w:line="250" w:lineRule="auto"/>
        <w:rPr>
          <w:sz w:val="20"/>
          <w:szCs w:val="20"/>
          <w:color w:val="auto"/>
        </w:rPr>
      </w:pPr>
      <w:r>
        <w:rPr>
          <w:rFonts w:ascii="Arial" w:cs="Arial" w:eastAsia="Arial" w:hAnsi="Arial"/>
          <w:sz w:val="22"/>
          <w:szCs w:val="22"/>
          <w:color w:val="auto"/>
        </w:rPr>
        <w:t xml:space="preserve">For the avoidance of doubt, all calculations of value pursuant to this </w:t>
      </w:r>
      <w:r>
        <w:rPr>
          <w:rFonts w:ascii="Arial" w:cs="Arial" w:eastAsia="Arial" w:hAnsi="Arial"/>
          <w:sz w:val="22"/>
          <w:szCs w:val="22"/>
          <w:u w:val="single" w:color="auto"/>
          <w:color w:val="auto"/>
        </w:rPr>
        <w:t>Section 5.12(b)(ii)(E)</w:t>
      </w:r>
      <w:r>
        <w:rPr>
          <w:rFonts w:ascii="Arial" w:cs="Arial" w:eastAsia="Arial" w:hAnsi="Arial"/>
          <w:sz w:val="22"/>
          <w:szCs w:val="22"/>
          <w:color w:val="auto"/>
        </w:rPr>
        <w:t xml:space="preserve"> shall be determined without application of the Advance Rates.</w:t>
      </w:r>
    </w:p>
    <w:p>
      <w:pPr>
        <w:spacing w:after="0" w:line="175" w:lineRule="exact"/>
        <w:rPr>
          <w:sz w:val="20"/>
          <w:szCs w:val="20"/>
          <w:color w:val="auto"/>
        </w:rPr>
      </w:pPr>
    </w:p>
    <w:p>
      <w:pPr>
        <w:jc w:val="both"/>
        <w:ind w:left="1740" w:firstLine="726"/>
        <w:spacing w:after="0" w:line="272" w:lineRule="auto"/>
        <w:tabs>
          <w:tab w:leader="none" w:pos="3383" w:val="left"/>
        </w:tabs>
        <w:numPr>
          <w:ilvl w:val="1"/>
          <w:numId w:val="254"/>
        </w:numPr>
        <w:rPr>
          <w:rFonts w:ascii="Arial" w:cs="Arial" w:eastAsia="Arial" w:hAnsi="Arial"/>
          <w:sz w:val="19"/>
          <w:szCs w:val="19"/>
          <w:color w:val="auto"/>
        </w:rPr>
      </w:pPr>
      <w:r>
        <w:rPr>
          <w:rFonts w:ascii="Arial" w:cs="Arial" w:eastAsia="Arial" w:hAnsi="Arial"/>
          <w:sz w:val="19"/>
          <w:szCs w:val="19"/>
          <w:u w:val="single" w:color="auto"/>
          <w:color w:val="auto"/>
        </w:rPr>
        <w:t>Valuation Dispute Resolution</w:t>
      </w:r>
      <w:r>
        <w:rPr>
          <w:rFonts w:ascii="Arial" w:cs="Arial" w:eastAsia="Arial" w:hAnsi="Arial"/>
          <w:sz w:val="19"/>
          <w:szCs w:val="19"/>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9"/>
          <w:szCs w:val="19"/>
          <w:u w:val="single" w:color="auto"/>
          <w:color w:val="auto"/>
        </w:rPr>
        <w:t>Section 5.12(b)(ii)(B)</w:t>
      </w:r>
      <w:r>
        <w:rPr>
          <w:rFonts w:ascii="Arial" w:cs="Arial" w:eastAsia="Arial" w:hAnsi="Arial"/>
          <w:sz w:val="19"/>
          <w:szCs w:val="19"/>
          <w:color w:val="auto"/>
        </w:rPr>
        <w:t xml:space="preserve"> and the valuation of any Approved Third-Party Appraiser selected by the Administrative Agent pursuant to </w:t>
      </w:r>
      <w:r>
        <w:rPr>
          <w:rFonts w:ascii="Arial" w:cs="Arial" w:eastAsia="Arial" w:hAnsi="Arial"/>
          <w:sz w:val="19"/>
          <w:szCs w:val="19"/>
          <w:u w:val="single" w:color="auto"/>
          <w:color w:val="auto"/>
        </w:rPr>
        <w:t>Section 5.12(b)(ii)(E)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55" w:lineRule="exact"/>
        <w:rPr>
          <w:rFonts w:ascii="Arial" w:cs="Arial" w:eastAsia="Arial" w:hAnsi="Arial"/>
          <w:sz w:val="19"/>
          <w:szCs w:val="19"/>
          <w:color w:val="auto"/>
        </w:rPr>
      </w:pPr>
    </w:p>
    <w:p>
      <w:pPr>
        <w:jc w:val="both"/>
        <w:ind w:firstLine="1735"/>
        <w:spacing w:after="0" w:line="238" w:lineRule="auto"/>
        <w:tabs>
          <w:tab w:leader="none" w:pos="2615"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RIC Diversification Requirements</w:t>
      </w:r>
      <w:r>
        <w:rPr>
          <w:rFonts w:ascii="Arial" w:cs="Arial" w:eastAsia="Arial" w:hAnsi="Arial"/>
          <w:sz w:val="22"/>
          <w:szCs w:val="22"/>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Calculation of Borrowing Base</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Base</w:t>
      </w:r>
      <w:r>
        <w:rPr>
          <w:rFonts w:ascii="Arial" w:cs="Arial" w:eastAsia="Arial" w:hAnsi="Arial"/>
          <w:sz w:val="22"/>
          <w:szCs w:val="22"/>
          <w:color w:val="auto"/>
        </w:rPr>
        <w:t>” shall be determined, as at any date of determination, as the sum of the Advance Rates of the Value of each Portfolio Investment (excluding any Cash Collateral held by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the Administrative Agent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xml:space="preserve"> or the last paragraph of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6" w:lineRule="exact"/>
        <w:rPr>
          <w:sz w:val="20"/>
          <w:szCs w:val="20"/>
          <w:color w:val="auto"/>
        </w:rPr>
      </w:pPr>
    </w:p>
    <w:p>
      <w:pPr>
        <w:jc w:val="both"/>
        <w:ind w:firstLine="1735"/>
        <w:spacing w:after="0" w:line="238" w:lineRule="auto"/>
        <w:tabs>
          <w:tab w:leader="none" w:pos="2615"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Advance Rate applicable to that portion of the aggregate Value of the Portfolio Investments of all issuers in a consolidated group of corporations or other entities (collectively, a “</w:t>
      </w:r>
      <w:r>
        <w:rPr>
          <w:rFonts w:ascii="Arial" w:cs="Arial" w:eastAsia="Arial" w:hAnsi="Arial"/>
          <w:sz w:val="22"/>
          <w:szCs w:val="22"/>
          <w:u w:val="single" w:color="auto"/>
          <w:color w:val="auto"/>
        </w:rPr>
        <w:t>Consolidated Group</w:t>
      </w:r>
      <w:r>
        <w:rPr>
          <w:rFonts w:ascii="Arial" w:cs="Arial" w:eastAsia="Arial" w:hAnsi="Arial"/>
          <w:sz w:val="22"/>
          <w:szCs w:val="22"/>
          <w:color w:val="auto"/>
        </w:rPr>
        <w:t>”), in accordance with GAAP, that exceeds 6% of the aggregate Value of all Portfolio Investments in the Collateral Pool as of the end of the most recent quarter shall be 50% of the Advance Rate otherwise applicable;</w:t>
      </w:r>
    </w:p>
    <w:p>
      <w:pPr>
        <w:spacing w:after="0" w:line="184" w:lineRule="exact"/>
        <w:rPr>
          <w:rFonts w:ascii="Arial" w:cs="Arial" w:eastAsia="Arial" w:hAnsi="Arial"/>
          <w:sz w:val="22"/>
          <w:szCs w:val="22"/>
          <w:color w:val="auto"/>
        </w:rPr>
      </w:pPr>
    </w:p>
    <w:p>
      <w:pPr>
        <w:jc w:val="both"/>
        <w:ind w:firstLine="1735"/>
        <w:spacing w:after="0"/>
        <w:tabs>
          <w:tab w:leader="none" w:pos="262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86" w:lineRule="exact"/>
        <w:rPr>
          <w:rFonts w:ascii="Arial" w:cs="Arial" w:eastAsia="Arial" w:hAnsi="Arial"/>
          <w:sz w:val="22"/>
          <w:szCs w:val="22"/>
          <w:color w:val="auto"/>
        </w:rPr>
      </w:pPr>
    </w:p>
    <w:p>
      <w:pPr>
        <w:jc w:val="both"/>
        <w:ind w:firstLine="1735"/>
        <w:spacing w:after="0" w:line="246" w:lineRule="auto"/>
        <w:tabs>
          <w:tab w:leader="none" w:pos="261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84"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4" w:lineRule="exact"/>
        <w:rPr>
          <w:rFonts w:ascii="Arial" w:cs="Arial" w:eastAsia="Arial" w:hAnsi="Arial"/>
          <w:sz w:val="22"/>
          <w:szCs w:val="22"/>
          <w:color w:val="auto"/>
        </w:rPr>
      </w:pPr>
    </w:p>
    <w:p>
      <w:pPr>
        <w:jc w:val="both"/>
        <w:ind w:firstLine="1735"/>
        <w:spacing w:after="0"/>
        <w:tabs>
          <w:tab w:leader="none" w:pos="2615"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86" w:lineRule="exact"/>
        <w:rPr>
          <w:rFonts w:ascii="Arial" w:cs="Arial" w:eastAsia="Arial" w:hAnsi="Arial"/>
          <w:sz w:val="22"/>
          <w:szCs w:val="22"/>
          <w:color w:val="auto"/>
        </w:rPr>
      </w:pPr>
    </w:p>
    <w:p>
      <w:pPr>
        <w:ind w:firstLine="1735"/>
        <w:spacing w:after="0" w:line="274" w:lineRule="auto"/>
        <w:tabs>
          <w:tab w:leader="none" w:pos="2591"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the portion of the Borrowing Base attributable to Equity Interests shall not exceed 10% (it being understood that in no event shall Equity Interests of Financing Subsidiaries be included in the Borrowing Base);</w:t>
      </w:r>
    </w:p>
    <w:p>
      <w:pPr>
        <w:spacing w:after="0" w:line="150" w:lineRule="exact"/>
        <w:rPr>
          <w:rFonts w:ascii="Arial" w:cs="Arial" w:eastAsia="Arial" w:hAnsi="Arial"/>
          <w:sz w:val="21"/>
          <w:szCs w:val="21"/>
          <w:color w:val="auto"/>
        </w:rPr>
      </w:pPr>
    </w:p>
    <w:p>
      <w:pPr>
        <w:jc w:val="both"/>
        <w:ind w:firstLine="1735"/>
        <w:spacing w:after="0"/>
        <w:tabs>
          <w:tab w:leader="none" w:pos="262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9" w:name="page260"/>
    <w:bookmarkEnd w:id="259"/>
    <w:p>
      <w:pPr>
        <w:jc w:val="both"/>
        <w:ind w:firstLine="1735"/>
        <w:spacing w:after="0"/>
        <w:tabs>
          <w:tab w:leader="none" w:pos="257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86" w:lineRule="exact"/>
        <w:rPr>
          <w:rFonts w:ascii="Arial" w:cs="Arial" w:eastAsia="Arial" w:hAnsi="Arial"/>
          <w:sz w:val="22"/>
          <w:szCs w:val="22"/>
          <w:color w:val="auto"/>
        </w:rPr>
      </w:pPr>
    </w:p>
    <w:p>
      <w:pPr>
        <w:jc w:val="both"/>
        <w:ind w:firstLine="1735"/>
        <w:spacing w:after="0"/>
        <w:tabs>
          <w:tab w:leader="none" w:pos="257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used herein, the following terms have the following </w:t>
      </w:r>
      <w:r>
        <w:rPr>
          <w:rFonts w:ascii="Arial" w:cs="Arial" w:eastAsia="Arial" w:hAnsi="Arial"/>
          <w:sz w:val="21"/>
          <w:szCs w:val="21"/>
          <w:color w:val="auto"/>
        </w:rPr>
        <w:t>meanings:</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Advance Rate</w:t>
      </w:r>
      <w:r>
        <w:rPr>
          <w:rFonts w:ascii="Arial" w:cs="Arial" w:eastAsia="Arial" w:hAnsi="Arial"/>
          <w:sz w:val="19"/>
          <w:szCs w:val="19"/>
          <w:color w:val="auto"/>
        </w:rPr>
        <w:t>”  means,  as  to  any  Portfolio  Investment  and  subject  to  adjustment  as  provided  in</w:t>
      </w:r>
    </w:p>
    <w:tbl>
      <w:tblPr>
        <w:tblLayout w:type="fixed"/>
        <w:tblInd w:w="0" w:type="dxa"/>
        <w:tblCellMar>
          <w:top w:w="0" w:type="dxa"/>
          <w:left w:w="0" w:type="dxa"/>
          <w:bottom w:w="0" w:type="dxa"/>
          <w:right w:w="0" w:type="dxa"/>
        </w:tblCellMar>
      </w:tblPr>
      <w:tr>
        <w:trPr>
          <w:trHeight w:val="248"/>
        </w:trPr>
        <w:tc>
          <w:tcPr>
            <w:tcW w:w="9340" w:type="dxa"/>
            <w:vAlign w:val="bottom"/>
            <w:gridSpan w:val="14"/>
          </w:tcPr>
          <w:p>
            <w:pPr>
              <w:spacing w:after="0" w:line="248" w:lineRule="exact"/>
              <w:rPr>
                <w:sz w:val="20"/>
                <w:szCs w:val="20"/>
                <w:color w:val="auto"/>
              </w:rPr>
            </w:pPr>
            <w:r>
              <w:rPr>
                <w:rFonts w:ascii="Arial" w:cs="Arial" w:eastAsia="Arial" w:hAnsi="Arial"/>
                <w:sz w:val="22"/>
                <w:szCs w:val="22"/>
                <w:color w:val="auto"/>
              </w:rPr>
              <w:t>Section 5.13(a), (b) and (c), the following percentages with respect to such Portfolio Investment:</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439"/>
        </w:trPr>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22"/>
                <w:szCs w:val="22"/>
                <w:color w:val="auto"/>
                <w:w w:val="90"/>
              </w:rPr>
              <w:t>Portfolio Investment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22"/>
                <w:szCs w:val="22"/>
                <w:color w:val="auto"/>
              </w:rPr>
              <w:t>Quoted</w:t>
            </w:r>
          </w:p>
        </w:tc>
        <w:tc>
          <w:tcPr>
            <w:tcW w:w="1300" w:type="dxa"/>
            <w:vAlign w:val="bottom"/>
            <w:gridSpan w:val="3"/>
          </w:tcPr>
          <w:p>
            <w:pPr>
              <w:ind w:left="340"/>
              <w:spacing w:after="0"/>
              <w:rPr>
                <w:sz w:val="20"/>
                <w:szCs w:val="20"/>
                <w:color w:val="auto"/>
              </w:rPr>
            </w:pPr>
            <w:r>
              <w:rPr>
                <w:rFonts w:ascii="Arial" w:cs="Arial" w:eastAsia="Arial" w:hAnsi="Arial"/>
                <w:sz w:val="22"/>
                <w:szCs w:val="22"/>
                <w:color w:val="auto"/>
                <w:w w:val="98"/>
              </w:rPr>
              <w:t>Unquoted</w:t>
            </w:r>
          </w:p>
        </w:tc>
        <w:tc>
          <w:tcPr>
            <w:tcW w:w="600" w:type="dxa"/>
            <w:vAlign w:val="bottom"/>
          </w:tcPr>
          <w:p>
            <w:pPr>
              <w:spacing w:after="0"/>
              <w:rPr>
                <w:sz w:val="24"/>
                <w:szCs w:val="24"/>
                <w:color w:val="auto"/>
              </w:rPr>
            </w:pPr>
          </w:p>
        </w:tc>
      </w:tr>
      <w:tr>
        <w:trPr>
          <w:trHeight w:val="20"/>
        </w:trPr>
        <w:tc>
          <w:tcPr>
            <w:tcW w:w="1840" w:type="dxa"/>
            <w:vAlign w:val="bottom"/>
            <w:gridSpan w:val="4"/>
          </w:tcPr>
          <w:p>
            <w:pPr>
              <w:spacing w:after="0" w:line="20" w:lineRule="exact"/>
              <w:rPr>
                <w:sz w:val="1"/>
                <w:szCs w:val="1"/>
                <w:color w:val="auto"/>
              </w:rPr>
            </w:pPr>
          </w:p>
        </w:tc>
        <w:tc>
          <w:tcPr>
            <w:tcW w:w="1640" w:type="dxa"/>
            <w:vAlign w:val="bottom"/>
            <w:tcBorders>
              <w:right w:val="single" w:sz="8" w:color="auto"/>
            </w:tcBorders>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91"/>
        </w:trPr>
        <w:tc>
          <w:tcPr>
            <w:tcW w:w="4220" w:type="dxa"/>
            <w:vAlign w:val="bottom"/>
            <w:gridSpan w:val="8"/>
          </w:tcPr>
          <w:p>
            <w:pPr>
              <w:ind w:left="1280"/>
              <w:spacing w:after="0"/>
              <w:rPr>
                <w:sz w:val="20"/>
                <w:szCs w:val="20"/>
                <w:color w:val="auto"/>
              </w:rPr>
            </w:pPr>
            <w:r>
              <w:rPr>
                <w:rFonts w:ascii="Arial" w:cs="Arial" w:eastAsia="Arial" w:hAnsi="Arial"/>
                <w:sz w:val="22"/>
                <w:szCs w:val="22"/>
                <w:color w:val="auto"/>
              </w:rPr>
              <w:t>Cash, Cash Equivalents and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gridSpan w:val="8"/>
          </w:tcPr>
          <w:p>
            <w:pPr>
              <w:ind w:left="20"/>
              <w:spacing w:after="0" w:line="243" w:lineRule="exact"/>
              <w:rPr>
                <w:sz w:val="20"/>
                <w:szCs w:val="20"/>
                <w:color w:val="auto"/>
              </w:rPr>
            </w:pPr>
            <w:r>
              <w:rPr>
                <w:rFonts w:ascii="Arial" w:cs="Arial" w:eastAsia="Arial" w:hAnsi="Arial"/>
                <w:sz w:val="22"/>
                <w:szCs w:val="22"/>
                <w:color w:val="auto"/>
                <w:w w:val="99"/>
              </w:rPr>
              <w:t>Short-Term U.S. Government Securities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4"/>
              </w:rPr>
              <w:t>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rPr>
              <w:t>Long-Term U.S. Government Securities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95%</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4"/>
              </w:rPr>
              <w:t>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rPr>
              <w:t>Performing First Lien Bank Loans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85%</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75%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4220" w:type="dxa"/>
            <w:vAlign w:val="bottom"/>
            <w:gridSpan w:val="8"/>
          </w:tcPr>
          <w:p>
            <w:pPr>
              <w:ind w:left="1280"/>
              <w:spacing w:after="0" w:line="243" w:lineRule="exact"/>
              <w:rPr>
                <w:sz w:val="20"/>
                <w:szCs w:val="20"/>
                <w:color w:val="auto"/>
              </w:rPr>
            </w:pPr>
            <w:r>
              <w:rPr>
                <w:rFonts w:ascii="Arial" w:cs="Arial" w:eastAsia="Arial" w:hAnsi="Arial"/>
                <w:sz w:val="22"/>
                <w:szCs w:val="22"/>
                <w:color w:val="auto"/>
              </w:rPr>
              <w:t>Performing Unitranche Loans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80%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rPr>
              <w:t>Performing Second Lien Bank Loans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75%</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65%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w w:val="97"/>
              </w:rPr>
              <w:t>Performing Cash Pay High Yield Securities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70%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60%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w w:val="90"/>
              </w:rPr>
              <w:t>Performing Cash Pay Mezzanine Investments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65%</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6160" w:type="dxa"/>
            <w:vAlign w:val="bottom"/>
            <w:gridSpan w:val="11"/>
          </w:tcPr>
          <w:p>
            <w:pPr>
              <w:ind w:left="1280"/>
              <w:spacing w:after="0" w:line="243" w:lineRule="exact"/>
              <w:rPr>
                <w:sz w:val="20"/>
                <w:szCs w:val="20"/>
                <w:color w:val="auto"/>
              </w:rPr>
            </w:pPr>
            <w:r>
              <w:rPr>
                <w:rFonts w:ascii="Arial" w:cs="Arial" w:eastAsia="Arial" w:hAnsi="Arial"/>
                <w:sz w:val="22"/>
                <w:szCs w:val="22"/>
                <w:color w:val="auto"/>
              </w:rPr>
              <w:t>Performing Non-Cash Pay High Yield Securities</w:t>
            </w: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60%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6160" w:type="dxa"/>
            <w:vAlign w:val="bottom"/>
            <w:gridSpan w:val="11"/>
          </w:tcPr>
          <w:p>
            <w:pPr>
              <w:ind w:left="1280"/>
              <w:spacing w:after="0" w:line="243" w:lineRule="exact"/>
              <w:rPr>
                <w:sz w:val="20"/>
                <w:szCs w:val="20"/>
                <w:color w:val="auto"/>
              </w:rPr>
            </w:pPr>
            <w:r>
              <w:rPr>
                <w:rFonts w:ascii="Arial" w:cs="Arial" w:eastAsia="Arial" w:hAnsi="Arial"/>
                <w:sz w:val="22"/>
                <w:szCs w:val="22"/>
                <w:color w:val="auto"/>
                <w:w w:val="98"/>
              </w:rPr>
              <w:t>Performing Non-Cash Pay Mezzanine Investments</w:t>
            </w: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55%</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rPr>
              <w:t>Non-Performing First Lien Bank Loans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45%</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rPr>
              <w:t>Non-Performing Unitranche Loans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40%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w w:val="99"/>
              </w:rPr>
              <w:t>Non-Performing Second Lien Bank Loans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40%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rPr>
              <w:t>Non-Performing High Yield Securities</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30%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6160" w:type="dxa"/>
            <w:vAlign w:val="bottom"/>
            <w:gridSpan w:val="11"/>
          </w:tcPr>
          <w:p>
            <w:pPr>
              <w:ind w:left="1280"/>
              <w:spacing w:after="0" w:line="243" w:lineRule="exact"/>
              <w:rPr>
                <w:sz w:val="20"/>
                <w:szCs w:val="20"/>
                <w:color w:val="auto"/>
              </w:rPr>
            </w:pPr>
            <w:r>
              <w:rPr>
                <w:rFonts w:ascii="Arial" w:cs="Arial" w:eastAsia="Arial" w:hAnsi="Arial"/>
                <w:sz w:val="22"/>
                <w:szCs w:val="22"/>
                <w:color w:val="auto"/>
                <w:w w:val="98"/>
              </w:rPr>
              <w:t>Non-Performing Cash Pay Mezzanine Investments</w:t>
            </w: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30%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60" w:type="dxa"/>
            <w:vAlign w:val="bottom"/>
            <w:gridSpan w:val="10"/>
          </w:tcPr>
          <w:p>
            <w:pPr>
              <w:ind w:left="1280"/>
              <w:spacing w:after="0" w:line="243" w:lineRule="exact"/>
              <w:rPr>
                <w:sz w:val="20"/>
                <w:szCs w:val="20"/>
                <w:color w:val="auto"/>
              </w:rPr>
            </w:pPr>
            <w:r>
              <w:rPr>
                <w:rFonts w:ascii="Arial" w:cs="Arial" w:eastAsia="Arial" w:hAnsi="Arial"/>
                <w:sz w:val="22"/>
                <w:szCs w:val="22"/>
                <w:color w:val="auto"/>
                <w:w w:val="91"/>
              </w:rPr>
              <w:t>Performing Common Equity (and zero cost or</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30%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6"/>
              </w:rPr>
              <w:t>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gridSpan w:val="8"/>
          </w:tcPr>
          <w:p>
            <w:pPr>
              <w:ind w:left="20"/>
              <w:spacing w:after="0" w:line="243" w:lineRule="exact"/>
              <w:rPr>
                <w:sz w:val="20"/>
                <w:szCs w:val="20"/>
                <w:color w:val="auto"/>
              </w:rPr>
            </w:pPr>
            <w:r>
              <w:rPr>
                <w:rFonts w:ascii="Arial" w:cs="Arial" w:eastAsia="Arial" w:hAnsi="Arial"/>
                <w:sz w:val="22"/>
                <w:szCs w:val="22"/>
                <w:color w:val="auto"/>
              </w:rPr>
              <w:t>penny warrants with performing debt)</w:t>
            </w: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4220" w:type="dxa"/>
            <w:vAlign w:val="bottom"/>
            <w:gridSpan w:val="8"/>
          </w:tcPr>
          <w:p>
            <w:pPr>
              <w:ind w:left="1280"/>
              <w:spacing w:after="0" w:line="243" w:lineRule="exact"/>
              <w:rPr>
                <w:sz w:val="20"/>
                <w:szCs w:val="20"/>
                <w:color w:val="auto"/>
              </w:rPr>
            </w:pPr>
            <w:r>
              <w:rPr>
                <w:rFonts w:ascii="Arial" w:cs="Arial" w:eastAsia="Arial" w:hAnsi="Arial"/>
                <w:sz w:val="22"/>
                <w:szCs w:val="22"/>
                <w:color w:val="auto"/>
                <w:w w:val="91"/>
              </w:rPr>
              <w:t>Non-Performing Common Equity</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94"/>
              </w:rPr>
              <w:t>0%</w:t>
            </w:r>
          </w:p>
        </w:tc>
        <w:tc>
          <w:tcPr>
            <w:tcW w:w="82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4"/>
              </w:rPr>
              <w:t>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4"/>
        </w:trPr>
        <w:tc>
          <w:tcPr>
            <w:tcW w:w="6160" w:type="dxa"/>
            <w:vAlign w:val="bottom"/>
            <w:gridSpan w:val="11"/>
          </w:tcPr>
          <w:p>
            <w:pPr>
              <w:ind w:left="1280"/>
              <w:spacing w:after="0"/>
              <w:rPr>
                <w:sz w:val="20"/>
                <w:szCs w:val="20"/>
                <w:color w:val="auto"/>
              </w:rPr>
            </w:pPr>
            <w:r>
              <w:rPr>
                <w:rFonts w:ascii="Arial" w:cs="Arial" w:eastAsia="Arial" w:hAnsi="Arial"/>
                <w:sz w:val="22"/>
                <w:szCs w:val="22"/>
                <w:color w:val="auto"/>
                <w:w w:val="95"/>
              </w:rPr>
              <w:t>Structured Finance Obligations and Finance Leases</w:t>
            </w:r>
          </w:p>
        </w:tc>
        <w:tc>
          <w:tcPr>
            <w:tcW w:w="17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22"/>
                <w:szCs w:val="22"/>
                <w:color w:val="auto"/>
                <w:w w:val="94"/>
              </w:rPr>
              <w:t>0%</w:t>
            </w:r>
          </w:p>
        </w:tc>
        <w:tc>
          <w:tcPr>
            <w:tcW w:w="820" w:type="dxa"/>
            <w:vAlign w:val="bottom"/>
          </w:tcPr>
          <w:p>
            <w:pPr>
              <w:spacing w:after="0"/>
              <w:rPr>
                <w:sz w:val="23"/>
                <w:szCs w:val="23"/>
                <w:color w:val="auto"/>
              </w:rPr>
            </w:pPr>
          </w:p>
        </w:tc>
        <w:tc>
          <w:tcPr>
            <w:tcW w:w="1200" w:type="dxa"/>
            <w:vAlign w:val="bottom"/>
            <w:gridSpan w:val="2"/>
          </w:tcPr>
          <w:p>
            <w:pPr>
              <w:jc w:val="center"/>
              <w:ind w:left="232"/>
              <w:spacing w:after="0"/>
              <w:rPr>
                <w:sz w:val="20"/>
                <w:szCs w:val="20"/>
                <w:color w:val="auto"/>
              </w:rPr>
            </w:pPr>
            <w:r>
              <w:rPr>
                <w:rFonts w:ascii="Arial" w:cs="Arial" w:eastAsia="Arial" w:hAnsi="Arial"/>
                <w:sz w:val="22"/>
                <w:szCs w:val="22"/>
                <w:color w:val="auto"/>
                <w:w w:val="94"/>
              </w:rPr>
              <w:t>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3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ind w:left="60"/>
              <w:spacing w:after="0"/>
              <w:rPr>
                <w:sz w:val="20"/>
                <w:szCs w:val="20"/>
                <w:color w:val="auto"/>
              </w:rPr>
            </w:pPr>
            <w:r>
              <w:rPr>
                <w:rFonts w:ascii="Arial" w:cs="Arial" w:eastAsia="Arial" w:hAnsi="Arial"/>
                <w:sz w:val="22"/>
                <w:szCs w:val="22"/>
                <w:color w:val="auto"/>
              </w:rPr>
              <w:t>“Bank</w:t>
            </w:r>
          </w:p>
        </w:tc>
        <w:tc>
          <w:tcPr>
            <w:tcW w:w="1880" w:type="dxa"/>
            <w:vAlign w:val="bottom"/>
            <w:gridSpan w:val="2"/>
          </w:tcPr>
          <w:p>
            <w:pPr>
              <w:ind w:left="600"/>
              <w:spacing w:after="0"/>
              <w:rPr>
                <w:sz w:val="20"/>
                <w:szCs w:val="20"/>
                <w:color w:val="auto"/>
              </w:rPr>
            </w:pPr>
            <w:r>
              <w:rPr>
                <w:rFonts w:ascii="Arial" w:cs="Arial" w:eastAsia="Arial" w:hAnsi="Arial"/>
                <w:sz w:val="22"/>
                <w:szCs w:val="22"/>
                <w:color w:val="auto"/>
              </w:rPr>
              <w:t>Loans”</w:t>
            </w:r>
          </w:p>
        </w:tc>
        <w:tc>
          <w:tcPr>
            <w:tcW w:w="1140" w:type="dxa"/>
            <w:vAlign w:val="bottom"/>
            <w:gridSpan w:val="2"/>
          </w:tcPr>
          <w:p>
            <w:pPr>
              <w:ind w:left="20"/>
              <w:spacing w:after="0"/>
              <w:rPr>
                <w:sz w:val="20"/>
                <w:szCs w:val="20"/>
                <w:color w:val="auto"/>
              </w:rPr>
            </w:pPr>
            <w:r>
              <w:rPr>
                <w:rFonts w:ascii="Arial" w:cs="Arial" w:eastAsia="Arial" w:hAnsi="Arial"/>
                <w:sz w:val="22"/>
                <w:szCs w:val="22"/>
                <w:color w:val="auto"/>
              </w:rPr>
              <w:t>means</w:t>
            </w:r>
          </w:p>
        </w:tc>
        <w:tc>
          <w:tcPr>
            <w:tcW w:w="800" w:type="dxa"/>
            <w:vAlign w:val="bottom"/>
          </w:tcPr>
          <w:p>
            <w:pPr>
              <w:ind w:left="100"/>
              <w:spacing w:after="0"/>
              <w:rPr>
                <w:sz w:val="20"/>
                <w:szCs w:val="20"/>
                <w:color w:val="auto"/>
              </w:rPr>
            </w:pPr>
            <w:r>
              <w:rPr>
                <w:rFonts w:ascii="Arial" w:cs="Arial" w:eastAsia="Arial" w:hAnsi="Arial"/>
                <w:sz w:val="22"/>
                <w:szCs w:val="22"/>
                <w:color w:val="auto"/>
              </w:rPr>
              <w:t>debt</w:t>
            </w:r>
          </w:p>
        </w:tc>
        <w:tc>
          <w:tcPr>
            <w:tcW w:w="1740" w:type="dxa"/>
            <w:vAlign w:val="bottom"/>
          </w:tcPr>
          <w:p>
            <w:pPr>
              <w:ind w:left="320"/>
              <w:spacing w:after="0"/>
              <w:rPr>
                <w:sz w:val="20"/>
                <w:szCs w:val="20"/>
                <w:color w:val="auto"/>
              </w:rPr>
            </w:pPr>
            <w:r>
              <w:rPr>
                <w:rFonts w:ascii="Arial" w:cs="Arial" w:eastAsia="Arial" w:hAnsi="Arial"/>
                <w:sz w:val="22"/>
                <w:szCs w:val="22"/>
                <w:color w:val="auto"/>
              </w:rPr>
              <w:t>obligations</w:t>
            </w:r>
          </w:p>
        </w:tc>
        <w:tc>
          <w:tcPr>
            <w:tcW w:w="1440" w:type="dxa"/>
            <w:vAlign w:val="bottom"/>
            <w:gridSpan w:val="2"/>
          </w:tcPr>
          <w:p>
            <w:pPr>
              <w:ind w:left="220"/>
              <w:spacing w:after="0"/>
              <w:rPr>
                <w:sz w:val="20"/>
                <w:szCs w:val="20"/>
                <w:color w:val="auto"/>
              </w:rPr>
            </w:pPr>
            <w:r>
              <w:rPr>
                <w:rFonts w:ascii="Arial" w:cs="Arial" w:eastAsia="Arial" w:hAnsi="Arial"/>
                <w:sz w:val="22"/>
                <w:szCs w:val="22"/>
                <w:color w:val="auto"/>
              </w:rPr>
              <w:t>(including</w:t>
            </w:r>
          </w:p>
        </w:tc>
        <w:tc>
          <w:tcPr>
            <w:tcW w:w="1300" w:type="dxa"/>
            <w:vAlign w:val="bottom"/>
            <w:gridSpan w:val="3"/>
          </w:tcPr>
          <w:p>
            <w:pPr>
              <w:ind w:left="320"/>
              <w:spacing w:after="0"/>
              <w:rPr>
                <w:sz w:val="20"/>
                <w:szCs w:val="20"/>
                <w:color w:val="auto"/>
              </w:rPr>
            </w:pPr>
            <w:r>
              <w:rPr>
                <w:rFonts w:ascii="Arial" w:cs="Arial" w:eastAsia="Arial" w:hAnsi="Arial"/>
                <w:sz w:val="22"/>
                <w:szCs w:val="22"/>
                <w:color w:val="auto"/>
              </w:rPr>
              <w:t>term</w:t>
            </w:r>
          </w:p>
        </w:tc>
        <w:tc>
          <w:tcPr>
            <w:tcW w:w="600" w:type="dxa"/>
            <w:vAlign w:val="bottom"/>
          </w:tcPr>
          <w:p>
            <w:pPr>
              <w:ind w:left="80"/>
              <w:spacing w:after="0"/>
              <w:rPr>
                <w:sz w:val="20"/>
                <w:szCs w:val="20"/>
                <w:color w:val="auto"/>
              </w:rPr>
            </w:pPr>
            <w:r>
              <w:rPr>
                <w:rFonts w:ascii="Arial" w:cs="Arial" w:eastAsia="Arial" w:hAnsi="Arial"/>
                <w:sz w:val="22"/>
                <w:szCs w:val="22"/>
                <w:color w:val="auto"/>
                <w:w w:val="85"/>
              </w:rPr>
              <w:t>loans,</w:t>
            </w:r>
          </w:p>
        </w:tc>
      </w:tr>
      <w:tr>
        <w:trPr>
          <w:trHeight w:val="260"/>
        </w:trPr>
        <w:tc>
          <w:tcPr>
            <w:tcW w:w="1840" w:type="dxa"/>
            <w:vAlign w:val="bottom"/>
            <w:gridSpan w:val="4"/>
          </w:tcPr>
          <w:p>
            <w:pPr>
              <w:spacing w:after="0"/>
              <w:rPr>
                <w:sz w:val="20"/>
                <w:szCs w:val="20"/>
                <w:color w:val="auto"/>
              </w:rPr>
            </w:pPr>
            <w:r>
              <w:rPr>
                <w:rFonts w:ascii="Arial" w:cs="Arial" w:eastAsia="Arial" w:hAnsi="Arial"/>
                <w:sz w:val="22"/>
                <w:szCs w:val="22"/>
                <w:color w:val="auto"/>
              </w:rPr>
              <w:t>notes,</w:t>
            </w:r>
          </w:p>
        </w:tc>
        <w:tc>
          <w:tcPr>
            <w:tcW w:w="500" w:type="dxa"/>
            <w:vAlign w:val="bottom"/>
            <w:tcBorders>
              <w:top w:val="single" w:sz="8" w:color="auto"/>
            </w:tcBorders>
            <w:gridSpan w:val="2"/>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340" w:type="dxa"/>
            <w:vAlign w:val="bottom"/>
            <w:gridSpan w:val="6"/>
          </w:tcPr>
          <w:p>
            <w:pPr>
              <w:ind w:left="100"/>
              <w:spacing w:after="0"/>
              <w:rPr>
                <w:sz w:val="20"/>
                <w:szCs w:val="20"/>
                <w:color w:val="auto"/>
              </w:rPr>
            </w:pPr>
            <w:r>
              <w:rPr>
                <w:rFonts w:ascii="Arial" w:cs="Arial" w:eastAsia="Arial" w:hAnsi="Arial"/>
                <w:sz w:val="22"/>
                <w:szCs w:val="22"/>
                <w:color w:val="auto"/>
                <w:w w:val="88"/>
              </w:rPr>
              <w:t>revolving loans, debtor-in-possession</w:t>
            </w:r>
          </w:p>
        </w:tc>
      </w:tr>
    </w:tbl>
    <w:p>
      <w:pPr>
        <w:jc w:val="both"/>
        <w:spacing w:after="0" w:line="234" w:lineRule="auto"/>
        <w:rPr>
          <w:sz w:val="20"/>
          <w:szCs w:val="20"/>
          <w:color w:val="auto"/>
        </w:rPr>
      </w:pPr>
      <w:r>
        <w:rPr>
          <w:rFonts w:ascii="Arial" w:cs="Arial" w:eastAsia="Arial" w:hAnsi="Arial"/>
          <w:sz w:val="22"/>
          <w:szCs w:val="22"/>
          <w:color w:val="auto"/>
        </w:rPr>
        <w:t>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0" w:name="page261"/>
    <w:bookmarkEnd w:id="260"/>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of the Credit Agreement.</w:t>
      </w:r>
    </w:p>
    <w:p>
      <w:pPr>
        <w:spacing w:after="0" w:line="21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Finance Lease</w:t>
      </w:r>
      <w:r>
        <w:rPr>
          <w:rFonts w:ascii="Arial" w:cs="Arial" w:eastAsia="Arial" w:hAnsi="Arial"/>
          <w:sz w:val="22"/>
          <w:szCs w:val="22"/>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Bank Loan</w:t>
      </w:r>
      <w:r>
        <w:rPr>
          <w:rFonts w:ascii="Arial" w:cs="Arial" w:eastAsia="Arial" w:hAnsi="Arial"/>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Yield Securities</w:t>
      </w:r>
      <w:r>
        <w:rPr>
          <w:rFonts w:ascii="Arial" w:cs="Arial" w:eastAsia="Arial" w:hAnsi="Arial"/>
          <w:sz w:val="22"/>
          <w:szCs w:val="22"/>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U.S. Government Securities</w:t>
      </w:r>
      <w:r>
        <w:rPr>
          <w:rFonts w:ascii="Arial" w:cs="Arial" w:eastAsia="Arial" w:hAnsi="Arial"/>
          <w:sz w:val="22"/>
          <w:szCs w:val="22"/>
          <w:color w:val="auto"/>
        </w:rPr>
        <w:t>” means U.S. Government Securities maturing more than one year from the applicable date of determination.</w:t>
      </w:r>
    </w:p>
    <w:p>
      <w:pPr>
        <w:spacing w:after="0" w:line="17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Mezzanine Investments</w:t>
      </w:r>
      <w:r>
        <w:rPr>
          <w:rFonts w:ascii="Arial" w:cs="Arial" w:eastAsia="Arial" w:hAnsi="Arial"/>
          <w:sz w:val="22"/>
          <w:szCs w:val="22"/>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Common Equity</w:t>
      </w:r>
      <w:r>
        <w:rPr>
          <w:rFonts w:ascii="Arial" w:cs="Arial" w:eastAsia="Arial" w:hAnsi="Arial"/>
          <w:sz w:val="22"/>
          <w:szCs w:val="22"/>
          <w:color w:val="auto"/>
        </w:rPr>
        <w:t>” means Capital Stock (other than Preferred Stock) and warrants of an issuer having any debt outstanding that is non-Performing.</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First Lien Bank Loans</w:t>
      </w:r>
      <w:r>
        <w:rPr>
          <w:rFonts w:ascii="Arial" w:cs="Arial" w:eastAsia="Arial" w:hAnsi="Arial"/>
          <w:sz w:val="19"/>
          <w:szCs w:val="19"/>
          <w:color w:val="auto"/>
        </w:rPr>
        <w:t>” means First Lien Bank Loans other than Performing First Lien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Bank Loans.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High Yield Securities</w:t>
      </w:r>
      <w:r>
        <w:rPr>
          <w:rFonts w:ascii="Arial" w:cs="Arial" w:eastAsia="Arial" w:hAnsi="Arial"/>
          <w:sz w:val="21"/>
          <w:szCs w:val="21"/>
          <w:color w:val="auto"/>
        </w:rPr>
        <w:t>” means High Yield Securities other than Performing High Yield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Mezzanine Investments</w:t>
      </w:r>
      <w:r>
        <w:rPr>
          <w:rFonts w:ascii="Arial" w:cs="Arial" w:eastAsia="Arial" w:hAnsi="Arial"/>
          <w:sz w:val="19"/>
          <w:szCs w:val="19"/>
          <w:color w:val="auto"/>
        </w:rPr>
        <w:t>” means Mezzanine Investments other than Performing Mezzanine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Investments.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1" w:name="page262"/>
    <w:bookmarkEnd w:id="261"/>
    <w:p>
      <w:pPr>
        <w:ind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Portfolio Investment</w:t>
      </w:r>
      <w:r>
        <w:rPr>
          <w:rFonts w:ascii="Arial" w:cs="Arial" w:eastAsia="Arial" w:hAnsi="Arial"/>
          <w:sz w:val="21"/>
          <w:szCs w:val="21"/>
          <w:color w:val="auto"/>
        </w:rPr>
        <w:t>” means Portfolio Investments for which the issuer is in default of any payment obligations of principal or interest in respect thereof after the expiration of any applicable grace period.</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Second Lien Bank Loans</w:t>
      </w:r>
      <w:r>
        <w:rPr>
          <w:rFonts w:ascii="Arial" w:cs="Arial" w:eastAsia="Arial" w:hAnsi="Arial"/>
          <w:sz w:val="19"/>
          <w:szCs w:val="19"/>
          <w:color w:val="auto"/>
        </w:rPr>
        <w:t>” means Second Lien Bank Loans other than Performing Second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Lien Bank Loans.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Unitranche Loans</w:t>
      </w:r>
      <w:r>
        <w:rPr>
          <w:rFonts w:ascii="Arial" w:cs="Arial" w:eastAsia="Arial" w:hAnsi="Arial"/>
          <w:sz w:val="19"/>
          <w:szCs w:val="19"/>
          <w:color w:val="auto"/>
        </w:rPr>
        <w:t>” means Unitranche Loans other than Performing Unitranche Loans.</w:t>
      </w:r>
    </w:p>
    <w:p>
      <w:pPr>
        <w:spacing w:after="0" w:line="241" w:lineRule="exact"/>
        <w:rPr>
          <w:sz w:val="20"/>
          <w:szCs w:val="20"/>
          <w:color w:val="auto"/>
        </w:rPr>
      </w:pPr>
    </w:p>
    <w:p>
      <w:pPr>
        <w:ind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Performing</w:t>
      </w:r>
      <w:r>
        <w:rPr>
          <w:rFonts w:ascii="Arial" w:cs="Arial" w:eastAsia="Arial" w:hAnsi="Arial"/>
          <w:sz w:val="19"/>
          <w:szCs w:val="19"/>
          <w:color w:val="auto"/>
        </w:rPr>
        <w:t>” means (a) with respect to any Portfolio Investment that is debt, the issuer of such Portfolio Investment is not in default of any payment obligations in respect thereof after the expiration of any applicable grace period and</w:t>
      </w:r>
    </w:p>
    <w:p>
      <w:pPr>
        <w:spacing w:after="0" w:line="1" w:lineRule="exact"/>
        <w:rPr>
          <w:sz w:val="20"/>
          <w:szCs w:val="20"/>
          <w:color w:val="auto"/>
        </w:rPr>
      </w:pPr>
    </w:p>
    <w:p>
      <w:pPr>
        <w:jc w:val="both"/>
        <w:ind w:firstLine="8"/>
        <w:spacing w:after="0" w:line="234" w:lineRule="auto"/>
        <w:tabs>
          <w:tab w:leader="none" w:pos="311" w:val="left"/>
        </w:tabs>
        <w:numPr>
          <w:ilvl w:val="0"/>
          <w:numId w:val="258"/>
        </w:numPr>
        <w:rPr>
          <w:rFonts w:ascii="Arial" w:cs="Arial" w:eastAsia="Arial" w:hAnsi="Arial"/>
          <w:sz w:val="22"/>
          <w:szCs w:val="22"/>
          <w:color w:val="auto"/>
        </w:rPr>
      </w:pPr>
      <w:r>
        <w:rPr>
          <w:rFonts w:ascii="Arial" w:cs="Arial" w:eastAsia="Arial" w:hAnsi="Arial"/>
          <w:sz w:val="22"/>
          <w:szCs w:val="22"/>
          <w:color w:val="auto"/>
        </w:rPr>
        <w:t>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7"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High Yield Securities</w:t>
      </w:r>
      <w:r>
        <w:rPr>
          <w:rFonts w:ascii="Arial" w:cs="Arial" w:eastAsia="Arial" w:hAnsi="Arial"/>
          <w:sz w:val="21"/>
          <w:szCs w:val="21"/>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9"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Mezzanine Investments</w:t>
      </w:r>
      <w:r>
        <w:rPr>
          <w:rFonts w:ascii="Arial" w:cs="Arial" w:eastAsia="Arial" w:hAnsi="Arial"/>
          <w:sz w:val="21"/>
          <w:szCs w:val="21"/>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9"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Common Equity</w:t>
      </w:r>
      <w:r>
        <w:rPr>
          <w:rFonts w:ascii="Arial" w:cs="Arial" w:eastAsia="Arial" w:hAnsi="Arial"/>
          <w:sz w:val="22"/>
          <w:szCs w:val="22"/>
          <w:color w:val="auto"/>
        </w:rPr>
        <w:t>” means Capital Stock (other than Preferred Stock) and warrants of an issuer all of whose outstanding debt is Performing.</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First Lien Bank Loans</w:t>
      </w:r>
      <w:r>
        <w:rPr>
          <w:rFonts w:ascii="Arial" w:cs="Arial" w:eastAsia="Arial" w:hAnsi="Arial"/>
          <w:sz w:val="22"/>
          <w:szCs w:val="22"/>
          <w:color w:val="auto"/>
        </w:rPr>
        <w:t>” means First Lien Bank Loans which are Performing.</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High Yield Securities</w:t>
      </w:r>
      <w:r>
        <w:rPr>
          <w:rFonts w:ascii="Arial" w:cs="Arial" w:eastAsia="Arial" w:hAnsi="Arial"/>
          <w:sz w:val="22"/>
          <w:szCs w:val="22"/>
          <w:color w:val="auto"/>
        </w:rPr>
        <w:t>” means Performing High Yield Securities other than Performing Cash Pay High Yield Securities.</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Mezzanine Investments</w:t>
      </w:r>
      <w:r>
        <w:rPr>
          <w:rFonts w:ascii="Arial" w:cs="Arial" w:eastAsia="Arial" w:hAnsi="Arial"/>
          <w:sz w:val="22"/>
          <w:szCs w:val="22"/>
          <w:color w:val="auto"/>
        </w:rPr>
        <w:t>” means Performing Mezzanine Investments other than Performing Cash Pay Mezzanine Investments.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Second Lien Bank Loans</w:t>
      </w:r>
      <w:r>
        <w:rPr>
          <w:rFonts w:ascii="Arial" w:cs="Arial" w:eastAsia="Arial" w:hAnsi="Arial"/>
          <w:sz w:val="22"/>
          <w:szCs w:val="22"/>
          <w:color w:val="auto"/>
        </w:rPr>
        <w:t>” means Second Lien Bank Loans which are Performing.</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2" w:name="page263"/>
    <w:bookmarkEnd w:id="262"/>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Bank Loan</w:t>
      </w:r>
      <w:r>
        <w:rPr>
          <w:rFonts w:ascii="Arial" w:cs="Arial" w:eastAsia="Arial" w:hAnsi="Arial"/>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8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w:t>
      </w:r>
      <w:r>
        <w:rPr>
          <w:rFonts w:ascii="Arial" w:cs="Arial" w:eastAsia="Arial" w:hAnsi="Arial"/>
          <w:sz w:val="22"/>
          <w:szCs w:val="22"/>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 as amended.</w:t>
      </w:r>
    </w:p>
    <w:p>
      <w:pPr>
        <w:spacing w:after="0" w:line="20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Short-Term U.S. Government Securities</w:t>
      </w:r>
      <w:r>
        <w:rPr>
          <w:rFonts w:ascii="Arial" w:cs="Arial" w:eastAsia="Arial" w:hAnsi="Arial"/>
          <w:sz w:val="22"/>
          <w:szCs w:val="22"/>
          <w:color w:val="auto"/>
        </w:rPr>
        <w:t>” means U.S. Government Securities maturing within one year of the applicable date of determination.</w:t>
      </w:r>
    </w:p>
    <w:p>
      <w:pPr>
        <w:spacing w:after="0" w:line="17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Structured Finance Obligation</w:t>
      </w:r>
      <w:r>
        <w:rPr>
          <w:rFonts w:ascii="Arial" w:cs="Arial" w:eastAsia="Arial" w:hAnsi="Arial"/>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Unitranche Loan</w:t>
      </w:r>
      <w:r>
        <w:rPr>
          <w:rFonts w:ascii="Arial" w:cs="Arial" w:eastAsia="Arial" w:hAnsi="Arial"/>
          <w:sz w:val="22"/>
          <w:szCs w:val="22"/>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means, with respect to any Portfolio Investment, the lower of:</w:t>
      </w:r>
    </w:p>
    <w:p>
      <w:pPr>
        <w:spacing w:after="0" w:line="206" w:lineRule="exact"/>
        <w:rPr>
          <w:sz w:val="20"/>
          <w:szCs w:val="20"/>
          <w:color w:val="auto"/>
        </w:rPr>
      </w:pPr>
    </w:p>
    <w:p>
      <w:pPr>
        <w:ind w:left="1920" w:hanging="251"/>
        <w:spacing w:after="0"/>
        <w:tabs>
          <w:tab w:leader="none" w:pos="192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xml:space="preserve">the most recent internal market value as determined pursuant to </w:t>
      </w:r>
      <w:r>
        <w:rPr>
          <w:rFonts w:ascii="Arial" w:cs="Arial" w:eastAsia="Arial" w:hAnsi="Arial"/>
          <w:sz w:val="22"/>
          <w:szCs w:val="22"/>
          <w:u w:val="single" w:color="auto"/>
          <w:color w:val="auto"/>
        </w:rPr>
        <w:t>Section 5.12(b)(ii)(C)</w:t>
      </w:r>
      <w:r>
        <w:rPr>
          <w:rFonts w:ascii="Arial" w:cs="Arial" w:eastAsia="Arial" w:hAnsi="Arial"/>
          <w:sz w:val="22"/>
          <w:szCs w:val="22"/>
          <w:color w:val="auto"/>
        </w:rPr>
        <w:t xml:space="preserve"> and</w:t>
      </w:r>
    </w:p>
    <w:p>
      <w:pPr>
        <w:spacing w:after="0" w:line="206" w:lineRule="exact"/>
        <w:rPr>
          <w:rFonts w:ascii="Arial" w:cs="Arial" w:eastAsia="Arial" w:hAnsi="Arial"/>
          <w:sz w:val="22"/>
          <w:szCs w:val="22"/>
          <w:color w:val="auto"/>
        </w:rPr>
      </w:pPr>
    </w:p>
    <w:p>
      <w:pPr>
        <w:ind w:left="1980" w:hanging="311"/>
        <w:spacing w:after="0"/>
        <w:tabs>
          <w:tab w:leader="none" w:pos="198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xml:space="preserve">the most recent external market value as determined pursuant to </w:t>
      </w:r>
      <w:r>
        <w:rPr>
          <w:rFonts w:ascii="Arial" w:cs="Arial" w:eastAsia="Arial" w:hAnsi="Arial"/>
          <w:sz w:val="22"/>
          <w:szCs w:val="22"/>
          <w:u w:val="single" w:color="auto"/>
          <w:color w:val="auto"/>
        </w:rPr>
        <w:t>Section 5.12(b)(ii)(A)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700"/>
        <w:spacing w:after="0"/>
        <w:rPr>
          <w:rFonts w:ascii="Arial" w:cs="Arial" w:eastAsia="Arial" w:hAnsi="Arial"/>
          <w:sz w:val="22"/>
          <w:szCs w:val="22"/>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ind w:right="20" w:firstLine="1727"/>
        <w:spacing w:after="0" w:line="250" w:lineRule="auto"/>
        <w:rPr>
          <w:sz w:val="20"/>
          <w:szCs w:val="20"/>
          <w:color w:val="auto"/>
        </w:rPr>
      </w:pPr>
      <w:r>
        <w:rPr>
          <w:rFonts w:ascii="Arial" w:cs="Arial" w:eastAsia="Arial" w:hAnsi="Arial"/>
          <w:sz w:val="22"/>
          <w:szCs w:val="22"/>
          <w:color w:val="auto"/>
        </w:rPr>
        <w:t>Until the Commitments have expired or terminated and the principal of and interest on each Loan and all fees payable hereunder have been paid in full and all Letters of Credit have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3" w:name="page264"/>
    <w:bookmarkEnd w:id="263"/>
    <w:p>
      <w:pPr>
        <w:spacing w:after="0"/>
        <w:rPr>
          <w:sz w:val="20"/>
          <w:szCs w:val="20"/>
          <w:color w:val="auto"/>
        </w:rPr>
      </w:pPr>
      <w:r>
        <w:rPr>
          <w:rFonts w:ascii="Arial" w:cs="Arial" w:eastAsia="Arial" w:hAnsi="Arial"/>
          <w:sz w:val="19"/>
          <w:szCs w:val="19"/>
          <w:color w:val="auto"/>
        </w:rPr>
        <w:t>expired, been terminated, Cash Collateralized or backstopped and all LC Disbursements shall have been reimbursed,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Borrower covenants and agrees with the Lenders that:</w:t>
      </w:r>
    </w:p>
    <w:p>
      <w:pPr>
        <w:spacing w:after="0" w:line="188" w:lineRule="exact"/>
        <w:rPr>
          <w:sz w:val="20"/>
          <w:szCs w:val="20"/>
          <w:color w:val="auto"/>
        </w:rPr>
      </w:pPr>
    </w:p>
    <w:p>
      <w:pPr>
        <w:ind w:firstLine="1727"/>
        <w:spacing w:after="0" w:line="274"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Indebtedness</w:t>
      </w:r>
      <w:r>
        <w:rPr>
          <w:rFonts w:ascii="Arial" w:cs="Arial" w:eastAsia="Arial" w:hAnsi="Arial"/>
          <w:sz w:val="21"/>
          <w:szCs w:val="21"/>
          <w:color w:val="auto"/>
        </w:rPr>
        <w:t xml:space="preserve">. Subject to the last sentence of this </w:t>
      </w:r>
      <w:r>
        <w:rPr>
          <w:rFonts w:ascii="Arial" w:cs="Arial" w:eastAsia="Arial" w:hAnsi="Arial"/>
          <w:sz w:val="21"/>
          <w:szCs w:val="21"/>
          <w:u w:val="single" w:color="auto"/>
          <w:color w:val="auto"/>
        </w:rPr>
        <w:t>Section 6.01</w:t>
      </w:r>
      <w:r>
        <w:rPr>
          <w:rFonts w:ascii="Arial" w:cs="Arial" w:eastAsia="Arial" w:hAnsi="Arial"/>
          <w:sz w:val="21"/>
          <w:szCs w:val="21"/>
          <w:color w:val="auto"/>
        </w:rPr>
        <w:t>, the Borrower will not, nor will it permit any of the Subsidiary Guarantors to, create, incur, assume or permit to exist any Indebtedness, except:</w:t>
      </w:r>
    </w:p>
    <w:p>
      <w:pPr>
        <w:spacing w:after="0" w:line="151" w:lineRule="exact"/>
        <w:rPr>
          <w:sz w:val="20"/>
          <w:szCs w:val="20"/>
          <w:color w:val="auto"/>
        </w:rPr>
      </w:pPr>
    </w:p>
    <w:p>
      <w:pPr>
        <w:ind w:left="2620" w:hanging="885"/>
        <w:spacing w:after="0"/>
        <w:tabs>
          <w:tab w:leader="none" w:pos="262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Indebtedness created hereunder or under any other Loan Document;</w:t>
      </w:r>
    </w:p>
    <w:p>
      <w:pPr>
        <w:spacing w:after="0" w:line="206" w:lineRule="exact"/>
        <w:rPr>
          <w:rFonts w:ascii="Arial" w:cs="Arial" w:eastAsia="Arial" w:hAnsi="Arial"/>
          <w:sz w:val="22"/>
          <w:szCs w:val="22"/>
          <w:color w:val="auto"/>
        </w:rPr>
      </w:pPr>
    </w:p>
    <w:p>
      <w:pPr>
        <w:jc w:val="both"/>
        <w:ind w:firstLine="1735"/>
        <w:spacing w:after="0" w:line="235" w:lineRule="auto"/>
        <w:tabs>
          <w:tab w:leader="none" w:pos="2627"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22"/>
          <w:szCs w:val="22"/>
          <w:u w:val="single" w:color="auto"/>
          <w:color w:val="auto"/>
        </w:rPr>
        <w:t>Sections 6.07(c)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and (iii) prior to and immediately after giving effect to the incurrence of any Secured Longer-Term Indebtedness, the Covered Debt Amount does not or would not exceed the Borrowing Base then in effect;</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Other Permitted Indebtedness;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Guarantees of Indebtedness otherwise permitted hereunder;</w:t>
      </w:r>
    </w:p>
    <w:p>
      <w:pPr>
        <w:spacing w:after="0" w:line="206" w:lineRule="exact"/>
        <w:rPr>
          <w:rFonts w:ascii="Arial" w:cs="Arial" w:eastAsia="Arial" w:hAnsi="Arial"/>
          <w:sz w:val="22"/>
          <w:szCs w:val="22"/>
          <w:color w:val="auto"/>
        </w:rPr>
      </w:pPr>
    </w:p>
    <w:p>
      <w:pPr>
        <w:ind w:firstLine="1735"/>
        <w:spacing w:after="0" w:line="328" w:lineRule="auto"/>
        <w:tabs>
          <w:tab w:leader="none" w:pos="2615"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Indebtedness of any Obligor owing to any other Obligor or, if such Indebtedness is subject to subordination terms and conditions that are satisfactory to the Administrative Agent, any other Subsidiary of the Borrower;</w:t>
      </w:r>
    </w:p>
    <w:p>
      <w:pPr>
        <w:spacing w:after="0" w:line="104" w:lineRule="exact"/>
        <w:rPr>
          <w:rFonts w:ascii="Arial" w:cs="Arial" w:eastAsia="Arial" w:hAnsi="Arial"/>
          <w:sz w:val="19"/>
          <w:szCs w:val="19"/>
          <w:color w:val="auto"/>
        </w:rPr>
      </w:pPr>
    </w:p>
    <w:p>
      <w:pPr>
        <w:ind w:left="2600" w:hanging="865"/>
        <w:spacing w:after="0"/>
        <w:tabs>
          <w:tab w:leader="none" w:pos="260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Indebtedness of Financing Subsidiaries;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repurchase obligations arising in the ordinary course of business with respect to U.S. Government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w:t>
      </w:r>
    </w:p>
    <w:p>
      <w:pPr>
        <w:spacing w:after="0" w:line="188" w:lineRule="exact"/>
        <w:rPr>
          <w:rFonts w:ascii="Arial" w:cs="Arial" w:eastAsia="Arial" w:hAnsi="Arial"/>
          <w:sz w:val="19"/>
          <w:szCs w:val="19"/>
          <w:color w:val="auto"/>
        </w:rPr>
      </w:pPr>
    </w:p>
    <w:p>
      <w:pPr>
        <w:ind w:firstLine="1735"/>
        <w:spacing w:after="0" w:line="250" w:lineRule="auto"/>
        <w:tabs>
          <w:tab w:leader="none" w:pos="2627" w:val="left"/>
        </w:tabs>
        <w:numPr>
          <w:ilvl w:val="0"/>
          <w:numId w:val="260"/>
        </w:numPr>
        <w:rPr>
          <w:rFonts w:ascii="Arial" w:cs="Arial" w:eastAsia="Arial" w:hAnsi="Arial"/>
          <w:sz w:val="22"/>
          <w:szCs w:val="22"/>
          <w:color w:val="auto"/>
        </w:rPr>
      </w:pPr>
      <w:r>
        <w:rPr>
          <w:rFonts w:ascii="Arial" w:cs="Arial" w:eastAsia="Arial" w:hAnsi="Arial"/>
          <w:sz w:val="22"/>
          <w:szCs w:val="22"/>
          <w:color w:val="auto"/>
        </w:rPr>
        <w:t>obligations payable to clearing agencies, brokers or dealers in connection with the purchase or sale of securities in the ordinary course of business;</w:t>
      </w:r>
    </w:p>
    <w:p>
      <w:pPr>
        <w:spacing w:after="0" w:line="174" w:lineRule="exact"/>
        <w:rPr>
          <w:rFonts w:ascii="Arial" w:cs="Arial" w:eastAsia="Arial" w:hAnsi="Arial"/>
          <w:sz w:val="22"/>
          <w:szCs w:val="22"/>
          <w:color w:val="auto"/>
        </w:rPr>
      </w:pPr>
    </w:p>
    <w:p>
      <w:pPr>
        <w:jc w:val="both"/>
        <w:ind w:firstLine="1735"/>
        <w:spacing w:after="0" w:line="279" w:lineRule="auto"/>
        <w:tabs>
          <w:tab w:leader="none" w:pos="2579"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Borrower Net Worth, (iii) the aggregate amount of such Indebtedness, taken together with other then-outstanding Indebtedness, does not exceed the amount required to comply with the provisions of </w:t>
      </w:r>
      <w:r>
        <w:rPr>
          <w:rFonts w:ascii="Arial" w:cs="Arial" w:eastAsia="Arial" w:hAnsi="Arial"/>
          <w:sz w:val="19"/>
          <w:szCs w:val="19"/>
          <w:u w:val="single" w:color="auto"/>
          <w:color w:val="auto"/>
        </w:rPr>
        <w:t>Sections 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and (iv) prior to and immediately after giving effect to the incurrence of any such Indebtedness, the Covered Debt Amount does not or would not exceed the Borrowing Base then in effect;</w:t>
      </w:r>
    </w:p>
    <w:p>
      <w:pPr>
        <w:spacing w:after="0" w:line="150" w:lineRule="exact"/>
        <w:rPr>
          <w:rFonts w:ascii="Arial" w:cs="Arial" w:eastAsia="Arial" w:hAnsi="Arial"/>
          <w:sz w:val="19"/>
          <w:szCs w:val="19"/>
          <w:color w:val="auto"/>
        </w:rPr>
      </w:pPr>
    </w:p>
    <w:p>
      <w:pPr>
        <w:ind w:left="2580" w:hanging="845"/>
        <w:spacing w:after="0"/>
        <w:tabs>
          <w:tab w:leader="none" w:pos="25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obligations (including Guarantees) in respect of Standard Securitization Undertakings;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Permitted SBIC Guarantees;</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4" w:name="page265"/>
    <w:bookmarkEnd w:id="264"/>
    <w:p>
      <w:pPr>
        <w:ind w:left="2580" w:hanging="845"/>
        <w:spacing w:after="0"/>
        <w:tabs>
          <w:tab w:leader="none" w:pos="2580" w:val="left"/>
        </w:tabs>
        <w:numPr>
          <w:ilvl w:val="0"/>
          <w:numId w:val="261"/>
        </w:numPr>
        <w:rPr>
          <w:rFonts w:ascii="Arial" w:cs="Arial" w:eastAsia="Arial" w:hAnsi="Arial"/>
          <w:sz w:val="19"/>
          <w:szCs w:val="19"/>
          <w:color w:val="auto"/>
        </w:rPr>
      </w:pPr>
      <w:r>
        <w:rPr>
          <w:rFonts w:ascii="Arial" w:cs="Arial" w:eastAsia="Arial" w:hAnsi="Arial"/>
          <w:sz w:val="19"/>
          <w:szCs w:val="19"/>
          <w:color w:val="auto"/>
        </w:rPr>
        <w:t>Indebtedness incurred pursuant to the 2022 Convertible Notes, the 2023 Notes, the 2024 Notes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2026 Notes;</w:t>
      </w:r>
    </w:p>
    <w:p>
      <w:pPr>
        <w:spacing w:after="0" w:line="188" w:lineRule="exact"/>
        <w:rPr>
          <w:sz w:val="20"/>
          <w:szCs w:val="20"/>
          <w:color w:val="auto"/>
        </w:rPr>
      </w:pPr>
    </w:p>
    <w:p>
      <w:pPr>
        <w:jc w:val="both"/>
        <w:ind w:firstLine="1735"/>
        <w:spacing w:after="0" w:line="276" w:lineRule="auto"/>
        <w:tabs>
          <w:tab w:leader="none" w:pos="2687" w:val="left"/>
        </w:tabs>
        <w:numPr>
          <w:ilvl w:val="1"/>
          <w:numId w:val="262"/>
        </w:numPr>
        <w:rPr>
          <w:rFonts w:ascii="Arial" w:cs="Arial" w:eastAsia="Arial" w:hAnsi="Arial"/>
          <w:sz w:val="19"/>
          <w:szCs w:val="19"/>
          <w:color w:val="auto"/>
        </w:rPr>
      </w:pPr>
      <w:r>
        <w:rPr>
          <w:rFonts w:ascii="Arial" w:cs="Arial" w:eastAsia="Arial" w:hAnsi="Arial"/>
          <w:sz w:val="19"/>
          <w:szCs w:val="19"/>
          <w:color w:val="auto"/>
        </w:rPr>
        <w:t>Unsecured Shorter-Term Indebtedness (other than Special Unsecured Indebtedness that would otherwise constitute Unsecured Shorter-Term Indebtedness) so long as (i) no Default exists at the time of the incurrence thereof,</w:t>
      </w:r>
    </w:p>
    <w:p>
      <w:pPr>
        <w:spacing w:after="0" w:line="1" w:lineRule="exact"/>
        <w:rPr>
          <w:rFonts w:ascii="Arial" w:cs="Arial" w:eastAsia="Arial" w:hAnsi="Arial"/>
          <w:sz w:val="19"/>
          <w:szCs w:val="19"/>
          <w:color w:val="auto"/>
        </w:rPr>
      </w:pPr>
    </w:p>
    <w:p>
      <w:pPr>
        <w:jc w:val="both"/>
        <w:ind w:firstLine="8"/>
        <w:spacing w:after="0" w:line="243" w:lineRule="auto"/>
        <w:tabs>
          <w:tab w:leader="none" w:pos="33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 xml:space="preserve">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Arial" w:cs="Arial" w:eastAsia="Arial" w:hAnsi="Arial"/>
          <w:sz w:val="21"/>
          <w:szCs w:val="21"/>
          <w:u w:val="single" w:color="auto"/>
          <w:color w:val="auto"/>
        </w:rPr>
        <w:t>Section 6.01(n)</w:t>
      </w:r>
      <w:r>
        <w:rPr>
          <w:rFonts w:ascii="Arial" w:cs="Arial" w:eastAsia="Arial" w:hAnsi="Arial"/>
          <w:sz w:val="21"/>
          <w:szCs w:val="21"/>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21"/>
          <w:szCs w:val="21"/>
          <w:u w:val="single" w:color="auto"/>
          <w:color w:val="auto"/>
        </w:rPr>
        <w:t>Sections 6.07(c)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and (v) prior to and immediately after giving effect to the incurrence of any such Indebtedness, the Covered Debt Amount does not or would not exceed the Borrowing Base then in effect;</w:t>
      </w:r>
    </w:p>
    <w:p>
      <w:pPr>
        <w:spacing w:after="0" w:line="187" w:lineRule="exact"/>
        <w:rPr>
          <w:rFonts w:ascii="Arial" w:cs="Arial" w:eastAsia="Arial" w:hAnsi="Arial"/>
          <w:sz w:val="21"/>
          <w:szCs w:val="21"/>
          <w:color w:val="auto"/>
        </w:rPr>
      </w:pPr>
    </w:p>
    <w:p>
      <w:pPr>
        <w:jc w:val="both"/>
        <w:ind w:firstLine="1735"/>
        <w:spacing w:after="0" w:line="246" w:lineRule="auto"/>
        <w:tabs>
          <w:tab w:leader="none" w:pos="2627" w:val="left"/>
        </w:tabs>
        <w:numPr>
          <w:ilvl w:val="1"/>
          <w:numId w:val="263"/>
        </w:numPr>
        <w:rPr>
          <w:rFonts w:ascii="Arial" w:cs="Arial" w:eastAsia="Arial" w:hAnsi="Arial"/>
          <w:sz w:val="21"/>
          <w:szCs w:val="21"/>
          <w:color w:val="auto"/>
        </w:rPr>
      </w:pPr>
      <w:r>
        <w:rPr>
          <w:rFonts w:ascii="Arial" w:cs="Arial" w:eastAsia="Arial" w:hAnsi="Arial"/>
          <w:sz w:val="21"/>
          <w:szCs w:val="21"/>
          <w:color w:val="auto"/>
        </w:rPr>
        <w:t xml:space="preserve">Special Unsecured Indebtedness so long as (i) no Default exists at the time of the incurrence thereof, (ii) 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w:t>
      </w:r>
      <w:r>
        <w:rPr>
          <w:rFonts w:ascii="Arial" w:cs="Arial" w:eastAsia="Arial" w:hAnsi="Arial"/>
          <w:sz w:val="21"/>
          <w:szCs w:val="21"/>
          <w:u w:val="single" w:color="auto"/>
          <w:color w:val="auto"/>
        </w:rPr>
        <w:t>Section 6.01(m)</w:t>
      </w:r>
      <w:r>
        <w:rPr>
          <w:rFonts w:ascii="Arial" w:cs="Arial" w:eastAsia="Arial" w:hAnsi="Arial"/>
          <w:sz w:val="21"/>
          <w:szCs w:val="21"/>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21"/>
          <w:szCs w:val="21"/>
          <w:u w:val="single" w:color="auto"/>
          <w:color w:val="auto"/>
        </w:rPr>
        <w:t>Sections 6.07(c)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and (v) prior to and immediately after giving effect to the incurrence of any such Indebtedness, the Covered Debt Amount does not or would not exceed the Borrowing Base then in effect; and</w:t>
      </w:r>
    </w:p>
    <w:p>
      <w:pPr>
        <w:spacing w:after="0" w:line="179" w:lineRule="exact"/>
        <w:rPr>
          <w:rFonts w:ascii="Arial" w:cs="Arial" w:eastAsia="Arial" w:hAnsi="Arial"/>
          <w:sz w:val="21"/>
          <w:szCs w:val="21"/>
          <w:color w:val="auto"/>
        </w:rPr>
      </w:pPr>
    </w:p>
    <w:p>
      <w:pPr>
        <w:ind w:left="2640" w:hanging="905"/>
        <w:spacing w:after="0"/>
        <w:tabs>
          <w:tab w:leader="none" w:pos="264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other Indebtedness not to exceed the greater of (i) $25,000,000 and (ii) 5% of Borrower Net Worth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at any time outstanding.</w:t>
      </w:r>
    </w:p>
    <w:p>
      <w:pPr>
        <w:spacing w:after="0" w:line="18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86" w:lineRule="exact"/>
        <w:rPr>
          <w:sz w:val="20"/>
          <w:szCs w:val="20"/>
          <w:color w:val="auto"/>
        </w:rPr>
      </w:pPr>
    </w:p>
    <w:p>
      <w:pPr>
        <w:jc w:val="both"/>
        <w:ind w:firstLine="1735"/>
        <w:spacing w:after="0" w:line="287" w:lineRule="auto"/>
        <w:tabs>
          <w:tab w:leader="none" w:pos="2615"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existing on the Original Effective Date and set forth in </w:t>
      </w:r>
      <w:r>
        <w:rPr>
          <w:rFonts w:ascii="Arial" w:cs="Arial" w:eastAsia="Arial" w:hAnsi="Arial"/>
          <w:sz w:val="19"/>
          <w:szCs w:val="19"/>
          <w:u w:val="single" w:color="auto"/>
          <w:color w:val="auto"/>
        </w:rPr>
        <w:t>Part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3.11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142" w:lineRule="exact"/>
        <w:rPr>
          <w:rFonts w:ascii="Arial" w:cs="Arial" w:eastAsia="Arial" w:hAnsi="Arial"/>
          <w:sz w:val="19"/>
          <w:szCs w:val="19"/>
          <w:color w:val="auto"/>
        </w:rPr>
      </w:pPr>
    </w:p>
    <w:p>
      <w:pPr>
        <w:jc w:val="both"/>
        <w:ind w:firstLine="1735"/>
        <w:spacing w:after="0"/>
        <w:tabs>
          <w:tab w:leader="none" w:pos="2627" w:val="left"/>
        </w:tabs>
        <w:numPr>
          <w:ilvl w:val="0"/>
          <w:numId w:val="264"/>
        </w:numPr>
        <w:rPr>
          <w:rFonts w:ascii="Arial" w:cs="Arial" w:eastAsia="Arial" w:hAnsi="Arial"/>
          <w:sz w:val="22"/>
          <w:szCs w:val="22"/>
          <w:color w:val="auto"/>
        </w:rPr>
      </w:pPr>
      <w:r>
        <w:rPr>
          <w:rFonts w:ascii="Arial" w:cs="Arial" w:eastAsia="Arial" w:hAnsi="Arial"/>
          <w:sz w:val="22"/>
          <w:szCs w:val="22"/>
          <w:color w:val="auto"/>
        </w:rPr>
        <w:t xml:space="preserve">Liens created pursuant to this Agreement (including </w:t>
      </w:r>
      <w:r>
        <w:rPr>
          <w:rFonts w:ascii="Arial" w:cs="Arial" w:eastAsia="Arial" w:hAnsi="Arial"/>
          <w:sz w:val="22"/>
          <w:szCs w:val="22"/>
          <w:u w:val="single" w:color="auto"/>
          <w:color w:val="auto"/>
        </w:rPr>
        <w:t>Section 2.19</w:t>
      </w:r>
      <w:r>
        <w:rPr>
          <w:rFonts w:ascii="Arial" w:cs="Arial" w:eastAsia="Arial" w:hAnsi="Arial"/>
          <w:sz w:val="22"/>
          <w:szCs w:val="22"/>
          <w:color w:val="auto"/>
        </w:rPr>
        <w:t>) or any of the Security Documents (including Liens in favor of the Designated Indebtedness Holders (as defined in the Guarantee and Security Agreement));</w:t>
      </w:r>
    </w:p>
    <w:p>
      <w:pPr>
        <w:spacing w:after="0" w:line="186" w:lineRule="exact"/>
        <w:rPr>
          <w:rFonts w:ascii="Arial" w:cs="Arial" w:eastAsia="Arial" w:hAnsi="Arial"/>
          <w:sz w:val="22"/>
          <w:szCs w:val="22"/>
          <w:color w:val="auto"/>
        </w:rPr>
      </w:pPr>
    </w:p>
    <w:p>
      <w:pPr>
        <w:ind w:left="2620" w:hanging="885"/>
        <w:spacing w:after="0"/>
        <w:tabs>
          <w:tab w:leader="none" w:pos="26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Liens on the assets of a Financing Subsidiary securing obligations of such Financing Subsidiary;</w:t>
      </w:r>
    </w:p>
    <w:p>
      <w:pPr>
        <w:spacing w:after="0" w:line="24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65" w:name="page266"/>
    <w:bookmarkEnd w:id="265"/>
    <w:p>
      <w:pPr>
        <w:ind w:firstLine="1735"/>
        <w:spacing w:after="0" w:line="328" w:lineRule="auto"/>
        <w:tabs>
          <w:tab w:leader="none" w:pos="2627" w:val="left"/>
        </w:tabs>
        <w:numPr>
          <w:ilvl w:val="0"/>
          <w:numId w:val="265"/>
        </w:numPr>
        <w:rPr>
          <w:rFonts w:ascii="Arial" w:cs="Arial" w:eastAsia="Arial" w:hAnsi="Arial"/>
          <w:sz w:val="19"/>
          <w:szCs w:val="19"/>
          <w:color w:val="auto"/>
        </w:rPr>
      </w:pPr>
      <w:r>
        <w:rPr>
          <w:rFonts w:ascii="Arial" w:cs="Arial" w:eastAsia="Arial" w:hAnsi="Arial"/>
          <w:sz w:val="19"/>
          <w:szCs w:val="19"/>
          <w:color w:val="auto"/>
        </w:rPr>
        <w:t>Liens on Special Equity Interests included in the Portfolio Investments of the Borrower but only to the extent securing obligations in the manner provided in the definition of “</w:t>
      </w:r>
      <w:r>
        <w:rPr>
          <w:rFonts w:ascii="Arial" w:cs="Arial" w:eastAsia="Arial" w:hAnsi="Arial"/>
          <w:sz w:val="19"/>
          <w:szCs w:val="19"/>
          <w:u w:val="single" w:color="auto"/>
          <w:color w:val="auto"/>
        </w:rPr>
        <w:t>Special Equity Interests</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1735"/>
        <w:spacing w:after="0" w:line="279" w:lineRule="auto"/>
        <w:tabs>
          <w:tab w:leader="none" w:pos="2615"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Liens securing Indebtedness or other obligations in an aggregate principal amount not exceeding the greater of (i) $25,000,000 and (ii) 5% of Borrower Net Worth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(n)</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does not exceed the lesser of (i) the Borrowing Base and (ii) the amount required to comply with the provisions of </w:t>
      </w:r>
      <w:r>
        <w:rPr>
          <w:rFonts w:ascii="Arial" w:cs="Arial" w:eastAsia="Arial" w:hAnsi="Arial"/>
          <w:sz w:val="19"/>
          <w:szCs w:val="19"/>
          <w:u w:val="single" w:color="auto"/>
          <w:color w:val="auto"/>
        </w:rPr>
        <w:t>Sections 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2600" w:hanging="865"/>
        <w:spacing w:after="0"/>
        <w:tabs>
          <w:tab w:leader="none" w:pos="260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Liens on Equity Interests in any SBIC Subsidiary created in favor of the SBA;</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1735"/>
        <w:spacing w:after="0" w:line="244" w:lineRule="auto"/>
        <w:tabs>
          <w:tab w:leader="none" w:pos="2579"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(x) Liens securing Hedging Agreements permitted under </w:t>
      </w:r>
      <w:r>
        <w:rPr>
          <w:rFonts w:ascii="Arial" w:cs="Arial" w:eastAsia="Arial" w:hAnsi="Arial"/>
          <w:sz w:val="21"/>
          <w:szCs w:val="21"/>
          <w:u w:val="single" w:color="auto"/>
          <w:color w:val="auto"/>
        </w:rPr>
        <w:t>Section 6.04(c)</w:t>
      </w:r>
      <w:r>
        <w:rPr>
          <w:rFonts w:ascii="Arial" w:cs="Arial" w:eastAsia="Arial" w:hAnsi="Arial"/>
          <w:sz w:val="21"/>
          <w:szCs w:val="21"/>
          <w:color w:val="auto"/>
        </w:rPr>
        <w:t xml:space="preserve"> and not otherwise permitted under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21"/>
          <w:szCs w:val="21"/>
          <w:u w:val="single" w:color="auto"/>
          <w:color w:val="auto"/>
        </w:rPr>
        <w:t>sub-clause (y)</w:t>
      </w:r>
      <w:r>
        <w:rPr>
          <w:rFonts w:ascii="Arial" w:cs="Arial" w:eastAsia="Arial" w:hAnsi="Arial"/>
          <w:sz w:val="21"/>
          <w:szCs w:val="21"/>
          <w:color w:val="auto"/>
        </w:rPr>
        <w:t xml:space="preserve"> even if such Lender has assigned all of its Loans and other interests in the Credit Agreement and thus has ceased to be a Lender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any Obligor be permitted to create, incur or assume any Lien pursuant to this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or increase the aggregate amount of collateral securing any Liens previously permitted under this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88" w:lineRule="exact"/>
        <w:rPr>
          <w:rFonts w:ascii="Arial" w:cs="Arial" w:eastAsia="Arial" w:hAnsi="Arial"/>
          <w:sz w:val="21"/>
          <w:szCs w:val="21"/>
          <w:color w:val="auto"/>
        </w:rPr>
      </w:pPr>
    </w:p>
    <w:p>
      <w:pPr>
        <w:ind w:left="2580" w:hanging="845"/>
        <w:spacing w:after="0"/>
        <w:tabs>
          <w:tab w:leader="none" w:pos="258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Liens securing repurchase obligations arising in the ordinary course of business with respect to U.S.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Government Securities.</w:t>
      </w:r>
    </w:p>
    <w:p>
      <w:pPr>
        <w:spacing w:after="0" w:line="188"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6" w:name="page267"/>
    <w:bookmarkEnd w:id="266"/>
    <w:p>
      <w:pPr>
        <w:spacing w:after="0"/>
        <w:rPr>
          <w:sz w:val="20"/>
          <w:szCs w:val="20"/>
          <w:color w:val="auto"/>
        </w:rPr>
      </w:pPr>
      <w:r>
        <w:rPr>
          <w:rFonts w:ascii="Arial" w:cs="Arial" w:eastAsia="Arial" w:hAnsi="Arial"/>
          <w:sz w:val="19"/>
          <w:szCs w:val="19"/>
          <w:color w:val="auto"/>
        </w:rPr>
        <w:t>one transaction or a series of transactions, any part of its assets, whether now owned or hereafter acquired, but excluding</w:t>
      </w:r>
    </w:p>
    <w:p>
      <w:pPr>
        <w:spacing w:after="0" w:line="43" w:lineRule="exact"/>
        <w:rPr>
          <w:sz w:val="20"/>
          <w:szCs w:val="20"/>
          <w:color w:val="auto"/>
        </w:rPr>
      </w:pPr>
    </w:p>
    <w:p>
      <w:pPr>
        <w:jc w:val="both"/>
        <w:ind w:firstLine="8"/>
        <w:spacing w:after="0" w:line="241" w:lineRule="auto"/>
        <w:tabs>
          <w:tab w:leader="none" w:pos="367" w:val="left"/>
        </w:tabs>
        <w:numPr>
          <w:ilvl w:val="0"/>
          <w:numId w:val="266"/>
        </w:numPr>
        <w:rPr>
          <w:rFonts w:ascii="Arial" w:cs="Arial" w:eastAsia="Arial" w:hAnsi="Arial"/>
          <w:sz w:val="21"/>
          <w:szCs w:val="21"/>
          <w:color w:val="auto"/>
        </w:rPr>
      </w:pPr>
      <w:r>
        <w:rPr>
          <w:rFonts w:ascii="Arial" w:cs="Arial" w:eastAsia="Arial" w:hAnsi="Arial"/>
          <w:sz w:val="21"/>
          <w:szCs w:val="21"/>
          <w:color w:val="auto"/>
        </w:rPr>
        <w:t>assets (other than Portfolio Investments) sold or disposed of in the ordinary course of business (including to make expenditures of cash in the normal course of the day-to-day business activities of the Borrower and its Subsidiaries) and</w:t>
      </w:r>
    </w:p>
    <w:p>
      <w:pPr>
        <w:spacing w:after="0" w:line="1" w:lineRule="exact"/>
        <w:rPr>
          <w:rFonts w:ascii="Arial" w:cs="Arial" w:eastAsia="Arial" w:hAnsi="Arial"/>
          <w:sz w:val="21"/>
          <w:szCs w:val="21"/>
          <w:color w:val="auto"/>
        </w:rPr>
      </w:pPr>
    </w:p>
    <w:p>
      <w:pPr>
        <w:ind w:left="320" w:hanging="312"/>
        <w:spacing w:after="0"/>
        <w:tabs>
          <w:tab w:leader="none" w:pos="32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clauses (d)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below, Portfolio Investments.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Notwithstanding the foregoing provisions of this Section:</w:t>
      </w:r>
    </w:p>
    <w:p>
      <w:pPr>
        <w:spacing w:after="0" w:line="206" w:lineRule="exact"/>
        <w:rPr>
          <w:sz w:val="20"/>
          <w:szCs w:val="20"/>
          <w:color w:val="auto"/>
        </w:rPr>
      </w:pPr>
    </w:p>
    <w:p>
      <w:pPr>
        <w:jc w:val="both"/>
        <w:ind w:firstLine="1735"/>
        <w:spacing w:after="0" w:line="297" w:lineRule="auto"/>
        <w:tabs>
          <w:tab w:leader="none" w:pos="2615"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any Subsidiary Guarantor of the Borrower may be merged or consolidated with or into the Borrower or any other Subsidiary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transaction shall be between a Subsidiary Guarantor and a wholly owned Subsidiary Guarantor, the wholly owned Subsidiary Guarantor shall be the continuing or surviving corporation;</w:t>
      </w:r>
    </w:p>
    <w:p>
      <w:pPr>
        <w:spacing w:after="0" w:line="133" w:lineRule="exact"/>
        <w:rPr>
          <w:rFonts w:ascii="Arial" w:cs="Arial" w:eastAsia="Arial" w:hAnsi="Arial"/>
          <w:sz w:val="19"/>
          <w:szCs w:val="19"/>
          <w:color w:val="auto"/>
        </w:rPr>
      </w:pPr>
    </w:p>
    <w:p>
      <w:pPr>
        <w:jc w:val="both"/>
        <w:ind w:firstLine="1735"/>
        <w:spacing w:after="0"/>
        <w:tabs>
          <w:tab w:leader="none" w:pos="262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86" w:lineRule="exact"/>
        <w:rPr>
          <w:rFonts w:ascii="Arial" w:cs="Arial" w:eastAsia="Arial" w:hAnsi="Arial"/>
          <w:sz w:val="22"/>
          <w:szCs w:val="22"/>
          <w:color w:val="auto"/>
        </w:rPr>
      </w:pPr>
    </w:p>
    <w:p>
      <w:pPr>
        <w:ind w:firstLine="1735"/>
        <w:spacing w:after="0" w:line="250" w:lineRule="auto"/>
        <w:tabs>
          <w:tab w:leader="none" w:pos="2615"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capital stock of any Subsidiary of the Borrower may be sold, transferred or otherwise disposed of to the Borrower or any wholly owned Subsidiary Guarantor of the Borrower;</w:t>
      </w:r>
    </w:p>
    <w:p>
      <w:pPr>
        <w:spacing w:after="0" w:line="174" w:lineRule="exact"/>
        <w:rPr>
          <w:rFonts w:ascii="Arial" w:cs="Arial" w:eastAsia="Arial" w:hAnsi="Arial"/>
          <w:sz w:val="22"/>
          <w:szCs w:val="22"/>
          <w:color w:val="auto"/>
        </w:rPr>
      </w:pPr>
    </w:p>
    <w:p>
      <w:pPr>
        <w:jc w:val="both"/>
        <w:ind w:firstLine="1735"/>
        <w:spacing w:after="0" w:line="287" w:lineRule="auto"/>
        <w:tabs>
          <w:tab w:leader="none" w:pos="2627"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42" w:lineRule="exact"/>
        <w:rPr>
          <w:rFonts w:ascii="Arial" w:cs="Arial" w:eastAsia="Arial" w:hAnsi="Arial"/>
          <w:sz w:val="19"/>
          <w:szCs w:val="19"/>
          <w:color w:val="auto"/>
        </w:rPr>
      </w:pPr>
    </w:p>
    <w:p>
      <w:pPr>
        <w:jc w:val="both"/>
        <w:ind w:firstLine="1735"/>
        <w:spacing w:after="0" w:line="277" w:lineRule="auto"/>
        <w:tabs>
          <w:tab w:leader="none" w:pos="2615"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51" w:lineRule="exact"/>
        <w:rPr>
          <w:rFonts w:ascii="Arial" w:cs="Arial" w:eastAsia="Arial" w:hAnsi="Arial"/>
          <w:sz w:val="19"/>
          <w:szCs w:val="19"/>
          <w:color w:val="auto"/>
        </w:rPr>
      </w:pPr>
    </w:p>
    <w:p>
      <w:pPr>
        <w:jc w:val="both"/>
        <w:ind w:firstLine="1735"/>
        <w:spacing w:after="0"/>
        <w:tabs>
          <w:tab w:leader="none" w:pos="2591"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186" w:lineRule="exact"/>
        <w:rPr>
          <w:rFonts w:ascii="Arial" w:cs="Arial" w:eastAsia="Arial" w:hAnsi="Arial"/>
          <w:sz w:val="22"/>
          <w:szCs w:val="22"/>
          <w:color w:val="auto"/>
        </w:rPr>
      </w:pPr>
    </w:p>
    <w:p>
      <w:pPr>
        <w:jc w:val="both"/>
        <w:ind w:firstLine="1735"/>
        <w:spacing w:after="0" w:line="257" w:lineRule="auto"/>
        <w:tabs>
          <w:tab w:leader="none" w:pos="2627"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7" w:name="page268"/>
    <w:bookmarkEnd w:id="267"/>
    <w:p>
      <w:pPr>
        <w:ind w:firstLine="1727"/>
        <w:spacing w:after="0" w:line="250"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will not, nor will it permit any of the Subsidiary Guarantors to, acquire, make or enter into, or hold, any Investments except:</w:t>
      </w:r>
    </w:p>
    <w:p>
      <w:pPr>
        <w:spacing w:after="0" w:line="175" w:lineRule="exact"/>
        <w:rPr>
          <w:sz w:val="20"/>
          <w:szCs w:val="20"/>
          <w:color w:val="auto"/>
        </w:rPr>
      </w:pPr>
    </w:p>
    <w:p>
      <w:pPr>
        <w:ind w:left="2620" w:hanging="885"/>
        <w:spacing w:after="0"/>
        <w:tabs>
          <w:tab w:leader="none" w:pos="262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operating deposit accounts with banks;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Investments by the Borrower and the Subsidiary Guarantors in the Borrower and the Subsidiary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Guarantors;</w:t>
      </w:r>
    </w:p>
    <w:p>
      <w:pPr>
        <w:spacing w:after="0" w:line="188" w:lineRule="exact"/>
        <w:rPr>
          <w:sz w:val="20"/>
          <w:szCs w:val="20"/>
          <w:color w:val="auto"/>
        </w:rPr>
      </w:pPr>
    </w:p>
    <w:p>
      <w:pPr>
        <w:ind w:left="2620" w:hanging="885"/>
        <w:spacing w:after="0"/>
        <w:tabs>
          <w:tab w:leader="none" w:pos="26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Hedging Agreements entered into in the ordinary course of the Borrower’s financial planning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 for speculative purposes;</w:t>
      </w:r>
    </w:p>
    <w:p>
      <w:pPr>
        <w:spacing w:after="0" w:line="188" w:lineRule="exact"/>
        <w:rPr>
          <w:rFonts w:ascii="Arial" w:cs="Arial" w:eastAsia="Arial" w:hAnsi="Arial"/>
          <w:sz w:val="19"/>
          <w:szCs w:val="19"/>
          <w:color w:val="auto"/>
        </w:rPr>
      </w:pPr>
    </w:p>
    <w:p>
      <w:pPr>
        <w:jc w:val="both"/>
        <w:ind w:firstLine="1735"/>
        <w:spacing w:after="0"/>
        <w:tabs>
          <w:tab w:leader="none" w:pos="2627" w:val="left"/>
        </w:tabs>
        <w:numPr>
          <w:ilvl w:val="0"/>
          <w:numId w:val="269"/>
        </w:numPr>
        <w:rPr>
          <w:rFonts w:ascii="Arial" w:cs="Arial" w:eastAsia="Arial" w:hAnsi="Arial"/>
          <w:sz w:val="22"/>
          <w:szCs w:val="22"/>
          <w:color w:val="auto"/>
        </w:rPr>
      </w:pPr>
      <w:r>
        <w:rPr>
          <w:rFonts w:ascii="Arial" w:cs="Arial" w:eastAsia="Arial" w:hAnsi="Arial"/>
          <w:sz w:val="22"/>
          <w:szCs w:val="22"/>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86" w:lineRule="exact"/>
        <w:rPr>
          <w:rFonts w:ascii="Arial" w:cs="Arial" w:eastAsia="Arial" w:hAnsi="Arial"/>
          <w:sz w:val="22"/>
          <w:szCs w:val="22"/>
          <w:color w:val="auto"/>
        </w:rPr>
      </w:pPr>
    </w:p>
    <w:p>
      <w:pPr>
        <w:jc w:val="both"/>
        <w:ind w:firstLine="1735"/>
        <w:spacing w:after="0" w:line="252" w:lineRule="auto"/>
        <w:tabs>
          <w:tab w:leader="none" w:pos="2615" w:val="left"/>
        </w:tabs>
        <w:numPr>
          <w:ilvl w:val="0"/>
          <w:numId w:val="269"/>
        </w:numPr>
        <w:rPr>
          <w:rFonts w:ascii="Arial" w:cs="Arial" w:eastAsia="Arial" w:hAnsi="Arial"/>
          <w:sz w:val="21"/>
          <w:szCs w:val="21"/>
          <w:color w:val="auto"/>
        </w:rPr>
      </w:pPr>
      <w:r>
        <w:rPr>
          <w:rFonts w:ascii="Arial" w:cs="Arial" w:eastAsia="Arial" w:hAnsi="Arial"/>
          <w:sz w:val="21"/>
          <w:szCs w:val="21"/>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that occur after the Extended Commitment Termination Date and (y) all Investments under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below that occur after the Extended Commitment Termination Date, shall not exceed $10,000,000 in the aggregate;</w:t>
      </w:r>
    </w:p>
    <w:p>
      <w:pPr>
        <w:spacing w:after="0" w:line="173" w:lineRule="exact"/>
        <w:rPr>
          <w:rFonts w:ascii="Arial" w:cs="Arial" w:eastAsia="Arial" w:hAnsi="Arial"/>
          <w:sz w:val="21"/>
          <w:szCs w:val="21"/>
          <w:color w:val="auto"/>
        </w:rPr>
      </w:pPr>
    </w:p>
    <w:p>
      <w:pPr>
        <w:jc w:val="both"/>
        <w:ind w:firstLine="1735"/>
        <w:spacing w:after="0" w:line="238" w:lineRule="auto"/>
        <w:tabs>
          <w:tab w:leader="none" w:pos="259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 xml:space="preserve">additional Investments up to but not exceeding $15,000,000 in the aggregate;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sum of (x) all Investments under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that occur after the Extended Commitment Termination Date and (y) all Investments under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above that occur after the Extended Commitment Termination Date, shall not exceed $10,000,000 in the aggregate;</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 xml:space="preserve">Investments described on </w:t>
      </w:r>
      <w:r>
        <w:rPr>
          <w:rFonts w:ascii="Arial" w:cs="Arial" w:eastAsia="Arial" w:hAnsi="Arial"/>
          <w:sz w:val="22"/>
          <w:szCs w:val="22"/>
          <w:u w:val="single" w:color="auto"/>
          <w:color w:val="auto"/>
        </w:rPr>
        <w:t>Schedule 3.12(b)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80" w:hanging="845"/>
        <w:spacing w:after="0"/>
        <w:tabs>
          <w:tab w:leader="none" w:pos="25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Investments by a Financing Subsidiary; and</w:t>
      </w:r>
    </w:p>
    <w:p>
      <w:pPr>
        <w:spacing w:after="0" w:line="206" w:lineRule="exact"/>
        <w:rPr>
          <w:rFonts w:ascii="Arial" w:cs="Arial" w:eastAsia="Arial" w:hAnsi="Arial"/>
          <w:sz w:val="22"/>
          <w:szCs w:val="22"/>
          <w:color w:val="auto"/>
        </w:rPr>
      </w:pPr>
    </w:p>
    <w:p>
      <w:pPr>
        <w:ind w:left="2580" w:hanging="845"/>
        <w:spacing w:after="0"/>
        <w:tabs>
          <w:tab w:leader="none" w:pos="25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 xml:space="preserve">Investments in the form of Guarantees permitted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aggregate amount of dividends, distributions or other payments received in cash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52"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The Borrower will not, nor will it permit any of the Subsidiary Guarantors to, declare or make, or agree to pay or make, directly or indirectly, any Restricted Payment, except that the Borrower may declare and pay: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8" w:name="page269"/>
    <w:bookmarkEnd w:id="268"/>
    <w:p>
      <w:pPr>
        <w:ind w:firstLine="1735"/>
        <w:spacing w:after="0" w:line="250" w:lineRule="auto"/>
        <w:tabs>
          <w:tab w:leader="none" w:pos="2615" w:val="left"/>
        </w:tabs>
        <w:numPr>
          <w:ilvl w:val="2"/>
          <w:numId w:val="270"/>
        </w:numPr>
        <w:rPr>
          <w:rFonts w:ascii="Arial" w:cs="Arial" w:eastAsia="Arial" w:hAnsi="Arial"/>
          <w:sz w:val="22"/>
          <w:szCs w:val="22"/>
          <w:color w:val="auto"/>
        </w:rPr>
      </w:pPr>
      <w:r>
        <w:rPr>
          <w:rFonts w:ascii="Arial" w:cs="Arial" w:eastAsia="Arial" w:hAnsi="Arial"/>
          <w:sz w:val="22"/>
          <w:szCs w:val="22"/>
          <w:color w:val="auto"/>
        </w:rPr>
        <w:t>dividends with respect to the capital stock of the Borrower payable solely in additional shares of the Borrower’s common stock;</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27" w:val="left"/>
        </w:tabs>
        <w:numPr>
          <w:ilvl w:val="2"/>
          <w:numId w:val="270"/>
        </w:numPr>
        <w:rPr>
          <w:rFonts w:ascii="Arial" w:cs="Arial" w:eastAsia="Arial" w:hAnsi="Arial"/>
          <w:sz w:val="22"/>
          <w:szCs w:val="22"/>
          <w:color w:val="auto"/>
        </w:rPr>
      </w:pPr>
      <w:r>
        <w:rPr>
          <w:rFonts w:ascii="Arial" w:cs="Arial" w:eastAsia="Arial" w:hAnsi="Arial"/>
          <w:sz w:val="22"/>
          <w:szCs w:val="22"/>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84" w:lineRule="exact"/>
        <w:rPr>
          <w:rFonts w:ascii="Arial" w:cs="Arial" w:eastAsia="Arial" w:hAnsi="Arial"/>
          <w:sz w:val="22"/>
          <w:szCs w:val="22"/>
          <w:color w:val="auto"/>
        </w:rPr>
      </w:pPr>
    </w:p>
    <w:p>
      <w:pPr>
        <w:jc w:val="both"/>
        <w:ind w:firstLine="1735"/>
        <w:spacing w:after="0"/>
        <w:tabs>
          <w:tab w:leader="none" w:pos="2615" w:val="left"/>
        </w:tabs>
        <w:numPr>
          <w:ilvl w:val="2"/>
          <w:numId w:val="270"/>
        </w:numPr>
        <w:rPr>
          <w:rFonts w:ascii="Arial" w:cs="Arial" w:eastAsia="Arial" w:hAnsi="Arial"/>
          <w:sz w:val="22"/>
          <w:szCs w:val="22"/>
          <w:color w:val="auto"/>
        </w:rPr>
      </w:pPr>
      <w:r>
        <w:rPr>
          <w:rFonts w:ascii="Arial" w:cs="Arial" w:eastAsia="Arial" w:hAnsi="Arial"/>
          <w:sz w:val="22"/>
          <w:szCs w:val="22"/>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so long as on the date of such Restricted Payment and after giving effect thereto:</w:t>
      </w:r>
    </w:p>
    <w:p>
      <w:pPr>
        <w:spacing w:after="0" w:line="186" w:lineRule="exact"/>
        <w:rPr>
          <w:rFonts w:ascii="Arial" w:cs="Arial" w:eastAsia="Arial" w:hAnsi="Arial"/>
          <w:sz w:val="22"/>
          <w:szCs w:val="22"/>
          <w:color w:val="auto"/>
        </w:rPr>
      </w:pPr>
    </w:p>
    <w:p>
      <w:pPr>
        <w:ind w:left="2520" w:hanging="851"/>
        <w:spacing w:after="0"/>
        <w:tabs>
          <w:tab w:leader="none" w:pos="252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no Default shall have occurred and be continuing or would result therefrom; and</w:t>
      </w:r>
    </w:p>
    <w:p>
      <w:pPr>
        <w:spacing w:after="0" w:line="206" w:lineRule="exact"/>
        <w:rPr>
          <w:rFonts w:ascii="Arial" w:cs="Arial" w:eastAsia="Arial" w:hAnsi="Arial"/>
          <w:sz w:val="22"/>
          <w:szCs w:val="22"/>
          <w:color w:val="auto"/>
        </w:rPr>
      </w:pPr>
    </w:p>
    <w:p>
      <w:pPr>
        <w:jc w:val="both"/>
        <w:ind w:left="880" w:firstLine="789"/>
        <w:spacing w:after="0" w:line="270" w:lineRule="auto"/>
        <w:tabs>
          <w:tab w:leader="none" w:pos="2589" w:val="left"/>
        </w:tabs>
        <w:numPr>
          <w:ilvl w:val="1"/>
          <w:numId w:val="271"/>
        </w:numPr>
        <w:rPr>
          <w:rFonts w:ascii="Arial" w:cs="Arial" w:eastAsia="Arial" w:hAnsi="Arial"/>
          <w:sz w:val="19"/>
          <w:szCs w:val="19"/>
          <w:color w:val="auto"/>
        </w:rPr>
      </w:pPr>
      <w:r>
        <w:rPr>
          <w:rFonts w:ascii="Arial" w:cs="Arial" w:eastAsia="Arial" w:hAnsi="Arial"/>
          <w:sz w:val="19"/>
          <w:szCs w:val="19"/>
          <w:color w:val="auto"/>
        </w:rPr>
        <w:t xml:space="preserve">the aggregate amount of Restricted Payments made during any taxable year of the Borrower after the date hereof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exceed the difference of (x) an amount equal to 10% of the taxable income of the Borrower for such taxable year determined under section 852(b)(2) of the Code, but without regard to </w:t>
      </w:r>
      <w:r>
        <w:rPr>
          <w:rFonts w:ascii="Arial" w:cs="Arial" w:eastAsia="Arial" w:hAnsi="Arial"/>
          <w:sz w:val="19"/>
          <w:szCs w:val="19"/>
          <w:u w:val="single" w:color="auto"/>
          <w:color w:val="auto"/>
        </w:rPr>
        <w:t>subparagraphs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thereof,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the amount, if any, by which dividends and distributions made during such taxable year pursuant to the foregoing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9"/>
          <w:szCs w:val="19"/>
          <w:u w:val="single" w:color="auto"/>
          <w:color w:val="auto"/>
        </w:rPr>
        <w:t>subclauses</w:t>
      </w:r>
    </w:p>
    <w:p>
      <w:pPr>
        <w:spacing w:after="0" w:line="1" w:lineRule="exact"/>
        <w:rPr>
          <w:rFonts w:ascii="Arial" w:cs="Arial" w:eastAsia="Arial" w:hAnsi="Arial"/>
          <w:sz w:val="19"/>
          <w:szCs w:val="19"/>
          <w:color w:val="auto"/>
        </w:rPr>
      </w:pPr>
    </w:p>
    <w:p>
      <w:pPr>
        <w:ind w:left="1120" w:hanging="248"/>
        <w:spacing w:after="0"/>
        <w:tabs>
          <w:tab w:leader="none" w:pos="1120" w:val="left"/>
        </w:tabs>
        <w:numPr>
          <w:ilvl w:val="0"/>
          <w:numId w:val="272"/>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such foregoing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for such taxable year.</w:t>
      </w:r>
    </w:p>
    <w:p>
      <w:pPr>
        <w:spacing w:after="0" w:line="188" w:lineRule="exact"/>
        <w:rPr>
          <w:rFonts w:ascii="Arial" w:cs="Arial" w:eastAsia="Arial" w:hAnsi="Arial"/>
          <w:sz w:val="22"/>
          <w:szCs w:val="22"/>
          <w:u w:val="single" w:color="auto"/>
          <w:color w:val="auto"/>
        </w:rPr>
      </w:pPr>
    </w:p>
    <w:p>
      <w:pPr>
        <w:jc w:val="both"/>
        <w:ind w:firstLine="1735"/>
        <w:spacing w:after="0"/>
        <w:tabs>
          <w:tab w:leader="none" w:pos="2627" w:val="left"/>
        </w:tabs>
        <w:numPr>
          <w:ilvl w:val="2"/>
          <w:numId w:val="272"/>
        </w:numPr>
        <w:rPr>
          <w:rFonts w:ascii="Arial" w:cs="Arial" w:eastAsia="Arial" w:hAnsi="Arial"/>
          <w:sz w:val="22"/>
          <w:szCs w:val="22"/>
          <w:color w:val="auto"/>
        </w:rPr>
      </w:pPr>
      <w:r>
        <w:rPr>
          <w:rFonts w:ascii="Arial" w:cs="Arial" w:eastAsia="Arial" w:hAnsi="Arial"/>
          <w:sz w:val="22"/>
          <w:szCs w:val="22"/>
          <w:color w:val="auto"/>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pacing w:after="0" w:line="18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Nothing herein shall be deemed to prohibit the payment of Restricted Payments by any Subsidiary of the Borrower to the Borrower or to any other Subsidiary Guarantor.</w:t>
      </w:r>
    </w:p>
    <w:p>
      <w:pPr>
        <w:spacing w:after="0" w:line="175"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u w:val="single" w:color="auto"/>
          <w:color w:val="auto"/>
        </w:rPr>
        <w:t>Certain Restrictions on Subsidiaries</w:t>
      </w:r>
      <w:r>
        <w:rPr>
          <w:rFonts w:ascii="Arial" w:cs="Arial" w:eastAsia="Arial" w:hAnsi="Arial"/>
          <w:sz w:val="21"/>
          <w:szCs w:val="21"/>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69" w:name="page270"/>
    <w:bookmarkEnd w:id="269"/>
    <w:p>
      <w:pPr>
        <w:jc w:val="both"/>
        <w:spacing w:after="0"/>
        <w:rPr>
          <w:sz w:val="20"/>
          <w:szCs w:val="20"/>
          <w:color w:val="auto"/>
        </w:rPr>
      </w:pPr>
      <w:r>
        <w:rPr>
          <w:rFonts w:ascii="Arial" w:cs="Arial" w:eastAsia="Arial" w:hAnsi="Arial"/>
          <w:sz w:val="22"/>
          <w:szCs w:val="22"/>
          <w:color w:val="auto"/>
        </w:rPr>
        <w:t>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86"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Certain Financial Covenants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Minimum Shareholders’ Equity</w:t>
      </w:r>
      <w:r>
        <w:rPr>
          <w:rFonts w:ascii="Arial" w:cs="Arial" w:eastAsia="Arial" w:hAnsi="Arial"/>
          <w:sz w:val="22"/>
          <w:szCs w:val="22"/>
          <w:color w:val="auto"/>
        </w:rPr>
        <w:t>. The Borrower will not permit Shareholders’ Equity at the last day of any fiscal quarter of the Borrower to be less than $500,000,000 plus 25% of the net proceeds of the sale of Equity Interests by the Borrower and its Subsidiaries after the Ninth Amendment Effective Date (other than proceeds of sales of Equity Interests by and among the Borrower and its Subsidiaries).</w:t>
      </w:r>
    </w:p>
    <w:p>
      <w:pPr>
        <w:spacing w:after="0" w:line="184" w:lineRule="exact"/>
        <w:rPr>
          <w:rFonts w:ascii="Arial" w:cs="Arial" w:eastAsia="Arial" w:hAnsi="Arial"/>
          <w:sz w:val="22"/>
          <w:szCs w:val="22"/>
          <w:color w:val="auto"/>
        </w:rPr>
      </w:pPr>
    </w:p>
    <w:p>
      <w:pPr>
        <w:ind w:right="20" w:firstLine="1735"/>
        <w:spacing w:after="0" w:line="250" w:lineRule="auto"/>
        <w:tabs>
          <w:tab w:leader="none" w:pos="2627"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Minimum Borrower Net Worth</w:t>
      </w:r>
      <w:r>
        <w:rPr>
          <w:rFonts w:ascii="Arial" w:cs="Arial" w:eastAsia="Arial" w:hAnsi="Arial"/>
          <w:sz w:val="22"/>
          <w:szCs w:val="22"/>
          <w:color w:val="auto"/>
        </w:rPr>
        <w:t>. The Borrower will not permit Borrower Net Worth at the last day of any fiscal quarter of the Borrower to be less than $350,000,000.</w:t>
      </w:r>
    </w:p>
    <w:p>
      <w:pPr>
        <w:spacing w:after="0" w:line="174" w:lineRule="exact"/>
        <w:rPr>
          <w:rFonts w:ascii="Arial" w:cs="Arial" w:eastAsia="Arial" w:hAnsi="Arial"/>
          <w:sz w:val="22"/>
          <w:szCs w:val="22"/>
          <w:color w:val="auto"/>
        </w:rPr>
      </w:pPr>
    </w:p>
    <w:p>
      <w:pPr>
        <w:ind w:firstLine="1735"/>
        <w:spacing w:after="0" w:line="250" w:lineRule="auto"/>
        <w:tabs>
          <w:tab w:leader="none" w:pos="2615"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Borrower Asset Coverage Ratio</w:t>
      </w:r>
      <w:r>
        <w:rPr>
          <w:rFonts w:ascii="Arial" w:cs="Arial" w:eastAsia="Arial" w:hAnsi="Arial"/>
          <w:sz w:val="22"/>
          <w:szCs w:val="22"/>
          <w:color w:val="auto"/>
        </w:rPr>
        <w:t>. The Borrower will not permit the Borrower Asset Coverage Ratio at the last day of any fiscal quarter of the Borrower to be less than 2.00 to 1 at any time.</w:t>
      </w:r>
    </w:p>
    <w:p>
      <w:pPr>
        <w:spacing w:after="0" w:line="174" w:lineRule="exact"/>
        <w:rPr>
          <w:rFonts w:ascii="Arial" w:cs="Arial" w:eastAsia="Arial" w:hAnsi="Arial"/>
          <w:sz w:val="22"/>
          <w:szCs w:val="22"/>
          <w:color w:val="auto"/>
        </w:rPr>
      </w:pPr>
    </w:p>
    <w:p>
      <w:pPr>
        <w:ind w:right="20" w:firstLine="1735"/>
        <w:spacing w:after="0" w:line="250" w:lineRule="auto"/>
        <w:tabs>
          <w:tab w:leader="none" w:pos="2627"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Consolidated Asset Coverage Ratio</w:t>
      </w:r>
      <w:r>
        <w:rPr>
          <w:rFonts w:ascii="Arial" w:cs="Arial" w:eastAsia="Arial" w:hAnsi="Arial"/>
          <w:sz w:val="22"/>
          <w:szCs w:val="22"/>
          <w:color w:val="auto"/>
        </w:rPr>
        <w:t>. The Borrower will not permit the Consolidated Asset Coverage Ratio at the last day of any fiscal quarter of the Borrower to be less than 1.50 to 1 at any time.</w:t>
      </w:r>
    </w:p>
    <w:p>
      <w:pPr>
        <w:spacing w:after="0" w:line="174" w:lineRule="exact"/>
        <w:rPr>
          <w:rFonts w:ascii="Arial" w:cs="Arial" w:eastAsia="Arial" w:hAnsi="Arial"/>
          <w:sz w:val="22"/>
          <w:szCs w:val="22"/>
          <w:color w:val="auto"/>
        </w:rPr>
      </w:pPr>
    </w:p>
    <w:p>
      <w:pPr>
        <w:jc w:val="both"/>
        <w:ind w:firstLine="1735"/>
        <w:spacing w:after="0" w:line="235" w:lineRule="auto"/>
        <w:tabs>
          <w:tab w:leader="none" w:pos="2615"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Liquidity Test</w:t>
      </w:r>
      <w:r>
        <w:rPr>
          <w:rFonts w:ascii="Arial" w:cs="Arial" w:eastAsia="Arial" w:hAnsi="Arial"/>
          <w:sz w:val="22"/>
          <w:szCs w:val="22"/>
          <w:color w:val="auto"/>
        </w:rPr>
        <w:t>. The Borrower will not permit (a) the sum of (i) the aggregate Value of the Portfolio Investments that are Cash (excluding Cash Collateral for outstanding Letters of Credit) or that can be converted to Cash in fewer than 10 Business Days without more than a 5% change in price, plus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88" w:lineRule="exact"/>
        <w:rPr>
          <w:sz w:val="20"/>
          <w:szCs w:val="20"/>
          <w:color w:val="auto"/>
        </w:rPr>
      </w:pPr>
    </w:p>
    <w:p>
      <w:pPr>
        <w:ind w:firstLine="1727"/>
        <w:spacing w:after="0" w:line="276"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will not, and will not permit any of its Subsidiaries to enter into any transactions with any of its Affiliates, even if otherwise permitted under this Agreement, except</w:t>
      </w:r>
    </w:p>
    <w:p>
      <w:pPr>
        <w:spacing w:after="0" w:line="1" w:lineRule="exact"/>
        <w:rPr>
          <w:sz w:val="20"/>
          <w:szCs w:val="20"/>
          <w:color w:val="auto"/>
        </w:rPr>
      </w:pPr>
    </w:p>
    <w:p>
      <w:pPr>
        <w:jc w:val="both"/>
        <w:ind w:firstLine="8"/>
        <w:spacing w:after="0" w:line="266" w:lineRule="auto"/>
        <w:tabs>
          <w:tab w:leader="none" w:pos="314" w:val="left"/>
        </w:tabs>
        <w:numPr>
          <w:ilvl w:val="0"/>
          <w:numId w:val="274"/>
        </w:numPr>
        <w:rPr>
          <w:rFonts w:ascii="Arial" w:cs="Arial" w:eastAsia="Arial" w:hAnsi="Arial"/>
          <w:sz w:val="19"/>
          <w:szCs w:val="19"/>
          <w:color w:val="auto"/>
        </w:rPr>
      </w:pPr>
      <w:r>
        <w:rPr>
          <w:rFonts w:ascii="Arial" w:cs="Arial" w:eastAsia="Arial" w:hAnsi="Arial"/>
          <w:sz w:val="19"/>
          <w:szCs w:val="19"/>
          <w:color w:val="auto"/>
        </w:rPr>
        <w:t>transactions in the ordinary course of business at prices and on terms and conditions not less favorable to the Borrower or such Subsidiary (other than a SBIC Subsidiary) than could be obtained on an arm’s-length basis from unrelated third parties,</w:t>
      </w:r>
    </w:p>
    <w:p>
      <w:pPr>
        <w:spacing w:after="0" w:line="1" w:lineRule="exact"/>
        <w:rPr>
          <w:rFonts w:ascii="Arial" w:cs="Arial" w:eastAsia="Arial" w:hAnsi="Arial"/>
          <w:sz w:val="19"/>
          <w:szCs w:val="19"/>
          <w:color w:val="auto"/>
        </w:rPr>
      </w:pPr>
    </w:p>
    <w:p>
      <w:pPr>
        <w:jc w:val="both"/>
        <w:ind w:right="20" w:firstLine="8"/>
        <w:spacing w:after="0" w:line="266" w:lineRule="auto"/>
        <w:tabs>
          <w:tab w:leader="none" w:pos="322"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transactions between or among the Borrower and its Subsidiaries not involving any other Affiliate, (c) Restricted Payments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(d) the transactions provided in the Affiliate Agreements, (e) transactions described on </w:t>
      </w:r>
      <w:r>
        <w:rPr>
          <w:rFonts w:ascii="Arial" w:cs="Arial" w:eastAsia="Arial" w:hAnsi="Arial"/>
          <w:sz w:val="19"/>
          <w:szCs w:val="19"/>
          <w:u w:val="single" w:color="auto"/>
          <w:color w:val="auto"/>
        </w:rPr>
        <w:t>Schedule 6.08</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46" w:lineRule="auto"/>
        <w:tabs>
          <w:tab w:leader="none" w:pos="289" w:val="left"/>
        </w:tabs>
        <w:numPr>
          <w:ilvl w:val="0"/>
          <w:numId w:val="275"/>
        </w:numPr>
        <w:rPr>
          <w:rFonts w:ascii="Arial" w:cs="Arial" w:eastAsia="Arial" w:hAnsi="Arial"/>
          <w:sz w:val="21"/>
          <w:szCs w:val="21"/>
          <w:color w:val="auto"/>
        </w:rPr>
      </w:pPr>
      <w:r>
        <w:rPr>
          <w:rFonts w:ascii="Arial" w:cs="Arial" w:eastAsia="Arial" w:hAnsi="Arial"/>
          <w:sz w:val="21"/>
          <w:szCs w:val="21"/>
          <w:color w:val="auto"/>
        </w:rPr>
        <w:t>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80"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Lines of Business</w:t>
      </w:r>
      <w:r>
        <w:rPr>
          <w:rFonts w:ascii="Arial" w:cs="Arial" w:eastAsia="Arial" w:hAnsi="Arial"/>
          <w:sz w:val="22"/>
          <w:szCs w:val="22"/>
          <w:color w:val="auto"/>
        </w:rPr>
        <w:t>. The Borrower will not, nor will it permit any of its Subsidiaries (other than Immaterial Subsidiaries) to, engage to any material extent in any business other than in accordance with its Investment Policies. The Borrower will not, nor will it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0" w:name="page271"/>
    <w:bookmarkEnd w:id="270"/>
    <w:p>
      <w:pPr>
        <w:spacing w:after="0"/>
        <w:rPr>
          <w:sz w:val="20"/>
          <w:szCs w:val="20"/>
          <w:color w:val="auto"/>
        </w:rPr>
      </w:pPr>
      <w:r>
        <w:rPr>
          <w:rFonts w:ascii="Arial" w:cs="Arial" w:eastAsia="Arial" w:hAnsi="Arial"/>
          <w:sz w:val="21"/>
          <w:szCs w:val="21"/>
          <w:color w:val="auto"/>
        </w:rPr>
        <w:t>permit any of its Subsidiaries to amend or modify the Investment Policies (other than a Permitted Policy Amendment).</w:t>
      </w:r>
    </w:p>
    <w:p>
      <w:pPr>
        <w:spacing w:after="0" w:line="218"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No Further Negative Pledge</w:t>
      </w:r>
      <w:r>
        <w:rPr>
          <w:rFonts w:ascii="Arial" w:cs="Arial" w:eastAsia="Arial" w:hAnsi="Arial"/>
          <w:sz w:val="19"/>
          <w:szCs w:val="19"/>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6.01(b), (i)</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(n)</w:t>
      </w:r>
      <w:r>
        <w:rPr>
          <w:rFonts w:ascii="Arial" w:cs="Arial" w:eastAsia="Arial" w:hAnsi="Arial"/>
          <w:sz w:val="19"/>
          <w:szCs w:val="19"/>
          <w:color w:val="auto"/>
        </w:rPr>
        <w:t xml:space="preserve">; (b) covenants in documents creating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5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Modifications of Longer-Term Indebtedness Documents</w:t>
      </w:r>
      <w:r>
        <w:rPr>
          <w:rFonts w:ascii="Arial" w:cs="Arial" w:eastAsia="Arial" w:hAnsi="Arial"/>
          <w:sz w:val="22"/>
          <w:szCs w:val="22"/>
          <w:color w:val="auto"/>
        </w:rPr>
        <w:t>. The Borrower will not consent to any modification, supplement or waiver of:</w:t>
      </w:r>
    </w:p>
    <w:p>
      <w:pPr>
        <w:spacing w:after="0" w:line="175" w:lineRule="exact"/>
        <w:rPr>
          <w:sz w:val="20"/>
          <w:szCs w:val="20"/>
          <w:color w:val="auto"/>
        </w:rPr>
      </w:pPr>
    </w:p>
    <w:p>
      <w:pPr>
        <w:jc w:val="both"/>
        <w:ind w:firstLine="1735"/>
        <w:spacing w:after="0" w:line="269" w:lineRule="auto"/>
        <w:tabs>
          <w:tab w:leader="none" w:pos="2615" w:val="left"/>
        </w:tabs>
        <w:numPr>
          <w:ilvl w:val="1"/>
          <w:numId w:val="276"/>
        </w:numPr>
        <w:rPr>
          <w:rFonts w:ascii="Arial" w:cs="Arial" w:eastAsia="Arial" w:hAnsi="Arial"/>
          <w:sz w:val="19"/>
          <w:szCs w:val="19"/>
          <w:color w:val="auto"/>
        </w:rPr>
      </w:pPr>
      <w:r>
        <w:rPr>
          <w:rFonts w:ascii="Arial" w:cs="Arial" w:eastAsia="Arial" w:hAnsi="Arial"/>
          <w:sz w:val="19"/>
          <w:szCs w:val="19"/>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w:t>
      </w:r>
    </w:p>
    <w:p>
      <w:pPr>
        <w:spacing w:after="0" w:line="4" w:lineRule="exact"/>
        <w:rPr>
          <w:rFonts w:ascii="Arial" w:cs="Arial" w:eastAsia="Arial" w:hAnsi="Arial"/>
          <w:sz w:val="19"/>
          <w:szCs w:val="19"/>
          <w:color w:val="auto"/>
        </w:rPr>
      </w:pPr>
    </w:p>
    <w:p>
      <w:pPr>
        <w:jc w:val="both"/>
        <w:ind w:firstLine="8"/>
        <w:spacing w:after="0" w:line="246" w:lineRule="auto"/>
        <w:tabs>
          <w:tab w:leader="none" w:pos="367" w:val="left"/>
        </w:tabs>
        <w:numPr>
          <w:ilvl w:val="0"/>
          <w:numId w:val="277"/>
        </w:numPr>
        <w:rPr>
          <w:rFonts w:ascii="Arial" w:cs="Arial" w:eastAsia="Arial" w:hAnsi="Arial"/>
          <w:sz w:val="21"/>
          <w:szCs w:val="21"/>
          <w:color w:val="auto"/>
        </w:rPr>
      </w:pPr>
      <w:r>
        <w:rPr>
          <w:rFonts w:ascii="Arial" w:cs="Arial" w:eastAsia="Arial" w:hAnsi="Arial"/>
          <w:sz w:val="21"/>
          <w:szCs w:val="21"/>
          <w:color w:val="auto"/>
        </w:rPr>
        <w:t>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79" w:lineRule="exact"/>
        <w:rPr>
          <w:rFonts w:ascii="Arial" w:cs="Arial" w:eastAsia="Arial" w:hAnsi="Arial"/>
          <w:sz w:val="21"/>
          <w:szCs w:val="21"/>
          <w:color w:val="auto"/>
        </w:rPr>
      </w:pPr>
    </w:p>
    <w:p>
      <w:pPr>
        <w:jc w:val="both"/>
        <w:ind w:firstLine="1735"/>
        <w:spacing w:after="0" w:line="257" w:lineRule="auto"/>
        <w:tabs>
          <w:tab w:leader="none" w:pos="2627" w:val="left"/>
        </w:tabs>
        <w:numPr>
          <w:ilvl w:val="1"/>
          <w:numId w:val="277"/>
        </w:numPr>
        <w:rPr>
          <w:rFonts w:ascii="Arial" w:cs="Arial" w:eastAsia="Arial" w:hAnsi="Arial"/>
          <w:sz w:val="21"/>
          <w:szCs w:val="21"/>
          <w:color w:val="auto"/>
        </w:rPr>
      </w:pPr>
      <w:r>
        <w:rPr>
          <w:rFonts w:ascii="Arial" w:cs="Arial" w:eastAsia="Arial" w:hAnsi="Arial"/>
          <w:sz w:val="21"/>
          <w:szCs w:val="21"/>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1" w:name="page272"/>
    <w:bookmarkEnd w:id="271"/>
    <w:p>
      <w:pPr>
        <w:jc w:val="both"/>
        <w:ind w:firstLine="1727"/>
        <w:spacing w:after="0" w:line="269"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Payments of Longer-Term Indebtedness, the 2022 Convertible Notes, the 2023</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Notes, the 2024 Notes and the 2026 Notes</w:t>
      </w:r>
      <w:r>
        <w:rPr>
          <w:rFonts w:ascii="Arial" w:cs="Arial" w:eastAsia="Arial" w:hAnsi="Arial"/>
          <w:sz w:val="19"/>
          <w:szCs w:val="19"/>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2022 Convertible Notes, the 2023 Notes, the 2024 Notes or the 2026 Notes (other than the refinancing of Secured Longer-Term Indebtedness, Unsecured Longer-Term Indebtedness, Special Unsecured Indebtedness, the 2022 Convertible Notes, the 2023 Notes, the 2024 Notes or the 2026 Notes with Indebtedness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(b) so long as no Default shall exist or be continuing, any payment that, if treated as a Restricted Payment for purposes of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would be permitted to be made pursuant to the provisions set forth in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 (ii) no Default shall exist or be continuing; (d) mandatory payments, required prepayments or mandatory redemptions of the 2022 Convertible Notes, any other convertible notes constituting Unsecured Longer-Term Indebtedness or Special Unsecured Indebtedness in Cash (including any cash payment elected to be paid in connection with the settlement by the Borrower of any conversion at the option of any holder of such 2022 Convertible Notes or other convertible notes pursuant to the conversion features thereunder), the 2023 Notes, the 2024 Notes and the 2026 Notes,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200" w:lineRule="exact"/>
        <w:rPr>
          <w:sz w:val="20"/>
          <w:szCs w:val="20"/>
          <w:color w:val="auto"/>
        </w:rPr>
      </w:pPr>
    </w:p>
    <w:p>
      <w:pPr>
        <w:spacing w:after="0" w:line="212"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Accounting Changes</w:t>
      </w:r>
      <w:r>
        <w:rPr>
          <w:rFonts w:ascii="Arial" w:cs="Arial" w:eastAsia="Arial" w:hAnsi="Arial"/>
          <w:sz w:val="22"/>
          <w:szCs w:val="22"/>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SBIC Guarantee</w:t>
      </w:r>
      <w:r>
        <w:rPr>
          <w:rFonts w:ascii="Arial" w:cs="Arial" w:eastAsia="Arial" w:hAnsi="Arial"/>
          <w:sz w:val="22"/>
          <w:szCs w:val="22"/>
          <w:color w:val="auto"/>
        </w:rPr>
        <w:t>. The Borrower will not, nor will it permit any of its Subsidiaries to, cause or permit the occurrence of any event or condition that would result in any recourse to any Obligor under any Permitted SBIC Guarantee.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2" w:name="page273"/>
    <w:bookmarkEnd w:id="272"/>
    <w:p>
      <w:pPr>
        <w:ind w:left="4672"/>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532"/>
        <w:spacing w:after="0"/>
        <w:rPr>
          <w:sz w:val="20"/>
          <w:szCs w:val="20"/>
          <w:color w:val="auto"/>
        </w:rPr>
      </w:pPr>
      <w:r>
        <w:rPr>
          <w:rFonts w:ascii="Arial" w:cs="Arial" w:eastAsia="Arial" w:hAnsi="Arial"/>
          <w:sz w:val="22"/>
          <w:szCs w:val="22"/>
          <w:u w:val="single" w:color="auto"/>
          <w:color w:val="auto"/>
        </w:rPr>
        <w:t>EVENTS OF DEFAULT</w:t>
      </w:r>
    </w:p>
    <w:p>
      <w:pPr>
        <w:spacing w:after="0" w:line="206" w:lineRule="exact"/>
        <w:rPr>
          <w:sz w:val="20"/>
          <w:szCs w:val="20"/>
          <w:color w:val="auto"/>
        </w:rPr>
      </w:pPr>
    </w:p>
    <w:p>
      <w:pPr>
        <w:ind w:left="1732"/>
        <w:spacing w:after="0"/>
        <w:rPr>
          <w:sz w:val="20"/>
          <w:szCs w:val="20"/>
          <w:color w:val="auto"/>
        </w:rPr>
      </w:pPr>
      <w:r>
        <w:rPr>
          <w:rFonts w:ascii="Arial" w:cs="Arial" w:eastAsia="Arial" w:hAnsi="Arial"/>
          <w:sz w:val="22"/>
          <w:szCs w:val="22"/>
          <w:color w:val="auto"/>
        </w:rPr>
        <w:t>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 and be continuing:</w:t>
      </w:r>
    </w:p>
    <w:p>
      <w:pPr>
        <w:spacing w:after="0" w:line="206" w:lineRule="exact"/>
        <w:rPr>
          <w:sz w:val="20"/>
          <w:szCs w:val="20"/>
          <w:color w:val="auto"/>
        </w:rPr>
      </w:pPr>
    </w:p>
    <w:p>
      <w:pPr>
        <w:jc w:val="both"/>
        <w:ind w:left="-8" w:firstLine="1735"/>
        <w:spacing w:after="0" w:line="236" w:lineRule="auto"/>
        <w:tabs>
          <w:tab w:leader="none" w:pos="2607" w:val="left"/>
        </w:tabs>
        <w:numPr>
          <w:ilvl w:val="1"/>
          <w:numId w:val="278"/>
        </w:numPr>
        <w:rPr>
          <w:rFonts w:ascii="Arial" w:cs="Arial" w:eastAsia="Arial" w:hAnsi="Arial"/>
          <w:sz w:val="22"/>
          <w:szCs w:val="22"/>
          <w:color w:val="auto"/>
        </w:rPr>
      </w:pPr>
      <w:r>
        <w:rPr>
          <w:rFonts w:ascii="Arial" w:cs="Arial" w:eastAsia="Arial" w:hAnsi="Arial"/>
          <w:sz w:val="22"/>
          <w:szCs w:val="22"/>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on the Extended Commitment Termination Date or as required by </w:t>
      </w:r>
      <w:r>
        <w:rPr>
          <w:rFonts w:ascii="Arial" w:cs="Arial" w:eastAsia="Arial" w:hAnsi="Arial"/>
          <w:sz w:val="22"/>
          <w:szCs w:val="22"/>
          <w:u w:val="single" w:color="auto"/>
          <w:color w:val="auto"/>
        </w:rPr>
        <w:t>Section 2.20(b)</w:t>
      </w:r>
      <w:r>
        <w:rPr>
          <w:rFonts w:ascii="Arial" w:cs="Arial" w:eastAsia="Arial" w:hAnsi="Arial"/>
          <w:sz w:val="22"/>
          <w:szCs w:val="22"/>
          <w:color w:val="auto"/>
        </w:rPr>
        <w:t xml:space="preserve"> on the date so required;</w:t>
      </w:r>
    </w:p>
    <w:p>
      <w:pPr>
        <w:spacing w:after="0" w:line="187" w:lineRule="exact"/>
        <w:rPr>
          <w:rFonts w:ascii="Arial" w:cs="Arial" w:eastAsia="Arial" w:hAnsi="Arial"/>
          <w:sz w:val="22"/>
          <w:szCs w:val="22"/>
          <w:color w:val="auto"/>
        </w:rPr>
      </w:pPr>
    </w:p>
    <w:p>
      <w:pPr>
        <w:jc w:val="both"/>
        <w:ind w:left="-8" w:firstLine="1735"/>
        <w:spacing w:after="0" w:line="297" w:lineRule="auto"/>
        <w:tabs>
          <w:tab w:leader="none" w:pos="2619" w:val="left"/>
        </w:tabs>
        <w:numPr>
          <w:ilvl w:val="1"/>
          <w:numId w:val="278"/>
        </w:numPr>
        <w:rPr>
          <w:rFonts w:ascii="Arial" w:cs="Arial" w:eastAsia="Arial" w:hAnsi="Arial"/>
          <w:sz w:val="19"/>
          <w:szCs w:val="19"/>
          <w:color w:val="auto"/>
        </w:rPr>
      </w:pPr>
      <w:r>
        <w:rPr>
          <w:rFonts w:ascii="Arial" w:cs="Arial" w:eastAsia="Arial" w:hAnsi="Arial"/>
          <w:sz w:val="19"/>
          <w:szCs w:val="19"/>
          <w:color w:val="auto"/>
        </w:rPr>
        <w:t xml:space="preserve">the Borrower shall fail to pay any interest on any Loan or any fee or any other amount (other than an amount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33" w:lineRule="exact"/>
        <w:rPr>
          <w:rFonts w:ascii="Arial" w:cs="Arial" w:eastAsia="Arial" w:hAnsi="Arial"/>
          <w:sz w:val="19"/>
          <w:szCs w:val="19"/>
          <w:color w:val="auto"/>
        </w:rPr>
      </w:pPr>
    </w:p>
    <w:p>
      <w:pPr>
        <w:jc w:val="both"/>
        <w:ind w:left="-8" w:firstLine="1735"/>
        <w:spacing w:after="0" w:line="249" w:lineRule="auto"/>
        <w:tabs>
          <w:tab w:leader="none" w:pos="2607" w:val="left"/>
        </w:tabs>
        <w:numPr>
          <w:ilvl w:val="1"/>
          <w:numId w:val="278"/>
        </w:numPr>
        <w:rPr>
          <w:rFonts w:ascii="Arial" w:cs="Arial" w:eastAsia="Arial" w:hAnsi="Arial"/>
          <w:sz w:val="21"/>
          <w:szCs w:val="21"/>
          <w:color w:val="auto"/>
        </w:rPr>
      </w:pPr>
      <w:r>
        <w:rPr>
          <w:rFonts w:ascii="Arial" w:cs="Arial" w:eastAsia="Arial" w:hAnsi="Arial"/>
          <w:sz w:val="21"/>
          <w:szCs w:val="21"/>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8" w:lineRule="exact"/>
        <w:rPr>
          <w:rFonts w:ascii="Arial" w:cs="Arial" w:eastAsia="Arial" w:hAnsi="Arial"/>
          <w:sz w:val="21"/>
          <w:szCs w:val="21"/>
          <w:color w:val="auto"/>
        </w:rPr>
      </w:pPr>
    </w:p>
    <w:p>
      <w:pPr>
        <w:ind w:left="2632" w:hanging="905"/>
        <w:spacing w:after="0"/>
        <w:tabs>
          <w:tab w:leader="none" w:pos="2632"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Borrower shall fail to observe or perform any covenant, condition or agreement contained in</w:t>
      </w:r>
    </w:p>
    <w:p>
      <w:pPr>
        <w:spacing w:after="0" w:line="42" w:lineRule="exact"/>
        <w:rPr>
          <w:rFonts w:ascii="Arial" w:cs="Arial" w:eastAsia="Arial" w:hAnsi="Arial"/>
          <w:sz w:val="19"/>
          <w:szCs w:val="19"/>
          <w:color w:val="auto"/>
        </w:rPr>
      </w:pPr>
    </w:p>
    <w:p>
      <w:pPr>
        <w:jc w:val="both"/>
        <w:ind w:left="-8" w:firstLine="8"/>
        <w:spacing w:after="0" w:line="266" w:lineRule="auto"/>
        <w:tabs>
          <w:tab w:leader="none" w:pos="250"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(with respect to the Borrower’s existence) or </w:t>
      </w:r>
      <w:r>
        <w:rPr>
          <w:rFonts w:ascii="Arial" w:cs="Arial" w:eastAsia="Arial" w:hAnsi="Arial"/>
          <w:sz w:val="19"/>
          <w:szCs w:val="19"/>
          <w:u w:val="single" w:color="auto"/>
          <w:color w:val="auto"/>
        </w:rPr>
        <w:t>Sections 5.08(a)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any Obligor shall default in the performance of any of its obligations contained in Sections 3 and 7 of the Guarantee and Security Agreement or</w:t>
      </w:r>
    </w:p>
    <w:p>
      <w:pPr>
        <w:spacing w:after="0" w:line="1" w:lineRule="exact"/>
        <w:rPr>
          <w:rFonts w:ascii="Arial" w:cs="Arial" w:eastAsia="Arial" w:hAnsi="Arial"/>
          <w:sz w:val="19"/>
          <w:szCs w:val="19"/>
          <w:color w:val="auto"/>
        </w:rPr>
      </w:pPr>
    </w:p>
    <w:p>
      <w:pPr>
        <w:ind w:left="-8" w:firstLine="8"/>
        <w:spacing w:after="0" w:line="236" w:lineRule="auto"/>
        <w:tabs>
          <w:tab w:leader="none" w:pos="323"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Sections 5.01(e)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5.02</w:t>
      </w:r>
      <w:r>
        <w:rPr>
          <w:rFonts w:ascii="Arial" w:cs="Arial" w:eastAsia="Arial" w:hAnsi="Arial"/>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186" w:lineRule="exact"/>
        <w:rPr>
          <w:rFonts w:ascii="Arial" w:cs="Arial" w:eastAsia="Arial" w:hAnsi="Arial"/>
          <w:sz w:val="22"/>
          <w:szCs w:val="22"/>
          <w:color w:val="auto"/>
        </w:rPr>
      </w:pPr>
    </w:p>
    <w:p>
      <w:pPr>
        <w:jc w:val="both"/>
        <w:ind w:left="-8" w:firstLine="1735"/>
        <w:spacing w:after="0" w:line="279" w:lineRule="auto"/>
        <w:tabs>
          <w:tab w:leader="none" w:pos="2607" w:val="left"/>
        </w:tabs>
        <w:numPr>
          <w:ilvl w:val="1"/>
          <w:numId w:val="279"/>
        </w:numPr>
        <w:rPr>
          <w:rFonts w:ascii="Arial" w:cs="Arial" w:eastAsia="Arial" w:hAnsi="Arial"/>
          <w:sz w:val="19"/>
          <w:szCs w:val="19"/>
          <w:color w:val="auto"/>
        </w:rPr>
      </w:pPr>
      <w:r>
        <w:rPr>
          <w:rFonts w:ascii="Arial" w:cs="Arial" w:eastAsia="Arial" w:hAnsi="Arial"/>
          <w:sz w:val="19"/>
          <w:szCs w:val="19"/>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9"/>
          <w:szCs w:val="19"/>
          <w:u w:val="single" w:color="auto"/>
          <w:color w:val="auto"/>
        </w:rPr>
        <w:t>Section 5.01(e)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50" w:lineRule="exact"/>
        <w:rPr>
          <w:rFonts w:ascii="Arial" w:cs="Arial" w:eastAsia="Arial" w:hAnsi="Arial"/>
          <w:sz w:val="19"/>
          <w:szCs w:val="19"/>
          <w:color w:val="auto"/>
        </w:rPr>
      </w:pPr>
    </w:p>
    <w:p>
      <w:pPr>
        <w:jc w:val="both"/>
        <w:ind w:left="-8" w:firstLine="1735"/>
        <w:spacing w:after="0" w:line="238" w:lineRule="auto"/>
        <w:tabs>
          <w:tab w:leader="none" w:pos="2583" w:val="left"/>
        </w:tabs>
        <w:numPr>
          <w:ilvl w:val="1"/>
          <w:numId w:val="279"/>
        </w:numPr>
        <w:rPr>
          <w:rFonts w:ascii="Arial" w:cs="Arial" w:eastAsia="Arial" w:hAnsi="Arial"/>
          <w:sz w:val="22"/>
          <w:szCs w:val="22"/>
          <w:color w:val="auto"/>
        </w:rPr>
      </w:pPr>
      <w:r>
        <w:rPr>
          <w:rFonts w:ascii="Arial" w:cs="Arial" w:eastAsia="Arial" w:hAnsi="Arial"/>
          <w:sz w:val="22"/>
          <w:szCs w:val="22"/>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w:t>
      </w:r>
      <w:r>
        <w:rPr>
          <w:rFonts w:ascii="Arial" w:cs="Arial" w:eastAsia="Arial" w:hAnsi="Arial"/>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7" w:lineRule="exact"/>
        <w:rPr>
          <w:sz w:val="20"/>
          <w:szCs w:val="20"/>
          <w:color w:val="auto"/>
        </w:rPr>
      </w:pPr>
    </w:p>
    <w:p>
      <w:pPr>
        <w:ind w:left="872"/>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273" w:name="page274"/>
    <w:bookmarkEnd w:id="273"/>
    <w:p>
      <w:pPr>
        <w:jc w:val="both"/>
        <w:ind w:left="-8" w:firstLine="1735"/>
        <w:spacing w:after="0"/>
        <w:tabs>
          <w:tab w:leader="none" w:pos="2619"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86" w:lineRule="exact"/>
        <w:rPr>
          <w:rFonts w:ascii="Arial" w:cs="Arial" w:eastAsia="Arial" w:hAnsi="Arial"/>
          <w:sz w:val="22"/>
          <w:szCs w:val="22"/>
          <w:color w:val="auto"/>
        </w:rPr>
      </w:pPr>
    </w:p>
    <w:p>
      <w:pPr>
        <w:jc w:val="both"/>
        <w:ind w:left="-8" w:firstLine="1735"/>
        <w:spacing w:after="0" w:line="245" w:lineRule="auto"/>
        <w:tabs>
          <w:tab w:leader="none" w:pos="2619" w:val="left"/>
        </w:tabs>
        <w:numPr>
          <w:ilvl w:val="1"/>
          <w:numId w:val="280"/>
        </w:numPr>
        <w:rPr>
          <w:rFonts w:ascii="Arial" w:cs="Arial" w:eastAsia="Arial" w:hAnsi="Arial"/>
          <w:sz w:val="21"/>
          <w:szCs w:val="21"/>
          <w:color w:val="auto"/>
        </w:rPr>
      </w:pPr>
      <w:r>
        <w:rPr>
          <w:rFonts w:ascii="Arial" w:cs="Arial" w:eastAsia="Arial" w:hAnsi="Arial"/>
          <w:sz w:val="21"/>
          <w:szCs w:val="21"/>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clause (h)</w:t>
      </w:r>
      <w:r>
        <w:rPr>
          <w:rFonts w:ascii="Arial" w:cs="Arial" w:eastAsia="Arial" w:hAnsi="Arial"/>
          <w:sz w:val="21"/>
          <w:szCs w:val="21"/>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80" w:lineRule="exact"/>
        <w:rPr>
          <w:rFonts w:ascii="Arial" w:cs="Arial" w:eastAsia="Arial" w:hAnsi="Arial"/>
          <w:sz w:val="21"/>
          <w:szCs w:val="21"/>
          <w:color w:val="auto"/>
        </w:rPr>
      </w:pPr>
    </w:p>
    <w:p>
      <w:pPr>
        <w:ind w:left="2572" w:hanging="845"/>
        <w:spacing w:after="0"/>
        <w:tabs>
          <w:tab w:leader="none" w:pos="2572" w:val="left"/>
        </w:tabs>
        <w:numPr>
          <w:ilvl w:val="1"/>
          <w:numId w:val="280"/>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w:t>
      </w:r>
    </w:p>
    <w:p>
      <w:pPr>
        <w:spacing w:after="0" w:line="42" w:lineRule="exact"/>
        <w:rPr>
          <w:rFonts w:ascii="Arial" w:cs="Arial" w:eastAsia="Arial" w:hAnsi="Arial"/>
          <w:sz w:val="19"/>
          <w:szCs w:val="19"/>
          <w:color w:val="auto"/>
        </w:rPr>
      </w:pPr>
    </w:p>
    <w:p>
      <w:pPr>
        <w:jc w:val="both"/>
        <w:ind w:left="-8" w:firstLine="8"/>
        <w:spacing w:after="0" w:line="275" w:lineRule="auto"/>
        <w:tabs>
          <w:tab w:leader="none" w:pos="301" w:val="left"/>
        </w:tabs>
        <w:numPr>
          <w:ilvl w:val="0"/>
          <w:numId w:val="281"/>
        </w:numPr>
        <w:rPr>
          <w:rFonts w:ascii="Arial" w:cs="Arial" w:eastAsia="Arial" w:hAnsi="Arial"/>
          <w:sz w:val="19"/>
          <w:szCs w:val="19"/>
          <w:color w:val="auto"/>
        </w:rPr>
      </w:pPr>
      <w:r>
        <w:rPr>
          <w:rFonts w:ascii="Arial" w:cs="Arial" w:eastAsia="Arial" w:hAnsi="Arial"/>
          <w:sz w:val="19"/>
          <w:szCs w:val="19"/>
          <w:color w:val="auto"/>
        </w:rPr>
        <w:t>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53" w:lineRule="exact"/>
        <w:rPr>
          <w:rFonts w:ascii="Arial" w:cs="Arial" w:eastAsia="Arial" w:hAnsi="Arial"/>
          <w:sz w:val="19"/>
          <w:szCs w:val="19"/>
          <w:color w:val="auto"/>
        </w:rPr>
      </w:pPr>
    </w:p>
    <w:p>
      <w:pPr>
        <w:jc w:val="both"/>
        <w:ind w:left="-8" w:firstLine="1735"/>
        <w:spacing w:after="0" w:line="275" w:lineRule="auto"/>
        <w:tabs>
          <w:tab w:leader="none" w:pos="2571" w:val="left"/>
        </w:tabs>
        <w:numPr>
          <w:ilvl w:val="1"/>
          <w:numId w:val="281"/>
        </w:numPr>
        <w:rPr>
          <w:rFonts w:ascii="Arial" w:cs="Arial" w:eastAsia="Arial" w:hAnsi="Arial"/>
          <w:sz w:val="19"/>
          <w:szCs w:val="19"/>
          <w:color w:val="auto"/>
        </w:rPr>
      </w:pPr>
      <w:r>
        <w:rPr>
          <w:rFonts w:ascii="Arial" w:cs="Arial" w:eastAsia="Arial" w:hAnsi="Arial"/>
          <w:sz w:val="19"/>
          <w:szCs w:val="19"/>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7" w:lineRule="exact"/>
        <w:rPr>
          <w:rFonts w:ascii="Arial" w:cs="Arial" w:eastAsia="Arial" w:hAnsi="Arial"/>
          <w:sz w:val="19"/>
          <w:szCs w:val="19"/>
          <w:color w:val="auto"/>
        </w:rPr>
      </w:pPr>
    </w:p>
    <w:p>
      <w:pPr>
        <w:ind w:left="-8" w:firstLine="1735"/>
        <w:spacing w:after="0" w:line="250" w:lineRule="auto"/>
        <w:tabs>
          <w:tab w:leader="none" w:pos="2619" w:val="left"/>
        </w:tabs>
        <w:numPr>
          <w:ilvl w:val="1"/>
          <w:numId w:val="281"/>
        </w:numPr>
        <w:rPr>
          <w:rFonts w:ascii="Arial" w:cs="Arial" w:eastAsia="Arial" w:hAnsi="Arial"/>
          <w:sz w:val="22"/>
          <w:szCs w:val="22"/>
          <w:color w:val="auto"/>
        </w:rPr>
      </w:pPr>
      <w:r>
        <w:rPr>
          <w:rFonts w:ascii="Arial" w:cs="Arial" w:eastAsia="Arial" w:hAnsi="Arial"/>
          <w:sz w:val="22"/>
          <w:szCs w:val="22"/>
          <w:color w:val="auto"/>
        </w:rPr>
        <w:t>the Borrower or any of its Subsidiaries (other than Immaterial Subsidiaries) shall become unable, admit in writing its inability or fail generally to pay its debts as they become due;</w:t>
      </w:r>
    </w:p>
    <w:p>
      <w:pPr>
        <w:spacing w:after="0" w:line="174" w:lineRule="exact"/>
        <w:rPr>
          <w:rFonts w:ascii="Arial" w:cs="Arial" w:eastAsia="Arial" w:hAnsi="Arial"/>
          <w:sz w:val="22"/>
          <w:szCs w:val="22"/>
          <w:color w:val="auto"/>
        </w:rPr>
      </w:pPr>
    </w:p>
    <w:p>
      <w:pPr>
        <w:ind w:left="-8" w:firstLine="1735"/>
        <w:spacing w:after="0" w:line="250" w:lineRule="auto"/>
        <w:tabs>
          <w:tab w:leader="none" w:pos="2571" w:val="left"/>
        </w:tabs>
        <w:numPr>
          <w:ilvl w:val="1"/>
          <w:numId w:val="281"/>
        </w:numPr>
        <w:rPr>
          <w:rFonts w:ascii="Arial" w:cs="Arial" w:eastAsia="Arial" w:hAnsi="Arial"/>
          <w:sz w:val="22"/>
          <w:szCs w:val="22"/>
          <w:color w:val="auto"/>
        </w:rPr>
      </w:pPr>
      <w:r>
        <w:rPr>
          <w:rFonts w:ascii="Arial" w:cs="Arial" w:eastAsia="Arial" w:hAnsi="Arial"/>
          <w:sz w:val="22"/>
          <w:szCs w:val="22"/>
          <w:color w:val="auto"/>
        </w:rPr>
        <w:t>one or more judgments for the payment of money in an aggregate amount in excess of $25,000,000 shall be rendered against the Borrower or any of its Subsidiaries or any</w:t>
      </w:r>
    </w:p>
    <w:p>
      <w:pPr>
        <w:spacing w:after="0" w:line="178" w:lineRule="exact"/>
        <w:rPr>
          <w:sz w:val="20"/>
          <w:szCs w:val="20"/>
          <w:color w:val="auto"/>
        </w:rPr>
      </w:pPr>
    </w:p>
    <w:p>
      <w:pPr>
        <w:ind w:left="872"/>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8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274" w:name="page275"/>
    <w:bookmarkEnd w:id="274"/>
    <w:p>
      <w:pPr>
        <w:jc w:val="both"/>
        <w:spacing w:after="0" w:line="257" w:lineRule="auto"/>
        <w:rPr>
          <w:sz w:val="20"/>
          <w:szCs w:val="20"/>
          <w:color w:val="auto"/>
        </w:rPr>
      </w:pPr>
      <w:r>
        <w:rPr>
          <w:rFonts w:ascii="Arial" w:cs="Arial" w:eastAsia="Arial" w:hAnsi="Arial"/>
          <w:sz w:val="21"/>
          <w:szCs w:val="21"/>
          <w:color w:val="auto"/>
        </w:rPr>
        <w:t>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69" w:lineRule="exact"/>
        <w:rPr>
          <w:sz w:val="20"/>
          <w:szCs w:val="20"/>
          <w:color w:val="auto"/>
        </w:rPr>
      </w:pPr>
    </w:p>
    <w:p>
      <w:pPr>
        <w:ind w:firstLine="1735"/>
        <w:spacing w:after="0" w:line="328" w:lineRule="auto"/>
        <w:tabs>
          <w:tab w:leader="none" w:pos="2687" w:val="left"/>
        </w:tabs>
        <w:numPr>
          <w:ilvl w:val="0"/>
          <w:numId w:val="282"/>
        </w:numPr>
        <w:rPr>
          <w:rFonts w:ascii="Arial" w:cs="Arial" w:eastAsia="Arial" w:hAnsi="Arial"/>
          <w:sz w:val="19"/>
          <w:szCs w:val="19"/>
          <w:color w:val="auto"/>
        </w:rPr>
      </w:pPr>
      <w:r>
        <w:rPr>
          <w:rFonts w:ascii="Arial" w:cs="Arial" w:eastAsia="Arial" w:hAnsi="Arial"/>
          <w:sz w:val="19"/>
          <w:szCs w:val="19"/>
          <w:color w:val="auto"/>
        </w:rPr>
        <w:t>an ERISA Event shall have occurred that, in the opinion of the Required Lenders, when taken together with all other ERISA Events that have occurred, could reasonably be expected to result in a Material Adverse Effect;</w:t>
      </w:r>
    </w:p>
    <w:p>
      <w:pPr>
        <w:spacing w:after="0" w:line="104" w:lineRule="exact"/>
        <w:rPr>
          <w:rFonts w:ascii="Arial" w:cs="Arial" w:eastAsia="Arial" w:hAnsi="Arial"/>
          <w:sz w:val="19"/>
          <w:szCs w:val="19"/>
          <w:color w:val="auto"/>
        </w:rPr>
      </w:pPr>
    </w:p>
    <w:p>
      <w:pPr>
        <w:ind w:left="2640" w:hanging="905"/>
        <w:spacing w:after="0"/>
        <w:tabs>
          <w:tab w:leader="none" w:pos="264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Borrower shall cease to be managed by the External Manager or an Affiliate thereof;</w:t>
      </w:r>
    </w:p>
    <w:p>
      <w:pPr>
        <w:spacing w:after="0" w:line="206" w:lineRule="exact"/>
        <w:rPr>
          <w:rFonts w:ascii="Arial" w:cs="Arial" w:eastAsia="Arial" w:hAnsi="Arial"/>
          <w:sz w:val="22"/>
          <w:szCs w:val="22"/>
          <w:color w:val="auto"/>
        </w:rPr>
      </w:pPr>
    </w:p>
    <w:p>
      <w:pPr>
        <w:jc w:val="both"/>
        <w:ind w:firstLine="1735"/>
        <w:spacing w:after="0" w:line="235" w:lineRule="auto"/>
        <w:tabs>
          <w:tab w:leader="none" w:pos="2627"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87" w:lineRule="exact"/>
        <w:rPr>
          <w:rFonts w:ascii="Arial" w:cs="Arial" w:eastAsia="Arial" w:hAnsi="Arial"/>
          <w:sz w:val="22"/>
          <w:szCs w:val="22"/>
          <w:color w:val="auto"/>
        </w:rPr>
      </w:pPr>
    </w:p>
    <w:p>
      <w:pPr>
        <w:jc w:val="both"/>
        <w:ind w:firstLine="1735"/>
        <w:spacing w:after="0" w:line="279" w:lineRule="auto"/>
        <w:tabs>
          <w:tab w:leader="none" w:pos="2627"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50" w:lineRule="exact"/>
        <w:rPr>
          <w:rFonts w:ascii="Arial" w:cs="Arial" w:eastAsia="Arial" w:hAnsi="Arial"/>
          <w:sz w:val="19"/>
          <w:szCs w:val="19"/>
          <w:color w:val="auto"/>
        </w:rPr>
      </w:pPr>
    </w:p>
    <w:p>
      <w:pPr>
        <w:jc w:val="both"/>
        <w:ind w:firstLine="1735"/>
        <w:spacing w:after="0"/>
        <w:tabs>
          <w:tab w:leader="none" w:pos="2591" w:val="left"/>
        </w:tabs>
        <w:numPr>
          <w:ilvl w:val="0"/>
          <w:numId w:val="282"/>
        </w:numPr>
        <w:rPr>
          <w:rFonts w:ascii="Arial" w:cs="Arial" w:eastAsia="Arial" w:hAnsi="Arial"/>
          <w:sz w:val="22"/>
          <w:szCs w:val="22"/>
          <w:color w:val="auto"/>
        </w:rPr>
      </w:pPr>
      <w:r>
        <w:rPr>
          <w:rFonts w:ascii="Arial" w:cs="Arial" w:eastAsia="Arial" w:hAnsi="Arial"/>
          <w:sz w:val="22"/>
          <w:szCs w:val="22"/>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03" w:val="left"/>
        </w:tabs>
        <w:numPr>
          <w:ilvl w:val="0"/>
          <w:numId w:val="282"/>
        </w:numPr>
        <w:rPr>
          <w:rFonts w:ascii="Arial" w:cs="Arial" w:eastAsia="Arial" w:hAnsi="Arial"/>
          <w:sz w:val="22"/>
          <w:szCs w:val="22"/>
          <w:color w:val="auto"/>
        </w:rPr>
      </w:pPr>
      <w:r>
        <w:rPr>
          <w:rFonts w:ascii="Arial" w:cs="Arial" w:eastAsia="Arial" w:hAnsi="Arial"/>
          <w:sz w:val="22"/>
          <w:szCs w:val="22"/>
          <w:color w:val="auto"/>
        </w:rPr>
        <w:t xml:space="preserve">the Obligors shall at any time, without the consent of the Required Lenders fail to comply with the covenant contained in </w:t>
      </w:r>
      <w:r>
        <w:rPr>
          <w:rFonts w:ascii="Arial" w:cs="Arial" w:eastAsia="Arial" w:hAnsi="Arial"/>
          <w:sz w:val="22"/>
          <w:szCs w:val="22"/>
          <w:u w:val="single" w:color="auto"/>
          <w:color w:val="auto"/>
        </w:rPr>
        <w:t>Section 5.11</w:t>
      </w:r>
      <w:r>
        <w:rPr>
          <w:rFonts w:ascii="Arial" w:cs="Arial" w:eastAsia="Arial" w:hAnsi="Arial"/>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4" w:lineRule="exact"/>
        <w:rPr>
          <w:rFonts w:ascii="Arial" w:cs="Arial" w:eastAsia="Arial" w:hAnsi="Arial"/>
          <w:sz w:val="22"/>
          <w:szCs w:val="22"/>
          <w:color w:val="auto"/>
        </w:rPr>
      </w:pPr>
    </w:p>
    <w:p>
      <w:pPr>
        <w:ind w:firstLine="1735"/>
        <w:spacing w:after="0" w:line="250" w:lineRule="auto"/>
        <w:tabs>
          <w:tab w:leader="none" w:pos="2579"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Borrower or any of its Subsidiaries shall cause or permit the occurrence of any condition or event that would result in any recourse to any Obligor under any Permitted SBIC Guarantee;</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then, and in every such event (other than an event with respect to the Borrower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 xml:space="preserve"> of this Article), and at any time thereafter during the continuance of such event, the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5" w:name="page276"/>
    <w:bookmarkEnd w:id="275"/>
    <w:p>
      <w:pPr>
        <w:jc w:val="both"/>
        <w:spacing w:after="0" w:line="273" w:lineRule="auto"/>
        <w:rPr>
          <w:sz w:val="20"/>
          <w:szCs w:val="20"/>
          <w:color w:val="auto"/>
        </w:rPr>
      </w:pPr>
      <w:r>
        <w:rPr>
          <w:rFonts w:ascii="Arial" w:cs="Arial" w:eastAsia="Arial" w:hAnsi="Arial"/>
          <w:sz w:val="19"/>
          <w:szCs w:val="19"/>
          <w:color w:val="auto"/>
        </w:rPr>
        <w:t xml:space="preserve">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55"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w:t>
      </w:r>
    </w:p>
    <w:p>
      <w:pPr>
        <w:spacing w:after="0" w:line="152"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firstLine="8"/>
        <w:spacing w:after="0" w:line="271" w:lineRule="auto"/>
        <w:tabs>
          <w:tab w:leader="none" w:pos="309" w:val="left"/>
        </w:tabs>
        <w:numPr>
          <w:ilvl w:val="0"/>
          <w:numId w:val="283"/>
        </w:numPr>
        <w:rPr>
          <w:rFonts w:ascii="Arial" w:cs="Arial" w:eastAsia="Arial" w:hAnsi="Arial"/>
          <w:sz w:val="19"/>
          <w:szCs w:val="19"/>
          <w:u w:val="single" w:color="auto"/>
          <w:color w:val="auto"/>
        </w:rPr>
      </w:pPr>
      <w:r>
        <w:rPr>
          <w:rFonts w:ascii="Arial" w:cs="Arial" w:eastAsia="Arial" w:hAnsi="Arial"/>
          <w:sz w:val="19"/>
          <w:szCs w:val="19"/>
          <w:color w:val="auto"/>
        </w:rPr>
        <w:t xml:space="preserve">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6" w:name="page277"/>
    <w:bookmarkEnd w:id="276"/>
    <w:p>
      <w:pPr>
        <w:jc w:val="both"/>
        <w:spacing w:after="0" w:line="238" w:lineRule="auto"/>
        <w:rPr>
          <w:sz w:val="20"/>
          <w:szCs w:val="20"/>
          <w:color w:val="auto"/>
        </w:rPr>
      </w:pPr>
      <w:r>
        <w:rPr>
          <w:rFonts w:ascii="Arial" w:cs="Arial" w:eastAsia="Arial" w:hAnsi="Arial"/>
          <w:sz w:val="22"/>
          <w:szCs w:val="22"/>
          <w:color w:val="auto"/>
        </w:rPr>
        <w:t>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ADMINISTRATIVE AGENT</w:t>
      </w:r>
    </w:p>
    <w:p>
      <w:pPr>
        <w:spacing w:after="0" w:line="20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Appointment of the Administrative Agent</w:t>
      </w:r>
      <w:r>
        <w:rPr>
          <w:rFonts w:ascii="Arial" w:cs="Arial" w:eastAsia="Arial" w:hAnsi="Arial"/>
          <w:sz w:val="22"/>
          <w:szCs w:val="22"/>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87"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Capacity as Lender</w:t>
      </w:r>
      <w:r>
        <w:rPr>
          <w:rFonts w:ascii="Arial" w:cs="Arial" w:eastAsia="Arial" w:hAnsi="Arial"/>
          <w:sz w:val="22"/>
          <w:szCs w:val="22"/>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Limitation of Duties; Exculpation</w:t>
      </w:r>
      <w:r>
        <w:rPr>
          <w:rFonts w:ascii="Arial" w:cs="Arial" w:eastAsia="Arial" w:hAnsi="Arial"/>
          <w:sz w:val="19"/>
          <w:szCs w:val="19"/>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w:t>
      </w:r>
    </w:p>
    <w:p>
      <w:pPr>
        <w:spacing w:after="0" w:line="200" w:lineRule="exact"/>
        <w:rPr>
          <w:sz w:val="20"/>
          <w:szCs w:val="20"/>
          <w:color w:val="auto"/>
        </w:rPr>
      </w:pPr>
    </w:p>
    <w:p>
      <w:pPr>
        <w:spacing w:after="0" w:line="2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7" w:name="page278"/>
    <w:bookmarkEnd w:id="277"/>
    <w:p>
      <w:pPr>
        <w:jc w:val="both"/>
        <w:spacing w:after="0" w:line="238" w:lineRule="auto"/>
        <w:rPr>
          <w:sz w:val="20"/>
          <w:szCs w:val="20"/>
          <w:color w:val="auto"/>
        </w:rPr>
      </w:pPr>
      <w:r>
        <w:rPr>
          <w:rFonts w:ascii="Arial" w:cs="Arial" w:eastAsia="Arial" w:hAnsi="Arial"/>
          <w:sz w:val="22"/>
          <w:szCs w:val="22"/>
          <w:color w:val="auto"/>
        </w:rPr>
        <w:t xml:space="preserve">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elsewhere herein or therein, other than to confirm receipt of items expressly required to be delivered to the Administrative Agent.</w:t>
      </w:r>
    </w:p>
    <w:p>
      <w:pPr>
        <w:spacing w:after="0" w:line="185"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Reliance</w:t>
      </w:r>
      <w:r>
        <w:rPr>
          <w:rFonts w:ascii="Arial" w:cs="Arial" w:eastAsia="Arial" w:hAnsi="Arial"/>
          <w:sz w:val="22"/>
          <w:szCs w:val="22"/>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Sub-Agents</w:t>
      </w:r>
      <w:r>
        <w:rPr>
          <w:rFonts w:ascii="Arial" w:cs="Arial" w:eastAsia="Arial" w:hAnsi="Arial"/>
          <w:sz w:val="21"/>
          <w:szCs w:val="21"/>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84"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Resignation; Successor Administrative Agent</w:t>
      </w:r>
      <w:r>
        <w:rPr>
          <w:rFonts w:ascii="Arial" w:cs="Arial" w:eastAsia="Arial" w:hAnsi="Arial"/>
          <w:sz w:val="19"/>
          <w:szCs w:val="19"/>
          <w:color w:val="auto"/>
        </w:rPr>
        <w:t>. The Administrative Agent may resign at any time by notifying the Lenders, the Issuing Banks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w:t>
      </w:r>
    </w:p>
    <w:p>
      <w:pPr>
        <w:spacing w:after="0" w:line="1" w:lineRule="exact"/>
        <w:rPr>
          <w:sz w:val="20"/>
          <w:szCs w:val="20"/>
          <w:color w:val="auto"/>
        </w:rPr>
      </w:pPr>
    </w:p>
    <w:p>
      <w:pPr>
        <w:jc w:val="both"/>
        <w:ind w:firstLine="8"/>
        <w:spacing w:after="0" w:line="272" w:lineRule="auto"/>
        <w:tabs>
          <w:tab w:leader="none" w:pos="314"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8" w:name="page279"/>
    <w:bookmarkEnd w:id="278"/>
    <w:p>
      <w:pPr>
        <w:jc w:val="both"/>
        <w:spacing w:after="0"/>
        <w:rPr>
          <w:sz w:val="20"/>
          <w:szCs w:val="20"/>
          <w:color w:val="auto"/>
        </w:rPr>
      </w:pPr>
      <w:r>
        <w:rPr>
          <w:rFonts w:ascii="Arial" w:cs="Arial" w:eastAsia="Arial" w:hAnsi="Arial"/>
          <w:sz w:val="22"/>
          <w:szCs w:val="22"/>
          <w:color w:val="auto"/>
        </w:rPr>
        <w:t xml:space="preserve">to its predecessor unless otherwise agreed between the Borrower and such successor. After the Administrative Agent’s resignation hereunder, the provisions of this Article and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shall continue in effect for its benefit in respect of any actions taken or omitted to be taken by it while it was acting as Administrative Agent.</w:t>
      </w:r>
    </w:p>
    <w:p>
      <w:pPr>
        <w:spacing w:after="0" w:line="18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7"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Reliance by Lenders</w:t>
      </w:r>
      <w:r>
        <w:rPr>
          <w:rFonts w:ascii="Arial" w:cs="Arial" w:eastAsia="Arial" w:hAnsi="Arial"/>
          <w:sz w:val="21"/>
          <w:szCs w:val="21"/>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69"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SECTION 8.08. </w:t>
      </w:r>
      <w:r>
        <w:rPr>
          <w:rFonts w:ascii="Arial" w:cs="Arial" w:eastAsia="Arial" w:hAnsi="Arial"/>
          <w:sz w:val="21"/>
          <w:szCs w:val="21"/>
          <w:u w:val="single" w:color="auto"/>
          <w:color w:val="auto"/>
        </w:rPr>
        <w:t>Modifications to Loan Documents</w:t>
      </w:r>
      <w:r>
        <w:rPr>
          <w:rFonts w:ascii="Arial" w:cs="Arial" w:eastAsia="Arial" w:hAnsi="Arial"/>
          <w:sz w:val="21"/>
          <w:szCs w:val="21"/>
          <w:color w:val="auto"/>
        </w:rPr>
        <w:t xml:space="preserve">. Except as otherwise provided in </w:t>
      </w:r>
      <w:r>
        <w:rPr>
          <w:rFonts w:ascii="Arial" w:cs="Arial" w:eastAsia="Arial" w:hAnsi="Arial"/>
          <w:sz w:val="21"/>
          <w:szCs w:val="21"/>
          <w:u w:val="single" w:color="auto"/>
          <w:color w:val="auto"/>
        </w:rPr>
        <w:t>Section 2.22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9.02(b)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9" w:name="page280"/>
    <w:bookmarkEnd w:id="279"/>
    <w:p>
      <w:pPr>
        <w:spacing w:after="0" w:line="250" w:lineRule="auto"/>
        <w:rPr>
          <w:sz w:val="20"/>
          <w:szCs w:val="20"/>
          <w:color w:val="auto"/>
        </w:rPr>
      </w:pPr>
      <w:r>
        <w:rPr>
          <w:rFonts w:ascii="Arial" w:cs="Arial" w:eastAsia="Arial" w:hAnsi="Arial"/>
          <w:sz w:val="22"/>
          <w:szCs w:val="22"/>
          <w:color w:val="auto"/>
        </w:rPr>
        <w:t>is hereby authorized, to release any Lien covering property that is the subject of either a disposition of property permitted hereunder or a disposition to which the Required Lenders have consented.</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Notices; Electronic Communications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57" w:lineRule="auto"/>
        <w:tabs>
          <w:tab w:leader="none" w:pos="2615" w:val="left"/>
        </w:tabs>
        <w:numPr>
          <w:ilvl w:val="1"/>
          <w:numId w:val="285"/>
        </w:numPr>
        <w:rPr>
          <w:rFonts w:ascii="Arial" w:cs="Arial" w:eastAsia="Arial" w:hAnsi="Arial"/>
          <w:sz w:val="21"/>
          <w:szCs w:val="21"/>
          <w:color w:val="auto"/>
        </w:rPr>
      </w:pPr>
      <w:r>
        <w:rPr>
          <w:rFonts w:ascii="Arial" w:cs="Arial" w:eastAsia="Arial" w:hAnsi="Arial"/>
          <w:sz w:val="21"/>
          <w:szCs w:val="21"/>
          <w:u w:val="single" w:color="auto"/>
          <w:color w:val="auto"/>
        </w:rPr>
        <w:t>Notices Generally</w:t>
      </w:r>
      <w:r>
        <w:rPr>
          <w:rFonts w:ascii="Arial" w:cs="Arial" w:eastAsia="Arial" w:hAnsi="Arial"/>
          <w:sz w:val="21"/>
          <w:szCs w:val="21"/>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69" w:lineRule="exact"/>
        <w:rPr>
          <w:rFonts w:ascii="Arial" w:cs="Arial" w:eastAsia="Arial" w:hAnsi="Arial"/>
          <w:sz w:val="21"/>
          <w:szCs w:val="21"/>
          <w:color w:val="auto"/>
        </w:rPr>
      </w:pPr>
    </w:p>
    <w:p>
      <w:pPr>
        <w:ind w:left="2520" w:hanging="851"/>
        <w:spacing w:after="0"/>
        <w:tabs>
          <w:tab w:leader="none" w:pos="252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if to the Borrower, to it at:</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Sixth Street Specialty Lending, Inc. (F/K/A TPG Specialty Lending, Inc.)</w:t>
      </w:r>
    </w:p>
    <w:p>
      <w:pPr>
        <w:ind w:left="3460"/>
        <w:spacing w:after="0" w:line="238" w:lineRule="auto"/>
        <w:rPr>
          <w:sz w:val="20"/>
          <w:szCs w:val="20"/>
          <w:color w:val="auto"/>
        </w:rPr>
      </w:pPr>
      <w:r>
        <w:rPr>
          <w:rFonts w:ascii="Arial" w:cs="Arial" w:eastAsia="Arial" w:hAnsi="Arial"/>
          <w:sz w:val="22"/>
          <w:szCs w:val="22"/>
          <w:color w:val="auto"/>
        </w:rPr>
        <w:t>888 Seventh Avenue, 35</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3460"/>
        <w:spacing w:after="0" w:line="230" w:lineRule="auto"/>
        <w:rPr>
          <w:sz w:val="20"/>
          <w:szCs w:val="20"/>
          <w:color w:val="auto"/>
        </w:rPr>
      </w:pPr>
      <w:r>
        <w:rPr>
          <w:rFonts w:ascii="Arial" w:cs="Arial" w:eastAsia="Arial" w:hAnsi="Arial"/>
          <w:sz w:val="22"/>
          <w:szCs w:val="22"/>
          <w:color w:val="auto"/>
        </w:rPr>
        <w:t>New York, New York 10019</w:t>
      </w:r>
    </w:p>
    <w:p>
      <w:pPr>
        <w:ind w:left="3460"/>
        <w:spacing w:after="0" w:line="231" w:lineRule="auto"/>
        <w:rPr>
          <w:sz w:val="20"/>
          <w:szCs w:val="20"/>
          <w:color w:val="auto"/>
        </w:rPr>
      </w:pPr>
      <w:r>
        <w:rPr>
          <w:rFonts w:ascii="Arial" w:cs="Arial" w:eastAsia="Arial" w:hAnsi="Arial"/>
          <w:sz w:val="22"/>
          <w:szCs w:val="22"/>
          <w:color w:val="auto"/>
        </w:rPr>
        <w:t>Attention: Ian Simmonds</w:t>
      </w:r>
    </w:p>
    <w:p>
      <w:pPr>
        <w:ind w:left="3460"/>
        <w:spacing w:after="0" w:line="230" w:lineRule="auto"/>
        <w:rPr>
          <w:sz w:val="20"/>
          <w:szCs w:val="20"/>
          <w:color w:val="auto"/>
        </w:rPr>
      </w:pPr>
      <w:r>
        <w:rPr>
          <w:rFonts w:ascii="Arial" w:cs="Arial" w:eastAsia="Arial" w:hAnsi="Arial"/>
          <w:sz w:val="22"/>
          <w:szCs w:val="22"/>
          <w:color w:val="auto"/>
        </w:rPr>
        <w:t>Telecopy Number: (212) 430-4639</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Telephone: (212) 601-4739</w:t>
      </w:r>
    </w:p>
    <w:p>
      <w:pPr>
        <w:spacing w:after="0" w:line="188" w:lineRule="exact"/>
        <w:rPr>
          <w:sz w:val="20"/>
          <w:szCs w:val="20"/>
          <w:color w:val="auto"/>
        </w:rPr>
      </w:pPr>
    </w:p>
    <w:p>
      <w:pPr>
        <w:ind w:left="2580" w:hanging="911"/>
        <w:spacing w:after="0"/>
        <w:tabs>
          <w:tab w:leader="none" w:pos="258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if to the Administrative Agent or Truist, in its capacity as a Swingline Lender, to it at:</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Truist Bank</w:t>
      </w:r>
    </w:p>
    <w:p>
      <w:pPr>
        <w:ind w:left="3460"/>
        <w:spacing w:after="0" w:line="238" w:lineRule="auto"/>
        <w:rPr>
          <w:sz w:val="20"/>
          <w:szCs w:val="20"/>
          <w:color w:val="auto"/>
        </w:rPr>
      </w:pPr>
      <w:r>
        <w:rPr>
          <w:rFonts w:ascii="Arial" w:cs="Arial" w:eastAsia="Arial" w:hAnsi="Arial"/>
          <w:sz w:val="22"/>
          <w:szCs w:val="22"/>
          <w:color w:val="auto"/>
        </w:rPr>
        <w:t>3333 Peachtree Road, 7th Floor</w:t>
      </w:r>
    </w:p>
    <w:p>
      <w:pPr>
        <w:ind w:left="3460"/>
        <w:spacing w:after="0" w:line="230" w:lineRule="auto"/>
        <w:rPr>
          <w:sz w:val="20"/>
          <w:szCs w:val="20"/>
          <w:color w:val="auto"/>
        </w:rPr>
      </w:pPr>
      <w:r>
        <w:rPr>
          <w:rFonts w:ascii="Arial" w:cs="Arial" w:eastAsia="Arial" w:hAnsi="Arial"/>
          <w:sz w:val="22"/>
          <w:szCs w:val="22"/>
          <w:color w:val="auto"/>
        </w:rPr>
        <w:t>Atlanta, Georgia 30326</w:t>
      </w:r>
    </w:p>
    <w:p>
      <w:pPr>
        <w:ind w:left="3460"/>
        <w:spacing w:after="0" w:line="231" w:lineRule="auto"/>
        <w:rPr>
          <w:sz w:val="20"/>
          <w:szCs w:val="20"/>
          <w:color w:val="auto"/>
        </w:rPr>
      </w:pPr>
      <w:r>
        <w:rPr>
          <w:rFonts w:ascii="Arial" w:cs="Arial" w:eastAsia="Arial" w:hAnsi="Arial"/>
          <w:sz w:val="22"/>
          <w:szCs w:val="22"/>
          <w:color w:val="auto"/>
        </w:rPr>
        <w:t>Attention: Hays Wood</w:t>
      </w:r>
    </w:p>
    <w:p>
      <w:pPr>
        <w:ind w:left="3460"/>
        <w:spacing w:after="0"/>
        <w:rPr>
          <w:sz w:val="20"/>
          <w:szCs w:val="20"/>
          <w:color w:val="auto"/>
        </w:rPr>
      </w:pPr>
      <w:r>
        <w:rPr>
          <w:rFonts w:ascii="Arial" w:cs="Arial" w:eastAsia="Arial" w:hAnsi="Arial"/>
          <w:sz w:val="22"/>
          <w:szCs w:val="22"/>
          <w:color w:val="auto"/>
        </w:rPr>
        <w:t>Telecopy Number: (404) 836-5879</w:t>
      </w:r>
    </w:p>
    <w:p>
      <w:pPr>
        <w:spacing w:after="0" w:line="18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Truist Bank</w:t>
      </w:r>
    </w:p>
    <w:p>
      <w:pPr>
        <w:ind w:left="3460"/>
        <w:spacing w:after="0" w:line="238" w:lineRule="auto"/>
        <w:rPr>
          <w:sz w:val="20"/>
          <w:szCs w:val="20"/>
          <w:color w:val="auto"/>
        </w:rPr>
      </w:pPr>
      <w:r>
        <w:rPr>
          <w:rFonts w:ascii="Arial" w:cs="Arial" w:eastAsia="Arial" w:hAnsi="Arial"/>
          <w:sz w:val="22"/>
          <w:szCs w:val="22"/>
          <w:color w:val="auto"/>
        </w:rPr>
        <w:t>Agency Services</w:t>
      </w:r>
    </w:p>
    <w:p>
      <w:pPr>
        <w:ind w:left="3460"/>
        <w:spacing w:after="0" w:line="230" w:lineRule="auto"/>
        <w:rPr>
          <w:sz w:val="20"/>
          <w:szCs w:val="20"/>
          <w:color w:val="auto"/>
        </w:rPr>
      </w:pPr>
      <w:r>
        <w:rPr>
          <w:rFonts w:ascii="Arial" w:cs="Arial" w:eastAsia="Arial" w:hAnsi="Arial"/>
          <w:sz w:val="22"/>
          <w:szCs w:val="22"/>
          <w:color w:val="auto"/>
        </w:rPr>
        <w:t>303 Peachtree Street, N. E./ 25th Floor</w:t>
      </w:r>
    </w:p>
    <w:p>
      <w:pPr>
        <w:ind w:left="3460"/>
        <w:spacing w:after="0" w:line="231" w:lineRule="auto"/>
        <w:rPr>
          <w:sz w:val="20"/>
          <w:szCs w:val="20"/>
          <w:color w:val="auto"/>
        </w:rPr>
      </w:pPr>
      <w:r>
        <w:rPr>
          <w:rFonts w:ascii="Arial" w:cs="Arial" w:eastAsia="Arial" w:hAnsi="Arial"/>
          <w:sz w:val="22"/>
          <w:szCs w:val="22"/>
          <w:color w:val="auto"/>
        </w:rPr>
        <w:t>Atlanta, Georgia 30308</w:t>
      </w:r>
    </w:p>
    <w:p>
      <w:pPr>
        <w:ind w:left="3460"/>
        <w:spacing w:after="0" w:line="230" w:lineRule="auto"/>
        <w:rPr>
          <w:sz w:val="20"/>
          <w:szCs w:val="20"/>
          <w:color w:val="auto"/>
        </w:rPr>
      </w:pPr>
      <w:r>
        <w:rPr>
          <w:rFonts w:ascii="Arial" w:cs="Arial" w:eastAsia="Arial" w:hAnsi="Arial"/>
          <w:sz w:val="22"/>
          <w:szCs w:val="22"/>
          <w:color w:val="auto"/>
        </w:rPr>
        <w:t>Attention: Wanda Gregory</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Telecopy Number: (404) 658-4906</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0" w:name="page281"/>
    <w:bookmarkEnd w:id="280"/>
    <w:p>
      <w:pPr>
        <w:ind w:left="2640" w:hanging="971"/>
        <w:spacing w:after="0"/>
        <w:tabs>
          <w:tab w:leader="none" w:pos="264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if to Truist, in its capacity as Issuing Bank, to it at:</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Truist Bank</w:t>
      </w:r>
    </w:p>
    <w:p>
      <w:pPr>
        <w:ind w:left="3460"/>
        <w:spacing w:after="0" w:line="238" w:lineRule="auto"/>
        <w:rPr>
          <w:sz w:val="20"/>
          <w:szCs w:val="20"/>
          <w:color w:val="auto"/>
        </w:rPr>
      </w:pPr>
      <w:r>
        <w:rPr>
          <w:rFonts w:ascii="Arial" w:cs="Arial" w:eastAsia="Arial" w:hAnsi="Arial"/>
          <w:sz w:val="22"/>
          <w:szCs w:val="22"/>
          <w:color w:val="auto"/>
        </w:rPr>
        <w:t>303 Peachtree Street, N. E./ 25th Floor</w:t>
      </w:r>
    </w:p>
    <w:p>
      <w:pPr>
        <w:ind w:left="3460"/>
        <w:spacing w:after="0" w:line="230" w:lineRule="auto"/>
        <w:rPr>
          <w:sz w:val="20"/>
          <w:szCs w:val="20"/>
          <w:color w:val="auto"/>
        </w:rPr>
      </w:pPr>
      <w:r>
        <w:rPr>
          <w:rFonts w:ascii="Arial" w:cs="Arial" w:eastAsia="Arial" w:hAnsi="Arial"/>
          <w:sz w:val="22"/>
          <w:szCs w:val="22"/>
          <w:color w:val="auto"/>
        </w:rPr>
        <w:t>Atlanta, Georgia 30308</w:t>
      </w:r>
    </w:p>
    <w:p>
      <w:pPr>
        <w:ind w:left="3460"/>
        <w:spacing w:after="0" w:line="231" w:lineRule="auto"/>
        <w:rPr>
          <w:sz w:val="20"/>
          <w:szCs w:val="20"/>
          <w:color w:val="auto"/>
        </w:rPr>
      </w:pPr>
      <w:r>
        <w:rPr>
          <w:rFonts w:ascii="Arial" w:cs="Arial" w:eastAsia="Arial" w:hAnsi="Arial"/>
          <w:sz w:val="22"/>
          <w:szCs w:val="22"/>
          <w:color w:val="auto"/>
        </w:rPr>
        <w:t>Attention: Wanda Gregory</w:t>
      </w:r>
    </w:p>
    <w:p>
      <w:pPr>
        <w:ind w:left="3460"/>
        <w:spacing w:after="0"/>
        <w:rPr>
          <w:sz w:val="20"/>
          <w:szCs w:val="20"/>
          <w:color w:val="auto"/>
        </w:rPr>
      </w:pPr>
      <w:r>
        <w:rPr>
          <w:rFonts w:ascii="Arial" w:cs="Arial" w:eastAsia="Arial" w:hAnsi="Arial"/>
          <w:sz w:val="22"/>
          <w:szCs w:val="22"/>
          <w:color w:val="auto"/>
        </w:rPr>
        <w:t>Telecopy Number: (404) 658-4906</w:t>
      </w:r>
    </w:p>
    <w:p>
      <w:pPr>
        <w:spacing w:after="0" w:line="188" w:lineRule="exact"/>
        <w:rPr>
          <w:sz w:val="20"/>
          <w:szCs w:val="20"/>
          <w:color w:val="auto"/>
        </w:rPr>
      </w:pPr>
    </w:p>
    <w:p>
      <w:pPr>
        <w:ind w:left="2620" w:hanging="951"/>
        <w:spacing w:after="0"/>
        <w:tabs>
          <w:tab w:leader="none" w:pos="262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if to JPMorgan Chase Bank, N.A., in its capacity as a Swingline Lender and an Issuing Bank:</w:t>
      </w:r>
    </w:p>
    <w:p>
      <w:pPr>
        <w:spacing w:after="0" w:line="21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JPMorgan Chase Bank, N.A.</w:t>
      </w:r>
    </w:p>
    <w:p>
      <w:pPr>
        <w:ind w:left="3460"/>
        <w:spacing w:after="0" w:line="238" w:lineRule="auto"/>
        <w:rPr>
          <w:sz w:val="20"/>
          <w:szCs w:val="20"/>
          <w:color w:val="auto"/>
        </w:rPr>
      </w:pPr>
      <w:r>
        <w:rPr>
          <w:rFonts w:ascii="Arial" w:cs="Arial" w:eastAsia="Arial" w:hAnsi="Arial"/>
          <w:sz w:val="22"/>
          <w:szCs w:val="22"/>
          <w:color w:val="auto"/>
        </w:rPr>
        <w:t>Ground floor, 1st to 6th floors, Platina 3, Kodbis, Floor 03</w:t>
      </w:r>
    </w:p>
    <w:p>
      <w:pPr>
        <w:ind w:left="3460"/>
        <w:spacing w:after="0" w:line="230" w:lineRule="auto"/>
        <w:rPr>
          <w:sz w:val="20"/>
          <w:szCs w:val="20"/>
          <w:color w:val="auto"/>
        </w:rPr>
      </w:pPr>
      <w:r>
        <w:rPr>
          <w:rFonts w:ascii="Arial" w:cs="Arial" w:eastAsia="Arial" w:hAnsi="Arial"/>
          <w:sz w:val="22"/>
          <w:szCs w:val="22"/>
          <w:color w:val="auto"/>
        </w:rPr>
        <w:t>Bengaluru, 560 103, India</w:t>
      </w:r>
    </w:p>
    <w:p>
      <w:pPr>
        <w:ind w:left="3460"/>
        <w:spacing w:after="0" w:line="231" w:lineRule="auto"/>
        <w:rPr>
          <w:sz w:val="20"/>
          <w:szCs w:val="20"/>
          <w:color w:val="auto"/>
        </w:rPr>
      </w:pPr>
      <w:r>
        <w:rPr>
          <w:rFonts w:ascii="Arial" w:cs="Arial" w:eastAsia="Arial" w:hAnsi="Arial"/>
          <w:sz w:val="22"/>
          <w:szCs w:val="22"/>
          <w:color w:val="auto"/>
        </w:rPr>
        <w:t>Attention: Sneha Machani</w:t>
      </w:r>
    </w:p>
    <w:p>
      <w:pPr>
        <w:ind w:left="3460"/>
        <w:spacing w:after="0"/>
        <w:rPr>
          <w:sz w:val="20"/>
          <w:szCs w:val="20"/>
          <w:color w:val="auto"/>
        </w:rPr>
      </w:pPr>
      <w:r>
        <w:rPr>
          <w:rFonts w:ascii="Arial" w:cs="Arial" w:eastAsia="Arial" w:hAnsi="Arial"/>
          <w:sz w:val="22"/>
          <w:szCs w:val="22"/>
          <w:color w:val="auto"/>
        </w:rPr>
        <w:t>Telecopy Number: (201) 244-3885</w:t>
      </w:r>
    </w:p>
    <w:p>
      <w:pPr>
        <w:spacing w:after="0" w:line="188" w:lineRule="exact"/>
        <w:rPr>
          <w:sz w:val="20"/>
          <w:szCs w:val="20"/>
          <w:color w:val="auto"/>
        </w:rPr>
      </w:pPr>
    </w:p>
    <w:p>
      <w:pPr>
        <w:ind w:left="2560" w:hanging="891"/>
        <w:spacing w:after="0"/>
        <w:tabs>
          <w:tab w:leader="none" w:pos="2560" w:val="left"/>
        </w:tabs>
        <w:numPr>
          <w:ilvl w:val="0"/>
          <w:numId w:val="290"/>
        </w:numPr>
        <w:rPr>
          <w:rFonts w:ascii="Arial" w:cs="Arial" w:eastAsia="Arial" w:hAnsi="Arial"/>
          <w:sz w:val="21"/>
          <w:szCs w:val="21"/>
          <w:color w:val="auto"/>
        </w:rPr>
      </w:pPr>
      <w:r>
        <w:rPr>
          <w:rFonts w:ascii="Arial" w:cs="Arial" w:eastAsia="Arial" w:hAnsi="Arial"/>
          <w:sz w:val="21"/>
          <w:szCs w:val="21"/>
          <w:color w:val="auto"/>
        </w:rPr>
        <w:t>if to any other Lender, to it at its address (or telecopy number) set forth in its Administrative</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Questionnaire.</w:t>
      </w:r>
    </w:p>
    <w:p>
      <w:pPr>
        <w:spacing w:after="0" w:line="188"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below, shall be effective as provided in said </w:t>
      </w:r>
      <w:r>
        <w:rPr>
          <w:rFonts w:ascii="Arial" w:cs="Arial" w:eastAsia="Arial" w:hAnsi="Arial"/>
          <w:sz w:val="19"/>
          <w:szCs w:val="19"/>
          <w:u w:val="single" w:color="auto"/>
          <w:color w:val="auto"/>
        </w:rPr>
        <w:t>paragraph (b)</w:t>
      </w:r>
      <w:r>
        <w:rPr>
          <w:rFonts w:ascii="Arial" w:cs="Arial" w:eastAsia="Arial" w:hAnsi="Arial"/>
          <w:sz w:val="19"/>
          <w:szCs w:val="19"/>
          <w:color w:val="auto"/>
        </w:rPr>
        <w:t>.</w:t>
      </w:r>
    </w:p>
    <w:p>
      <w:pPr>
        <w:spacing w:after="0" w:line="143" w:lineRule="exact"/>
        <w:rPr>
          <w:sz w:val="20"/>
          <w:szCs w:val="20"/>
          <w:color w:val="auto"/>
        </w:rPr>
      </w:pPr>
    </w:p>
    <w:p>
      <w:pPr>
        <w:jc w:val="both"/>
        <w:ind w:firstLine="1735"/>
        <w:spacing w:after="0" w:line="234" w:lineRule="auto"/>
        <w:tabs>
          <w:tab w:leader="none" w:pos="2627"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to any Lender or any Issuing Bank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1735"/>
        <w:spacing w:after="0" w:line="234" w:lineRule="auto"/>
        <w:tabs>
          <w:tab w:leader="none" w:pos="200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2"/>
          <w:szCs w:val="22"/>
          <w:u w:val="single" w:color="auto"/>
          <w:color w:val="auto"/>
        </w:rPr>
        <w:t>clause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1" w:name="page282"/>
    <w:bookmarkEnd w:id="281"/>
    <w:p>
      <w:pPr>
        <w:ind w:left="260" w:hanging="252"/>
        <w:spacing w:after="0"/>
        <w:tabs>
          <w:tab w:leader="none" w:pos="260" w:val="left"/>
        </w:tabs>
        <w:numPr>
          <w:ilvl w:val="0"/>
          <w:numId w:val="293"/>
        </w:numPr>
        <w:rPr>
          <w:rFonts w:ascii="Arial" w:cs="Arial" w:eastAsia="Arial" w:hAnsi="Arial"/>
          <w:sz w:val="22"/>
          <w:szCs w:val="22"/>
          <w:u w:val="single" w:color="auto"/>
          <w:color w:val="auto"/>
        </w:rPr>
      </w:pPr>
      <w:r>
        <w:rPr>
          <w:rFonts w:ascii="Arial" w:cs="Arial" w:eastAsia="Arial" w:hAnsi="Arial"/>
          <w:sz w:val="22"/>
          <w:szCs w:val="22"/>
          <w:color w:val="auto"/>
        </w:rPr>
        <w:t>of notification that such notice or communication is available and identifying the website address therefor.</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55" w:lineRule="exact"/>
        <w:rPr>
          <w:sz w:val="20"/>
          <w:szCs w:val="20"/>
          <w:color w:val="auto"/>
        </w:rPr>
      </w:pPr>
    </w:p>
    <w:p>
      <w:pPr>
        <w:jc w:val="both"/>
        <w:ind w:firstLine="1735"/>
        <w:spacing w:after="0" w:line="273" w:lineRule="auto"/>
        <w:tabs>
          <w:tab w:leader="none" w:pos="2615"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Private Side Information Contacts</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0" w:lineRule="exact"/>
        <w:rPr>
          <w:rFonts w:ascii="Arial" w:cs="Arial" w:eastAsia="Arial" w:hAnsi="Arial"/>
          <w:sz w:val="19"/>
          <w:szCs w:val="19"/>
          <w:color w:val="auto"/>
        </w:rPr>
      </w:pPr>
    </w:p>
    <w:p>
      <w:pPr>
        <w:jc w:val="both"/>
        <w:ind w:firstLine="1735"/>
        <w:spacing w:after="0" w:line="248" w:lineRule="auto"/>
        <w:tabs>
          <w:tab w:leader="none" w:pos="2627" w:val="left"/>
        </w:tabs>
        <w:numPr>
          <w:ilvl w:val="0"/>
          <w:numId w:val="294"/>
        </w:numPr>
        <w:rPr>
          <w:rFonts w:ascii="Arial" w:cs="Arial" w:eastAsia="Arial" w:hAnsi="Arial"/>
          <w:sz w:val="21"/>
          <w:szCs w:val="21"/>
          <w:color w:val="auto"/>
        </w:rPr>
      </w:pPr>
      <w:r>
        <w:rPr>
          <w:rFonts w:ascii="Arial" w:cs="Arial" w:eastAsia="Arial" w:hAnsi="Arial"/>
          <w:sz w:val="21"/>
          <w:szCs w:val="21"/>
          <w:u w:val="single" w:color="auto"/>
          <w:color w:val="auto"/>
        </w:rPr>
        <w:t>Documents to be Delivered under Sections 5.01 and 5.12(a)</w:t>
      </w:r>
      <w:r>
        <w:rPr>
          <w:rFonts w:ascii="Arial" w:cs="Arial" w:eastAsia="Arial" w:hAnsi="Arial"/>
          <w:sz w:val="21"/>
          <w:szCs w:val="21"/>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21"/>
          <w:szCs w:val="21"/>
          <w:u w:val="single" w:color="auto"/>
          <w:color w:val="auto"/>
        </w:rPr>
        <w:t>Sections 5.01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5.12(a)</w:t>
      </w:r>
      <w:r>
        <w:rPr>
          <w:rFonts w:ascii="Arial" w:cs="Arial" w:eastAsia="Arial" w:hAnsi="Arial"/>
          <w:sz w:val="21"/>
          <w:szCs w:val="21"/>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have no responsibility to maintain access to Intralinks™ or an equivalent website.</w:t>
      </w:r>
    </w:p>
    <w:p>
      <w:pPr>
        <w:spacing w:after="0" w:line="177"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No Deemed Waivers Remedies Cumulative</w:t>
      </w:r>
      <w:r>
        <w:rPr>
          <w:rFonts w:ascii="Arial" w:cs="Arial" w:eastAsia="Arial" w:hAnsi="Arial"/>
          <w:sz w:val="22"/>
          <w:szCs w:val="22"/>
          <w:color w:val="auto"/>
        </w:rPr>
        <w:t>.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2" w:name="page283"/>
    <w:bookmarkEnd w:id="282"/>
    <w:p>
      <w:pPr>
        <w:jc w:val="both"/>
        <w:spacing w:after="0" w:line="275" w:lineRule="auto"/>
        <w:rPr>
          <w:sz w:val="20"/>
          <w:szCs w:val="20"/>
          <w:color w:val="auto"/>
        </w:rPr>
      </w:pPr>
      <w:r>
        <w:rPr>
          <w:rFonts w:ascii="Arial" w:cs="Arial" w:eastAsia="Arial" w:hAnsi="Arial"/>
          <w:sz w:val="19"/>
          <w:szCs w:val="19"/>
          <w:color w:val="auto"/>
        </w:rPr>
        <w:t xml:space="preserve">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57" w:lineRule="exact"/>
        <w:rPr>
          <w:sz w:val="20"/>
          <w:szCs w:val="20"/>
          <w:color w:val="auto"/>
        </w:rPr>
      </w:pPr>
    </w:p>
    <w:p>
      <w:pPr>
        <w:jc w:val="both"/>
        <w:ind w:firstLine="1735"/>
        <w:spacing w:after="0" w:line="238" w:lineRule="auto"/>
        <w:tabs>
          <w:tab w:leader="none" w:pos="2627" w:val="left"/>
        </w:tabs>
        <w:numPr>
          <w:ilvl w:val="1"/>
          <w:numId w:val="296"/>
        </w:numPr>
        <w:rPr>
          <w:rFonts w:ascii="Arial" w:cs="Arial" w:eastAsia="Arial" w:hAnsi="Arial"/>
          <w:sz w:val="22"/>
          <w:szCs w:val="22"/>
          <w:color w:val="auto"/>
        </w:rPr>
      </w:pPr>
      <w:r>
        <w:rPr>
          <w:rFonts w:ascii="Arial" w:cs="Arial" w:eastAsia="Arial" w:hAnsi="Arial"/>
          <w:sz w:val="22"/>
          <w:szCs w:val="22"/>
          <w:u w:val="single" w:color="auto"/>
          <w:color w:val="auto"/>
        </w:rPr>
        <w:t>Amendments to this Agreement</w:t>
      </w:r>
      <w:r>
        <w:rPr>
          <w:rFonts w:ascii="Arial" w:cs="Arial" w:eastAsia="Arial" w:hAnsi="Arial"/>
          <w:sz w:val="22"/>
          <w:szCs w:val="22"/>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agreement shall:</w:t>
      </w:r>
    </w:p>
    <w:p>
      <w:pPr>
        <w:spacing w:after="0" w:line="184" w:lineRule="exact"/>
        <w:rPr>
          <w:rFonts w:ascii="Arial" w:cs="Arial" w:eastAsia="Arial" w:hAnsi="Arial"/>
          <w:sz w:val="22"/>
          <w:szCs w:val="22"/>
          <w:color w:val="auto"/>
        </w:rPr>
      </w:pPr>
    </w:p>
    <w:p>
      <w:pPr>
        <w:ind w:left="2520" w:hanging="851"/>
        <w:spacing w:after="0"/>
        <w:tabs>
          <w:tab w:leader="none" w:pos="252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increase the Commitment of any Lender without the written consent of such Lender,</w:t>
      </w:r>
    </w:p>
    <w:p>
      <w:pPr>
        <w:spacing w:after="0" w:line="206" w:lineRule="exact"/>
        <w:rPr>
          <w:rFonts w:ascii="Arial" w:cs="Arial" w:eastAsia="Arial" w:hAnsi="Arial"/>
          <w:sz w:val="22"/>
          <w:szCs w:val="22"/>
          <w:color w:val="auto"/>
        </w:rPr>
      </w:pPr>
    </w:p>
    <w:p>
      <w:pPr>
        <w:ind w:left="880" w:firstLine="789"/>
        <w:spacing w:after="0" w:line="274" w:lineRule="auto"/>
        <w:tabs>
          <w:tab w:leader="none" w:pos="2589" w:val="left"/>
        </w:tabs>
        <w:numPr>
          <w:ilvl w:val="0"/>
          <w:numId w:val="297"/>
        </w:numPr>
        <w:rPr>
          <w:rFonts w:ascii="Arial" w:cs="Arial" w:eastAsia="Arial" w:hAnsi="Arial"/>
          <w:sz w:val="21"/>
          <w:szCs w:val="21"/>
          <w:color w:val="auto"/>
        </w:rPr>
      </w:pPr>
      <w:r>
        <w:rPr>
          <w:rFonts w:ascii="Arial" w:cs="Arial" w:eastAsia="Arial" w:hAnsi="Arial"/>
          <w:sz w:val="21"/>
          <w:szCs w:val="21"/>
          <w:color w:val="auto"/>
        </w:rPr>
        <w:t>reduce the principal amount of any Loan or LC Disbursement or reduce the rate of interest thereon, or reduce any fees payable hereunder, without the written consent of each Lender affected thereby,</w:t>
      </w:r>
    </w:p>
    <w:p>
      <w:pPr>
        <w:spacing w:after="0" w:line="150" w:lineRule="exact"/>
        <w:rPr>
          <w:rFonts w:ascii="Arial" w:cs="Arial" w:eastAsia="Arial" w:hAnsi="Arial"/>
          <w:sz w:val="21"/>
          <w:szCs w:val="21"/>
          <w:color w:val="auto"/>
        </w:rPr>
      </w:pPr>
    </w:p>
    <w:p>
      <w:pPr>
        <w:jc w:val="both"/>
        <w:ind w:left="880" w:firstLine="789"/>
        <w:spacing w:after="0" w:line="238" w:lineRule="auto"/>
        <w:tabs>
          <w:tab w:leader="none" w:pos="2649" w:val="left"/>
        </w:tabs>
        <w:numPr>
          <w:ilvl w:val="0"/>
          <w:numId w:val="297"/>
        </w:numPr>
        <w:rPr>
          <w:rFonts w:ascii="Arial" w:cs="Arial" w:eastAsia="Arial" w:hAnsi="Arial"/>
          <w:sz w:val="22"/>
          <w:szCs w:val="22"/>
          <w:color w:val="auto"/>
        </w:rPr>
      </w:pPr>
      <w:r>
        <w:rPr>
          <w:rFonts w:ascii="Arial" w:cs="Arial" w:eastAsia="Arial" w:hAnsi="Arial"/>
          <w:sz w:val="22"/>
          <w:szCs w:val="22"/>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84" w:lineRule="exact"/>
        <w:rPr>
          <w:rFonts w:ascii="Arial" w:cs="Arial" w:eastAsia="Arial" w:hAnsi="Arial"/>
          <w:sz w:val="22"/>
          <w:szCs w:val="22"/>
          <w:color w:val="auto"/>
        </w:rPr>
      </w:pPr>
    </w:p>
    <w:p>
      <w:pPr>
        <w:ind w:left="880" w:firstLine="789"/>
        <w:spacing w:after="0" w:line="250" w:lineRule="auto"/>
        <w:tabs>
          <w:tab w:leader="none" w:pos="2637" w:val="left"/>
        </w:tabs>
        <w:numPr>
          <w:ilvl w:val="0"/>
          <w:numId w:val="297"/>
        </w:numPr>
        <w:rPr>
          <w:rFonts w:ascii="Arial" w:cs="Arial" w:eastAsia="Arial" w:hAnsi="Arial"/>
          <w:sz w:val="22"/>
          <w:szCs w:val="22"/>
          <w:color w:val="auto"/>
        </w:rPr>
      </w:pPr>
      <w:r>
        <w:rPr>
          <w:rFonts w:ascii="Arial" w:cs="Arial" w:eastAsia="Arial" w:hAnsi="Arial"/>
          <w:sz w:val="22"/>
          <w:szCs w:val="22"/>
          <w:color w:val="auto"/>
        </w:rPr>
        <w:t xml:space="preserve">change </w:t>
      </w:r>
      <w:r>
        <w:rPr>
          <w:rFonts w:ascii="Arial" w:cs="Arial" w:eastAsia="Arial" w:hAnsi="Arial"/>
          <w:sz w:val="22"/>
          <w:szCs w:val="22"/>
          <w:u w:val="single" w:color="auto"/>
          <w:color w:val="auto"/>
        </w:rPr>
        <w:t>Section 2.17(b)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in a manner that would alter the pro rata sharing of payments required thereby without the written consent of each Lender affected thereby, or</w:t>
      </w:r>
    </w:p>
    <w:p>
      <w:pPr>
        <w:spacing w:after="0" w:line="174" w:lineRule="exact"/>
        <w:rPr>
          <w:rFonts w:ascii="Arial" w:cs="Arial" w:eastAsia="Arial" w:hAnsi="Arial"/>
          <w:sz w:val="22"/>
          <w:szCs w:val="22"/>
          <w:color w:val="auto"/>
        </w:rPr>
      </w:pPr>
    </w:p>
    <w:p>
      <w:pPr>
        <w:jc w:val="both"/>
        <w:ind w:left="880" w:firstLine="789"/>
        <w:spacing w:after="0" w:line="238" w:lineRule="auto"/>
        <w:tabs>
          <w:tab w:leader="none" w:pos="2577" w:val="left"/>
        </w:tabs>
        <w:numPr>
          <w:ilvl w:val="0"/>
          <w:numId w:val="297"/>
        </w:numPr>
        <w:rPr>
          <w:rFonts w:ascii="Arial" w:cs="Arial" w:eastAsia="Arial" w:hAnsi="Arial"/>
          <w:sz w:val="22"/>
          <w:szCs w:val="22"/>
          <w:color w:val="auto"/>
        </w:rPr>
      </w:pPr>
      <w:r>
        <w:rPr>
          <w:rFonts w:ascii="Arial" w:cs="Arial" w:eastAsia="Arial" w:hAnsi="Arial"/>
          <w:sz w:val="22"/>
          <w:szCs w:val="22"/>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9"/>
          <w:szCs w:val="19"/>
          <w:u w:val="single" w:color="auto"/>
          <w:color w:val="auto"/>
        </w:rPr>
        <w:t>Section 5.12(b)(ii)(E)</w:t>
      </w:r>
      <w:r>
        <w:rPr>
          <w:rFonts w:ascii="Arial" w:cs="Arial" w:eastAsia="Arial" w:hAnsi="Arial"/>
          <w:sz w:val="19"/>
          <w:szCs w:val="19"/>
          <w:color w:val="auto"/>
        </w:rPr>
        <w:t xml:space="preserve"> and</w:t>
      </w:r>
    </w:p>
    <w:p>
      <w:pPr>
        <w:spacing w:after="0" w:line="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u w:val="single" w:color="auto"/>
          <w:color w:val="auto"/>
        </w:rPr>
        <w:t>(F)</w:t>
      </w:r>
      <w:r>
        <w:rPr>
          <w:rFonts w:ascii="Arial" w:cs="Arial" w:eastAsia="Arial" w:hAnsi="Arial"/>
          <w:sz w:val="22"/>
          <w:szCs w:val="22"/>
          <w:color w:val="auto"/>
        </w:rPr>
        <w:t xml:space="preserve">, but including changes to the provisions of </w:t>
      </w:r>
      <w:r>
        <w:rPr>
          <w:rFonts w:ascii="Arial" w:cs="Arial" w:eastAsia="Arial" w:hAnsi="Arial"/>
          <w:sz w:val="22"/>
          <w:szCs w:val="22"/>
          <w:u w:val="single" w:color="auto"/>
          <w:color w:val="auto"/>
        </w:rPr>
        <w:t>Section 5.12(c)(ii)</w:t>
      </w:r>
      <w:r>
        <w:rPr>
          <w:rFonts w:ascii="Arial" w:cs="Arial" w:eastAsia="Arial" w:hAnsi="Arial"/>
          <w:sz w:val="22"/>
          <w:szCs w:val="22"/>
          <w:color w:val="auto"/>
        </w:rPr>
        <w:t xml:space="preserve"> and the definitions set forth in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any release of any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3" w:name="page284"/>
    <w:bookmarkEnd w:id="283"/>
    <w:p>
      <w:pPr>
        <w:jc w:val="both"/>
        <w:spacing w:after="0" w:line="250" w:lineRule="auto"/>
        <w:rPr>
          <w:sz w:val="20"/>
          <w:szCs w:val="20"/>
          <w:color w:val="auto"/>
        </w:rPr>
      </w:pPr>
      <w:r>
        <w:rPr>
          <w:rFonts w:ascii="Arial" w:cs="Arial" w:eastAsia="Arial" w:hAnsi="Arial"/>
          <w:sz w:val="22"/>
          <w:szCs w:val="22"/>
          <w:color w:val="auto"/>
        </w:rPr>
        <w:t>material portion of the Collateral other than for fair value or as otherwise permitted hereunder or under the other Loan Documents.</w:t>
      </w:r>
    </w:p>
    <w:p>
      <w:pPr>
        <w:spacing w:after="0" w:line="175"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52" w:lineRule="exact"/>
        <w:rPr>
          <w:sz w:val="20"/>
          <w:szCs w:val="20"/>
          <w:color w:val="auto"/>
        </w:rPr>
      </w:pPr>
    </w:p>
    <w:p>
      <w:pPr>
        <w:jc w:val="both"/>
        <w:ind w:firstLine="1735"/>
        <w:spacing w:after="0" w:line="270" w:lineRule="auto"/>
        <w:tabs>
          <w:tab w:leader="none" w:pos="2615" w:val="left"/>
        </w:tabs>
        <w:numPr>
          <w:ilvl w:val="1"/>
          <w:numId w:val="298"/>
        </w:numPr>
        <w:rPr>
          <w:rFonts w:ascii="Arial" w:cs="Arial" w:eastAsia="Arial" w:hAnsi="Arial"/>
          <w:sz w:val="19"/>
          <w:szCs w:val="19"/>
          <w:color w:val="auto"/>
        </w:rPr>
      </w:pPr>
      <w:r>
        <w:rPr>
          <w:rFonts w:ascii="Arial" w:cs="Arial" w:eastAsia="Arial" w:hAnsi="Arial"/>
          <w:sz w:val="19"/>
          <w:szCs w:val="19"/>
          <w:u w:val="single" w:color="auto"/>
          <w:color w:val="auto"/>
        </w:rPr>
        <w:t>Amendments to Security Documents</w:t>
      </w:r>
      <w:r>
        <w:rPr>
          <w:rFonts w:ascii="Arial" w:cs="Arial" w:eastAsia="Arial" w:hAnsi="Arial"/>
          <w:sz w:val="19"/>
          <w:szCs w:val="19"/>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9"/>
          <w:szCs w:val="19"/>
          <w:u w:val="single" w:color="auto"/>
          <w:color w:val="auto"/>
        </w:rPr>
        <w:t>Section 2.08(e)</w:t>
      </w:r>
      <w:r>
        <w:rPr>
          <w:rFonts w:ascii="Arial" w:cs="Arial" w:eastAsia="Arial" w:hAnsi="Arial"/>
          <w:sz w:val="19"/>
          <w:szCs w:val="19"/>
          <w:color w:val="auto"/>
        </w:rPr>
        <w:t xml:space="preserve"> to an amount not greater than $2,000,000,000) except pursuant to an agreement or agreements in writing entered into by the Borrower, and by the Collateral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without the written consent of each Lender, no such agreement shall release all or substantially all of the Obligors from their respective obligations under the Security Documents and</w:t>
      </w:r>
    </w:p>
    <w:p>
      <w:pPr>
        <w:spacing w:after="0" w:line="1" w:lineRule="exact"/>
        <w:rPr>
          <w:rFonts w:ascii="Arial" w:cs="Arial" w:eastAsia="Arial" w:hAnsi="Arial"/>
          <w:sz w:val="19"/>
          <w:szCs w:val="19"/>
          <w:color w:val="auto"/>
        </w:rPr>
      </w:pPr>
    </w:p>
    <w:p>
      <w:pPr>
        <w:jc w:val="both"/>
        <w:ind w:firstLine="8"/>
        <w:spacing w:after="0" w:line="271" w:lineRule="auto"/>
        <w:tabs>
          <w:tab w:leader="none" w:pos="321"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57" w:lineRule="exact"/>
        <w:rPr>
          <w:rFonts w:ascii="Arial" w:cs="Arial" w:eastAsia="Arial" w:hAnsi="Arial"/>
          <w:sz w:val="19"/>
          <w:szCs w:val="19"/>
          <w:color w:val="auto"/>
        </w:rPr>
      </w:pPr>
    </w:p>
    <w:p>
      <w:pPr>
        <w:jc w:val="both"/>
        <w:ind w:firstLine="1735"/>
        <w:spacing w:after="0" w:line="277" w:lineRule="auto"/>
        <w:tabs>
          <w:tab w:leader="none" w:pos="2627" w:val="left"/>
        </w:tabs>
        <w:numPr>
          <w:ilvl w:val="1"/>
          <w:numId w:val="299"/>
        </w:numPr>
        <w:rPr>
          <w:rFonts w:ascii="Arial" w:cs="Arial" w:eastAsia="Arial" w:hAnsi="Arial"/>
          <w:sz w:val="19"/>
          <w:szCs w:val="19"/>
          <w:color w:val="auto"/>
        </w:rPr>
      </w:pPr>
      <w:r>
        <w:rPr>
          <w:rFonts w:ascii="Arial" w:cs="Arial" w:eastAsia="Arial" w:hAnsi="Arial"/>
          <w:sz w:val="19"/>
          <w:szCs w:val="19"/>
          <w:u w:val="single" w:color="auto"/>
          <w:color w:val="auto"/>
        </w:rPr>
        <w:t>Replacement of Non-Consenting Lender</w:t>
      </w:r>
      <w:r>
        <w:rPr>
          <w:rFonts w:ascii="Arial" w:cs="Arial" w:eastAsia="Arial" w:hAnsi="Arial"/>
          <w:sz w:val="19"/>
          <w:szCs w:val="19"/>
          <w:color w:val="auto"/>
        </w:rPr>
        <w:t xml:space="preserve">. If, in connection with any proposed change, waiver, discharge or termination to any of the provisions of this Agreement as contemplated by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so long as at the time of such replacement, each such replacement Lender consents to the proposed change, waiver, discharge or termination.</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4" w:name="page285"/>
    <w:bookmarkEnd w:id="284"/>
    <w:p>
      <w:pPr>
        <w:ind w:left="860"/>
        <w:spacing w:after="0"/>
        <w:tabs>
          <w:tab w:leader="none" w:pos="298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71" w:lineRule="auto"/>
        <w:tabs>
          <w:tab w:leader="none" w:pos="1735"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56" w:lineRule="exact"/>
        <w:rPr>
          <w:rFonts w:ascii="Arial" w:cs="Arial" w:eastAsia="Arial" w:hAnsi="Arial"/>
          <w:sz w:val="19"/>
          <w:szCs w:val="19"/>
          <w:color w:val="auto"/>
        </w:rPr>
      </w:pPr>
    </w:p>
    <w:p>
      <w:pPr>
        <w:jc w:val="both"/>
        <w:ind w:left="-880" w:firstLine="1735"/>
        <w:spacing w:after="0" w:line="270" w:lineRule="auto"/>
        <w:tabs>
          <w:tab w:leader="none" w:pos="1747"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xml:space="preserve">.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85" w:name="page286"/>
    <w:bookmarkEnd w:id="285"/>
    <w:p>
      <w:pPr>
        <w:jc w:val="both"/>
        <w:spacing w:after="0" w:line="245" w:lineRule="auto"/>
        <w:rPr>
          <w:sz w:val="20"/>
          <w:szCs w:val="20"/>
          <w:color w:val="auto"/>
        </w:rPr>
      </w:pPr>
      <w:r>
        <w:rPr>
          <w:rFonts w:ascii="Arial" w:cs="Arial" w:eastAsia="Arial" w:hAnsi="Arial"/>
          <w:sz w:val="21"/>
          <w:szCs w:val="21"/>
          <w:color w:val="auto"/>
        </w:rPr>
        <w:t xml:space="preserve">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21"/>
          <w:szCs w:val="21"/>
          <w:u w:val="single" w:color="auto"/>
          <w:color w:val="auto"/>
        </w:rPr>
        <w:t>Section 2.16</w:t>
      </w:r>
      <w:r>
        <w:rPr>
          <w:rFonts w:ascii="Arial" w:cs="Arial" w:eastAsia="Arial" w:hAnsi="Arial"/>
          <w:sz w:val="21"/>
          <w:szCs w:val="21"/>
          <w:color w:val="auto"/>
        </w:rPr>
        <w:t>.</w:t>
      </w:r>
    </w:p>
    <w:p>
      <w:pPr>
        <w:spacing w:after="0" w:line="184"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limitation shall not be deemed to impair or affect the Obligations of the Borrower under the preceding provisions of this subsection.</w:t>
      </w:r>
    </w:p>
    <w:p>
      <w:pPr>
        <w:spacing w:after="0" w:line="185" w:lineRule="exact"/>
        <w:rPr>
          <w:sz w:val="20"/>
          <w:szCs w:val="20"/>
          <w:color w:val="auto"/>
        </w:rPr>
      </w:pPr>
    </w:p>
    <w:p>
      <w:pPr>
        <w:jc w:val="both"/>
        <w:ind w:firstLine="1735"/>
        <w:spacing w:after="0" w:line="277" w:lineRule="auto"/>
        <w:tabs>
          <w:tab w:leader="none" w:pos="2615" w:val="left"/>
        </w:tabs>
        <w:numPr>
          <w:ilvl w:val="0"/>
          <w:numId w:val="301"/>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fails to pay any amount required to be paid by it to the Administrative Agent, any Issuing Bank or any Swingline Lender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51" w:lineRule="exact"/>
        <w:rPr>
          <w:rFonts w:ascii="Arial" w:cs="Arial" w:eastAsia="Arial" w:hAnsi="Arial"/>
          <w:sz w:val="19"/>
          <w:szCs w:val="19"/>
          <w:color w:val="auto"/>
        </w:rPr>
      </w:pPr>
    </w:p>
    <w:p>
      <w:pPr>
        <w:jc w:val="both"/>
        <w:ind w:firstLine="1735"/>
        <w:spacing w:after="0" w:line="245" w:lineRule="auto"/>
        <w:tabs>
          <w:tab w:leader="none" w:pos="2627" w:val="left"/>
        </w:tabs>
        <w:numPr>
          <w:ilvl w:val="0"/>
          <w:numId w:val="301"/>
        </w:numPr>
        <w:rPr>
          <w:rFonts w:ascii="Arial" w:cs="Arial" w:eastAsia="Arial" w:hAnsi="Arial"/>
          <w:sz w:val="21"/>
          <w:szCs w:val="21"/>
          <w:color w:val="auto"/>
        </w:rPr>
      </w:pPr>
      <w:r>
        <w:rPr>
          <w:rFonts w:ascii="Arial" w:cs="Arial" w:eastAsia="Arial" w:hAnsi="Arial"/>
          <w:sz w:val="21"/>
          <w:szCs w:val="21"/>
          <w:u w:val="single" w:color="auto"/>
          <w:color w:val="auto"/>
        </w:rPr>
        <w:t>Waiver of Consequential Damages, Etc</w:t>
      </w:r>
      <w:r>
        <w:rPr>
          <w:rFonts w:ascii="Arial" w:cs="Arial" w:eastAsia="Arial" w:hAnsi="Arial"/>
          <w:sz w:val="21"/>
          <w:szCs w:val="21"/>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84" w:lineRule="exact"/>
        <w:rPr>
          <w:rFonts w:ascii="Arial" w:cs="Arial" w:eastAsia="Arial" w:hAnsi="Arial"/>
          <w:sz w:val="21"/>
          <w:szCs w:val="21"/>
          <w:color w:val="auto"/>
        </w:rPr>
      </w:pPr>
    </w:p>
    <w:p>
      <w:pPr>
        <w:ind w:left="2620" w:hanging="885"/>
        <w:spacing w:after="0"/>
        <w:tabs>
          <w:tab w:leader="none" w:pos="2620" w:val="left"/>
        </w:tabs>
        <w:numPr>
          <w:ilvl w:val="0"/>
          <w:numId w:val="301"/>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promptly after written demand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therefor.</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6" w:name="page287"/>
    <w:bookmarkEnd w:id="286"/>
    <w:p>
      <w:pPr>
        <w:ind w:left="860"/>
        <w:spacing w:after="0"/>
        <w:tabs>
          <w:tab w:leader="none" w:pos="298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06" w:lineRule="exact"/>
        <w:rPr>
          <w:sz w:val="20"/>
          <w:szCs w:val="20"/>
          <w:color w:val="auto"/>
        </w:rPr>
      </w:pPr>
    </w:p>
    <w:p>
      <w:pPr>
        <w:jc w:val="both"/>
        <w:ind w:left="-880" w:firstLine="1735"/>
        <w:spacing w:after="0" w:line="245" w:lineRule="auto"/>
        <w:tabs>
          <w:tab w:leader="none" w:pos="1735" w:val="left"/>
        </w:tabs>
        <w:numPr>
          <w:ilvl w:val="1"/>
          <w:numId w:val="302"/>
        </w:numPr>
        <w:rPr>
          <w:rFonts w:ascii="Arial" w:cs="Arial" w:eastAsia="Arial" w:hAnsi="Arial"/>
          <w:sz w:val="21"/>
          <w:szCs w:val="21"/>
          <w:color w:val="auto"/>
        </w:rPr>
      </w:pPr>
      <w:r>
        <w:rPr>
          <w:rFonts w:ascii="Arial" w:cs="Arial" w:eastAsia="Arial" w:hAnsi="Arial"/>
          <w:sz w:val="21"/>
          <w:szCs w:val="21"/>
          <w:u w:val="single" w:color="auto"/>
          <w:color w:val="auto"/>
        </w:rPr>
        <w:t>Assignments Generally</w:t>
      </w:r>
      <w:r>
        <w:rPr>
          <w:rFonts w:ascii="Arial" w:cs="Arial" w:eastAsia="Arial" w:hAnsi="Arial"/>
          <w:sz w:val="21"/>
          <w:szCs w:val="21"/>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80" w:lineRule="exact"/>
        <w:rPr>
          <w:rFonts w:ascii="Arial" w:cs="Arial" w:eastAsia="Arial" w:hAnsi="Arial"/>
          <w:sz w:val="21"/>
          <w:szCs w:val="21"/>
          <w:color w:val="auto"/>
        </w:rPr>
      </w:pPr>
    </w:p>
    <w:p>
      <w:pPr>
        <w:ind w:left="1760" w:hanging="905"/>
        <w:spacing w:after="0"/>
        <w:tabs>
          <w:tab w:leader="none" w:pos="1760" w:val="left"/>
        </w:tabs>
        <w:numPr>
          <w:ilvl w:val="1"/>
          <w:numId w:val="302"/>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89"/>
        <w:spacing w:after="0" w:line="235" w:lineRule="auto"/>
        <w:tabs>
          <w:tab w:leader="none" w:pos="1649"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Assignments Generally</w:t>
      </w:r>
      <w:r>
        <w:rPr>
          <w:rFonts w:ascii="Arial" w:cs="Arial" w:eastAsia="Arial" w:hAnsi="Arial"/>
          <w:sz w:val="22"/>
          <w:szCs w:val="22"/>
          <w:color w:val="auto"/>
        </w:rPr>
        <w:t xml:space="preserve">. Subject to the conditions set forth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7" w:lineRule="exact"/>
        <w:rPr>
          <w:rFonts w:ascii="Arial" w:cs="Arial" w:eastAsia="Arial" w:hAnsi="Arial"/>
          <w:sz w:val="22"/>
          <w:szCs w:val="22"/>
          <w:color w:val="auto"/>
        </w:rPr>
      </w:pPr>
    </w:p>
    <w:p>
      <w:pPr>
        <w:jc w:val="both"/>
        <w:ind w:left="860" w:firstLine="726"/>
        <w:spacing w:after="0" w:line="236" w:lineRule="auto"/>
        <w:tabs>
          <w:tab w:leader="none" w:pos="2539" w:val="left"/>
        </w:tabs>
        <w:numPr>
          <w:ilvl w:val="2"/>
          <w:numId w:val="303"/>
        </w:numPr>
        <w:rPr>
          <w:rFonts w:ascii="Arial" w:cs="Arial" w:eastAsia="Arial" w:hAnsi="Arial"/>
          <w:sz w:val="22"/>
          <w:szCs w:val="22"/>
          <w:color w:val="auto"/>
        </w:rPr>
      </w:pPr>
      <w:r>
        <w:rPr>
          <w:rFonts w:ascii="Arial" w:cs="Arial" w:eastAsia="Arial" w:hAnsi="Arial"/>
          <w:sz w:val="22"/>
          <w:szCs w:val="22"/>
          <w:color w:val="auto"/>
        </w:rPr>
        <w:t xml:space="preserve">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87" w:lineRule="exact"/>
        <w:rPr>
          <w:rFonts w:ascii="Arial" w:cs="Arial" w:eastAsia="Arial" w:hAnsi="Arial"/>
          <w:sz w:val="22"/>
          <w:szCs w:val="22"/>
          <w:color w:val="auto"/>
        </w:rPr>
      </w:pPr>
    </w:p>
    <w:p>
      <w:pPr>
        <w:jc w:val="both"/>
        <w:ind w:left="860" w:firstLine="726"/>
        <w:spacing w:after="0"/>
        <w:tabs>
          <w:tab w:leader="none" w:pos="2527" w:val="left"/>
        </w:tabs>
        <w:numPr>
          <w:ilvl w:val="2"/>
          <w:numId w:val="303"/>
        </w:numPr>
        <w:rPr>
          <w:rFonts w:ascii="Arial" w:cs="Arial" w:eastAsia="Arial" w:hAnsi="Arial"/>
          <w:sz w:val="22"/>
          <w:szCs w:val="22"/>
          <w:color w:val="auto"/>
        </w:rPr>
      </w:pPr>
      <w:r>
        <w:rPr>
          <w:rFonts w:ascii="Arial" w:cs="Arial" w:eastAsia="Arial" w:hAnsi="Arial"/>
          <w:sz w:val="22"/>
          <w:szCs w:val="22"/>
          <w:color w:val="auto"/>
        </w:rPr>
        <w:t xml:space="preserve">the Administrative Agent and each Issuing Bank: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or the Issuing Banks shall be required for an assignment by a Lender to an Affiliate of such Lender.</w:t>
      </w:r>
    </w:p>
    <w:p>
      <w:pPr>
        <w:spacing w:after="0" w:line="186" w:lineRule="exact"/>
        <w:rPr>
          <w:rFonts w:ascii="Arial" w:cs="Arial" w:eastAsia="Arial" w:hAnsi="Arial"/>
          <w:sz w:val="22"/>
          <w:szCs w:val="22"/>
          <w:color w:val="auto"/>
        </w:rPr>
      </w:pPr>
    </w:p>
    <w:p>
      <w:pPr>
        <w:ind w:left="1700" w:hanging="911"/>
        <w:spacing w:after="0"/>
        <w:tabs>
          <w:tab w:leader="none" w:pos="1700" w:val="left"/>
        </w:tabs>
        <w:numPr>
          <w:ilvl w:val="0"/>
          <w:numId w:val="303"/>
        </w:numPr>
        <w:rPr>
          <w:rFonts w:ascii="Arial" w:cs="Arial" w:eastAsia="Arial" w:hAnsi="Arial"/>
          <w:sz w:val="21"/>
          <w:szCs w:val="21"/>
          <w:color w:val="auto"/>
        </w:rPr>
      </w:pPr>
      <w:r>
        <w:rPr>
          <w:rFonts w:ascii="Arial" w:cs="Arial" w:eastAsia="Arial" w:hAnsi="Arial"/>
          <w:sz w:val="21"/>
          <w:szCs w:val="21"/>
          <w:u w:val="single" w:color="auto"/>
          <w:color w:val="auto"/>
        </w:rPr>
        <w:t>Certain Conditions to Assignments</w:t>
      </w:r>
      <w:r>
        <w:rPr>
          <w:rFonts w:ascii="Arial" w:cs="Arial" w:eastAsia="Arial" w:hAnsi="Arial"/>
          <w:sz w:val="21"/>
          <w:szCs w:val="21"/>
          <w:color w:val="auto"/>
        </w:rPr>
        <w:t>.  Assignments shall be subject to the following additional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conditions:</w:t>
      </w:r>
    </w:p>
    <w:p>
      <w:pPr>
        <w:spacing w:after="0" w:line="188" w:lineRule="exact"/>
        <w:rPr>
          <w:rFonts w:ascii="Arial" w:cs="Arial" w:eastAsia="Arial" w:hAnsi="Arial"/>
          <w:sz w:val="21"/>
          <w:szCs w:val="21"/>
          <w:color w:val="auto"/>
        </w:rPr>
      </w:pPr>
    </w:p>
    <w:p>
      <w:pPr>
        <w:jc w:val="both"/>
        <w:ind w:left="860" w:firstLine="726"/>
        <w:spacing w:after="0" w:line="235" w:lineRule="auto"/>
        <w:tabs>
          <w:tab w:leader="none" w:pos="2539" w:val="left"/>
        </w:tabs>
        <w:numPr>
          <w:ilvl w:val="2"/>
          <w:numId w:val="303"/>
        </w:numPr>
        <w:rPr>
          <w:rFonts w:ascii="Arial" w:cs="Arial" w:eastAsia="Arial" w:hAnsi="Arial"/>
          <w:sz w:val="22"/>
          <w:szCs w:val="22"/>
          <w:color w:val="auto"/>
        </w:rPr>
      </w:pPr>
      <w:r>
        <w:rPr>
          <w:rFonts w:ascii="Arial" w:cs="Arial" w:eastAsia="Arial" w:hAnsi="Arial"/>
          <w:sz w:val="22"/>
          <w:szCs w:val="22"/>
          <w:color w:val="auto"/>
        </w:rPr>
        <w:t>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87" w:name="page288"/>
    <w:bookmarkEnd w:id="287"/>
    <w:p>
      <w:pPr>
        <w:ind w:left="868"/>
        <w:spacing w:after="0" w:line="250" w:lineRule="auto"/>
        <w:rPr>
          <w:sz w:val="20"/>
          <w:szCs w:val="20"/>
          <w:color w:val="auto"/>
        </w:rPr>
      </w:pPr>
      <w:r>
        <w:rPr>
          <w:rFonts w:ascii="Arial" w:cs="Arial" w:eastAsia="Arial" w:hAnsi="Arial"/>
          <w:sz w:val="22"/>
          <w:szCs w:val="22"/>
          <w:color w:val="auto"/>
        </w:rPr>
        <w:t xml:space="preserve">Agent otherwise consent;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consent of the Borrower shall be required if an Event of Default has occurred and is continuing;</w:t>
      </w:r>
    </w:p>
    <w:p>
      <w:pPr>
        <w:spacing w:after="0" w:line="175" w:lineRule="exact"/>
        <w:rPr>
          <w:sz w:val="20"/>
          <w:szCs w:val="20"/>
          <w:color w:val="auto"/>
        </w:rPr>
      </w:pPr>
    </w:p>
    <w:p>
      <w:pPr>
        <w:jc w:val="both"/>
        <w:ind w:left="868" w:firstLine="726"/>
        <w:spacing w:after="0" w:line="257" w:lineRule="auto"/>
        <w:tabs>
          <w:tab w:leader="none" w:pos="2535" w:val="left"/>
        </w:tabs>
        <w:numPr>
          <w:ilvl w:val="2"/>
          <w:numId w:val="304"/>
        </w:numPr>
        <w:rPr>
          <w:rFonts w:ascii="Arial" w:cs="Arial" w:eastAsia="Arial" w:hAnsi="Arial"/>
          <w:sz w:val="21"/>
          <w:szCs w:val="21"/>
          <w:color w:val="auto"/>
        </w:rPr>
      </w:pPr>
      <w:r>
        <w:rPr>
          <w:rFonts w:ascii="Arial" w:cs="Arial" w:eastAsia="Arial" w:hAnsi="Arial"/>
          <w:sz w:val="21"/>
          <w:szCs w:val="21"/>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69" w:lineRule="exact"/>
        <w:rPr>
          <w:rFonts w:ascii="Arial" w:cs="Arial" w:eastAsia="Arial" w:hAnsi="Arial"/>
          <w:sz w:val="21"/>
          <w:szCs w:val="21"/>
          <w:color w:val="auto"/>
        </w:rPr>
      </w:pPr>
    </w:p>
    <w:p>
      <w:pPr>
        <w:jc w:val="both"/>
        <w:ind w:left="868" w:firstLine="726"/>
        <w:spacing w:after="0" w:line="287" w:lineRule="auto"/>
        <w:tabs>
          <w:tab w:leader="none" w:pos="2535" w:val="left"/>
        </w:tabs>
        <w:numPr>
          <w:ilvl w:val="2"/>
          <w:numId w:val="304"/>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an Assignment and Assumption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42" w:lineRule="exact"/>
        <w:rPr>
          <w:rFonts w:ascii="Arial" w:cs="Arial" w:eastAsia="Arial" w:hAnsi="Arial"/>
          <w:sz w:val="19"/>
          <w:szCs w:val="19"/>
          <w:color w:val="auto"/>
        </w:rPr>
      </w:pPr>
    </w:p>
    <w:p>
      <w:pPr>
        <w:ind w:left="868" w:firstLine="726"/>
        <w:spacing w:after="0" w:line="250" w:lineRule="auto"/>
        <w:tabs>
          <w:tab w:leader="none" w:pos="2547" w:val="left"/>
        </w:tabs>
        <w:numPr>
          <w:ilvl w:val="2"/>
          <w:numId w:val="304"/>
        </w:numPr>
        <w:rPr>
          <w:rFonts w:ascii="Arial" w:cs="Arial" w:eastAsia="Arial" w:hAnsi="Arial"/>
          <w:sz w:val="22"/>
          <w:szCs w:val="22"/>
          <w:color w:val="auto"/>
        </w:rPr>
      </w:pPr>
      <w:r>
        <w:rPr>
          <w:rFonts w:ascii="Arial" w:cs="Arial" w:eastAsia="Arial" w:hAnsi="Arial"/>
          <w:sz w:val="22"/>
          <w:szCs w:val="22"/>
          <w:color w:val="auto"/>
        </w:rPr>
        <w:t>the assignee, if it shall not already be a Lender of the applicable Class, shall deliver to the Administrative Agent an Administrative Questionnaire; and</w:t>
      </w:r>
    </w:p>
    <w:p>
      <w:pPr>
        <w:spacing w:after="0" w:line="174" w:lineRule="exact"/>
        <w:rPr>
          <w:rFonts w:ascii="Arial" w:cs="Arial" w:eastAsia="Arial" w:hAnsi="Arial"/>
          <w:sz w:val="22"/>
          <w:szCs w:val="22"/>
          <w:color w:val="auto"/>
        </w:rPr>
      </w:pPr>
    </w:p>
    <w:p>
      <w:pPr>
        <w:ind w:left="868" w:right="20" w:firstLine="726"/>
        <w:spacing w:after="0" w:line="250" w:lineRule="auto"/>
        <w:tabs>
          <w:tab w:leader="none" w:pos="2523" w:val="left"/>
        </w:tabs>
        <w:numPr>
          <w:ilvl w:val="2"/>
          <w:numId w:val="304"/>
        </w:numPr>
        <w:rPr>
          <w:rFonts w:ascii="Arial" w:cs="Arial" w:eastAsia="Arial" w:hAnsi="Arial"/>
          <w:sz w:val="22"/>
          <w:szCs w:val="22"/>
          <w:color w:val="auto"/>
        </w:rPr>
      </w:pPr>
      <w:r>
        <w:rPr>
          <w:rFonts w:ascii="Arial" w:cs="Arial" w:eastAsia="Arial" w:hAnsi="Arial"/>
          <w:sz w:val="22"/>
          <w:szCs w:val="22"/>
          <w:color w:val="auto"/>
        </w:rPr>
        <w:t>the assignee shall deliver to the Borrower and the Administrative Agent those documents specified in Section 2.16(f).</w:t>
      </w:r>
    </w:p>
    <w:p>
      <w:pPr>
        <w:spacing w:after="0" w:line="174" w:lineRule="exact"/>
        <w:rPr>
          <w:rFonts w:ascii="Arial" w:cs="Arial" w:eastAsia="Arial" w:hAnsi="Arial"/>
          <w:sz w:val="22"/>
          <w:szCs w:val="22"/>
          <w:color w:val="auto"/>
        </w:rPr>
      </w:pPr>
    </w:p>
    <w:p>
      <w:pPr>
        <w:ind w:left="1768" w:hanging="971"/>
        <w:spacing w:after="0"/>
        <w:tabs>
          <w:tab w:leader="none" w:pos="1768" w:val="left"/>
        </w:tabs>
        <w:numPr>
          <w:ilvl w:val="1"/>
          <w:numId w:val="305"/>
        </w:numPr>
        <w:rPr>
          <w:rFonts w:ascii="Arial" w:cs="Arial" w:eastAsia="Arial" w:hAnsi="Arial"/>
          <w:sz w:val="19"/>
          <w:szCs w:val="19"/>
          <w:color w:val="auto"/>
        </w:rPr>
      </w:pPr>
      <w:r>
        <w:rPr>
          <w:rFonts w:ascii="Arial" w:cs="Arial" w:eastAsia="Arial" w:hAnsi="Arial"/>
          <w:sz w:val="19"/>
          <w:szCs w:val="19"/>
          <w:u w:val="single" w:color="auto"/>
          <w:color w:val="auto"/>
        </w:rPr>
        <w:t>Effectiveness of Assignments</w:t>
      </w:r>
      <w:r>
        <w:rPr>
          <w:rFonts w:ascii="Arial" w:cs="Arial" w:eastAsia="Arial" w:hAnsi="Arial"/>
          <w:sz w:val="19"/>
          <w:szCs w:val="19"/>
          <w:color w:val="auto"/>
        </w:rPr>
        <w:t xml:space="preserve">. Subject to acceptance and recording thereof pursuant to </w:t>
      </w:r>
      <w:r>
        <w:rPr>
          <w:rFonts w:ascii="Arial" w:cs="Arial" w:eastAsia="Arial" w:hAnsi="Arial"/>
          <w:sz w:val="19"/>
          <w:szCs w:val="19"/>
          <w:u w:val="single" w:color="auto"/>
          <w:color w:val="auto"/>
        </w:rPr>
        <w:t>paragraph</w:t>
      </w:r>
    </w:p>
    <w:p>
      <w:pPr>
        <w:spacing w:after="0" w:line="42" w:lineRule="exact"/>
        <w:rPr>
          <w:rFonts w:ascii="Arial" w:cs="Arial" w:eastAsia="Arial" w:hAnsi="Arial"/>
          <w:sz w:val="19"/>
          <w:szCs w:val="19"/>
          <w:color w:val="auto"/>
        </w:rPr>
      </w:pPr>
    </w:p>
    <w:p>
      <w:pPr>
        <w:jc w:val="both"/>
        <w:ind w:left="8" w:hanging="8"/>
        <w:spacing w:after="0" w:line="269" w:lineRule="auto"/>
        <w:tabs>
          <w:tab w:leader="none" w:pos="348" w:val="left"/>
        </w:tabs>
        <w:numPr>
          <w:ilvl w:val="0"/>
          <w:numId w:val="306"/>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9"/>
          <w:szCs w:val="19"/>
          <w:u w:val="single" w:color="auto"/>
          <w:color w:val="auto"/>
        </w:rPr>
        <w:t>Section 9.04(b)(ii)</w:t>
      </w:r>
      <w:r>
        <w:rPr>
          <w:rFonts w:ascii="Arial" w:cs="Arial" w:eastAsia="Arial" w:hAnsi="Arial"/>
          <w:sz w:val="19"/>
          <w:szCs w:val="19"/>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w:t>
      </w:r>
    </w:p>
    <w:p>
      <w:pPr>
        <w:spacing w:after="0" w:line="200" w:lineRule="exact"/>
        <w:rPr>
          <w:sz w:val="20"/>
          <w:szCs w:val="20"/>
          <w:color w:val="auto"/>
        </w:rPr>
      </w:pPr>
    </w:p>
    <w:p>
      <w:pPr>
        <w:spacing w:after="0" w:line="210" w:lineRule="exact"/>
        <w:rPr>
          <w:sz w:val="20"/>
          <w:szCs w:val="20"/>
          <w:color w:val="auto"/>
        </w:rPr>
      </w:pPr>
    </w:p>
    <w:p>
      <w:pPr>
        <w:ind w:left="8"/>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59690</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288" w:name="page289"/>
    <w:bookmarkEnd w:id="288"/>
    <w:p>
      <w:pPr>
        <w:jc w:val="both"/>
        <w:ind w:left="872"/>
        <w:spacing w:after="0" w:line="282" w:lineRule="auto"/>
        <w:rPr>
          <w:sz w:val="20"/>
          <w:szCs w:val="20"/>
          <w:color w:val="auto"/>
        </w:rPr>
      </w:pPr>
      <w:r>
        <w:rPr>
          <w:rFonts w:ascii="Arial" w:cs="Arial" w:eastAsia="Arial" w:hAnsi="Arial"/>
          <w:sz w:val="19"/>
          <w:szCs w:val="19"/>
          <w:color w:val="auto"/>
        </w:rPr>
        <w:t>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7" w:lineRule="exact"/>
        <w:rPr>
          <w:sz w:val="20"/>
          <w:szCs w:val="20"/>
          <w:color w:val="auto"/>
        </w:rPr>
      </w:pPr>
    </w:p>
    <w:p>
      <w:pPr>
        <w:jc w:val="both"/>
        <w:ind w:left="-8" w:firstLine="1735"/>
        <w:spacing w:after="0" w:line="274" w:lineRule="auto"/>
        <w:tabs>
          <w:tab w:leader="none" w:pos="2607" w:val="left"/>
        </w:tabs>
        <w:numPr>
          <w:ilvl w:val="1"/>
          <w:numId w:val="307"/>
        </w:numPr>
        <w:rPr>
          <w:rFonts w:ascii="Arial" w:cs="Arial" w:eastAsia="Arial" w:hAnsi="Arial"/>
          <w:sz w:val="19"/>
          <w:szCs w:val="19"/>
          <w:color w:val="auto"/>
        </w:rPr>
      </w:pPr>
      <w:r>
        <w:rPr>
          <w:rFonts w:ascii="Arial" w:cs="Arial" w:eastAsia="Arial" w:hAnsi="Arial"/>
          <w:sz w:val="19"/>
          <w:szCs w:val="19"/>
          <w:u w:val="single" w:color="auto"/>
          <w:color w:val="auto"/>
        </w:rPr>
        <w:t>Maintenance of Registers by Administrative Agent</w:t>
      </w:r>
      <w:r>
        <w:rPr>
          <w:rFonts w:ascii="Arial" w:cs="Arial" w:eastAsia="Arial" w:hAnsi="Arial"/>
          <w:sz w:val="19"/>
          <w:szCs w:val="19"/>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9"/>
          <w:szCs w:val="19"/>
          <w:u w:val="single" w:color="auto"/>
          <w:color w:val="auto"/>
        </w:rPr>
        <w:t>Registers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58" w:lineRule="exact"/>
        <w:rPr>
          <w:rFonts w:ascii="Arial" w:cs="Arial" w:eastAsia="Arial" w:hAnsi="Arial"/>
          <w:sz w:val="19"/>
          <w:szCs w:val="19"/>
          <w:color w:val="auto"/>
        </w:rPr>
      </w:pPr>
    </w:p>
    <w:p>
      <w:pPr>
        <w:jc w:val="both"/>
        <w:ind w:left="-8" w:firstLine="1735"/>
        <w:spacing w:after="0" w:line="234" w:lineRule="auto"/>
        <w:tabs>
          <w:tab w:leader="none" w:pos="2619" w:val="left"/>
        </w:tabs>
        <w:numPr>
          <w:ilvl w:val="1"/>
          <w:numId w:val="307"/>
        </w:numPr>
        <w:rPr>
          <w:rFonts w:ascii="Arial" w:cs="Arial" w:eastAsia="Arial" w:hAnsi="Arial"/>
          <w:sz w:val="22"/>
          <w:szCs w:val="22"/>
          <w:color w:val="auto"/>
        </w:rPr>
      </w:pPr>
      <w:r>
        <w:rPr>
          <w:rFonts w:ascii="Arial" w:cs="Arial" w:eastAsia="Arial" w:hAnsi="Arial"/>
          <w:sz w:val="22"/>
          <w:szCs w:val="22"/>
          <w:u w:val="single" w:color="auto"/>
          <w:color w:val="auto"/>
        </w:rPr>
        <w:t>Acceptance of Assignments by Administrative Agent</w:t>
      </w:r>
      <w:r>
        <w:rPr>
          <w:rFonts w:ascii="Arial" w:cs="Arial" w:eastAsia="Arial" w:hAnsi="Arial"/>
          <w:sz w:val="22"/>
          <w:szCs w:val="22"/>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and any written consent to such assignment required by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90" w:lineRule="exact"/>
        <w:rPr>
          <w:rFonts w:ascii="Arial" w:cs="Arial" w:eastAsia="Arial" w:hAnsi="Arial"/>
          <w:sz w:val="22"/>
          <w:szCs w:val="22"/>
          <w:color w:val="auto"/>
        </w:rPr>
      </w:pPr>
    </w:p>
    <w:p>
      <w:pPr>
        <w:jc w:val="both"/>
        <w:ind w:left="-8" w:firstLine="1735"/>
        <w:spacing w:after="0" w:line="271" w:lineRule="auto"/>
        <w:tabs>
          <w:tab w:leader="none" w:pos="2607" w:val="left"/>
        </w:tabs>
        <w:numPr>
          <w:ilvl w:val="1"/>
          <w:numId w:val="307"/>
        </w:numPr>
        <w:rPr>
          <w:rFonts w:ascii="Arial" w:cs="Arial" w:eastAsia="Arial" w:hAnsi="Arial"/>
          <w:sz w:val="19"/>
          <w:szCs w:val="19"/>
          <w:color w:val="auto"/>
        </w:rPr>
      </w:pPr>
      <w:r>
        <w:rPr>
          <w:rFonts w:ascii="Arial" w:cs="Arial" w:eastAsia="Arial" w:hAnsi="Arial"/>
          <w:sz w:val="19"/>
          <w:szCs w:val="19"/>
          <w:u w:val="single" w:color="auto"/>
          <w:color w:val="auto"/>
        </w:rPr>
        <w:t>Special Purposes Vehicles</w:t>
      </w:r>
      <w:r>
        <w:rPr>
          <w:rFonts w:ascii="Arial" w:cs="Arial" w:eastAsia="Arial" w:hAnsi="Arial"/>
          <w:sz w:val="19"/>
          <w:szCs w:val="19"/>
          <w:color w:val="auto"/>
        </w:rPr>
        <w:t>. 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3" w:lineRule="exact"/>
        <w:rPr>
          <w:rFonts w:ascii="Arial" w:cs="Arial" w:eastAsia="Arial" w:hAnsi="Arial"/>
          <w:sz w:val="19"/>
          <w:szCs w:val="19"/>
          <w:color w:val="auto"/>
        </w:rPr>
      </w:pPr>
    </w:p>
    <w:p>
      <w:pPr>
        <w:jc w:val="both"/>
        <w:ind w:left="-8" w:firstLine="8"/>
        <w:spacing w:after="0" w:line="243" w:lineRule="auto"/>
        <w:tabs>
          <w:tab w:leader="none" w:pos="259" w:val="left"/>
        </w:tabs>
        <w:numPr>
          <w:ilvl w:val="0"/>
          <w:numId w:val="308"/>
        </w:numPr>
        <w:rPr>
          <w:rFonts w:ascii="Arial" w:cs="Arial" w:eastAsia="Arial" w:hAnsi="Arial"/>
          <w:sz w:val="21"/>
          <w:szCs w:val="21"/>
          <w:color w:val="auto"/>
        </w:rPr>
      </w:pPr>
      <w:r>
        <w:rPr>
          <w:rFonts w:ascii="Arial" w:cs="Arial" w:eastAsia="Arial" w:hAnsi="Arial"/>
          <w:sz w:val="21"/>
          <w:szCs w:val="21"/>
          <w:color w:val="auto"/>
        </w:rPr>
        <w:t xml:space="preserve">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21"/>
          <w:szCs w:val="21"/>
          <w:u w:val="single" w:color="auto"/>
          <w:color w:val="auto"/>
        </w:rPr>
        <w:t>Sections 2.14</w:t>
      </w:r>
      <w:r>
        <w:rPr>
          <w:rFonts w:ascii="Arial" w:cs="Arial" w:eastAsia="Arial" w:hAnsi="Arial"/>
          <w:sz w:val="21"/>
          <w:szCs w:val="21"/>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w:t>
      </w:r>
    </w:p>
    <w:p>
      <w:pPr>
        <w:spacing w:after="0" w:line="187" w:lineRule="exact"/>
        <w:rPr>
          <w:sz w:val="20"/>
          <w:szCs w:val="20"/>
          <w:color w:val="auto"/>
        </w:rPr>
      </w:pPr>
    </w:p>
    <w:p>
      <w:pPr>
        <w:ind w:left="872"/>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8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289" w:name="page290"/>
    <w:bookmarkEnd w:id="289"/>
    <w:p>
      <w:pPr>
        <w:jc w:val="both"/>
        <w:ind w:right="20"/>
        <w:spacing w:after="0" w:line="250" w:lineRule="auto"/>
        <w:rPr>
          <w:sz w:val="20"/>
          <w:szCs w:val="20"/>
          <w:color w:val="auto"/>
        </w:rPr>
      </w:pPr>
      <w:r>
        <w:rPr>
          <w:rFonts w:ascii="Arial" w:cs="Arial" w:eastAsia="Arial" w:hAnsi="Arial"/>
          <w:sz w:val="22"/>
          <w:szCs w:val="22"/>
          <w:color w:val="auto"/>
        </w:rPr>
        <w:t>its SPC. The making of a Loan by an SPC hereunder shall utilize the Commitment of the Granting Lender to the same extent, and as if, such Loan were made by the Granting Lender.</w:t>
      </w:r>
    </w:p>
    <w:p>
      <w:pPr>
        <w:spacing w:after="0" w:line="175"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w:t>
      </w:r>
    </w:p>
    <w:p>
      <w:pPr>
        <w:spacing w:after="0" w:line="5" w:lineRule="exact"/>
        <w:rPr>
          <w:sz w:val="20"/>
          <w:szCs w:val="20"/>
          <w:color w:val="auto"/>
        </w:rPr>
      </w:pPr>
    </w:p>
    <w:p>
      <w:pPr>
        <w:jc w:val="both"/>
        <w:ind w:firstLine="8"/>
        <w:spacing w:after="0" w:line="243" w:lineRule="auto"/>
        <w:tabs>
          <w:tab w:leader="none" w:pos="297" w:val="left"/>
        </w:tabs>
        <w:numPr>
          <w:ilvl w:val="0"/>
          <w:numId w:val="309"/>
        </w:numPr>
        <w:rPr>
          <w:rFonts w:ascii="Arial" w:cs="Arial" w:eastAsia="Arial" w:hAnsi="Arial"/>
          <w:sz w:val="21"/>
          <w:szCs w:val="21"/>
          <w:color w:val="auto"/>
        </w:rPr>
      </w:pPr>
      <w:r>
        <w:rPr>
          <w:rFonts w:ascii="Arial" w:cs="Arial" w:eastAsia="Arial" w:hAnsi="Arial"/>
          <w:sz w:val="21"/>
          <w:szCs w:val="21"/>
          <w:color w:val="auto"/>
        </w:rPr>
        <w:t xml:space="preserve">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21"/>
          <w:szCs w:val="21"/>
          <w:u w:val="single" w:color="auto"/>
          <w:color w:val="auto"/>
        </w:rPr>
        <w:t>paragraph (f)</w:t>
      </w:r>
      <w:r>
        <w:rPr>
          <w:rFonts w:ascii="Arial" w:cs="Arial" w:eastAsia="Arial" w:hAnsi="Arial"/>
          <w:sz w:val="21"/>
          <w:szCs w:val="21"/>
          <w:color w:val="auto"/>
        </w:rPr>
        <w:t xml:space="preserve"> below, and (ii) disclose on a confidential basis (in the same manner described in </w:t>
      </w:r>
      <w:r>
        <w:rPr>
          <w:rFonts w:ascii="Arial" w:cs="Arial" w:eastAsia="Arial" w:hAnsi="Arial"/>
          <w:sz w:val="21"/>
          <w:szCs w:val="21"/>
          <w:u w:val="single" w:color="auto"/>
          <w:color w:val="auto"/>
        </w:rPr>
        <w:t>Section 9.13(b)</w:t>
      </w:r>
      <w:r>
        <w:rPr>
          <w:rFonts w:ascii="Arial" w:cs="Arial" w:eastAsia="Arial" w:hAnsi="Arial"/>
          <w:sz w:val="21"/>
          <w:szCs w:val="21"/>
          <w:color w:val="auto"/>
        </w:rPr>
        <w:t>) any non-public information relating to its Loans to any rating agency, commercial paper dealer or provider of a surety, guarantee or credit or liquidity enhancement to such SPC.</w:t>
      </w:r>
    </w:p>
    <w:p>
      <w:pPr>
        <w:spacing w:after="0" w:line="184" w:lineRule="exact"/>
        <w:rPr>
          <w:rFonts w:ascii="Arial" w:cs="Arial" w:eastAsia="Arial" w:hAnsi="Arial"/>
          <w:sz w:val="21"/>
          <w:szCs w:val="21"/>
          <w:color w:val="auto"/>
        </w:rPr>
      </w:pPr>
    </w:p>
    <w:p>
      <w:pPr>
        <w:jc w:val="both"/>
        <w:ind w:firstLine="1735"/>
        <w:spacing w:after="0" w:line="270" w:lineRule="auto"/>
        <w:tabs>
          <w:tab w:leader="none" w:pos="2591" w:val="left"/>
        </w:tabs>
        <w:numPr>
          <w:ilvl w:val="1"/>
          <w:numId w:val="30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4" w:lineRule="exact"/>
        <w:rPr>
          <w:rFonts w:ascii="Arial" w:cs="Arial" w:eastAsia="Arial" w:hAnsi="Arial"/>
          <w:sz w:val="19"/>
          <w:szCs w:val="19"/>
          <w:color w:val="auto"/>
        </w:rPr>
      </w:pPr>
    </w:p>
    <w:p>
      <w:pPr>
        <w:jc w:val="both"/>
        <w:ind w:firstLine="8"/>
        <w:spacing w:after="0" w:line="270" w:lineRule="auto"/>
        <w:tabs>
          <w:tab w:leader="none" w:pos="298" w:val="left"/>
        </w:tabs>
        <w:numPr>
          <w:ilvl w:val="0"/>
          <w:numId w:val="310"/>
        </w:numPr>
        <w:rPr>
          <w:rFonts w:ascii="Arial" w:cs="Arial" w:eastAsia="Arial" w:hAnsi="Arial"/>
          <w:sz w:val="19"/>
          <w:szCs w:val="19"/>
          <w:color w:val="auto"/>
        </w:rPr>
      </w:pPr>
      <w:r>
        <w:rPr>
          <w:rFonts w:ascii="Arial" w:cs="Arial" w:eastAsia="Arial" w:hAnsi="Arial"/>
          <w:sz w:val="19"/>
          <w:szCs w:val="19"/>
          <w:color w:val="auto"/>
        </w:rPr>
        <w:t xml:space="preserve">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of this Section, the Borrower agrees that each Participant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0" w:name="page291"/>
    <w:bookmarkEnd w:id="290"/>
    <w:p>
      <w:pPr>
        <w:jc w:val="both"/>
        <w:spacing w:after="0" w:line="270" w:lineRule="auto"/>
        <w:rPr>
          <w:sz w:val="20"/>
          <w:szCs w:val="20"/>
          <w:color w:val="auto"/>
        </w:rPr>
      </w:pPr>
      <w:r>
        <w:rPr>
          <w:rFonts w:ascii="Arial" w:cs="Arial" w:eastAsia="Arial" w:hAnsi="Arial"/>
          <w:sz w:val="19"/>
          <w:szCs w:val="19"/>
          <w:color w:val="auto"/>
        </w:rPr>
        <w:t xml:space="preserve">shall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Participant shall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the Borrower is notified of the participation granted to such Participant and such Participant shall have complied with the requirements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as if such Participant is a Lender.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3" w:lineRule="exact"/>
        <w:rPr>
          <w:sz w:val="20"/>
          <w:szCs w:val="20"/>
          <w:color w:val="auto"/>
        </w:rPr>
      </w:pPr>
    </w:p>
    <w:p>
      <w:pPr>
        <w:jc w:val="both"/>
        <w:ind w:firstLine="1735"/>
        <w:spacing w:after="0" w:line="274" w:lineRule="auto"/>
        <w:tabs>
          <w:tab w:leader="none" w:pos="2627"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Limitations on Rights of Participants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the Borrower is notified of the participation sold to such Participant and such Participant agrees, for the benefit of the Borrower, to comply with </w:t>
      </w:r>
      <w:r>
        <w:rPr>
          <w:rFonts w:ascii="Arial" w:cs="Arial" w:eastAsia="Arial" w:hAnsi="Arial"/>
          <w:sz w:val="19"/>
          <w:szCs w:val="19"/>
          <w:u w:val="single" w:color="auto"/>
          <w:color w:val="auto"/>
        </w:rPr>
        <w:t>paragraphs (e)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58" w:lineRule="exact"/>
        <w:rPr>
          <w:rFonts w:ascii="Arial" w:cs="Arial" w:eastAsia="Arial" w:hAnsi="Arial"/>
          <w:sz w:val="19"/>
          <w:szCs w:val="19"/>
          <w:color w:val="auto"/>
        </w:rPr>
      </w:pPr>
    </w:p>
    <w:p>
      <w:pPr>
        <w:jc w:val="both"/>
        <w:ind w:firstLine="1735"/>
        <w:spacing w:after="0" w:line="282" w:lineRule="auto"/>
        <w:tabs>
          <w:tab w:leader="none" w:pos="2627"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assignee for such Lender as a party hereto.</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1" w:name="page292"/>
    <w:bookmarkEnd w:id="291"/>
    <w:p>
      <w:pPr>
        <w:jc w:val="both"/>
        <w:ind w:firstLine="1735"/>
        <w:spacing w:after="0"/>
        <w:tabs>
          <w:tab w:leader="none" w:pos="2579"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No Assignments to the Borrower or Affiliates</w:t>
      </w:r>
      <w:r>
        <w:rPr>
          <w:rFonts w:ascii="Arial" w:cs="Arial" w:eastAsia="Arial" w:hAnsi="Arial"/>
          <w:sz w:val="22"/>
          <w:szCs w:val="22"/>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8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21"/>
          <w:szCs w:val="21"/>
          <w:u w:val="single" w:color="auto"/>
          <w:color w:val="auto"/>
        </w:rPr>
        <w:t>Sections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6"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313"/>
        </w:numPr>
        <w:rPr>
          <w:rFonts w:ascii="Arial" w:cs="Arial" w:eastAsia="Arial" w:hAnsi="Arial"/>
          <w:sz w:val="19"/>
          <w:szCs w:val="19"/>
          <w:color w:val="auto"/>
        </w:rPr>
      </w:pP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60" w:lineRule="exact"/>
        <w:rPr>
          <w:rFonts w:ascii="Arial" w:cs="Arial" w:eastAsia="Arial" w:hAnsi="Arial"/>
          <w:sz w:val="19"/>
          <w:szCs w:val="19"/>
          <w:color w:val="auto"/>
        </w:rPr>
      </w:pPr>
    </w:p>
    <w:p>
      <w:pPr>
        <w:jc w:val="both"/>
        <w:ind w:firstLine="1735"/>
        <w:spacing w:after="0" w:line="279" w:lineRule="auto"/>
        <w:tabs>
          <w:tab w:leader="none" w:pos="2627" w:val="left"/>
        </w:tabs>
        <w:numPr>
          <w:ilvl w:val="0"/>
          <w:numId w:val="313"/>
        </w:numPr>
        <w:rPr>
          <w:rFonts w:ascii="Arial" w:cs="Arial" w:eastAsia="Arial" w:hAnsi="Arial"/>
          <w:sz w:val="19"/>
          <w:szCs w:val="19"/>
          <w:color w:val="auto"/>
        </w:rPr>
      </w:pPr>
      <w:r>
        <w:rPr>
          <w:rFonts w:ascii="Arial" w:cs="Arial" w:eastAsia="Arial" w:hAnsi="Arial"/>
          <w:sz w:val="19"/>
          <w:szCs w:val="19"/>
          <w:u w:val="single" w:color="auto"/>
          <w:color w:val="auto"/>
        </w:rPr>
        <w:t>Electronic Execution of Assignments</w:t>
      </w:r>
      <w:r>
        <w:rPr>
          <w:rFonts w:ascii="Arial" w:cs="Arial" w:eastAsia="Arial" w:hAnsi="Arial"/>
          <w:sz w:val="19"/>
          <w:szCs w:val="19"/>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2" w:name="page293"/>
    <w:bookmarkEnd w:id="292"/>
    <w:p>
      <w:pPr>
        <w:jc w:val="both"/>
        <w:ind w:firstLine="1727"/>
        <w:spacing w:after="0" w:line="252"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4"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9"/>
          <w:szCs w:val="19"/>
          <w:u w:val="single" w:color="auto"/>
          <w:color w:val="auto"/>
        </w:rPr>
        <w:t>Sections 2.17(d)</w:t>
      </w:r>
      <w:r>
        <w:rPr>
          <w:rFonts w:ascii="Arial" w:cs="Arial" w:eastAsia="Arial" w:hAnsi="Arial"/>
          <w:sz w:val="19"/>
          <w:szCs w:val="19"/>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07"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9"/>
          <w:szCs w:val="19"/>
          <w:u w:val="single" w:color="auto"/>
          <w:color w:val="auto"/>
        </w:rPr>
        <w:t>Governing Law; Jurisdiction; Etc</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in accordance with and governed by the law</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State of New York.</w:t>
      </w:r>
    </w:p>
    <w:p>
      <w:pPr>
        <w:spacing w:after="0" w:line="188" w:lineRule="exact"/>
        <w:rPr>
          <w:rFonts w:ascii="Arial" w:cs="Arial" w:eastAsia="Arial" w:hAnsi="Arial"/>
          <w:sz w:val="19"/>
          <w:szCs w:val="19"/>
          <w:color w:val="auto"/>
        </w:rPr>
      </w:pPr>
    </w:p>
    <w:p>
      <w:pPr>
        <w:jc w:val="both"/>
        <w:ind w:firstLine="1735"/>
        <w:spacing w:after="0" w:line="273" w:lineRule="auto"/>
        <w:tabs>
          <w:tab w:leader="none" w:pos="2627"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60" w:lineRule="exact"/>
        <w:rPr>
          <w:rFonts w:ascii="Arial" w:cs="Arial" w:eastAsia="Arial" w:hAnsi="Arial"/>
          <w:sz w:val="19"/>
          <w:szCs w:val="19"/>
          <w:color w:val="auto"/>
        </w:rPr>
      </w:pPr>
    </w:p>
    <w:p>
      <w:pPr>
        <w:ind w:right="20" w:firstLine="1735"/>
        <w:spacing w:after="0" w:line="250" w:lineRule="auto"/>
        <w:tabs>
          <w:tab w:leader="none" w:pos="2615"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The Borrower hereby irrevocably and unconditionally waives, to the fullest extent it may legally and effectively do so, any objection which it may now</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3" w:name="page294"/>
    <w:bookmarkEnd w:id="293"/>
    <w:p>
      <w:pPr>
        <w:jc w:val="both"/>
        <w:spacing w:after="0" w:line="297" w:lineRule="auto"/>
        <w:rPr>
          <w:sz w:val="20"/>
          <w:szCs w:val="20"/>
          <w:color w:val="auto"/>
        </w:rPr>
      </w:pPr>
      <w:r>
        <w:rPr>
          <w:rFonts w:ascii="Arial" w:cs="Arial" w:eastAsia="Arial" w:hAnsi="Arial"/>
          <w:sz w:val="19"/>
          <w:szCs w:val="19"/>
          <w:color w:val="auto"/>
        </w:rPr>
        <w:t xml:space="preserve">or hereafter have to the laying of venue of any suit, action or proceeding arising out of or relating to this Agreement in any court referred to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34" w:lineRule="exact"/>
        <w:rPr>
          <w:sz w:val="20"/>
          <w:szCs w:val="20"/>
          <w:color w:val="auto"/>
        </w:rPr>
      </w:pPr>
    </w:p>
    <w:p>
      <w:pPr>
        <w:jc w:val="both"/>
        <w:ind w:firstLine="1735"/>
        <w:spacing w:after="0" w:line="236" w:lineRule="auto"/>
        <w:tabs>
          <w:tab w:leader="none" w:pos="2627" w:val="left"/>
        </w:tabs>
        <w:numPr>
          <w:ilvl w:val="0"/>
          <w:numId w:val="315"/>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to this Agreement (i)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and (ii) agrees that service as provided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87"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ind w:firstLine="8"/>
        <w:spacing w:after="0" w:line="256" w:lineRule="auto"/>
        <w:tabs>
          <w:tab w:leader="none" w:pos="344" w:val="left"/>
        </w:tabs>
        <w:numPr>
          <w:ilvl w:val="0"/>
          <w:numId w:val="316"/>
        </w:numPr>
        <w:rPr>
          <w:rFonts w:ascii="Arial" w:cs="Arial" w:eastAsia="Arial" w:hAnsi="Arial"/>
          <w:sz w:val="21"/>
          <w:szCs w:val="21"/>
          <w:color w:val="auto"/>
        </w:rPr>
      </w:pPr>
      <w:r>
        <w:rPr>
          <w:rFonts w:ascii="Arial" w:cs="Arial" w:eastAsia="Arial" w:hAnsi="Arial"/>
          <w:sz w:val="21"/>
          <w:szCs w:val="21"/>
          <w:color w:val="auto"/>
        </w:rPr>
        <w:t>ACKNOWLEDGES THAT IT AND THE OTHER PARTIES HERETO HAVE BEEN INDUCED TO ENTER INTO THIS AGREEMENT BY, AMONG OTHER THINGS. THE MUTUAL WAIVERS AND CERTIFICATIONS IN THIS SECTION.</w:t>
      </w:r>
    </w:p>
    <w:p>
      <w:pPr>
        <w:spacing w:after="0" w:line="169"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Judgment Currency</w:t>
      </w:r>
      <w:r>
        <w:rPr>
          <w:rFonts w:ascii="Arial" w:cs="Arial" w:eastAsia="Arial" w:hAnsi="Arial"/>
          <w:sz w:val="19"/>
          <w:szCs w:val="19"/>
          <w:color w:val="auto"/>
        </w:rPr>
        <w:t>. This is an international loan transaction in which the specification of Dollars or any Foreign Currency, as the case may be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and payment in New York City or the country of the Specified Currency, as the case may be (the “</w:t>
      </w:r>
      <w:r>
        <w:rPr>
          <w:rFonts w:ascii="Arial" w:cs="Arial" w:eastAsia="Arial" w:hAnsi="Arial"/>
          <w:sz w:val="19"/>
          <w:szCs w:val="19"/>
          <w:u w:val="single" w:color="auto"/>
          <w:color w:val="auto"/>
        </w:rPr>
        <w:t>Specified Place</w:t>
      </w:r>
      <w:r>
        <w:rPr>
          <w:rFonts w:ascii="Arial" w:cs="Arial" w:eastAsia="Arial" w:hAnsi="Arial"/>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9"/>
          <w:szCs w:val="19"/>
          <w:u w:val="single" w:color="auto"/>
          <w:color w:val="auto"/>
        </w:rPr>
        <w:t>Second Currency</w:t>
      </w:r>
      <w:r>
        <w:rPr>
          <w:rFonts w:ascii="Arial" w:cs="Arial" w:eastAsia="Arial" w:hAnsi="Arial"/>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9"/>
          <w:szCs w:val="19"/>
          <w:u w:val="single" w:color="auto"/>
          <w:color w:val="auto"/>
        </w:rPr>
        <w:t>Entitled Person</w:t>
      </w:r>
      <w:r>
        <w:rPr>
          <w:rFonts w:ascii="Arial" w:cs="Arial" w:eastAsia="Arial" w:hAnsi="Arial"/>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4" w:name="page295"/>
    <w:bookmarkEnd w:id="294"/>
    <w:p>
      <w:pPr>
        <w:jc w:val="both"/>
        <w:spacing w:after="0"/>
        <w:rPr>
          <w:sz w:val="20"/>
          <w:szCs w:val="20"/>
          <w:color w:val="auto"/>
        </w:rPr>
      </w:pPr>
      <w:r>
        <w:rPr>
          <w:rFonts w:ascii="Arial" w:cs="Arial" w:eastAsia="Arial" w:hAnsi="Arial"/>
          <w:sz w:val="22"/>
          <w:szCs w:val="22"/>
          <w:color w:val="auto"/>
        </w:rPr>
        <w:t>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22"/>
          <w:szCs w:val="22"/>
          <w:color w:val="auto"/>
        </w:rPr>
        <w:t>SECTION 9.13.</w:t>
      </w:r>
      <w:r>
        <w:rPr>
          <w:sz w:val="20"/>
          <w:szCs w:val="20"/>
          <w:color w:val="auto"/>
        </w:rPr>
        <w:tab/>
      </w:r>
      <w:r>
        <w:rPr>
          <w:rFonts w:ascii="Arial" w:cs="Arial" w:eastAsia="Arial" w:hAnsi="Arial"/>
          <w:sz w:val="19"/>
          <w:szCs w:val="19"/>
          <w:u w:val="single" w:color="auto"/>
          <w:color w:val="auto"/>
        </w:rPr>
        <w:t>Treatment of Certain Information; No Fiduciary Duty; Confidentiality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69" w:lineRule="auto"/>
        <w:tabs>
          <w:tab w:leader="none" w:pos="2615"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Treatment of Certain Information; No Fiduciary Duty; No Conflicts</w:t>
      </w:r>
      <w:r>
        <w:rPr>
          <w:rFonts w:ascii="Arial" w:cs="Arial" w:eastAsia="Arial" w:hAnsi="Arial"/>
          <w:sz w:val="19"/>
          <w:szCs w:val="19"/>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w:t>
      </w:r>
    </w:p>
    <w:p>
      <w:pPr>
        <w:spacing w:after="0" w:line="200" w:lineRule="exact"/>
        <w:rPr>
          <w:sz w:val="20"/>
          <w:szCs w:val="20"/>
          <w:color w:val="auto"/>
        </w:rPr>
      </w:pPr>
    </w:p>
    <w:p>
      <w:pPr>
        <w:spacing w:after="0" w:line="21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5" w:name="page296"/>
    <w:bookmarkEnd w:id="295"/>
    <w:p>
      <w:pPr>
        <w:jc w:val="both"/>
        <w:spacing w:after="0" w:line="238" w:lineRule="auto"/>
        <w:rPr>
          <w:sz w:val="20"/>
          <w:szCs w:val="20"/>
          <w:color w:val="auto"/>
        </w:rPr>
      </w:pPr>
      <w:r>
        <w:rPr>
          <w:rFonts w:ascii="Arial" w:cs="Arial" w:eastAsia="Arial" w:hAnsi="Arial"/>
          <w:sz w:val="22"/>
          <w:szCs w:val="22"/>
          <w:color w:val="auto"/>
        </w:rPr>
        <w:t>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85" w:lineRule="exact"/>
        <w:rPr>
          <w:sz w:val="20"/>
          <w:szCs w:val="20"/>
          <w:color w:val="auto"/>
        </w:rPr>
      </w:pPr>
    </w:p>
    <w:p>
      <w:pPr>
        <w:jc w:val="both"/>
        <w:ind w:firstLine="1735"/>
        <w:spacing w:after="0" w:line="268" w:lineRule="auto"/>
        <w:tabs>
          <w:tab w:leader="none" w:pos="2627" w:val="left"/>
        </w:tabs>
        <w:numPr>
          <w:ilvl w:val="1"/>
          <w:numId w:val="318"/>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w:t>
      </w:r>
    </w:p>
    <w:p>
      <w:pPr>
        <w:spacing w:after="0" w:line="5" w:lineRule="exact"/>
        <w:rPr>
          <w:rFonts w:ascii="Arial" w:cs="Arial" w:eastAsia="Arial" w:hAnsi="Arial"/>
          <w:sz w:val="19"/>
          <w:szCs w:val="19"/>
          <w:color w:val="auto"/>
        </w:rPr>
      </w:pPr>
    </w:p>
    <w:p>
      <w:pPr>
        <w:jc w:val="both"/>
        <w:ind w:firstLine="8"/>
        <w:spacing w:after="0" w:line="233" w:lineRule="auto"/>
        <w:tabs>
          <w:tab w:leader="none" w:pos="341" w:val="left"/>
        </w:tabs>
        <w:numPr>
          <w:ilvl w:val="0"/>
          <w:numId w:val="319"/>
        </w:numPr>
        <w:rPr>
          <w:rFonts w:ascii="Arial" w:cs="Arial" w:eastAsia="Arial" w:hAnsi="Arial"/>
          <w:sz w:val="22"/>
          <w:szCs w:val="22"/>
          <w:color w:val="auto"/>
        </w:rPr>
      </w:pPr>
      <w:r>
        <w:rPr>
          <w:rFonts w:ascii="Arial" w:cs="Arial" w:eastAsia="Arial" w:hAnsi="Arial"/>
          <w:sz w:val="22"/>
          <w:szCs w:val="22"/>
          <w:color w:val="auto"/>
        </w:rPr>
        <w:t>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85"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For purposes of this Section,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jc w:val="both"/>
        <w:ind w:firstLine="1727"/>
        <w:spacing w:after="0" w:line="251" w:lineRule="exact"/>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hereby notifies the Borrower that pursuant to the requirements of the USA PATRIOT Act (Title III of Pub. L. 107</w:t>
      </w:r>
      <w:r>
        <w:rPr>
          <w:rFonts w:ascii="MS PGothic" w:cs="MS PGothic" w:eastAsia="MS PGothic" w:hAnsi="MS PGothic"/>
          <w:sz w:val="19"/>
          <w:szCs w:val="19"/>
          <w:color w:val="auto"/>
        </w:rPr>
        <w:t>‑</w:t>
      </w:r>
      <w:r>
        <w:rPr>
          <w:rFonts w:ascii="Arial" w:cs="Arial" w:eastAsia="Arial" w:hAnsi="Arial"/>
          <w:sz w:val="19"/>
          <w:szCs w:val="19"/>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6" w:name="page297"/>
    <w:bookmarkEnd w:id="296"/>
    <w:p>
      <w:pPr>
        <w:jc w:val="both"/>
        <w:spacing w:after="0" w:line="250" w:lineRule="auto"/>
        <w:rPr>
          <w:sz w:val="20"/>
          <w:szCs w:val="20"/>
          <w:color w:val="auto"/>
        </w:rPr>
      </w:pPr>
      <w:r>
        <w:rPr>
          <w:rFonts w:ascii="Arial" w:cs="Arial" w:eastAsia="Arial" w:hAnsi="Arial"/>
          <w:sz w:val="22"/>
          <w:szCs w:val="22"/>
          <w:color w:val="auto"/>
        </w:rPr>
        <w:t>of Credit and other information that will allow such Lender to identify Borrower, each other Obligor and each designee of a Letter of Credit in accordance with said Act.</w:t>
      </w:r>
    </w:p>
    <w:p>
      <w:pPr>
        <w:spacing w:after="0" w:line="175"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Effect of Amendment and Restatement of the Existing Credit Agreement</w:t>
      </w:r>
      <w:r>
        <w:rPr>
          <w:rFonts w:ascii="Arial" w:cs="Arial" w:eastAsia="Arial" w:hAnsi="Arial"/>
          <w:sz w:val="19"/>
          <w:szCs w:val="19"/>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58"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9.16. </w:t>
      </w:r>
      <w:r>
        <w:rPr>
          <w:rFonts w:ascii="Arial" w:cs="Arial" w:eastAsia="Arial" w:hAnsi="Arial"/>
          <w:sz w:val="22"/>
          <w:szCs w:val="22"/>
          <w:u w:val="single" w:color="auto"/>
          <w:color w:val="auto"/>
        </w:rPr>
        <w:t>Reaffirmation of Guarantee and Security Agreement</w:t>
      </w:r>
      <w:r>
        <w:rPr>
          <w:rFonts w:ascii="Arial" w:cs="Arial" w:eastAsia="Arial" w:hAnsi="Arial"/>
          <w:sz w:val="22"/>
          <w:szCs w:val="22"/>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85"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Acknowledgement and Consent to Bail-In of EEA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47" w:lineRule="exact"/>
        <w:rPr>
          <w:sz w:val="20"/>
          <w:szCs w:val="20"/>
          <w:color w:val="auto"/>
        </w:rPr>
      </w:pPr>
    </w:p>
    <w:p>
      <w:pPr>
        <w:ind w:firstLine="1735"/>
        <w:spacing w:after="0" w:line="328" w:lineRule="auto"/>
        <w:tabs>
          <w:tab w:leader="none" w:pos="2615"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4" w:lineRule="exact"/>
        <w:rPr>
          <w:rFonts w:ascii="Arial" w:cs="Arial" w:eastAsia="Arial" w:hAnsi="Arial"/>
          <w:sz w:val="19"/>
          <w:szCs w:val="19"/>
          <w:color w:val="auto"/>
        </w:rPr>
      </w:pPr>
    </w:p>
    <w:p>
      <w:pPr>
        <w:ind w:left="2640" w:hanging="905"/>
        <w:spacing w:after="0"/>
        <w:tabs>
          <w:tab w:leader="none" w:pos="264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3320" w:hanging="854"/>
        <w:spacing w:after="0"/>
        <w:tabs>
          <w:tab w:leader="none" w:pos="3320" w:val="left"/>
        </w:tabs>
        <w:numPr>
          <w:ilvl w:val="1"/>
          <w:numId w:val="320"/>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1740" w:firstLine="726"/>
        <w:spacing w:after="0" w:line="287" w:lineRule="auto"/>
        <w:tabs>
          <w:tab w:leader="none" w:pos="3383" w:val="left"/>
        </w:tabs>
        <w:numPr>
          <w:ilvl w:val="1"/>
          <w:numId w:val="320"/>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2" w:lineRule="exact"/>
        <w:rPr>
          <w:rFonts w:ascii="Arial" w:cs="Arial" w:eastAsia="Arial" w:hAnsi="Arial"/>
          <w:sz w:val="19"/>
          <w:szCs w:val="19"/>
          <w:color w:val="auto"/>
        </w:rPr>
      </w:pPr>
    </w:p>
    <w:p>
      <w:pPr>
        <w:ind w:left="1740" w:firstLine="726"/>
        <w:spacing w:after="0" w:line="250" w:lineRule="auto"/>
        <w:tabs>
          <w:tab w:leader="none" w:pos="3443" w:val="left"/>
        </w:tabs>
        <w:numPr>
          <w:ilvl w:val="1"/>
          <w:numId w:val="320"/>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7" w:name="page298"/>
    <w:bookmarkEnd w:id="297"/>
    <w:p>
      <w:pPr>
        <w:ind w:left="860"/>
        <w:spacing w:after="0"/>
        <w:tabs>
          <w:tab w:leader="none" w:pos="2980" w:val="left"/>
        </w:tabs>
        <w:rPr>
          <w:sz w:val="20"/>
          <w:szCs w:val="20"/>
          <w:color w:val="auto"/>
        </w:rPr>
      </w:pPr>
      <w:r>
        <w:rPr>
          <w:rFonts w:ascii="Arial" w:cs="Arial" w:eastAsia="Arial" w:hAnsi="Arial"/>
          <w:sz w:val="22"/>
          <w:szCs w:val="22"/>
          <w:color w:val="auto"/>
        </w:rPr>
        <w:t>SECTION 9.18.</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36" w:lineRule="auto"/>
        <w:tabs>
          <w:tab w:leader="none" w:pos="1735" w:val="left"/>
        </w:tabs>
        <w:numPr>
          <w:ilvl w:val="1"/>
          <w:numId w:val="321"/>
        </w:numPr>
        <w:rPr>
          <w:rFonts w:ascii="Arial" w:cs="Arial" w:eastAsia="Arial" w:hAnsi="Arial"/>
          <w:sz w:val="22"/>
          <w:szCs w:val="22"/>
          <w:color w:val="auto"/>
        </w:rPr>
      </w:pPr>
      <w:r>
        <w:rPr>
          <w:rFonts w:ascii="Arial" w:cs="Arial" w:eastAsia="Arial" w:hAnsi="Arial"/>
          <w:sz w:val="22"/>
          <w:szCs w:val="22"/>
          <w:color w:val="auto"/>
        </w:rPr>
        <w:t>Each Lender (x) represents and warrants, as of the later of the date such Person became a Lender party hereto and the Tenth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187" w:lineRule="exact"/>
        <w:rPr>
          <w:rFonts w:ascii="Arial" w:cs="Arial" w:eastAsia="Arial" w:hAnsi="Arial"/>
          <w:sz w:val="22"/>
          <w:szCs w:val="22"/>
          <w:color w:val="auto"/>
        </w:rPr>
      </w:pPr>
    </w:p>
    <w:p>
      <w:pPr>
        <w:jc w:val="both"/>
        <w:ind w:firstLine="789"/>
        <w:spacing w:after="0"/>
        <w:tabs>
          <w:tab w:leader="none" w:pos="1649" w:val="left"/>
        </w:tabs>
        <w:numPr>
          <w:ilvl w:val="0"/>
          <w:numId w:val="322"/>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Loans, the Letters of Credit or the Commitments,</w:t>
      </w:r>
    </w:p>
    <w:p>
      <w:pPr>
        <w:spacing w:after="0" w:line="186" w:lineRule="exact"/>
        <w:rPr>
          <w:rFonts w:ascii="Arial" w:cs="Arial" w:eastAsia="Arial" w:hAnsi="Arial"/>
          <w:sz w:val="22"/>
          <w:szCs w:val="22"/>
          <w:color w:val="auto"/>
        </w:rPr>
      </w:pPr>
    </w:p>
    <w:p>
      <w:pPr>
        <w:jc w:val="both"/>
        <w:ind w:firstLine="789"/>
        <w:spacing w:after="0" w:line="277" w:lineRule="auto"/>
        <w:tabs>
          <w:tab w:leader="none" w:pos="1709"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1" w:lineRule="exact"/>
        <w:rPr>
          <w:rFonts w:ascii="Arial" w:cs="Arial" w:eastAsia="Arial" w:hAnsi="Arial"/>
          <w:sz w:val="19"/>
          <w:szCs w:val="19"/>
          <w:color w:val="auto"/>
        </w:rPr>
      </w:pPr>
    </w:p>
    <w:p>
      <w:pPr>
        <w:jc w:val="both"/>
        <w:ind w:firstLine="789"/>
        <w:spacing w:after="0" w:line="275" w:lineRule="auto"/>
        <w:tabs>
          <w:tab w:leader="none" w:pos="1769" w:val="left"/>
        </w:tabs>
        <w:numPr>
          <w:ilvl w:val="0"/>
          <w:numId w:val="32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7" w:lineRule="exact"/>
        <w:rPr>
          <w:rFonts w:ascii="Arial" w:cs="Arial" w:eastAsia="Arial" w:hAnsi="Arial"/>
          <w:sz w:val="19"/>
          <w:szCs w:val="19"/>
          <w:color w:val="auto"/>
        </w:rPr>
      </w:pPr>
    </w:p>
    <w:p>
      <w:pPr>
        <w:ind w:firstLine="789"/>
        <w:spacing w:after="0" w:line="250" w:lineRule="auto"/>
        <w:tabs>
          <w:tab w:leader="none" w:pos="1757" w:val="left"/>
        </w:tabs>
        <w:numPr>
          <w:ilvl w:val="0"/>
          <w:numId w:val="322"/>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 with respect to the Loan Documents.</w:t>
      </w:r>
    </w:p>
    <w:p>
      <w:pPr>
        <w:spacing w:after="0" w:line="174" w:lineRule="exact"/>
        <w:rPr>
          <w:rFonts w:ascii="Arial" w:cs="Arial" w:eastAsia="Arial" w:hAnsi="Arial"/>
          <w:sz w:val="22"/>
          <w:szCs w:val="22"/>
          <w:color w:val="auto"/>
        </w:rPr>
      </w:pPr>
    </w:p>
    <w:p>
      <w:pPr>
        <w:jc w:val="both"/>
        <w:ind w:left="-880" w:firstLine="1735"/>
        <w:spacing w:after="0" w:line="279" w:lineRule="auto"/>
        <w:tabs>
          <w:tab w:leader="none" w:pos="1747" w:val="left"/>
        </w:tabs>
        <w:numPr>
          <w:ilvl w:val="1"/>
          <w:numId w:val="322"/>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is true with respect to a Lender or such Lender has not provided another representation, warranty and covenant as provided in </w:t>
      </w:r>
      <w:r>
        <w:rPr>
          <w:rFonts w:ascii="Arial" w:cs="Arial" w:eastAsia="Arial" w:hAnsi="Arial"/>
          <w:sz w:val="19"/>
          <w:szCs w:val="19"/>
          <w:u w:val="single" w:color="auto"/>
          <w:color w:val="auto"/>
        </w:rPr>
        <w:t>sub-clause (iv)</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such Lender further (x) represents and warrants, as of the later of the date such Person became a Lender party hereto and the Tenth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98" w:name="page299"/>
    <w:bookmarkEnd w:id="298"/>
    <w:p>
      <w:pPr>
        <w:jc w:val="both"/>
        <w:ind w:firstLine="789"/>
        <w:spacing w:after="0" w:line="238" w:lineRule="auto"/>
        <w:tabs>
          <w:tab w:leader="none" w:pos="1649" w:val="left"/>
        </w:tabs>
        <w:numPr>
          <w:ilvl w:val="0"/>
          <w:numId w:val="323"/>
        </w:numPr>
        <w:rPr>
          <w:rFonts w:ascii="Arial" w:cs="Arial" w:eastAsia="Arial" w:hAnsi="Arial"/>
          <w:sz w:val="22"/>
          <w:szCs w:val="22"/>
          <w:color w:val="auto"/>
        </w:rPr>
      </w:pPr>
      <w:r>
        <w:rPr>
          <w:rFonts w:ascii="Arial" w:cs="Arial" w:eastAsia="Arial" w:hAnsi="Arial"/>
          <w:sz w:val="22"/>
          <w:szCs w:val="22"/>
          <w:color w:val="auto"/>
        </w:rPr>
        <w:t>none of the Administrative Agent, the Joint Lead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4" w:lineRule="exact"/>
        <w:rPr>
          <w:rFonts w:ascii="Arial" w:cs="Arial" w:eastAsia="Arial" w:hAnsi="Arial"/>
          <w:sz w:val="22"/>
          <w:szCs w:val="22"/>
          <w:color w:val="auto"/>
        </w:rPr>
      </w:pPr>
    </w:p>
    <w:p>
      <w:pPr>
        <w:jc w:val="both"/>
        <w:ind w:firstLine="789"/>
        <w:spacing w:after="0" w:line="282" w:lineRule="auto"/>
        <w:tabs>
          <w:tab w:leader="none" w:pos="1709"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47" w:lineRule="exact"/>
        <w:rPr>
          <w:rFonts w:ascii="Arial" w:cs="Arial" w:eastAsia="Arial" w:hAnsi="Arial"/>
          <w:sz w:val="19"/>
          <w:szCs w:val="19"/>
          <w:color w:val="auto"/>
        </w:rPr>
      </w:pPr>
    </w:p>
    <w:p>
      <w:pPr>
        <w:jc w:val="both"/>
        <w:ind w:firstLine="789"/>
        <w:spacing w:after="0" w:line="236" w:lineRule="auto"/>
        <w:tabs>
          <w:tab w:leader="none" w:pos="1769"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Secured Obligations (as defined in the Guarantee and Security Agreement)),</w:t>
      </w:r>
    </w:p>
    <w:p>
      <w:pPr>
        <w:spacing w:after="0" w:line="187" w:lineRule="exact"/>
        <w:rPr>
          <w:rFonts w:ascii="Arial" w:cs="Arial" w:eastAsia="Arial" w:hAnsi="Arial"/>
          <w:sz w:val="22"/>
          <w:szCs w:val="22"/>
          <w:color w:val="auto"/>
        </w:rPr>
      </w:pPr>
    </w:p>
    <w:p>
      <w:pPr>
        <w:jc w:val="both"/>
        <w:ind w:firstLine="789"/>
        <w:spacing w:after="0" w:line="236" w:lineRule="auto"/>
        <w:tabs>
          <w:tab w:leader="none" w:pos="1757"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7" w:lineRule="exact"/>
        <w:rPr>
          <w:rFonts w:ascii="Arial" w:cs="Arial" w:eastAsia="Arial" w:hAnsi="Arial"/>
          <w:sz w:val="22"/>
          <w:szCs w:val="22"/>
          <w:color w:val="auto"/>
        </w:rPr>
      </w:pPr>
    </w:p>
    <w:p>
      <w:pPr>
        <w:jc w:val="both"/>
        <w:ind w:firstLine="789"/>
        <w:spacing w:after="0"/>
        <w:tabs>
          <w:tab w:leader="none" w:pos="1697" w:val="left"/>
        </w:tabs>
        <w:numPr>
          <w:ilvl w:val="0"/>
          <w:numId w:val="323"/>
        </w:numPr>
        <w:rPr>
          <w:rFonts w:ascii="Arial" w:cs="Arial" w:eastAsia="Arial" w:hAnsi="Arial"/>
          <w:sz w:val="22"/>
          <w:szCs w:val="22"/>
          <w:color w:val="auto"/>
        </w:rPr>
      </w:pPr>
      <w:r>
        <w:rPr>
          <w:rFonts w:ascii="Arial" w:cs="Arial" w:eastAsia="Arial" w:hAnsi="Arial"/>
          <w:sz w:val="22"/>
          <w:szCs w:val="22"/>
          <w:color w:val="auto"/>
        </w:rPr>
        <w:t>no fee or other compensation is being paid directly to the Administrative Agent, any Joint Lead Arranger or any their respective Affiliates for investment advice (as opposed to other services) in connection with the Loans, the Letters of Credit, the Commitments or this Agreement.</w:t>
      </w:r>
    </w:p>
    <w:p>
      <w:pPr>
        <w:spacing w:after="0" w:line="186" w:lineRule="exact"/>
        <w:rPr>
          <w:rFonts w:ascii="Arial" w:cs="Arial" w:eastAsia="Arial" w:hAnsi="Arial"/>
          <w:sz w:val="22"/>
          <w:szCs w:val="22"/>
          <w:color w:val="auto"/>
        </w:rPr>
      </w:pPr>
    </w:p>
    <w:p>
      <w:pPr>
        <w:jc w:val="both"/>
        <w:ind w:left="-880" w:firstLine="1735"/>
        <w:spacing w:after="0" w:line="273" w:lineRule="auto"/>
        <w:tabs>
          <w:tab w:leader="none" w:pos="1735" w:val="left"/>
        </w:tabs>
        <w:numPr>
          <w:ilvl w:val="1"/>
          <w:numId w:val="323"/>
        </w:numPr>
        <w:rPr>
          <w:rFonts w:ascii="Arial" w:cs="Arial" w:eastAsia="Arial" w:hAnsi="Arial"/>
          <w:sz w:val="19"/>
          <w:szCs w:val="19"/>
          <w:color w:val="auto"/>
        </w:rPr>
      </w:pPr>
      <w:r>
        <w:rPr>
          <w:rFonts w:ascii="Arial" w:cs="Arial" w:eastAsia="Arial" w:hAnsi="Arial"/>
          <w:sz w:val="19"/>
          <w:szCs w:val="19"/>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59690</wp:posOffset>
            </wp:positionV>
            <wp:extent cx="71748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99" w:name="page300"/>
    <w:bookmarkEnd w:id="299"/>
    <w:p>
      <w:pPr>
        <w:jc w:val="both"/>
        <w:ind w:firstLine="1727"/>
        <w:spacing w:after="0" w:line="275"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Hedging Agreements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7" w:lineRule="exact"/>
        <w:rPr>
          <w:sz w:val="20"/>
          <w:szCs w:val="20"/>
          <w:color w:val="auto"/>
        </w:rPr>
      </w:pPr>
    </w:p>
    <w:p>
      <w:pPr>
        <w:jc w:val="both"/>
        <w:ind w:firstLine="1735"/>
        <w:spacing w:after="0" w:line="272" w:lineRule="auto"/>
        <w:tabs>
          <w:tab w:leader="none" w:pos="2615" w:val="left"/>
        </w:tabs>
        <w:numPr>
          <w:ilvl w:val="1"/>
          <w:numId w:val="324"/>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5" w:lineRule="exact"/>
        <w:rPr>
          <w:rFonts w:ascii="Arial" w:cs="Arial" w:eastAsia="Arial" w:hAnsi="Arial"/>
          <w:sz w:val="19"/>
          <w:szCs w:val="19"/>
          <w:color w:val="auto"/>
        </w:rPr>
      </w:pPr>
    </w:p>
    <w:p>
      <w:pPr>
        <w:ind w:left="2640" w:hanging="905"/>
        <w:spacing w:after="0"/>
        <w:tabs>
          <w:tab w:leader="none" w:pos="2640" w:val="left"/>
        </w:tabs>
        <w:numPr>
          <w:ilvl w:val="1"/>
          <w:numId w:val="324"/>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9.19</w:t>
      </w:r>
      <w:r>
        <w:rPr>
          <w:rFonts w:ascii="Arial" w:cs="Arial" w:eastAsia="Arial" w:hAnsi="Arial"/>
          <w:sz w:val="22"/>
          <w:szCs w:val="22"/>
          <w:color w:val="auto"/>
        </w:rPr>
        <w:t>, the following terms have the following meanings:</w:t>
      </w:r>
    </w:p>
    <w:p>
      <w:pPr>
        <w:spacing w:after="0" w:line="206" w:lineRule="exact"/>
        <w:rPr>
          <w:rFonts w:ascii="Arial" w:cs="Arial" w:eastAsia="Arial" w:hAnsi="Arial"/>
          <w:sz w:val="22"/>
          <w:szCs w:val="22"/>
          <w:color w:val="auto"/>
        </w:rPr>
      </w:pPr>
    </w:p>
    <w:p>
      <w:pPr>
        <w:ind w:left="880" w:firstLine="789"/>
        <w:spacing w:after="0" w:line="250" w:lineRule="auto"/>
        <w:tabs>
          <w:tab w:leader="none" w:pos="2583" w:val="left"/>
        </w:tabs>
        <w:numPr>
          <w:ilvl w:val="0"/>
          <w:numId w:val="3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1"/>
          <w:numId w:val="3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06" w:lineRule="exact"/>
        <w:rPr>
          <w:rFonts w:ascii="Arial" w:cs="Arial" w:eastAsia="Arial" w:hAnsi="Arial"/>
          <w:sz w:val="22"/>
          <w:szCs w:val="22"/>
          <w:color w:val="auto"/>
        </w:rPr>
      </w:pPr>
    </w:p>
    <w:p>
      <w:pPr>
        <w:ind w:left="2860" w:hanging="394"/>
        <w:spacing w:after="0"/>
        <w:tabs>
          <w:tab w:leader="none" w:pos="2860" w:val="left"/>
        </w:tabs>
        <w:numPr>
          <w:ilvl w:val="2"/>
          <w:numId w:val="325"/>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w:t>
      </w:r>
    </w:p>
    <w:p>
      <w:pPr>
        <w:spacing w:after="0" w:line="19" w:lineRule="exact"/>
        <w:rPr>
          <w:rFonts w:ascii="Arial" w:cs="Arial" w:eastAsia="Arial" w:hAnsi="Arial"/>
          <w:sz w:val="21"/>
          <w:szCs w:val="21"/>
          <w:color w:val="auto"/>
        </w:rPr>
      </w:pPr>
    </w:p>
    <w:p>
      <w:pPr>
        <w:ind w:left="1740"/>
        <w:spacing w:after="0"/>
        <w:rPr>
          <w:rFonts w:ascii="Arial" w:cs="Arial" w:eastAsia="Arial" w:hAnsi="Arial"/>
          <w:sz w:val="21"/>
          <w:szCs w:val="21"/>
          <w:color w:val="auto"/>
        </w:rPr>
      </w:pPr>
      <w:r>
        <w:rPr>
          <w:rFonts w:ascii="Arial" w:cs="Arial" w:eastAsia="Arial" w:hAnsi="Arial"/>
          <w:sz w:val="22"/>
          <w:szCs w:val="22"/>
          <w:color w:val="auto"/>
        </w:rPr>
        <w:t>§ 252.82(b);</w:t>
      </w:r>
    </w:p>
    <w:p>
      <w:pPr>
        <w:spacing w:after="0" w:line="188" w:lineRule="exact"/>
        <w:rPr>
          <w:rFonts w:ascii="Arial" w:cs="Arial" w:eastAsia="Arial" w:hAnsi="Arial"/>
          <w:sz w:val="21"/>
          <w:szCs w:val="21"/>
          <w:color w:val="auto"/>
        </w:rPr>
      </w:pPr>
    </w:p>
    <w:p>
      <w:pPr>
        <w:ind w:left="2860" w:hanging="394"/>
        <w:spacing w:after="0"/>
        <w:tabs>
          <w:tab w:leader="none" w:pos="2860" w:val="left"/>
        </w:tabs>
        <w:numPr>
          <w:ilvl w:val="2"/>
          <w:numId w:val="325"/>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w:t>
      </w:r>
    </w:p>
    <w:p>
      <w:pPr>
        <w:spacing w:after="0" w:line="19" w:lineRule="exact"/>
        <w:rPr>
          <w:rFonts w:ascii="Arial" w:cs="Arial" w:eastAsia="Arial" w:hAnsi="Arial"/>
          <w:sz w:val="21"/>
          <w:szCs w:val="21"/>
          <w:color w:val="auto"/>
        </w:rPr>
      </w:pPr>
    </w:p>
    <w:p>
      <w:pPr>
        <w:ind w:left="1740"/>
        <w:spacing w:after="0"/>
        <w:rPr>
          <w:rFonts w:ascii="Arial" w:cs="Arial" w:eastAsia="Arial" w:hAnsi="Arial"/>
          <w:sz w:val="21"/>
          <w:szCs w:val="21"/>
          <w:color w:val="auto"/>
        </w:rPr>
      </w:pPr>
      <w:r>
        <w:rPr>
          <w:rFonts w:ascii="Arial" w:cs="Arial" w:eastAsia="Arial" w:hAnsi="Arial"/>
          <w:sz w:val="22"/>
          <w:szCs w:val="22"/>
          <w:color w:val="auto"/>
        </w:rPr>
        <w:t>§ 47.3(b); or</w:t>
      </w:r>
    </w:p>
    <w:p>
      <w:pPr>
        <w:spacing w:after="0" w:line="188" w:lineRule="exact"/>
        <w:rPr>
          <w:rFonts w:ascii="Arial" w:cs="Arial" w:eastAsia="Arial" w:hAnsi="Arial"/>
          <w:sz w:val="21"/>
          <w:szCs w:val="21"/>
          <w:color w:val="auto"/>
        </w:rPr>
      </w:pPr>
    </w:p>
    <w:p>
      <w:pPr>
        <w:ind w:left="2860" w:hanging="394"/>
        <w:spacing w:after="0"/>
        <w:tabs>
          <w:tab w:leader="none" w:pos="2860" w:val="left"/>
        </w:tabs>
        <w:numPr>
          <w:ilvl w:val="2"/>
          <w:numId w:val="325"/>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w:t>
      </w:r>
    </w:p>
    <w:p>
      <w:pPr>
        <w:spacing w:after="0" w:line="19" w:lineRule="exact"/>
        <w:rPr>
          <w:rFonts w:ascii="Arial" w:cs="Arial" w:eastAsia="Arial" w:hAnsi="Arial"/>
          <w:sz w:val="21"/>
          <w:szCs w:val="21"/>
          <w:color w:val="auto"/>
        </w:rPr>
      </w:pPr>
    </w:p>
    <w:p>
      <w:pPr>
        <w:ind w:left="1740"/>
        <w:spacing w:after="0"/>
        <w:rPr>
          <w:rFonts w:ascii="Arial" w:cs="Arial" w:eastAsia="Arial" w:hAnsi="Arial"/>
          <w:sz w:val="21"/>
          <w:szCs w:val="21"/>
          <w:color w:val="auto"/>
        </w:rPr>
      </w:pPr>
      <w:r>
        <w:rPr>
          <w:rFonts w:ascii="Arial" w:cs="Arial" w:eastAsia="Arial" w:hAnsi="Arial"/>
          <w:sz w:val="22"/>
          <w:szCs w:val="22"/>
          <w:color w:val="auto"/>
        </w:rPr>
        <w:t>§ 382.2(b).</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0" w:name="page301"/>
    <w:bookmarkEnd w:id="300"/>
    <w:p>
      <w:pPr>
        <w:ind w:firstLine="789"/>
        <w:spacing w:after="0" w:line="250" w:lineRule="auto"/>
        <w:tabs>
          <w:tab w:leader="none" w:pos="1769" w:val="left"/>
        </w:tabs>
        <w:numPr>
          <w:ilvl w:val="0"/>
          <w:numId w:val="3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4" w:lineRule="exact"/>
        <w:rPr>
          <w:rFonts w:ascii="Arial" w:cs="Arial" w:eastAsia="Arial" w:hAnsi="Arial"/>
          <w:sz w:val="22"/>
          <w:szCs w:val="22"/>
          <w:color w:val="auto"/>
        </w:rPr>
      </w:pPr>
    </w:p>
    <w:p>
      <w:pPr>
        <w:ind w:firstLine="789"/>
        <w:spacing w:after="0" w:line="250" w:lineRule="auto"/>
        <w:tabs>
          <w:tab w:leader="none" w:pos="1757" w:val="left"/>
        </w:tabs>
        <w:numPr>
          <w:ilvl w:val="0"/>
          <w:numId w:val="3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0340"/>
          </w:cols>
          <w:pgMar w:left="1200" w:top="361" w:right="35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SIXTH STREET SPECIALTY LENDING,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5500" w:type="dxa"/>
            <w:vAlign w:val="bottom"/>
          </w:tcPr>
          <w:p>
            <w:pPr>
              <w:spacing w:after="0"/>
              <w:rPr>
                <w:sz w:val="20"/>
                <w:szCs w:val="20"/>
                <w:color w:val="auto"/>
              </w:rPr>
            </w:pPr>
            <w:r>
              <w:rPr>
                <w:rFonts w:ascii="Arial" w:cs="Arial" w:eastAsia="Arial" w:hAnsi="Arial"/>
                <w:sz w:val="13"/>
                <w:szCs w:val="13"/>
                <w:b w:val="1"/>
                <w:bCs w:val="1"/>
                <w:color w:val="auto"/>
              </w:rPr>
              <w:t>Jurisdiction</w:t>
            </w:r>
          </w:p>
        </w:tc>
      </w:tr>
      <w:tr>
        <w:trPr>
          <w:trHeight w:val="195"/>
        </w:trPr>
        <w:tc>
          <w:tcPr>
            <w:tcW w:w="5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TC Lending, LLC</w:t>
            </w:r>
          </w:p>
        </w:tc>
        <w:tc>
          <w:tcPr>
            <w:tcW w:w="10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Sixth Street SL SPV,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Sixth Street SL Holding,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Sixth Street Specialty Lending Sub, LLC</w:t>
            </w:r>
          </w:p>
        </w:tc>
        <w:tc>
          <w:tcPr>
            <w:tcW w:w="5500" w:type="dxa"/>
            <w:vAlign w:val="bottom"/>
          </w:tcPr>
          <w:p>
            <w:pPr>
              <w:spacing w:after="0"/>
              <w:rPr>
                <w:sz w:val="20"/>
                <w:szCs w:val="20"/>
                <w:color w:val="auto"/>
              </w:rPr>
            </w:pPr>
            <w:r>
              <w:rPr>
                <w:rFonts w:ascii="Arial" w:cs="Arial" w:eastAsia="Arial" w:hAnsi="Arial"/>
                <w:sz w:val="18"/>
                <w:szCs w:val="18"/>
                <w:color w:val="auto"/>
              </w:rPr>
              <w:t>Cayman Islands</w:t>
            </w:r>
          </w:p>
        </w:tc>
      </w:tr>
    </w:tbl>
    <w:p>
      <w:pPr>
        <w:sectPr>
          <w:pgSz w:w="11900" w:h="16838" w:orient="portrait"/>
          <w:cols w:equalWidth="0" w:num="1">
            <w:col w:w="11240"/>
          </w:cols>
          <w:pgMar w:left="320" w:top="337"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23.1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Sixth Street Specialty Lending, Inc.:</w:t>
      </w:r>
    </w:p>
    <w:p>
      <w:pPr>
        <w:spacing w:after="0" w:line="101" w:lineRule="exact"/>
        <w:rPr>
          <w:sz w:val="20"/>
          <w:szCs w:val="20"/>
          <w:color w:val="auto"/>
        </w:rPr>
      </w:pPr>
    </w:p>
    <w:p>
      <w:pPr>
        <w:ind w:right="80" w:firstLine="294"/>
        <w:spacing w:after="0" w:line="255" w:lineRule="auto"/>
        <w:rPr>
          <w:sz w:val="20"/>
          <w:szCs w:val="20"/>
          <w:color w:val="auto"/>
        </w:rPr>
      </w:pPr>
      <w:r>
        <w:rPr>
          <w:rFonts w:ascii="Arial" w:cs="Arial" w:eastAsia="Arial" w:hAnsi="Arial"/>
          <w:sz w:val="17"/>
          <w:szCs w:val="17"/>
          <w:color w:val="auto"/>
        </w:rPr>
        <w:t>We consent to the incorporation by reference in the registration statement on Form N-2 of Sixth Street Specialty Lending, Inc. of our report dated February 17, 2022, with respect to the consolidated financial statements and the effectiveness of internal control over financial reporting, which appears in the annual report on Form 10-K of Sixth Street Specialty Lending, Inc. for the year ended December 31, 2021, and to the use of our report dated February 17, 2022 on the senior securities table included herein as an exhibit to the Form 10-K. We also consent to the references to our firm under the headings “Senior Securities” and “Controls and Procedures” in the Form 10-K.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ectPr>
          <w:pgSz w:w="11900" w:h="16838" w:orient="portrait"/>
          <w:cols w:equalWidth="0" w:num="1">
            <w:col w:w="11240"/>
          </w:cols>
          <w:pgMar w:left="320" w:top="121"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Sixth Street Specialty Lending, Inc.;</w:t>
      </w:r>
    </w:p>
    <w:p>
      <w:pPr>
        <w:spacing w:after="0" w:line="144"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pacing w:after="0" w:line="225"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Sixth Street Specialty Lending, Inc.;</w:t>
      </w:r>
    </w:p>
    <w:p>
      <w:pPr>
        <w:spacing w:after="0" w:line="144"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9743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on Form 10-K of Sixth Street Specialty Lending, Inc. (the “Company”) for the annual period ended December 31, 2021,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60" w:hanging="509"/>
        <w:spacing w:after="0"/>
        <w:tabs>
          <w:tab w:leader="none" w:pos="7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55" w:lineRule="exact"/>
        <w:rPr>
          <w:rFonts w:ascii="Arial" w:cs="Arial" w:eastAsia="Arial" w:hAnsi="Arial"/>
          <w:sz w:val="17"/>
          <w:szCs w:val="17"/>
          <w:color w:val="auto"/>
        </w:rPr>
      </w:pPr>
    </w:p>
    <w:p>
      <w:pPr>
        <w:ind w:left="760" w:hanging="509"/>
        <w:spacing w:after="0"/>
        <w:tabs>
          <w:tab w:leader="none" w:pos="7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Ian Simmonds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351"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99.1</w:t>
      </w:r>
    </w:p>
    <w:p>
      <w:pPr>
        <w:spacing w:after="0" w:line="235" w:lineRule="exact"/>
        <w:rPr>
          <w:sz w:val="20"/>
          <w:szCs w:val="20"/>
          <w:color w:val="auto"/>
        </w:rPr>
      </w:pPr>
    </w:p>
    <w:p>
      <w:pPr>
        <w:ind w:left="2380"/>
        <w:spacing w:after="0"/>
        <w:rPr>
          <w:sz w:val="20"/>
          <w:szCs w:val="20"/>
          <w:color w:val="auto"/>
        </w:rPr>
      </w:pPr>
      <w:r>
        <w:rPr>
          <w:rFonts w:ascii="Arial" w:cs="Arial" w:eastAsia="Arial" w:hAnsi="Arial"/>
          <w:sz w:val="17"/>
          <w:szCs w:val="17"/>
          <w:b w:val="1"/>
          <w:bCs w:val="1"/>
          <w:color w:val="auto"/>
        </w:rPr>
        <w:t>Report of Independent Registered Public Accounting Firm on Supplemental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Sixth Street Specialty Lending, Inc.:</w:t>
      </w:r>
    </w:p>
    <w:p>
      <w:pPr>
        <w:spacing w:after="0" w:line="142" w:lineRule="exact"/>
        <w:rPr>
          <w:sz w:val="20"/>
          <w:szCs w:val="20"/>
          <w:color w:val="auto"/>
        </w:rPr>
      </w:pPr>
    </w:p>
    <w:p>
      <w:pPr>
        <w:jc w:val="both"/>
        <w:ind w:right="260"/>
        <w:spacing w:after="0" w:line="312" w:lineRule="auto"/>
        <w:rPr>
          <w:sz w:val="20"/>
          <w:szCs w:val="20"/>
          <w:color w:val="auto"/>
        </w:rPr>
      </w:pPr>
      <w:r>
        <w:rPr>
          <w:rFonts w:ascii="Arial" w:cs="Arial" w:eastAsia="Arial" w:hAnsi="Arial"/>
          <w:sz w:val="15"/>
          <w:szCs w:val="15"/>
          <w:color w:val="auto"/>
        </w:rPr>
        <w:t>We have audited, in accordance with the standards of the Public Company Accounting Oversight Board (United States) (the PCAOB), the consolidated financial statements of Sixth Street Specialty Lending, Inc. and subsidiaries (the Company) as of December 31, 2021 and 2020 and for each of the years in the three-year period ended December 31, 2021, and our report dated February 17, 2022 expressed an unqualified opinion on those consolidated financial statements.</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have also previously audited, in accordance with the standards of the PCAOB, the consolidated balance sheets of the Company, including the consolidated schedules of investments, as of December 31, 2019, 2018, 2017, 2016, 2015, 2014, 2013, and 2012, and the related consolidated statements of operations, stockholders’ equity, and cash flows for the years ended December 31, 2018, 2017, 2016, 2015, 2014, 2013, and 2012 (none of which is presented herein), and we expressed unqualified opinions on those consolidated financial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senior securities table included in Part II, Item 5 of the Annual Report of the Company for the year ended December 31, 2021, under the caption “Senior Securities” (the Senior Securities Table) has been subjected to audit procedures performed in conjunction with the audit of the Company’s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consolidated financial statements as a whole.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ectPr>
          <w:pgSz w:w="11900" w:h="16838" w:orient="portrait"/>
          <w:cols w:equalWidth="0" w:num="1">
            <w:col w:w="11240"/>
          </w:cols>
          <w:pgMar w:left="320" w:top="121" w:right="339" w:bottom="1440" w:gutter="0" w:footer="0" w:header="0"/>
        </w:sectPr>
      </w:pPr>
    </w:p>
    <w:bookmarkStart w:id="307" w:name="page308"/>
    <w:bookmarkEnd w:id="3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85850"/>
    <w:multiLevelType w:val="hybridMultilevel"/>
    <w:lvl w:ilvl="0">
      <w:lvlJc w:val="left"/>
      <w:lvlText w:val="☒"/>
      <w:numFmt w:val="bullet"/>
      <w:start w:val="1"/>
    </w:lvl>
  </w:abstractNum>
  <w:abstractNum w:abstractNumId="1">
    <w:nsid w:val="744939A3"/>
    <w:multiLevelType w:val="hybridMultilevel"/>
    <w:lvl w:ilvl="0">
      <w:lvlJc w:val="left"/>
      <w:lvlText w:val="☐"/>
      <w:numFmt w:val="bullet"/>
      <w:start w:val="1"/>
    </w:lvl>
  </w:abstractNum>
  <w:abstractNum w:abstractNumId="2">
    <w:nsid w:val="4FA0D2E3"/>
    <w:multiLevelType w:val="hybridMultilevel"/>
    <w:lvl w:ilvl="0">
      <w:lvlJc w:val="left"/>
      <w:lvlText w:val="•"/>
      <w:numFmt w:val="bullet"/>
      <w:start w:val="1"/>
    </w:lvl>
  </w:abstractNum>
  <w:abstractNum w:abstractNumId="3">
    <w:nsid w:val="6B1D2C14"/>
    <w:multiLevelType w:val="hybridMultilevel"/>
    <w:lvl w:ilvl="0">
      <w:lvlJc w:val="left"/>
      <w:lvlText w:val="•"/>
      <w:numFmt w:val="bullet"/>
      <w:start w:val="1"/>
    </w:lvl>
  </w:abstractNum>
  <w:abstractNum w:abstractNumId="4">
    <w:nsid w:val="68B867D3"/>
    <w:multiLevelType w:val="hybridMultilevel"/>
    <w:lvl w:ilvl="0">
      <w:lvlJc w:val="left"/>
      <w:lvlText w:val="•"/>
      <w:numFmt w:val="bullet"/>
      <w:start w:val="1"/>
    </w:lvl>
  </w:abstractNum>
  <w:abstractNum w:abstractNumId="5">
    <w:nsid w:val="3F7F5DD9"/>
    <w:multiLevelType w:val="hybridMultilevel"/>
    <w:lvl w:ilvl="0">
      <w:lvlJc w:val="left"/>
      <w:lvlText w:val="•"/>
      <w:numFmt w:val="bullet"/>
      <w:start w:val="1"/>
    </w:lvl>
  </w:abstractNum>
  <w:abstractNum w:abstractNumId="6">
    <w:nsid w:val="2AE05A34"/>
    <w:multiLevelType w:val="hybridMultilevel"/>
    <w:lvl w:ilvl="0">
      <w:lvlJc w:val="left"/>
      <w:lvlText w:val="•"/>
      <w:numFmt w:val="bullet"/>
      <w:start w:val="1"/>
    </w:lvl>
  </w:abstractNum>
  <w:abstractNum w:abstractNumId="7">
    <w:nsid w:val="32794FF7"/>
    <w:multiLevelType w:val="hybridMultilevel"/>
    <w:lvl w:ilvl="0">
      <w:lvlJc w:val="left"/>
      <w:lvlText w:val="•"/>
      <w:numFmt w:val="bullet"/>
      <w:start w:val="1"/>
    </w:lvl>
  </w:abstractNum>
  <w:abstractNum w:abstractNumId="8">
    <w:nsid w:val="5454945E"/>
    <w:multiLevelType w:val="hybridMultilevel"/>
    <w:lvl w:ilvl="0">
      <w:lvlJc w:val="left"/>
      <w:lvlText w:val="•"/>
      <w:numFmt w:val="bullet"/>
      <w:start w:val="1"/>
    </w:lvl>
  </w:abstractNum>
  <w:abstractNum w:abstractNumId="9">
    <w:nsid w:val="4DEFDFA0"/>
    <w:multiLevelType w:val="hybridMultilevel"/>
    <w:lvl w:ilvl="0">
      <w:lvlJc w:val="left"/>
      <w:lvlText w:val="•"/>
      <w:numFmt w:val="bullet"/>
      <w:start w:val="1"/>
    </w:lvl>
  </w:abstractNum>
  <w:abstractNum w:abstractNumId="10">
    <w:nsid w:val="2123D5F2"/>
    <w:multiLevelType w:val="hybridMultilevel"/>
    <w:lvl w:ilvl="0">
      <w:lvlJc w:val="left"/>
      <w:lvlText w:val="•"/>
      <w:numFmt w:val="bullet"/>
      <w:start w:val="1"/>
    </w:lvl>
  </w:abstractNum>
  <w:abstractNum w:abstractNumId="11">
    <w:nsid w:val="135B8110"/>
    <w:multiLevelType w:val="hybridMultilevel"/>
    <w:lvl w:ilvl="0">
      <w:lvlJc w:val="left"/>
      <w:lvlText w:val="•"/>
      <w:numFmt w:val="bullet"/>
      <w:start w:val="1"/>
    </w:lvl>
  </w:abstractNum>
  <w:abstractNum w:abstractNumId="12">
    <w:nsid w:val="94927A8"/>
    <w:multiLevelType w:val="hybridMultilevel"/>
    <w:lvl w:ilvl="0">
      <w:lvlJc w:val="left"/>
      <w:lvlText w:val="•"/>
      <w:numFmt w:val="bullet"/>
      <w:start w:val="1"/>
    </w:lvl>
  </w:abstractNum>
  <w:abstractNum w:abstractNumId="13">
    <w:nsid w:val="DCDF8F6"/>
    <w:multiLevelType w:val="hybridMultilevel"/>
    <w:lvl w:ilvl="0">
      <w:lvlJc w:val="left"/>
      <w:lvlText w:val="(%1)"/>
      <w:numFmt w:val="decimal"/>
      <w:start w:val="1"/>
    </w:lvl>
  </w:abstractNum>
  <w:abstractNum w:abstractNumId="14">
    <w:nsid w:val="52D7B105"/>
    <w:multiLevelType w:val="hybridMultilevel"/>
    <w:lvl w:ilvl="0">
      <w:lvlJc w:val="left"/>
      <w:lvlText w:val="(%1)"/>
      <w:numFmt w:val="decimal"/>
      <w:start w:val="1"/>
    </w:lvl>
  </w:abstractNum>
  <w:abstractNum w:abstractNumId="15">
    <w:nsid w:val="2E8A6394"/>
    <w:multiLevelType w:val="hybridMultilevel"/>
    <w:lvl w:ilvl="0">
      <w:lvlJc w:val="left"/>
      <w:lvlText w:val="(%1)"/>
      <w:numFmt w:val="decimal"/>
      <w:start w:val="1"/>
    </w:lvl>
  </w:abstractNum>
  <w:abstractNum w:abstractNumId="16">
    <w:nsid w:val="24E60401"/>
    <w:multiLevelType w:val="hybridMultilevel"/>
    <w:lvl w:ilvl="0">
      <w:lvlJc w:val="left"/>
      <w:lvlText w:val="(%1)"/>
      <w:numFmt w:val="decimal"/>
      <w:start w:val="1"/>
    </w:lvl>
  </w:abstractNum>
  <w:abstractNum w:abstractNumId="17">
    <w:nsid w:val="2A6AD9BE"/>
    <w:multiLevelType w:val="hybridMultilevel"/>
    <w:lvl w:ilvl="0">
      <w:lvlJc w:val="left"/>
      <w:lvlText w:val="•"/>
      <w:numFmt w:val="bullet"/>
      <w:start w:val="1"/>
    </w:lvl>
  </w:abstractNum>
  <w:abstractNum w:abstractNumId="18">
    <w:nsid w:val="BAAC1B4"/>
    <w:multiLevelType w:val="hybridMultilevel"/>
    <w:lvl w:ilvl="0">
      <w:lvlJc w:val="left"/>
      <w:lvlText w:val="•"/>
      <w:numFmt w:val="bullet"/>
      <w:start w:val="1"/>
    </w:lvl>
  </w:abstractNum>
  <w:abstractNum w:abstractNumId="19">
    <w:nsid w:val="36B2ACBC"/>
    <w:multiLevelType w:val="hybridMultilevel"/>
    <w:lvl w:ilvl="0">
      <w:lvlJc w:val="left"/>
      <w:lvlText w:val="(%1)"/>
      <w:numFmt w:val="lowerRoman"/>
      <w:start w:val="1"/>
    </w:lvl>
  </w:abstractNum>
  <w:abstractNum w:abstractNumId="20">
    <w:nsid w:val="779D8544"/>
    <w:multiLevelType w:val="hybridMultilevel"/>
    <w:lvl w:ilvl="0">
      <w:lvlJc w:val="left"/>
      <w:lvlText w:val="="/>
      <w:numFmt w:val="bullet"/>
      <w:start w:val="1"/>
    </w:lvl>
  </w:abstractNum>
  <w:abstractNum w:abstractNumId="21">
    <w:nsid w:val="4AB26E78"/>
    <w:multiLevelType w:val="hybridMultilevel"/>
    <w:lvl w:ilvl="0">
      <w:lvlJc w:val="left"/>
      <w:lvlText w:val="(%1)"/>
      <w:numFmt w:val="decimal"/>
    </w:lvl>
    <w:lvl w:ilvl="1">
      <w:lvlJc w:val="left"/>
      <w:lvlText w:val="="/>
      <w:numFmt w:val="bullet"/>
      <w:start w:val="1"/>
    </w:lvl>
  </w:abstractNum>
  <w:abstractNum w:abstractNumId="22">
    <w:nsid w:val="21FAA2FA"/>
    <w:multiLevelType w:val="hybridMultilevel"/>
    <w:lvl w:ilvl="0">
      <w:lvlJc w:val="left"/>
      <w:lvlText w:val="•"/>
      <w:numFmt w:val="bullet"/>
      <w:start w:val="1"/>
    </w:lvl>
  </w:abstractNum>
  <w:abstractNum w:abstractNumId="23">
    <w:nsid w:val="5451CF49"/>
    <w:multiLevelType w:val="hybridMultilevel"/>
    <w:lvl w:ilvl="0">
      <w:lvlJc w:val="left"/>
      <w:lvlText w:val="•"/>
      <w:numFmt w:val="bullet"/>
      <w:start w:val="1"/>
    </w:lvl>
  </w:abstractNum>
  <w:abstractNum w:abstractNumId="24">
    <w:nsid w:val="6181EF69"/>
    <w:multiLevelType w:val="hybridMultilevel"/>
    <w:lvl w:ilvl="0">
      <w:lvlJc w:val="left"/>
      <w:lvlText w:val="•"/>
      <w:numFmt w:val="bullet"/>
      <w:start w:val="1"/>
    </w:lvl>
  </w:abstractNum>
  <w:abstractNum w:abstractNumId="25">
    <w:nsid w:val="3E6400E6"/>
    <w:multiLevelType w:val="hybridMultilevel"/>
    <w:lvl w:ilvl="0">
      <w:lvlJc w:val="left"/>
      <w:lvlText w:val="•"/>
      <w:numFmt w:val="bullet"/>
      <w:start w:val="1"/>
    </w:lvl>
  </w:abstractNum>
  <w:abstractNum w:abstractNumId="26">
    <w:nsid w:val="14217E23"/>
    <w:multiLevelType w:val="hybridMultilevel"/>
    <w:lvl w:ilvl="0">
      <w:lvlJc w:val="left"/>
      <w:lvlText w:val="•"/>
      <w:numFmt w:val="bullet"/>
      <w:start w:val="1"/>
    </w:lvl>
  </w:abstractNum>
  <w:abstractNum w:abstractNumId="27">
    <w:nsid w:val="710757D0"/>
    <w:multiLevelType w:val="hybridMultilevel"/>
    <w:lvl w:ilvl="0">
      <w:lvlJc w:val="left"/>
      <w:lvlText w:val="•"/>
      <w:numFmt w:val="bullet"/>
      <w:start w:val="1"/>
    </w:lvl>
  </w:abstractNum>
  <w:abstractNum w:abstractNumId="28">
    <w:nsid w:val="5015CD1A"/>
    <w:multiLevelType w:val="hybridMultilevel"/>
    <w:lvl w:ilvl="0">
      <w:lvlJc w:val="left"/>
      <w:lvlText w:val="•"/>
      <w:numFmt w:val="bullet"/>
      <w:start w:val="1"/>
    </w:lvl>
  </w:abstractNum>
  <w:abstractNum w:abstractNumId="29">
    <w:nsid w:val="424479DA"/>
    <w:multiLevelType w:val="hybridMultilevel"/>
    <w:lvl w:ilvl="0">
      <w:lvlJc w:val="left"/>
      <w:lvlText w:val="•"/>
      <w:numFmt w:val="bullet"/>
      <w:start w:val="1"/>
    </w:lvl>
  </w:abstractNum>
  <w:abstractNum w:abstractNumId="30">
    <w:nsid w:val="1A9A9E69"/>
    <w:multiLevelType w:val="hybridMultilevel"/>
    <w:lvl w:ilvl="0">
      <w:lvlJc w:val="left"/>
      <w:lvlText w:val="•"/>
      <w:numFmt w:val="bullet"/>
      <w:start w:val="1"/>
    </w:lvl>
  </w:abstractNum>
  <w:abstractNum w:abstractNumId="31">
    <w:nsid w:val="475E256A"/>
    <w:multiLevelType w:val="hybridMultilevel"/>
    <w:lvl w:ilvl="0">
      <w:lvlJc w:val="left"/>
      <w:lvlText w:val="•"/>
      <w:numFmt w:val="bullet"/>
      <w:start w:val="1"/>
    </w:lvl>
  </w:abstractNum>
  <w:abstractNum w:abstractNumId="32">
    <w:nsid w:val="368DB37E"/>
    <w:multiLevelType w:val="hybridMultilevel"/>
    <w:lvl w:ilvl="0">
      <w:lvlJc w:val="left"/>
      <w:lvlText w:val="•"/>
      <w:numFmt w:val="bullet"/>
      <w:start w:val="1"/>
    </w:lvl>
  </w:abstractNum>
  <w:abstractNum w:abstractNumId="33">
    <w:nsid w:val="6A3B714C"/>
    <w:multiLevelType w:val="hybridMultilevel"/>
    <w:lvl w:ilvl="0">
      <w:lvlJc w:val="left"/>
      <w:lvlText w:val="•"/>
      <w:numFmt w:val="bullet"/>
      <w:start w:val="1"/>
    </w:lvl>
  </w:abstractNum>
  <w:abstractNum w:abstractNumId="34">
    <w:nsid w:val="327B517E"/>
    <w:multiLevelType w:val="hybridMultilevel"/>
    <w:lvl w:ilvl="0">
      <w:lvlJc w:val="left"/>
      <w:lvlText w:val="•"/>
      <w:numFmt w:val="bullet"/>
      <w:start w:val="1"/>
    </w:lvl>
  </w:abstractNum>
  <w:abstractNum w:abstractNumId="35">
    <w:nsid w:val="1F461B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29BACF25"/>
    <w:multiLevelType w:val="hybridMultilevel"/>
    <w:lvl w:ilvl="0">
      <w:lvlJc w:val="left"/>
      <w:lvlText w:val="•"/>
      <w:numFmt w:val="bullet"/>
      <w:start w:val="1"/>
    </w:lvl>
  </w:abstractNum>
  <w:abstractNum w:abstractNumId="37">
    <w:nsid w:val="5D5BABB3"/>
    <w:multiLevelType w:val="hybridMultilevel"/>
    <w:lvl w:ilvl="0">
      <w:lvlJc w:val="left"/>
      <w:lvlText w:val="•"/>
      <w:numFmt w:val="bullet"/>
      <w:start w:val="1"/>
    </w:lvl>
  </w:abstractNum>
  <w:abstractNum w:abstractNumId="38">
    <w:nsid w:val="51BF6B48"/>
    <w:multiLevelType w:val="hybridMultilevel"/>
    <w:lvl w:ilvl="0">
      <w:lvlJc w:val="left"/>
      <w:lvlText w:val="•"/>
      <w:numFmt w:val="bullet"/>
      <w:start w:val="1"/>
    </w:lvl>
    <w:lvl w:ilvl="1">
      <w:lvlJc w:val="left"/>
      <w:lvlText w:val="•"/>
      <w:numFmt w:val="bullet"/>
      <w:start w:val="1"/>
    </w:lvl>
  </w:abstractNum>
  <w:abstractNum w:abstractNumId="39">
    <w:nsid w:val="7E0F6384"/>
    <w:multiLevelType w:val="hybridMultilevel"/>
    <w:lvl w:ilvl="0">
      <w:lvlJc w:val="left"/>
      <w:lvlText w:val="•"/>
      <w:numFmt w:val="bullet"/>
      <w:start w:val="1"/>
    </w:lvl>
  </w:abstractNum>
  <w:abstractNum w:abstractNumId="40">
    <w:nsid w:val="2B4B8B53"/>
    <w:multiLevelType w:val="hybridMultilevel"/>
    <w:lvl w:ilvl="0">
      <w:lvlJc w:val="left"/>
      <w:lvlText w:val="•"/>
      <w:numFmt w:val="bullet"/>
      <w:start w:val="1"/>
    </w:lvl>
  </w:abstractNum>
  <w:abstractNum w:abstractNumId="41">
    <w:nsid w:val="72E3413A"/>
    <w:multiLevelType w:val="hybridMultilevel"/>
    <w:lvl w:ilvl="0">
      <w:lvlJc w:val="left"/>
      <w:lvlText w:val="•"/>
      <w:numFmt w:val="bullet"/>
      <w:start w:val="1"/>
    </w:lvl>
  </w:abstractNum>
  <w:abstractNum w:abstractNumId="42">
    <w:nsid w:val="116AE494"/>
    <w:multiLevelType w:val="hybridMultilevel"/>
    <w:lvl w:ilvl="0">
      <w:lvlJc w:val="left"/>
      <w:lvlText w:val="•"/>
      <w:numFmt w:val="bullet"/>
      <w:start w:val="1"/>
    </w:lvl>
  </w:abstractNum>
  <w:abstractNum w:abstractNumId="43">
    <w:nsid w:val="3494B2FB"/>
    <w:multiLevelType w:val="hybridMultilevel"/>
    <w:lvl w:ilvl="0">
      <w:lvlJc w:val="left"/>
      <w:lvlText w:val="•"/>
      <w:numFmt w:val="bullet"/>
      <w:start w:val="1"/>
    </w:lvl>
  </w:abstractNum>
  <w:abstractNum w:abstractNumId="44">
    <w:nsid w:val="B13A31"/>
    <w:multiLevelType w:val="hybridMultilevel"/>
    <w:lvl w:ilvl="0">
      <w:lvlJc w:val="left"/>
      <w:lvlText w:val="•"/>
      <w:numFmt w:val="bullet"/>
      <w:start w:val="1"/>
    </w:lvl>
  </w:abstractNum>
  <w:abstractNum w:abstractNumId="45">
    <w:nsid w:val="64429599"/>
    <w:multiLevelType w:val="hybridMultilevel"/>
    <w:lvl w:ilvl="0">
      <w:lvlJc w:val="left"/>
      <w:lvlText w:val="•"/>
      <w:numFmt w:val="bullet"/>
      <w:start w:val="1"/>
    </w:lvl>
  </w:abstractNum>
  <w:abstractNum w:abstractNumId="46">
    <w:nsid w:val="631F1690"/>
    <w:multiLevelType w:val="hybridMultilevel"/>
    <w:lvl w:ilvl="0">
      <w:lvlJc w:val="left"/>
      <w:lvlText w:val="(%1)"/>
      <w:numFmt w:val="decimal"/>
      <w:start w:val="1"/>
    </w:lvl>
  </w:abstractNum>
  <w:abstractNum w:abstractNumId="47">
    <w:nsid w:val="25973E32"/>
    <w:multiLevelType w:val="hybridMultilevel"/>
    <w:lvl w:ilvl="0">
      <w:lvlJc w:val="left"/>
      <w:lvlText w:val="•"/>
      <w:numFmt w:val="bullet"/>
      <w:start w:val="1"/>
    </w:lvl>
  </w:abstractNum>
  <w:abstractNum w:abstractNumId="48">
    <w:nsid w:val="EAD6F57"/>
    <w:multiLevelType w:val="hybridMultilevel"/>
    <w:lvl w:ilvl="0">
      <w:lvlJc w:val="left"/>
      <w:lvlText w:val="•"/>
      <w:numFmt w:val="bullet"/>
      <w:start w:val="1"/>
    </w:lvl>
  </w:abstractNum>
  <w:abstractNum w:abstractNumId="49">
    <w:nsid w:val="6EC9D844"/>
    <w:multiLevelType w:val="hybridMultilevel"/>
    <w:lvl w:ilvl="0">
      <w:lvlJc w:val="left"/>
      <w:lvlText w:val="•"/>
      <w:numFmt w:val="bullet"/>
      <w:start w:val="1"/>
    </w:lvl>
  </w:abstractNum>
  <w:abstractNum w:abstractNumId="50">
    <w:nsid w:val="5C49EAEE"/>
    <w:multiLevelType w:val="hybridMultilevel"/>
    <w:lvl w:ilvl="0">
      <w:lvlJc w:val="left"/>
      <w:lvlText w:val="•"/>
      <w:numFmt w:val="bullet"/>
      <w:start w:val="1"/>
    </w:lvl>
  </w:abstractNum>
  <w:abstractNum w:abstractNumId="51">
    <w:nsid w:val="64AF49B"/>
    <w:multiLevelType w:val="hybridMultilevel"/>
    <w:lvl w:ilvl="0">
      <w:lvlJc w:val="left"/>
      <w:lvlText w:val="•"/>
      <w:numFmt w:val="bullet"/>
      <w:start w:val="1"/>
    </w:lvl>
  </w:abstractNum>
  <w:abstractNum w:abstractNumId="52">
    <w:nsid w:val="397C46BC"/>
    <w:multiLevelType w:val="hybridMultilevel"/>
    <w:lvl w:ilvl="0">
      <w:lvlJc w:val="left"/>
      <w:lvlText w:val="•"/>
      <w:numFmt w:val="bullet"/>
      <w:start w:val="1"/>
    </w:lvl>
  </w:abstractNum>
  <w:abstractNum w:abstractNumId="53">
    <w:nsid w:val="7E448DE9"/>
    <w:multiLevelType w:val="hybridMultilevel"/>
    <w:lvl w:ilvl="0">
      <w:lvlJc w:val="left"/>
      <w:lvlText w:val="•"/>
      <w:numFmt w:val="bullet"/>
      <w:start w:val="1"/>
    </w:lvl>
  </w:abstractNum>
  <w:abstractNum w:abstractNumId="54">
    <w:nsid w:val="5A9CC3E5"/>
    <w:multiLevelType w:val="hybridMultilevel"/>
    <w:lvl w:ilvl="0">
      <w:lvlJc w:val="left"/>
      <w:lvlText w:val="•"/>
      <w:numFmt w:val="bullet"/>
      <w:start w:val="1"/>
    </w:lvl>
  </w:abstractNum>
  <w:abstractNum w:abstractNumId="55">
    <w:nsid w:val="1AFE3625"/>
    <w:multiLevelType w:val="hybridMultilevel"/>
    <w:lvl w:ilvl="0">
      <w:lvlJc w:val="left"/>
      <w:lvlText w:val="•"/>
      <w:numFmt w:val="bullet"/>
      <w:start w:val="1"/>
    </w:lvl>
  </w:abstractNum>
  <w:abstractNum w:abstractNumId="56">
    <w:nsid w:val="3CA88ECF"/>
    <w:multiLevelType w:val="hybridMultilevel"/>
    <w:lvl w:ilvl="0">
      <w:lvlJc w:val="left"/>
      <w:lvlText w:val="•"/>
      <w:numFmt w:val="bullet"/>
      <w:start w:val="1"/>
    </w:lvl>
  </w:abstractNum>
  <w:abstractNum w:abstractNumId="57">
    <w:nsid w:val="6EBE4208"/>
    <w:multiLevelType w:val="hybridMultilevel"/>
    <w:lvl w:ilvl="0">
      <w:lvlJc w:val="left"/>
      <w:lvlText w:val="•"/>
      <w:numFmt w:val="bullet"/>
      <w:start w:val="1"/>
    </w:lvl>
  </w:abstractNum>
  <w:abstractNum w:abstractNumId="58">
    <w:nsid w:val="C058DF5"/>
    <w:multiLevelType w:val="hybridMultilevel"/>
    <w:lvl w:ilvl="0">
      <w:lvlJc w:val="left"/>
      <w:lvlText w:val="•"/>
      <w:numFmt w:val="bullet"/>
      <w:start w:val="1"/>
    </w:lvl>
  </w:abstractNum>
  <w:abstractNum w:abstractNumId="59">
    <w:nsid w:val="CBE5BE9"/>
    <w:multiLevelType w:val="hybridMultilevel"/>
    <w:lvl w:ilvl="0">
      <w:lvlJc w:val="left"/>
      <w:lvlText w:val="(%1)"/>
      <w:numFmt w:val="decimal"/>
      <w:start w:val="1"/>
    </w:lvl>
  </w:abstractNum>
  <w:abstractNum w:abstractNumId="60">
    <w:nsid w:val="3102BBE2"/>
    <w:multiLevelType w:val="hybridMultilevel"/>
    <w:lvl w:ilvl="0">
      <w:lvlJc w:val="left"/>
      <w:lvlText w:val="(%1)"/>
      <w:numFmt w:val="decimal"/>
      <w:start w:val="3"/>
    </w:lvl>
  </w:abstractNum>
  <w:abstractNum w:abstractNumId="61">
    <w:nsid w:val="26A02C5E"/>
    <w:multiLevelType w:val="hybridMultilevel"/>
    <w:lvl w:ilvl="0">
      <w:lvlJc w:val="left"/>
      <w:lvlText w:val="(%1)"/>
      <w:numFmt w:val="decimal"/>
      <w:start w:val="1"/>
    </w:lvl>
  </w:abstractNum>
  <w:abstractNum w:abstractNumId="62">
    <w:nsid w:val="541C8153"/>
    <w:multiLevelType w:val="hybridMultilevel"/>
    <w:lvl w:ilvl="0">
      <w:lvlJc w:val="left"/>
      <w:lvlText w:val="(%1)"/>
      <w:numFmt w:val="decimal"/>
      <w:start w:val="3"/>
    </w:lvl>
  </w:abstractNum>
  <w:abstractNum w:abstractNumId="63">
    <w:nsid w:val="67906F60"/>
    <w:multiLevelType w:val="hybridMultilevel"/>
    <w:lvl w:ilvl="0">
      <w:lvlJc w:val="left"/>
      <w:lvlText w:val="•"/>
      <w:numFmt w:val="bullet"/>
      <w:start w:val="1"/>
    </w:lvl>
  </w:abstractNum>
  <w:abstractNum w:abstractNumId="64">
    <w:nsid w:val="10DB9DAA"/>
    <w:multiLevelType w:val="hybridMultilevel"/>
    <w:lvl w:ilvl="0">
      <w:lvlJc w:val="left"/>
      <w:lvlText w:val="•"/>
      <w:numFmt w:val="bullet"/>
      <w:start w:val="1"/>
    </w:lvl>
  </w:abstractNum>
  <w:abstractNum w:abstractNumId="65">
    <w:nsid w:val="697D2D2"/>
    <w:multiLevelType w:val="hybridMultilevel"/>
    <w:lvl w:ilvl="0">
      <w:lvlJc w:val="left"/>
      <w:lvlText w:val="•"/>
      <w:numFmt w:val="bullet"/>
      <w:start w:val="1"/>
    </w:lvl>
  </w:abstractNum>
  <w:abstractNum w:abstractNumId="66">
    <w:nsid w:val="6D68AB2"/>
    <w:multiLevelType w:val="hybridMultilevel"/>
    <w:lvl w:ilvl="0">
      <w:lvlJc w:val="left"/>
      <w:lvlText w:val="(%1)"/>
      <w:numFmt w:val="decimal"/>
      <w:start w:val="1"/>
    </w:lvl>
  </w:abstractNum>
  <w:abstractNum w:abstractNumId="67">
    <w:nsid w:val="3A966CD0"/>
    <w:multiLevelType w:val="hybridMultilevel"/>
    <w:lvl w:ilvl="0">
      <w:lvlJc w:val="left"/>
      <w:lvlText w:val="(%1)"/>
      <w:numFmt w:val="decimal"/>
      <w:start w:val="1"/>
    </w:lvl>
  </w:abstractNum>
  <w:abstractNum w:abstractNumId="68">
    <w:nsid w:val="63F37E85"/>
    <w:multiLevelType w:val="hybridMultilevel"/>
    <w:lvl w:ilvl="0">
      <w:lvlJc w:val="left"/>
      <w:lvlText w:val="(%1)"/>
      <w:numFmt w:val="decimal"/>
      <w:start w:val="1"/>
    </w:lvl>
  </w:abstractNum>
  <w:abstractNum w:abstractNumId="69">
    <w:nsid w:val="5895F5FA"/>
    <w:multiLevelType w:val="hybridMultilevel"/>
    <w:lvl w:ilvl="0">
      <w:lvlJc w:val="left"/>
      <w:lvlText w:val="•"/>
      <w:numFmt w:val="bullet"/>
      <w:start w:val="1"/>
    </w:lvl>
  </w:abstractNum>
  <w:abstractNum w:abstractNumId="70">
    <w:nsid w:val="38A5D054"/>
    <w:multiLevelType w:val="hybridMultilevel"/>
    <w:lvl w:ilvl="0">
      <w:lvlJc w:val="left"/>
      <w:lvlText w:val="•"/>
      <w:numFmt w:val="bullet"/>
      <w:start w:val="1"/>
    </w:lvl>
  </w:abstractNum>
  <w:abstractNum w:abstractNumId="71">
    <w:nsid w:val="F3F09D8"/>
    <w:multiLevelType w:val="hybridMultilevel"/>
    <w:lvl w:ilvl="0">
      <w:lvlJc w:val="left"/>
      <w:lvlText w:val="•"/>
      <w:numFmt w:val="bullet"/>
      <w:start w:val="1"/>
    </w:lvl>
  </w:abstractNum>
  <w:abstractNum w:abstractNumId="72">
    <w:nsid w:val="4B793735"/>
    <w:multiLevelType w:val="hybridMultilevel"/>
    <w:lvl w:ilvl="0">
      <w:lvlJc w:val="left"/>
      <w:lvlText w:val="•"/>
      <w:numFmt w:val="bullet"/>
      <w:start w:val="1"/>
    </w:lvl>
  </w:abstractNum>
  <w:abstractNum w:abstractNumId="73">
    <w:nsid w:val="4A10B4E8"/>
    <w:multiLevelType w:val="hybridMultilevel"/>
    <w:lvl w:ilvl="0">
      <w:lvlJc w:val="left"/>
      <w:lvlText w:val="(%1)"/>
      <w:numFmt w:val="decimal"/>
      <w:start w:val="1"/>
    </w:lvl>
  </w:abstractNum>
  <w:abstractNum w:abstractNumId="74">
    <w:nsid w:val="43D3BCD4"/>
    <w:multiLevelType w:val="hybridMultilevel"/>
    <w:lvl w:ilvl="0">
      <w:lvlJc w:val="left"/>
      <w:lvlText w:val="(%1)"/>
      <w:numFmt w:val="decimal"/>
      <w:start w:val="1"/>
    </w:lvl>
  </w:abstractNum>
  <w:abstractNum w:abstractNumId="75">
    <w:nsid w:val="4C2A7166"/>
    <w:multiLevelType w:val="hybridMultilevel"/>
    <w:lvl w:ilvl="0">
      <w:lvlJc w:val="left"/>
      <w:lvlText w:val="•"/>
      <w:numFmt w:val="bullet"/>
      <w:start w:val="1"/>
    </w:lvl>
  </w:abstractNum>
  <w:abstractNum w:abstractNumId="76">
    <w:nsid w:val="2E534A82"/>
    <w:multiLevelType w:val="hybridMultilevel"/>
    <w:lvl w:ilvl="0">
      <w:lvlJc w:val="left"/>
      <w:lvlText w:val="(%1)"/>
      <w:numFmt w:val="decimal"/>
      <w:start w:val="1"/>
    </w:lvl>
  </w:abstractNum>
  <w:abstractNum w:abstractNumId="77">
    <w:nsid w:val="26F2D364"/>
    <w:multiLevelType w:val="hybridMultilevel"/>
    <w:lvl w:ilvl="0">
      <w:lvlJc w:val="left"/>
      <w:lvlText w:val="(%1)"/>
      <w:numFmt w:val="decimal"/>
      <w:start w:val="1"/>
    </w:lvl>
  </w:abstractNum>
  <w:abstractNum w:abstractNumId="78">
    <w:nsid w:val="71C1AF98"/>
    <w:multiLevelType w:val="hybridMultilevel"/>
    <w:lvl w:ilvl="0">
      <w:lvlJc w:val="left"/>
      <w:lvlText w:val="•"/>
      <w:numFmt w:val="bullet"/>
      <w:start w:val="1"/>
    </w:lvl>
  </w:abstractNum>
  <w:abstractNum w:abstractNumId="79">
    <w:nsid w:val="3D00B9D9"/>
    <w:multiLevelType w:val="hybridMultilevel"/>
    <w:lvl w:ilvl="0">
      <w:lvlJc w:val="left"/>
      <w:lvlText w:val="•"/>
      <w:numFmt w:val="bullet"/>
      <w:start w:val="1"/>
    </w:lvl>
  </w:abstractNum>
  <w:abstractNum w:abstractNumId="80">
    <w:nsid w:val="15BCABA8"/>
    <w:multiLevelType w:val="hybridMultilevel"/>
    <w:lvl w:ilvl="0">
      <w:lvlJc w:val="left"/>
      <w:lvlText w:val="•"/>
      <w:numFmt w:val="bullet"/>
      <w:start w:val="1"/>
    </w:lvl>
  </w:abstractNum>
  <w:abstractNum w:abstractNumId="81">
    <w:nsid w:val="4E0B9A87"/>
    <w:multiLevelType w:val="hybridMultilevel"/>
    <w:lvl w:ilvl="0">
      <w:lvlJc w:val="left"/>
      <w:lvlText w:val="•"/>
      <w:numFmt w:val="bullet"/>
      <w:start w:val="1"/>
    </w:lvl>
  </w:abstractNum>
  <w:abstractNum w:abstractNumId="82">
    <w:nsid w:val="434BAE75"/>
    <w:multiLevelType w:val="hybridMultilevel"/>
    <w:lvl w:ilvl="0">
      <w:lvlJc w:val="left"/>
      <w:lvlText w:val="•"/>
      <w:numFmt w:val="bullet"/>
      <w:start w:val="1"/>
    </w:lvl>
  </w:abstractNum>
  <w:abstractNum w:abstractNumId="83">
    <w:nsid w:val="4F38F265"/>
    <w:multiLevelType w:val="hybridMultilevel"/>
    <w:lvl w:ilvl="0">
      <w:lvlJc w:val="left"/>
      <w:lvlText w:val="•"/>
      <w:numFmt w:val="bullet"/>
      <w:start w:val="1"/>
    </w:lvl>
  </w:abstractNum>
  <w:abstractNum w:abstractNumId="84">
    <w:nsid w:val="4C502870"/>
    <w:multiLevelType w:val="hybridMultilevel"/>
    <w:lvl w:ilvl="0">
      <w:lvlJc w:val="left"/>
      <w:lvlText w:val="%1"/>
      <w:numFmt w:val="decimal"/>
      <w:start w:val="1"/>
    </w:lvl>
    <w:lvl w:ilvl="1">
      <w:lvlJc w:val="left"/>
      <w:lvlText w:val="(%2)"/>
      <w:numFmt w:val="lowerLetter"/>
      <w:start w:val="1"/>
    </w:lvl>
  </w:abstractNum>
  <w:abstractNum w:abstractNumId="85">
    <w:nsid w:val="1DE8725A"/>
    <w:multiLevelType w:val="hybridMultilevel"/>
    <w:lvl w:ilvl="0">
      <w:lvlJc w:val="left"/>
      <w:lvlText w:val="(%1)"/>
      <w:numFmt w:val="decimal"/>
      <w:start w:val="1"/>
    </w:lvl>
    <w:lvl w:ilvl="1">
      <w:lvlJc w:val="left"/>
      <w:lvlText w:val="%2"/>
      <w:numFmt w:val="lowerLetter"/>
      <w:start w:val="1"/>
    </w:lvl>
  </w:abstractNum>
  <w:abstractNum w:abstractNumId="86">
    <w:nsid w:val="6A37288A"/>
    <w:multiLevelType w:val="hybridMultilevel"/>
    <w:lvl w:ilvl="0">
      <w:lvlJc w:val="left"/>
      <w:lvlText w:val="%1"/>
      <w:numFmt w:val="decimal"/>
      <w:start w:val="1"/>
    </w:lvl>
    <w:lvl w:ilvl="1">
      <w:lvlJc w:val="left"/>
      <w:lvlText w:val="(%2)"/>
      <w:numFmt w:val="lowerLetter"/>
      <w:start w:val="1"/>
    </w:lvl>
  </w:abstractNum>
  <w:abstractNum w:abstractNumId="87">
    <w:nsid w:val="8F8B73F"/>
    <w:multiLevelType w:val="hybridMultilevel"/>
    <w:lvl w:ilvl="0">
      <w:lvlJc w:val="left"/>
      <w:lvlText w:val="(%1)"/>
      <w:numFmt w:val="decimal"/>
      <w:start w:val="7"/>
    </w:lvl>
    <w:lvl w:ilvl="1">
      <w:lvlJc w:val="left"/>
      <w:lvlText w:val="%2"/>
      <w:numFmt w:val="lowerLetter"/>
      <w:start w:val="1"/>
    </w:lvl>
  </w:abstractNum>
  <w:abstractNum w:abstractNumId="88">
    <w:nsid w:val="CA6B462"/>
    <w:multiLevelType w:val="hybridMultilevel"/>
    <w:lvl w:ilvl="0">
      <w:lvlJc w:val="left"/>
      <w:lvlText w:val="%1"/>
      <w:numFmt w:val="decimal"/>
      <w:start w:val="1"/>
    </w:lvl>
    <w:lvl w:ilvl="1">
      <w:lvlJc w:val="left"/>
      <w:lvlText w:val="(%2)"/>
      <w:numFmt w:val="lowerLetter"/>
      <w:start w:val="1"/>
    </w:lvl>
  </w:abstractNum>
  <w:abstractNum w:abstractNumId="89">
    <w:nsid w:val="763CB680"/>
    <w:multiLevelType w:val="hybridMultilevel"/>
    <w:lvl w:ilvl="0">
      <w:lvlJc w:val="left"/>
      <w:lvlText w:val="(%1)"/>
      <w:numFmt w:val="decimal"/>
      <w:start w:val="8"/>
    </w:lvl>
    <w:lvl w:ilvl="1">
      <w:lvlJc w:val="left"/>
      <w:lvlText w:val="%2"/>
      <w:numFmt w:val="lowerLetter"/>
      <w:start w:val="1"/>
    </w:lvl>
  </w:abstractNum>
  <w:abstractNum w:abstractNumId="90">
    <w:nsid w:val="15B71329"/>
    <w:multiLevelType w:val="hybridMultilevel"/>
    <w:lvl w:ilvl="0">
      <w:lvlJc w:val="left"/>
      <w:lvlText w:val="%1"/>
      <w:numFmt w:val="decimal"/>
      <w:start w:val="1"/>
    </w:lvl>
    <w:lvl w:ilvl="1">
      <w:lvlJc w:val="left"/>
      <w:lvlText w:val="(%2)"/>
      <w:numFmt w:val="lowerLetter"/>
      <w:start w:val="1"/>
    </w:lvl>
  </w:abstractNum>
  <w:abstractNum w:abstractNumId="91">
    <w:nsid w:val="3DA97044"/>
    <w:multiLevelType w:val="hybridMultilevel"/>
    <w:lvl w:ilvl="0">
      <w:lvlJc w:val="left"/>
      <w:lvlText w:val="(%1)"/>
      <w:numFmt w:val="decimal"/>
      <w:start w:val="1"/>
    </w:lvl>
    <w:lvl w:ilvl="1">
      <w:lvlJc w:val="left"/>
      <w:lvlText w:val="%2"/>
      <w:numFmt w:val="lowerLetter"/>
      <w:start w:val="1"/>
    </w:lvl>
  </w:abstractNum>
  <w:abstractNum w:abstractNumId="92">
    <w:nsid w:val="1CDCE2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3">
    <w:nsid w:val="69D3947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94">
    <w:nsid w:val="2539DFA5"/>
    <w:multiLevelType w:val="hybridMultilevel"/>
    <w:lvl w:ilvl="0">
      <w:lvlJc w:val="left"/>
      <w:lvlText w:val="%1"/>
      <w:numFmt w:val="decimal"/>
      <w:start w:val="1"/>
    </w:lvl>
    <w:lvl w:ilvl="1">
      <w:lvlJc w:val="left"/>
      <w:lvlText w:val="(%2)"/>
      <w:numFmt w:val="lowerLetter"/>
      <w:start w:val="1"/>
    </w:lvl>
  </w:abstractNum>
  <w:abstractNum w:abstractNumId="95">
    <w:nsid w:val="2DB88089"/>
    <w:multiLevelType w:val="hybridMultilevel"/>
    <w:lvl w:ilvl="0">
      <w:lvlJc w:val="left"/>
      <w:lvlText w:val="(%1)"/>
      <w:numFmt w:val="decimal"/>
      <w:start w:val="8"/>
    </w:lvl>
    <w:lvl w:ilvl="1">
      <w:lvlJc w:val="left"/>
      <w:lvlText w:val="%2"/>
      <w:numFmt w:val="lowerLetter"/>
      <w:start w:val="1"/>
    </w:lvl>
  </w:abstractNum>
  <w:abstractNum w:abstractNumId="96">
    <w:nsid w:val="706B674E"/>
    <w:multiLevelType w:val="hybridMultilevel"/>
    <w:lvl w:ilvl="0">
      <w:lvlJc w:val="left"/>
      <w:lvlText w:val="(%1)"/>
      <w:numFmt w:val="decimal"/>
      <w:start w:val="1"/>
    </w:lvl>
  </w:abstractNum>
  <w:abstractNum w:abstractNumId="97">
    <w:nsid w:val="2C106A57"/>
    <w:multiLevelType w:val="hybridMultilevel"/>
    <w:lvl w:ilvl="0">
      <w:lvlJc w:val="left"/>
      <w:lvlText w:val="•"/>
      <w:numFmt w:val="bullet"/>
      <w:start w:val="1"/>
    </w:lvl>
  </w:abstractNum>
  <w:abstractNum w:abstractNumId="98">
    <w:nsid w:val="684EED59"/>
    <w:multiLevelType w:val="hybridMultilevel"/>
    <w:lvl w:ilvl="0">
      <w:lvlJc w:val="left"/>
      <w:lvlText w:val="•"/>
      <w:numFmt w:val="bullet"/>
      <w:start w:val="1"/>
    </w:lvl>
  </w:abstractNum>
  <w:abstractNum w:abstractNumId="99">
    <w:nsid w:val="545EE5D3"/>
    <w:multiLevelType w:val="hybridMultilevel"/>
    <w:lvl w:ilvl="0">
      <w:lvlJc w:val="left"/>
      <w:lvlText w:val="•"/>
      <w:numFmt w:val="bullet"/>
      <w:start w:val="1"/>
    </w:lvl>
  </w:abstractNum>
  <w:abstractNum w:abstractNumId="100">
    <w:nsid w:val="4A66051"/>
    <w:multiLevelType w:val="hybridMultilevel"/>
    <w:lvl w:ilvl="0">
      <w:lvlJc w:val="left"/>
      <w:lvlText w:val="(%1)"/>
      <w:numFmt w:val="lowerRoman"/>
      <w:start w:val="1"/>
    </w:lvl>
  </w:abstractNum>
  <w:abstractNum w:abstractNumId="101">
    <w:nsid w:val="20F4BDAD"/>
    <w:multiLevelType w:val="hybridMultilevel"/>
    <w:lvl w:ilvl="0">
      <w:lvlJc w:val="left"/>
      <w:lvlText w:val="(%1)"/>
      <w:numFmt w:val="decimal"/>
      <w:start w:val="1"/>
    </w:lvl>
  </w:abstractNum>
  <w:abstractNum w:abstractNumId="102">
    <w:nsid w:val="639DEFAC"/>
    <w:multiLevelType w:val="hybridMultilevel"/>
    <w:lvl w:ilvl="0">
      <w:lvlJc w:val="left"/>
      <w:lvlText w:val="(%1)"/>
      <w:numFmt w:val="decimal"/>
      <w:start w:val="1"/>
    </w:lvl>
  </w:abstractNum>
  <w:abstractNum w:abstractNumId="103">
    <w:nsid w:val="501F9786"/>
    <w:multiLevelType w:val="hybridMultilevel"/>
    <w:lvl w:ilvl="0">
      <w:lvlJc w:val="left"/>
      <w:lvlText w:val="(%1)"/>
      <w:numFmt w:val="decimal"/>
      <w:start w:val="1"/>
    </w:lvl>
  </w:abstractNum>
  <w:abstractNum w:abstractNumId="104">
    <w:nsid w:val="6B057295"/>
    <w:multiLevelType w:val="hybridMultilevel"/>
    <w:lvl w:ilvl="0">
      <w:lvlJc w:val="left"/>
      <w:lvlText w:val="(%1)"/>
      <w:numFmt w:val="decimal"/>
      <w:start w:val="1"/>
    </w:lvl>
  </w:abstractNum>
  <w:abstractNum w:abstractNumId="105">
    <w:nsid w:val="2771AC80"/>
    <w:multiLevelType w:val="hybridMultilevel"/>
    <w:lvl w:ilvl="0">
      <w:lvlJc w:val="left"/>
      <w:lvlText w:val="(%1)"/>
      <w:numFmt w:val="decimal"/>
      <w:start w:val="1"/>
    </w:lvl>
  </w:abstractNum>
  <w:abstractNum w:abstractNumId="106">
    <w:nsid w:val="1C4A08EC"/>
    <w:multiLevelType w:val="hybridMultilevel"/>
    <w:lvl w:ilvl="0">
      <w:lvlJc w:val="left"/>
      <w:lvlText w:val="(%1)"/>
      <w:numFmt w:val="decimal"/>
      <w:start w:val="1"/>
    </w:lvl>
  </w:abstractNum>
  <w:abstractNum w:abstractNumId="107">
    <w:nsid w:val="1958BD17"/>
    <w:multiLevelType w:val="hybridMultilevel"/>
    <w:lvl w:ilvl="0">
      <w:lvlJc w:val="left"/>
      <w:lvlText w:val="(%1)"/>
      <w:numFmt w:val="decimal"/>
      <w:start w:val="1"/>
    </w:lvl>
  </w:abstractNum>
  <w:abstractNum w:abstractNumId="108">
    <w:nsid w:val="4E647FE4"/>
    <w:multiLevelType w:val="hybridMultilevel"/>
    <w:lvl w:ilvl="0">
      <w:lvlJc w:val="left"/>
      <w:lvlText w:val="•"/>
      <w:numFmt w:val="bullet"/>
      <w:start w:val="1"/>
    </w:lvl>
  </w:abstractNum>
  <w:abstractNum w:abstractNumId="109">
    <w:nsid w:val="E0BB885"/>
    <w:multiLevelType w:val="hybridMultilevel"/>
    <w:lvl w:ilvl="0">
      <w:lvlJc w:val="left"/>
      <w:lvlText w:val="(%1)"/>
      <w:numFmt w:val="decimal"/>
      <w:start w:val="1"/>
    </w:lvl>
  </w:abstractNum>
  <w:abstractNum w:abstractNumId="110">
    <w:nsid w:val="565976F1"/>
    <w:multiLevelType w:val="hybridMultilevel"/>
    <w:lvl w:ilvl="0">
      <w:lvlJc w:val="left"/>
      <w:lvlText w:val="(%1)"/>
      <w:numFmt w:val="decimal"/>
      <w:start w:val="1"/>
    </w:lvl>
  </w:abstractNum>
  <w:abstractNum w:abstractNumId="111">
    <w:nsid w:val="64212B8C"/>
    <w:multiLevelType w:val="hybridMultilevel"/>
    <w:lvl w:ilvl="0">
      <w:lvlJc w:val="left"/>
      <w:lvlText w:val="(%1)"/>
      <w:numFmt w:val="decimal"/>
      <w:start w:val="2"/>
    </w:lvl>
  </w:abstractNum>
  <w:abstractNum w:abstractNumId="112">
    <w:nsid w:val="5C17530C"/>
    <w:multiLevelType w:val="hybridMultilevel"/>
    <w:lvl w:ilvl="0">
      <w:lvlJc w:val="left"/>
      <w:lvlText w:val="(%1)"/>
      <w:numFmt w:val="decimal"/>
      <w:start w:val="1"/>
    </w:lvl>
  </w:abstractNum>
  <w:abstractNum w:abstractNumId="113">
    <w:nsid w:val="19A52566"/>
    <w:multiLevelType w:val="hybridMultilevel"/>
    <w:lvl w:ilvl="0">
      <w:lvlJc w:val="left"/>
      <w:lvlText w:val="%1."/>
      <w:numFmt w:val="decimal"/>
      <w:start w:val="10"/>
    </w:lvl>
  </w:abstractNum>
  <w:abstractNum w:abstractNumId="114">
    <w:nsid w:val="335A1DF1"/>
    <w:multiLevelType w:val="hybridMultilevel"/>
    <w:lvl w:ilvl="0">
      <w:lvlJc w:val="left"/>
      <w:lvlText w:val="%1."/>
      <w:numFmt w:val="decimal"/>
      <w:start w:val="12"/>
    </w:lvl>
  </w:abstractNum>
  <w:abstractNum w:abstractNumId="115">
    <w:nsid w:val="28677B7C"/>
    <w:multiLevelType w:val="hybridMultilevel"/>
    <w:lvl w:ilvl="0">
      <w:lvlJc w:val="left"/>
      <w:lvlText w:val="(%1)"/>
      <w:numFmt w:val="decimal"/>
      <w:start w:val="1"/>
    </w:lvl>
  </w:abstractNum>
  <w:abstractNum w:abstractNumId="116">
    <w:nsid w:val="378D97C0"/>
    <w:multiLevelType w:val="hybridMultilevel"/>
    <w:lvl w:ilvl="0">
      <w:lvlJc w:val="left"/>
      <w:lvlText w:val="(%1)"/>
      <w:numFmt w:val="decimal"/>
      <w:start w:val="1"/>
    </w:lvl>
  </w:abstractNum>
  <w:abstractNum w:abstractNumId="117">
    <w:nsid w:val="1D91467C"/>
    <w:multiLevelType w:val="hybridMultilevel"/>
    <w:lvl w:ilvl="0">
      <w:lvlJc w:val="left"/>
      <w:lvlText w:val="(%1)"/>
      <w:numFmt w:val="decimal"/>
      <w:start w:val="6"/>
    </w:lvl>
  </w:abstractNum>
  <w:abstractNum w:abstractNumId="118">
    <w:nsid w:val="316032BB"/>
    <w:multiLevelType w:val="hybridMultilevel"/>
    <w:lvl w:ilvl="0">
      <w:lvlJc w:val="left"/>
      <w:lvlText w:val="(%1)"/>
      <w:numFmt w:val="decimal"/>
      <w:start w:val="1"/>
    </w:lvl>
  </w:abstractNum>
  <w:abstractNum w:abstractNumId="119">
    <w:nsid w:val="44344C22"/>
    <w:multiLevelType w:val="hybridMultilevel"/>
    <w:lvl w:ilvl="0">
      <w:lvlJc w:val="left"/>
      <w:lvlText w:val="(%1)"/>
      <w:numFmt w:val="decimal"/>
      <w:start w:val="1"/>
    </w:lvl>
  </w:abstractNum>
  <w:abstractNum w:abstractNumId="120">
    <w:nsid w:val="13CDFCFC"/>
    <w:multiLevelType w:val="hybridMultilevel"/>
    <w:lvl w:ilvl="0">
      <w:lvlJc w:val="left"/>
      <w:lvlText w:val="%1"/>
      <w:numFmt w:val="decimal"/>
      <w:start w:val="32"/>
    </w:lvl>
  </w:abstractNum>
  <w:abstractNum w:abstractNumId="121">
    <w:nsid w:val="471745E4"/>
    <w:multiLevelType w:val="hybridMultilevel"/>
    <w:lvl w:ilvl="0">
      <w:lvlJc w:val="left"/>
      <w:lvlText w:val="•"/>
      <w:numFmt w:val="bullet"/>
      <w:start w:val="1"/>
    </w:lvl>
  </w:abstractNum>
  <w:abstractNum w:abstractNumId="122">
    <w:nsid w:val="1DDBC66"/>
    <w:multiLevelType w:val="hybridMultilevel"/>
    <w:lvl w:ilvl="0">
      <w:lvlJc w:val="left"/>
      <w:lvlText w:val="•"/>
      <w:numFmt w:val="bullet"/>
      <w:start w:val="1"/>
    </w:lvl>
  </w:abstractNum>
  <w:abstractNum w:abstractNumId="123">
    <w:nsid w:val="30AADFDA"/>
    <w:multiLevelType w:val="hybridMultilevel"/>
    <w:lvl w:ilvl="0">
      <w:lvlJc w:val="left"/>
      <w:lvlText w:val="•"/>
      <w:numFmt w:val="bullet"/>
      <w:start w:val="1"/>
    </w:lvl>
  </w:abstractNum>
  <w:abstractNum w:abstractNumId="124">
    <w:nsid w:val="30EADA61"/>
    <w:multiLevelType w:val="hybridMultilevel"/>
    <w:lvl w:ilvl="0">
      <w:lvlJc w:val="left"/>
      <w:lvlText w:val="•"/>
      <w:numFmt w:val="bullet"/>
      <w:start w:val="1"/>
    </w:lvl>
  </w:abstractNum>
  <w:abstractNum w:abstractNumId="125">
    <w:nsid w:val="27179C0B"/>
    <w:multiLevelType w:val="hybridMultilevel"/>
    <w:lvl w:ilvl="0">
      <w:lvlJc w:val="left"/>
      <w:lvlText w:val="(%1)"/>
      <w:numFmt w:val="lowerLetter"/>
      <w:start w:val="3"/>
    </w:lvl>
  </w:abstractNum>
  <w:abstractNum w:abstractNumId="126">
    <w:nsid w:val="5E636063"/>
    <w:multiLevelType w:val="hybridMultilevel"/>
    <w:lvl w:ilvl="0">
      <w:lvlJc w:val="left"/>
      <w:lvlText w:val="(%1)"/>
      <w:numFmt w:val="lowerLetter"/>
      <w:start w:val="1"/>
    </w:lvl>
  </w:abstractNum>
  <w:abstractNum w:abstractNumId="127">
    <w:nsid w:val="215641AF"/>
    <w:multiLevelType w:val="hybridMultilevel"/>
    <w:lvl w:ilvl="0">
      <w:lvlJc w:val="left"/>
      <w:lvlText w:val="(%1)"/>
      <w:numFmt w:val="lowerLetter"/>
      <w:start w:val="3"/>
    </w:lvl>
  </w:abstractNum>
  <w:abstractNum w:abstractNumId="128">
    <w:nsid w:val="53280662"/>
    <w:multiLevelType w:val="hybridMultilevel"/>
    <w:lvl w:ilvl="0">
      <w:lvlJc w:val="left"/>
      <w:lvlText w:val="(%1)"/>
      <w:numFmt w:val="lowerRoman"/>
      <w:start w:val="1"/>
    </w:lvl>
  </w:abstractNum>
  <w:abstractNum w:abstractNumId="129">
    <w:nsid w:val="46B24DBC"/>
    <w:multiLevelType w:val="hybridMultilevel"/>
    <w:lvl w:ilvl="0">
      <w:lvlJc w:val="left"/>
      <w:lvlText w:val="(%1)"/>
      <w:numFmt w:val="lowerRoman"/>
      <w:start w:val="3"/>
    </w:lvl>
  </w:abstractNum>
  <w:abstractNum w:abstractNumId="130">
    <w:nsid w:val="75B52783"/>
    <w:multiLevelType w:val="hybridMultilevel"/>
    <w:lvl w:ilvl="0">
      <w:lvlJc w:val="left"/>
      <w:lvlText w:val="(%1)"/>
      <w:numFmt w:val="lowerLetter"/>
      <w:start w:val="26"/>
    </w:lvl>
  </w:abstractNum>
  <w:abstractNum w:abstractNumId="131">
    <w:nsid w:val="57CE66B4"/>
    <w:multiLevelType w:val="hybridMultilevel"/>
    <w:lvl w:ilvl="0">
      <w:lvlJc w:val="left"/>
      <w:lvlText w:val="(%1)"/>
      <w:numFmt w:val="lowerLetter"/>
      <w:start w:val="1"/>
    </w:lvl>
  </w:abstractNum>
  <w:abstractNum w:abstractNumId="132">
    <w:nsid w:val="67A70B69"/>
    <w:multiLevelType w:val="hybridMultilevel"/>
    <w:lvl w:ilvl="0">
      <w:lvlJc w:val="left"/>
      <w:lvlText w:val="(%1)"/>
      <w:numFmt w:val="lowerLetter"/>
      <w:start w:val="2"/>
    </w:lvl>
  </w:abstractNum>
  <w:abstractNum w:abstractNumId="133">
    <w:nsid w:val="5953172F"/>
    <w:multiLevelType w:val="hybridMultilevel"/>
    <w:lvl w:ilvl="0">
      <w:lvlJc w:val="left"/>
      <w:lvlText w:val="(%1)"/>
      <w:numFmt w:val="lowerLetter"/>
      <w:start w:val="6"/>
    </w:lvl>
  </w:abstractNum>
  <w:abstractNum w:abstractNumId="134">
    <w:nsid w:val="27EDFE3A"/>
    <w:multiLevelType w:val="hybridMultilevel"/>
    <w:lvl w:ilvl="0">
      <w:lvlJc w:val="left"/>
      <w:lvlText w:val="(%1)"/>
      <w:numFmt w:val="lowerRoman"/>
      <w:start w:val="1"/>
    </w:lvl>
  </w:abstractNum>
  <w:abstractNum w:abstractNumId="135">
    <w:nsid w:val="52AC7DFF"/>
    <w:multiLevelType w:val="hybridMultilevel"/>
    <w:lvl w:ilvl="0">
      <w:lvlJc w:val="left"/>
      <w:lvlText w:val="(%1)"/>
      <w:numFmt w:val="lowerLetter"/>
      <w:start w:val="25"/>
    </w:lvl>
  </w:abstractNum>
  <w:abstractNum w:abstractNumId="136">
    <w:nsid w:val="C4C3AF"/>
    <w:multiLevelType w:val="hybridMultilevel"/>
    <w:lvl w:ilvl="0">
      <w:lvlJc w:val="left"/>
      <w:lvlText w:val="(%1)"/>
      <w:numFmt w:val="lowerRoman"/>
      <w:start w:val="1"/>
    </w:lvl>
  </w:abstractNum>
  <w:abstractNum w:abstractNumId="137">
    <w:nsid w:val="44380727"/>
    <w:multiLevelType w:val="hybridMultilevel"/>
    <w:lvl w:ilvl="0">
      <w:lvlJc w:val="left"/>
      <w:lvlText w:val="(%1)"/>
      <w:numFmt w:val="lowerRoman"/>
      <w:start w:val="3"/>
    </w:lvl>
  </w:abstractNum>
  <w:abstractNum w:abstractNumId="138">
    <w:nsid w:val="6C053B16"/>
    <w:multiLevelType w:val="hybridMultilevel"/>
    <w:lvl w:ilvl="0">
      <w:lvlJc w:val="left"/>
      <w:lvlText w:val="(%1)"/>
      <w:numFmt w:val="lowerLetter"/>
      <w:start w:val="5"/>
    </w:lvl>
  </w:abstractNum>
  <w:abstractNum w:abstractNumId="139">
    <w:nsid w:val="4F294393"/>
    <w:multiLevelType w:val="hybridMultilevel"/>
    <w:lvl w:ilvl="0">
      <w:lvlJc w:val="left"/>
      <w:lvlText w:val="(%1)"/>
      <w:numFmt w:val="lowerLetter"/>
      <w:start w:val="2"/>
    </w:lvl>
  </w:abstractNum>
  <w:abstractNum w:abstractNumId="140">
    <w:nsid w:val="5243BFAC"/>
    <w:multiLevelType w:val="hybridMultilevel"/>
    <w:lvl w:ilvl="0">
      <w:lvlJc w:val="left"/>
      <w:lvlText w:val="(%1)"/>
      <w:numFmt w:val="lowerRoman"/>
      <w:start w:val="2"/>
    </w:lvl>
  </w:abstractNum>
  <w:abstractNum w:abstractNumId="141">
    <w:nsid w:val="425EB207"/>
    <w:multiLevelType w:val="hybridMultilevel"/>
    <w:lvl w:ilvl="0">
      <w:lvlJc w:val="left"/>
      <w:lvlText w:val="(%1)"/>
      <w:numFmt w:val="lowerLetter"/>
      <w:start w:val="2"/>
    </w:lvl>
  </w:abstractNum>
  <w:abstractNum w:abstractNumId="142">
    <w:nsid w:val="334A6F1F"/>
    <w:multiLevelType w:val="hybridMultilevel"/>
    <w:lvl w:ilvl="0">
      <w:lvlJc w:val="left"/>
      <w:lvlText w:val="%1"/>
      <w:numFmt w:val="lowerLetter"/>
      <w:start w:val="1"/>
    </w:lvl>
    <w:lvl w:ilvl="1">
      <w:lvlJc w:val="left"/>
      <w:lvlText w:val="(%2)"/>
      <w:numFmt w:val="lowerLetter"/>
      <w:start w:val="1"/>
    </w:lvl>
  </w:abstractNum>
  <w:abstractNum w:abstractNumId="143">
    <w:nsid w:val="2E5B12B8"/>
    <w:multiLevelType w:val="hybridMultilevel"/>
    <w:lvl w:ilvl="0">
      <w:lvlJc w:val="left"/>
      <w:lvlText w:val="(%1)"/>
      <w:numFmt w:val="lowerLetter"/>
      <w:start w:val="61"/>
    </w:lvl>
    <w:lvl w:ilvl="1">
      <w:lvlJc w:val="left"/>
      <w:lvlText w:val="(%2)"/>
      <w:numFmt w:val="lowerLetter"/>
      <w:start w:val="2"/>
    </w:lvl>
  </w:abstractNum>
  <w:abstractNum w:abstractNumId="144">
    <w:nsid w:val="5C03D76D"/>
    <w:multiLevelType w:val="hybridMultilevel"/>
    <w:lvl w:ilvl="0">
      <w:lvlJc w:val="left"/>
      <w:lvlText w:val="(%1)"/>
      <w:numFmt w:val="lowerLetter"/>
      <w:start w:val="1"/>
    </w:lvl>
  </w:abstractNum>
  <w:abstractNum w:abstractNumId="145">
    <w:nsid w:val="66A48D11"/>
    <w:multiLevelType w:val="hybridMultilevel"/>
    <w:lvl w:ilvl="0">
      <w:lvlJc w:val="left"/>
      <w:lvlText w:val="(%1)"/>
      <w:numFmt w:val="lowerLetter"/>
      <w:start w:val="1"/>
    </w:lvl>
  </w:abstractNum>
  <w:abstractNum w:abstractNumId="146">
    <w:nsid w:val="56C28E34"/>
    <w:multiLevelType w:val="hybridMultilevel"/>
    <w:lvl w:ilvl="0">
      <w:lvlJc w:val="left"/>
      <w:lvlText w:val="%1"/>
      <w:numFmt w:val="lowerRoman"/>
      <w:start w:val="1"/>
    </w:lvl>
    <w:lvl w:ilvl="1">
      <w:lvlJc w:val="left"/>
      <w:lvlText w:val="(%2)"/>
      <w:numFmt w:val="lowerLetter"/>
      <w:start w:val="1"/>
    </w:lvl>
  </w:abstractNum>
  <w:abstractNum w:abstractNumId="147">
    <w:nsid w:val="13916F2D"/>
    <w:multiLevelType w:val="hybridMultilevel"/>
    <w:lvl w:ilvl="0">
      <w:lvlJc w:val="left"/>
      <w:lvlText w:val="(%1)"/>
      <w:numFmt w:val="lowerRoman"/>
      <w:start w:val="1"/>
    </w:lvl>
    <w:lvl w:ilvl="1">
      <w:lvlJc w:val="left"/>
      <w:lvlText w:val="(%2)"/>
      <w:numFmt w:val="lowerLetter"/>
      <w:start w:val="3"/>
    </w:lvl>
  </w:abstractNum>
  <w:abstractNum w:abstractNumId="148">
    <w:nsid w:val="435D38D"/>
    <w:multiLevelType w:val="hybridMultilevel"/>
    <w:lvl w:ilvl="0">
      <w:lvlJc w:val="left"/>
      <w:lvlText w:val="(%1)"/>
      <w:numFmt w:val="lowerLetter"/>
      <w:start w:val="1"/>
    </w:lvl>
  </w:abstractNum>
  <w:abstractNum w:abstractNumId="149">
    <w:nsid w:val="822C0EF"/>
    <w:multiLevelType w:val="hybridMultilevel"/>
    <w:lvl w:ilvl="0">
      <w:lvlJc w:val="left"/>
      <w:lvlText w:val="(%1)"/>
      <w:numFmt w:val="lowerLetter"/>
      <w:start w:val="4"/>
    </w:lvl>
  </w:abstractNum>
  <w:abstractNum w:abstractNumId="150">
    <w:nsid w:val="57C5BB4F"/>
    <w:multiLevelType w:val="hybridMultilevel"/>
    <w:lvl w:ilvl="0">
      <w:lvlJc w:val="left"/>
      <w:lvlText w:val="(%1)"/>
      <w:numFmt w:val="lowerLetter"/>
      <w:start w:val="1"/>
    </w:lvl>
  </w:abstractNum>
  <w:abstractNum w:abstractNumId="151">
    <w:nsid w:val="1803D089"/>
    <w:multiLevelType w:val="hybridMultilevel"/>
    <w:lvl w:ilvl="0">
      <w:lvlJc w:val="left"/>
      <w:lvlText w:val="%1"/>
      <w:numFmt w:val="lowerLetter"/>
      <w:start w:val="1"/>
    </w:lvl>
    <w:lvl w:ilvl="1">
      <w:lvlJc w:val="left"/>
      <w:lvlText w:val="(%2)"/>
      <w:numFmt w:val="lowerLetter"/>
      <w:start w:val="3"/>
    </w:lvl>
  </w:abstractNum>
  <w:abstractNum w:abstractNumId="152">
    <w:nsid w:val="4F3A06D4"/>
    <w:multiLevelType w:val="hybridMultilevel"/>
    <w:lvl w:ilvl="0">
      <w:lvlJc w:val="left"/>
      <w:lvlText w:val="(%1)"/>
      <w:numFmt w:val="lowerLetter"/>
      <w:start w:val="35"/>
    </w:lvl>
    <w:lvl w:ilvl="1">
      <w:lvlJc w:val="left"/>
      <w:lvlText w:val="(%2)"/>
      <w:numFmt w:val="lowerLetter"/>
      <w:start w:val="4"/>
    </w:lvl>
  </w:abstractNum>
  <w:abstractNum w:abstractNumId="153">
    <w:nsid w:val="59A377B6"/>
    <w:multiLevelType w:val="hybridMultilevel"/>
    <w:lvl w:ilvl="0">
      <w:lvlJc w:val="left"/>
      <w:lvlText w:val="%1"/>
      <w:numFmt w:val="lowerLetter"/>
      <w:start w:val="1"/>
    </w:lvl>
    <w:lvl w:ilvl="1">
      <w:lvlJc w:val="left"/>
      <w:lvlText w:val="(%2)"/>
      <w:numFmt w:val="lowerLetter"/>
      <w:start w:val="6"/>
    </w:lvl>
  </w:abstractNum>
  <w:abstractNum w:abstractNumId="154">
    <w:nsid w:val="48AEB063"/>
    <w:multiLevelType w:val="hybridMultilevel"/>
    <w:lvl w:ilvl="0">
      <w:lvlJc w:val="left"/>
      <w:lvlText w:val="(%1)"/>
      <w:numFmt w:val="lowerLetter"/>
      <w:start w:val="35"/>
    </w:lvl>
    <w:lvl w:ilvl="1">
      <w:lvlJc w:val="left"/>
      <w:lvlText w:val="%2"/>
      <w:numFmt w:val="lowerLetter"/>
      <w:start w:val="1"/>
    </w:lvl>
  </w:abstractNum>
  <w:abstractNum w:abstractNumId="155">
    <w:nsid w:val="24E135"/>
    <w:multiLevelType w:val="hybridMultilevel"/>
    <w:lvl w:ilvl="0">
      <w:lvlJc w:val="left"/>
      <w:lvlText w:val="(%1)"/>
      <w:numFmt w:val="lowerLetter"/>
      <w:start w:val="7"/>
    </w:lvl>
  </w:abstractNum>
  <w:abstractNum w:abstractNumId="156">
    <w:nsid w:val="BB13C1"/>
    <w:multiLevelType w:val="hybridMultilevel"/>
    <w:lvl w:ilvl="0">
      <w:lvlJc w:val="left"/>
      <w:lvlText w:val="(%1)"/>
      <w:numFmt w:val="lowerRoman"/>
      <w:start w:val="1"/>
    </w:lvl>
  </w:abstractNum>
  <w:abstractNum w:abstractNumId="157">
    <w:nsid w:val="271210C7"/>
    <w:multiLevelType w:val="hybridMultilevel"/>
    <w:lvl w:ilvl="0">
      <w:lvlJc w:val="left"/>
      <w:lvlText w:val="(%1)"/>
      <w:numFmt w:val="lowerLetter"/>
      <w:start w:val="8"/>
    </w:lvl>
  </w:abstractNum>
  <w:abstractNum w:abstractNumId="158">
    <w:nsid w:val="217B22E4"/>
    <w:multiLevelType w:val="hybridMultilevel"/>
    <w:lvl w:ilvl="0">
      <w:lvlJc w:val="left"/>
      <w:lvlText w:val="%1"/>
      <w:numFmt w:val="lowerLetter"/>
      <w:start w:val="1"/>
    </w:lvl>
    <w:lvl w:ilvl="1">
      <w:lvlJc w:val="left"/>
      <w:lvlText w:val="(%2)"/>
      <w:numFmt w:val="lowerLetter"/>
      <w:start w:val="9"/>
    </w:lvl>
  </w:abstractNum>
  <w:abstractNum w:abstractNumId="159">
    <w:nsid w:val="53E31A24"/>
    <w:multiLevelType w:val="hybridMultilevel"/>
    <w:lvl w:ilvl="0">
      <w:lvlJc w:val="left"/>
      <w:lvlText w:val="(%1)"/>
      <w:numFmt w:val="lowerLetter"/>
      <w:start w:val="6"/>
    </w:lvl>
    <w:lvl w:ilvl="1">
      <w:lvlJc w:val="left"/>
      <w:lvlText w:val="(%2)"/>
      <w:numFmt w:val="lowerLetter"/>
      <w:start w:val="10"/>
    </w:lvl>
  </w:abstractNum>
  <w:abstractNum w:abstractNumId="160">
    <w:nsid w:val="6DC45E83"/>
    <w:multiLevelType w:val="hybridMultilevel"/>
    <w:lvl w:ilvl="0">
      <w:lvlJc w:val="left"/>
      <w:lvlText w:val="(%1)"/>
      <w:numFmt w:val="lowerLetter"/>
      <w:start w:val="12"/>
    </w:lvl>
  </w:abstractNum>
  <w:abstractNum w:abstractNumId="161">
    <w:nsid w:val="17304A67"/>
    <w:multiLevelType w:val="hybridMultilevel"/>
    <w:lvl w:ilvl="0">
      <w:lvlJc w:val="left"/>
      <w:lvlText w:val="(%1)"/>
      <w:numFmt w:val="lowerLetter"/>
      <w:start w:val="1"/>
    </w:lvl>
  </w:abstractNum>
  <w:abstractNum w:abstractNumId="162">
    <w:nsid w:val="2BB180D8"/>
    <w:multiLevelType w:val="hybridMultilevel"/>
    <w:lvl w:ilvl="0">
      <w:lvlJc w:val="left"/>
      <w:lvlText w:val="%1"/>
      <w:numFmt w:val="lowerRoman"/>
      <w:start w:val="1"/>
    </w:lvl>
    <w:lvl w:ilvl="1">
      <w:lvlJc w:val="left"/>
      <w:lvlText w:val="(%2)"/>
      <w:numFmt w:val="lowerLetter"/>
      <w:start w:val="1"/>
    </w:lvl>
  </w:abstractNum>
  <w:abstractNum w:abstractNumId="163">
    <w:nsid w:val="556B69ED"/>
    <w:multiLevelType w:val="hybridMultilevel"/>
    <w:lvl w:ilvl="0">
      <w:lvlJc w:val="left"/>
      <w:lvlText w:val="(%1)"/>
      <w:numFmt w:val="lowerRoman"/>
      <w:start w:val="1"/>
    </w:lvl>
    <w:lvl w:ilvl="1">
      <w:lvlJc w:val="left"/>
      <w:lvlText w:val="%2"/>
      <w:numFmt w:val="lowerLetter"/>
      <w:start w:val="1"/>
    </w:lvl>
  </w:abstractNum>
  <w:abstractNum w:abstractNumId="164">
    <w:nsid w:val="70836196"/>
    <w:multiLevelType w:val="hybridMultilevel"/>
    <w:lvl w:ilvl="0">
      <w:lvlJc w:val="left"/>
      <w:lvlText w:val="(%1)"/>
      <w:numFmt w:val="lowerRoman"/>
      <w:start w:val="3"/>
    </w:lvl>
    <w:lvl w:ilvl="1">
      <w:lvlJc w:val="left"/>
      <w:lvlText w:val="(%2)"/>
      <w:numFmt w:val="lowerLetter"/>
      <w:start w:val="4"/>
    </w:lvl>
  </w:abstractNum>
  <w:abstractNum w:abstractNumId="165">
    <w:nsid w:val="539F7F12"/>
    <w:multiLevelType w:val="hybridMultilevel"/>
    <w:lvl w:ilvl="0">
      <w:lvlJc w:val="left"/>
      <w:lvlText w:val="(%1)"/>
      <w:numFmt w:val="lowerLetter"/>
      <w:start w:val="1"/>
    </w:lvl>
  </w:abstractNum>
  <w:abstractNum w:abstractNumId="166">
    <w:nsid w:val="2817E7EC"/>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167">
    <w:nsid w:val="71482545"/>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68">
    <w:nsid w:val="17D7863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69">
    <w:nsid w:val="141D230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0">
    <w:nsid w:val="407168D8"/>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abstractNum>
  <w:abstractNum w:abstractNumId="171">
    <w:nsid w:val="6A1B45E5"/>
    <w:multiLevelType w:val="hybridMultilevel"/>
    <w:lvl w:ilvl="0">
      <w:lvlJc w:val="left"/>
      <w:lvlText w:val="%1"/>
      <w:numFmt w:val="lowerRoman"/>
      <w:start w:val="1"/>
    </w:lvl>
    <w:lvl w:ilvl="1">
      <w:lvlJc w:val="left"/>
      <w:lvlText w:val="(%2)"/>
      <w:numFmt w:val="lowerRoman"/>
      <w:start w:val="3"/>
    </w:lvl>
  </w:abstractNum>
  <w:abstractNum w:abstractNumId="172">
    <w:nsid w:val="567BD50A"/>
    <w:multiLevelType w:val="hybridMultilevel"/>
    <w:lvl w:ilvl="0">
      <w:lvlJc w:val="left"/>
      <w:lvlText w:val="(%1)"/>
      <w:numFmt w:val="lowerRoman"/>
      <w:start w:val="10"/>
    </w:lvl>
    <w:lvl w:ilvl="1">
      <w:lvlJc w:val="left"/>
      <w:lvlText w:val="(%2)"/>
      <w:numFmt w:val="lowerRoman"/>
      <w:start w:val="4"/>
    </w:lvl>
  </w:abstractNum>
  <w:abstractNum w:abstractNumId="173">
    <w:nsid w:val="73BBD7F8"/>
    <w:multiLevelType w:val="hybridMultilevel"/>
    <w:lvl w:ilvl="0">
      <w:lvlJc w:val="left"/>
      <w:lvlText w:val="(%1)"/>
      <w:numFmt w:val="lowerLetter"/>
      <w:start w:val="24"/>
    </w:lvl>
    <w:lvl w:ilvl="1">
      <w:lvlJc w:val="left"/>
      <w:lvlText w:val="(%2)"/>
      <w:numFmt w:val="lowerRoman"/>
    </w:lvl>
    <w:lvl w:ilvl="2">
      <w:lvlJc w:val="left"/>
      <w:lvlText w:val="(%3)"/>
      <w:numFmt w:val="lowerLetter"/>
      <w:start w:val="6"/>
    </w:lvl>
  </w:abstractNum>
  <w:abstractNum w:abstractNumId="174">
    <w:nsid w:val="1876589D"/>
    <w:multiLevelType w:val="hybridMultilevel"/>
    <w:lvl w:ilvl="0">
      <w:lvlJc w:val="left"/>
      <w:lvlText w:val="%1"/>
      <w:numFmt w:val="lowerRoman"/>
      <w:start w:val="1"/>
    </w:lvl>
    <w:lvl w:ilvl="1">
      <w:lvlJc w:val="left"/>
      <w:lvlText w:val="(%2)"/>
      <w:numFmt w:val="lowerLetter"/>
      <w:start w:val="1"/>
    </w:lvl>
  </w:abstractNum>
  <w:abstractNum w:abstractNumId="175">
    <w:nsid w:val="327FAC77"/>
    <w:multiLevelType w:val="hybridMultilevel"/>
    <w:lvl w:ilvl="0">
      <w:lvlJc w:val="left"/>
      <w:lvlText w:val="(%1)"/>
      <w:numFmt w:val="lowerRoman"/>
      <w:start w:val="1"/>
    </w:lvl>
    <w:lvl w:ilvl="1">
      <w:lvlJc w:val="left"/>
      <w:lvlText w:val="%2"/>
      <w:numFmt w:val="lowerLetter"/>
      <w:start w:val="1"/>
    </w:lvl>
  </w:abstractNum>
  <w:abstractNum w:abstractNumId="176">
    <w:nsid w:val="5A606509"/>
    <w:multiLevelType w:val="hybridMultilevel"/>
    <w:lvl w:ilvl="0">
      <w:lvlJc w:val="left"/>
      <w:lvlText w:val="(%1)"/>
      <w:numFmt w:val="lowerLetter"/>
      <w:start w:val="2"/>
    </w:lvl>
  </w:abstractNum>
  <w:abstractNum w:abstractNumId="177">
    <w:nsid w:val="6F38E6D1"/>
    <w:multiLevelType w:val="hybridMultilevel"/>
    <w:lvl w:ilvl="0">
      <w:lvlJc w:val="left"/>
      <w:lvlText w:val="(%1)"/>
      <w:numFmt w:val="lowerLetter"/>
      <w:start w:val="6"/>
    </w:lvl>
  </w:abstractNum>
  <w:abstractNum w:abstractNumId="178">
    <w:nsid w:val="46111BA5"/>
    <w:multiLevelType w:val="hybridMultilevel"/>
    <w:lvl w:ilvl="0">
      <w:lvlJc w:val="left"/>
      <w:lvlText w:val="%1"/>
      <w:numFmt w:val="lowerRoman"/>
      <w:start w:val="1"/>
    </w:lvl>
    <w:lvl w:ilvl="1">
      <w:lvlJc w:val="left"/>
      <w:lvlText w:val="(%2)"/>
      <w:numFmt w:val="lowerLetter"/>
      <w:start w:val="1"/>
    </w:lvl>
  </w:abstractNum>
  <w:abstractNum w:abstractNumId="179">
    <w:nsid w:val="5E963896"/>
    <w:multiLevelType w:val="hybridMultilevel"/>
    <w:lvl w:ilvl="0">
      <w:lvlJc w:val="left"/>
      <w:lvlText w:val="(%1)"/>
      <w:numFmt w:val="lowerRoman"/>
      <w:start w:val="1"/>
    </w:lvl>
    <w:lvl w:ilvl="1">
      <w:lvlJc w:val="left"/>
      <w:lvlText w:val="%2"/>
      <w:numFmt w:val="lowerLetter"/>
      <w:start w:val="1"/>
    </w:lvl>
  </w:abstractNum>
  <w:abstractNum w:abstractNumId="180">
    <w:nsid w:val="775BA7C1"/>
    <w:multiLevelType w:val="hybridMultilevel"/>
    <w:lvl w:ilvl="0">
      <w:lvlJc w:val="left"/>
      <w:lvlText w:val="%1"/>
      <w:numFmt w:val="lowerRoman"/>
      <w:start w:val="1"/>
    </w:lvl>
    <w:lvl w:ilvl="1">
      <w:lvlJc w:val="left"/>
      <w:lvlText w:val="(%2)"/>
      <w:numFmt w:val="lowerLetter"/>
      <w:start w:val="3"/>
    </w:lvl>
  </w:abstractNum>
  <w:abstractNum w:abstractNumId="181">
    <w:nsid w:val="1DD6D6F4"/>
    <w:multiLevelType w:val="hybridMultilevel"/>
    <w:lvl w:ilvl="0">
      <w:lvlJc w:val="left"/>
      <w:lvlText w:val="(%1)"/>
      <w:numFmt w:val="lowerRoman"/>
      <w:start w:val="1"/>
    </w:lvl>
    <w:lvl w:ilvl="1">
      <w:lvlJc w:val="left"/>
      <w:lvlText w:val="%2"/>
      <w:numFmt w:val="lowerLetter"/>
      <w:start w:val="1"/>
    </w:lvl>
  </w:abstractNum>
  <w:abstractNum w:abstractNumId="182">
    <w:nsid w:val="769A091F"/>
    <w:multiLevelType w:val="hybridMultilevel"/>
    <w:lvl w:ilvl="0">
      <w:lvlJc w:val="left"/>
      <w:lvlText w:val="(%1)"/>
      <w:numFmt w:val="lowerRoman"/>
      <w:start w:val="3"/>
    </w:lvl>
  </w:abstractNum>
  <w:abstractNum w:abstractNumId="183">
    <w:nsid w:val="4695AE95"/>
    <w:multiLevelType w:val="hybridMultilevel"/>
    <w:lvl w:ilvl="0">
      <w:lvlJc w:val="left"/>
      <w:lvlText w:val="%1"/>
      <w:numFmt w:val="lowerLetter"/>
      <w:start w:val="1"/>
    </w:lvl>
    <w:lvl w:ilvl="1">
      <w:lvlJc w:val="left"/>
      <w:lvlText w:val="(%2)"/>
      <w:numFmt w:val="lowerLetter"/>
      <w:start w:val="5"/>
    </w:lvl>
  </w:abstractNum>
  <w:abstractNum w:abstractNumId="184">
    <w:nsid w:val="777A4EAA"/>
    <w:multiLevelType w:val="hybridMultilevel"/>
    <w:lvl w:ilvl="0">
      <w:lvlJc w:val="left"/>
      <w:lvlText w:val="(%1)"/>
      <w:numFmt w:val="lowerLetter"/>
      <w:start w:val="6"/>
    </w:lvl>
    <w:lvl w:ilvl="1">
      <w:lvlJc w:val="left"/>
      <w:lvlText w:val="%2"/>
      <w:numFmt w:val="lowerLetter"/>
      <w:start w:val="1"/>
    </w:lvl>
  </w:abstractNum>
  <w:abstractNum w:abstractNumId="185">
    <w:nsid w:val="3F48B982"/>
    <w:multiLevelType w:val="hybridMultilevel"/>
    <w:lvl w:ilvl="0">
      <w:lvlJc w:val="left"/>
      <w:lvlText w:val="(%1)"/>
      <w:numFmt w:val="lowerLetter"/>
      <w:start w:val="1"/>
    </w:lvl>
  </w:abstractNum>
  <w:abstractNum w:abstractNumId="186">
    <w:nsid w:val="46BA8FCA"/>
    <w:multiLevelType w:val="hybridMultilevel"/>
    <w:lvl w:ilvl="0">
      <w:lvlJc w:val="left"/>
      <w:lvlText w:val="(%1)"/>
      <w:numFmt w:val="lowerLetter"/>
      <w:start w:val="2"/>
    </w:lvl>
  </w:abstractNum>
  <w:abstractNum w:abstractNumId="187">
    <w:nsid w:val="7835626C"/>
    <w:multiLevelType w:val="hybridMultilevel"/>
    <w:lvl w:ilvl="0">
      <w:lvlJc w:val="left"/>
      <w:lvlText w:val="(%1)"/>
      <w:numFmt w:val="lowerLetter"/>
      <w:start w:val="3"/>
    </w:lvl>
  </w:abstractNum>
  <w:abstractNum w:abstractNumId="188">
    <w:nsid w:val="665ACA49"/>
    <w:multiLevelType w:val="hybridMultilevel"/>
    <w:lvl w:ilvl="0">
      <w:lvlJc w:val="left"/>
      <w:lvlText w:val="(%1)"/>
      <w:numFmt w:val="lowerLetter"/>
      <w:start w:val="1"/>
    </w:lvl>
  </w:abstractNum>
  <w:abstractNum w:abstractNumId="189">
    <w:nsid w:val="6835B2AE"/>
    <w:multiLevelType w:val="hybridMultilevel"/>
    <w:lvl w:ilvl="0">
      <w:lvlJc w:val="left"/>
      <w:lvlText w:val="(%1)"/>
      <w:numFmt w:val="lowerLetter"/>
      <w:start w:val="6"/>
    </w:lvl>
  </w:abstractNum>
  <w:abstractNum w:abstractNumId="190">
    <w:nsid w:val="4C187C90"/>
    <w:multiLevelType w:val="hybridMultilevel"/>
    <w:lvl w:ilvl="0">
      <w:lvlJc w:val="left"/>
      <w:lvlText w:val="(%1)"/>
      <w:numFmt w:val="lowerLetter"/>
      <w:start w:val="1"/>
    </w:lvl>
  </w:abstractNum>
  <w:abstractNum w:abstractNumId="191">
    <w:nsid w:val="541F28CD"/>
    <w:multiLevelType w:val="hybridMultilevel"/>
    <w:lvl w:ilvl="0">
      <w:lvlJc w:val="left"/>
      <w:lvlText w:val="(%1)"/>
      <w:numFmt w:val="upperLetter"/>
      <w:start w:val="2"/>
    </w:lvl>
  </w:abstractNum>
  <w:abstractNum w:abstractNumId="192">
    <w:nsid w:val="7F65FD16"/>
    <w:multiLevelType w:val="hybridMultilevel"/>
    <w:lvl w:ilvl="0">
      <w:lvlJc w:val="left"/>
      <w:lvlText w:val="%1"/>
      <w:numFmt w:val="lowerRoman"/>
      <w:start w:val="1"/>
    </w:lvl>
    <w:lvl w:ilvl="1">
      <w:lvlJc w:val="left"/>
      <w:lvlText w:val="(%2)"/>
      <w:numFmt w:val="lowerLetter"/>
      <w:start w:val="1"/>
    </w:lvl>
  </w:abstractNum>
  <w:abstractNum w:abstractNumId="193">
    <w:nsid w:val="77C9FD68"/>
    <w:multiLevelType w:val="hybridMultilevel"/>
    <w:lvl w:ilvl="0">
      <w:lvlJc w:val="left"/>
      <w:lvlText w:val="(%1)"/>
      <w:numFmt w:val="lowerRoman"/>
      <w:start w:val="1"/>
    </w:lvl>
    <w:lvl w:ilvl="1">
      <w:lvlJc w:val="left"/>
      <w:lvlText w:val="%2"/>
      <w:numFmt w:val="lowerLetter"/>
      <w:start w:val="1"/>
    </w:lvl>
  </w:abstractNum>
  <w:abstractNum w:abstractNumId="194">
    <w:nsid w:val="298A92BA"/>
    <w:multiLevelType w:val="hybridMultilevel"/>
    <w:lvl w:ilvl="0">
      <w:lvlJc w:val="left"/>
      <w:lvlText w:val="(%1)"/>
      <w:numFmt w:val="lowerLetter"/>
      <w:start w:val="2"/>
    </w:lvl>
  </w:abstractNum>
  <w:abstractNum w:abstractNumId="195">
    <w:nsid w:val="6FE95EAC"/>
    <w:multiLevelType w:val="hybridMultilevel"/>
    <w:lvl w:ilvl="0">
      <w:lvlJc w:val="left"/>
      <w:lvlText w:val="(%1)"/>
      <w:numFmt w:val="lowerLetter"/>
      <w:start w:val="3"/>
    </w:lvl>
  </w:abstractNum>
  <w:abstractNum w:abstractNumId="196">
    <w:nsid w:val="4B697C7A"/>
    <w:multiLevelType w:val="hybridMultilevel"/>
    <w:lvl w:ilvl="0">
      <w:lvlJc w:val="left"/>
      <w:lvlText w:val="(%1)"/>
      <w:numFmt w:val="lowerRoman"/>
      <w:start w:val="1"/>
    </w:lvl>
  </w:abstractNum>
  <w:abstractNum w:abstractNumId="197">
    <w:nsid w:val="51A27AA6"/>
    <w:multiLevelType w:val="hybridMultilevel"/>
    <w:lvl w:ilvl="0">
      <w:lvlJc w:val="left"/>
      <w:lvlText w:val="(%1)"/>
      <w:numFmt w:val="lowerLetter"/>
      <w:start w:val="1"/>
    </w:lvl>
  </w:abstractNum>
  <w:abstractNum w:abstractNumId="198">
    <w:nsid w:val="613183F2"/>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199">
    <w:nsid w:val="634102B4"/>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200">
    <w:nsid w:val="65BF9D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3"/>
    </w:lvl>
  </w:abstractNum>
  <w:abstractNum w:abstractNumId="201">
    <w:nsid w:val="21A2ECC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26"/>
    </w:lvl>
  </w:abstractNum>
  <w:abstractNum w:abstractNumId="202">
    <w:nsid w:val="4D5C489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03">
    <w:nsid w:val="3C3B72B2"/>
    <w:multiLevelType w:val="hybridMultilevel"/>
    <w:lvl w:ilvl="0">
      <w:lvlJc w:val="left"/>
      <w:lvlText w:val="(%1)"/>
      <w:numFmt w:val="lowerLetter"/>
      <w:start w:val="7"/>
    </w:lvl>
  </w:abstractNum>
  <w:abstractNum w:abstractNumId="204">
    <w:nsid w:val="155EC4C2"/>
    <w:multiLevelType w:val="hybridMultilevel"/>
    <w:lvl w:ilvl="0">
      <w:lvlJc w:val="left"/>
      <w:lvlText w:val="(%1)"/>
      <w:numFmt w:val="lowerLetter"/>
      <w:start w:val="8"/>
    </w:lvl>
  </w:abstractNum>
  <w:abstractNum w:abstractNumId="205">
    <w:nsid w:val="65D2A137"/>
    <w:multiLevelType w:val="hybridMultilevel"/>
    <w:lvl w:ilvl="0">
      <w:lvlJc w:val="left"/>
      <w:lvlText w:val="(%1)"/>
      <w:numFmt w:val="lowerLetter"/>
      <w:start w:val="1"/>
    </w:lvl>
  </w:abstractNum>
  <w:abstractNum w:abstractNumId="206">
    <w:nsid w:val="6EBB1F2A"/>
    <w:multiLevelType w:val="hybridMultilevel"/>
    <w:lvl w:ilvl="0">
      <w:lvlJc w:val="left"/>
      <w:lvlText w:val="(%1)"/>
      <w:numFmt w:val="lowerLetter"/>
      <w:start w:val="2"/>
    </w:lvl>
  </w:abstractNum>
  <w:abstractNum w:abstractNumId="207">
    <w:nsid w:val="6FBF29CB"/>
    <w:multiLevelType w:val="hybridMultilevel"/>
    <w:lvl w:ilvl="0">
      <w:lvlJc w:val="left"/>
      <w:lvlText w:val="(%1)"/>
      <w:numFmt w:val="lowerLetter"/>
      <w:start w:val="4"/>
    </w:lvl>
  </w:abstractNum>
  <w:abstractNum w:abstractNumId="208">
    <w:nsid w:val="550B8808"/>
    <w:multiLevelType w:val="hybridMultilevel"/>
    <w:lvl w:ilvl="0">
      <w:lvlJc w:val="left"/>
      <w:lvlText w:val="(%1)"/>
      <w:numFmt w:val="lowerLetter"/>
      <w:start w:val="5"/>
    </w:lvl>
  </w:abstractNum>
  <w:abstractNum w:abstractNumId="209">
    <w:nsid w:val="34CC3ACF"/>
    <w:multiLevelType w:val="hybridMultilevel"/>
    <w:lvl w:ilvl="0">
      <w:lvlJc w:val="left"/>
      <w:lvlText w:val="(%1)"/>
      <w:numFmt w:val="lowerLetter"/>
      <w:start w:val="6"/>
    </w:lvl>
  </w:abstractNum>
  <w:abstractNum w:abstractNumId="210">
    <w:nsid w:val="4E556261"/>
    <w:multiLevelType w:val="hybridMultilevel"/>
    <w:lvl w:ilvl="0">
      <w:lvlJc w:val="left"/>
      <w:lvlText w:val="(%1)"/>
      <w:numFmt w:val="lowerLetter"/>
      <w:start w:val="1"/>
    </w:lvl>
  </w:abstractNum>
  <w:abstractNum w:abstractNumId="211">
    <w:nsid w:val="4C672FC9"/>
    <w:multiLevelType w:val="hybridMultilevel"/>
    <w:lvl w:ilvl="0">
      <w:lvlJc w:val="left"/>
      <w:lvlText w:val="%1"/>
      <w:numFmt w:val="lowerLetter"/>
      <w:start w:val="1"/>
    </w:lvl>
    <w:lvl w:ilvl="1">
      <w:lvlJc w:val="left"/>
      <w:lvlText w:val="(%2)"/>
      <w:numFmt w:val="lowerLetter"/>
      <w:start w:val="1"/>
    </w:lvl>
  </w:abstractNum>
  <w:abstractNum w:abstractNumId="212">
    <w:nsid w:val="52A311C3"/>
    <w:multiLevelType w:val="hybridMultilevel"/>
    <w:lvl w:ilvl="0">
      <w:lvlJc w:val="left"/>
      <w:lvlText w:val="(%1)"/>
      <w:numFmt w:val="lowerLetter"/>
      <w:start w:val="9"/>
    </w:lvl>
    <w:lvl w:ilvl="1">
      <w:lvlJc w:val="left"/>
      <w:lvlText w:val="%2"/>
      <w:numFmt w:val="lowerLetter"/>
      <w:start w:val="1"/>
    </w:lvl>
  </w:abstractNum>
  <w:abstractNum w:abstractNumId="213">
    <w:nsid w:val="44EF6B80"/>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214">
    <w:nsid w:val="12FCDE5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15">
    <w:nsid w:val="4A1D606E"/>
    <w:multiLevelType w:val="hybridMultilevel"/>
    <w:lvl w:ilvl="0">
      <w:lvlJc w:val="left"/>
      <w:lvlText w:val="(%1)"/>
      <w:numFmt w:val="lowerRoman"/>
      <w:start w:val="3"/>
    </w:lvl>
  </w:abstractNum>
  <w:abstractNum w:abstractNumId="216">
    <w:nsid w:val="4382503"/>
    <w:multiLevelType w:val="hybridMultilevel"/>
    <w:lvl w:ilvl="0">
      <w:lvlJc w:val="left"/>
      <w:lvlText w:val="(%1)"/>
      <w:numFmt w:val="lowerLetter"/>
      <w:start w:val="2"/>
    </w:lvl>
  </w:abstractNum>
  <w:abstractNum w:abstractNumId="217">
    <w:nsid w:val="59B76E28"/>
    <w:multiLevelType w:val="hybridMultilevel"/>
    <w:lvl w:ilvl="0">
      <w:lvlJc w:val="left"/>
      <w:lvlText w:val="(%1)"/>
      <w:numFmt w:val="lowerRoman"/>
      <w:start w:val="1"/>
    </w:lvl>
  </w:abstractNum>
  <w:abstractNum w:abstractNumId="218">
    <w:nsid w:val="4252C2DA"/>
    <w:multiLevelType w:val="hybridMultilevel"/>
    <w:lvl w:ilvl="0">
      <w:lvlJc w:val="left"/>
      <w:lvlText w:val="(%1)"/>
      <w:numFmt w:val="lowerRoman"/>
      <w:start w:val="2"/>
    </w:lvl>
  </w:abstractNum>
  <w:abstractNum w:abstractNumId="219">
    <w:nsid w:val="6A92EF4C"/>
    <w:multiLevelType w:val="hybridMultilevel"/>
    <w:lvl w:ilvl="0">
      <w:lvlJc w:val="left"/>
      <w:lvlText w:val="%1"/>
      <w:numFmt w:val="lowerLetter"/>
      <w:start w:val="1"/>
    </w:lvl>
    <w:lvl w:ilvl="1">
      <w:lvlJc w:val="left"/>
      <w:lvlText w:val="(%2)"/>
      <w:numFmt w:val="lowerLetter"/>
      <w:start w:val="1"/>
    </w:lvl>
  </w:abstractNum>
  <w:abstractNum w:abstractNumId="220">
    <w:nsid w:val="41ED20D7"/>
    <w:multiLevelType w:val="hybridMultilevel"/>
    <w:lvl w:ilvl="0">
      <w:lvlJc w:val="left"/>
      <w:lvlText w:val="(%1)"/>
      <w:numFmt w:val="lowerLetter"/>
      <w:start w:val="9"/>
    </w:lvl>
    <w:lvl w:ilvl="1">
      <w:lvlJc w:val="left"/>
      <w:lvlText w:val="%2"/>
      <w:numFmt w:val="lowerLetter"/>
      <w:start w:val="1"/>
    </w:lvl>
  </w:abstractNum>
  <w:abstractNum w:abstractNumId="221">
    <w:nsid w:val="E6B3F6A"/>
    <w:multiLevelType w:val="hybridMultilevel"/>
    <w:lvl w:ilvl="0">
      <w:lvlJc w:val="left"/>
      <w:lvlText w:val="(%1)"/>
      <w:numFmt w:val="lowerLetter"/>
      <w:start w:val="35"/>
    </w:lvl>
    <w:lvl w:ilvl="1">
      <w:lvlJc w:val="left"/>
      <w:lvlText w:val="(%2)"/>
      <w:numFmt w:val="lowerLetter"/>
      <w:start w:val="2"/>
    </w:lvl>
  </w:abstractNum>
  <w:abstractNum w:abstractNumId="222">
    <w:nsid w:val="3EB21819"/>
    <w:multiLevelType w:val="hybridMultilevel"/>
    <w:lvl w:ilvl="0">
      <w:lvlJc w:val="left"/>
      <w:lvlText w:val="%1"/>
      <w:numFmt w:val="upperLetter"/>
      <w:start w:val="1"/>
    </w:lvl>
    <w:lvl w:ilvl="1">
      <w:lvlJc w:val="left"/>
      <w:lvlText w:val="(%2)"/>
      <w:numFmt w:val="lowerLetter"/>
      <w:start w:val="1"/>
    </w:lvl>
  </w:abstractNum>
  <w:abstractNum w:abstractNumId="223">
    <w:nsid w:val="41531DED"/>
    <w:multiLevelType w:val="hybridMultilevel"/>
    <w:lvl w:ilvl="0">
      <w:lvlJc w:val="left"/>
      <w:lvlText w:val="(%1)"/>
      <w:numFmt w:val="upperLetter"/>
      <w:start w:val="2"/>
    </w:lvl>
    <w:lvl w:ilvl="1">
      <w:lvlJc w:val="left"/>
      <w:lvlText w:val="%2"/>
      <w:numFmt w:val="lowerLetter"/>
      <w:start w:val="1"/>
    </w:lvl>
  </w:abstractNum>
  <w:abstractNum w:abstractNumId="224">
    <w:nsid w:val="6353CD2"/>
    <w:multiLevelType w:val="hybridMultilevel"/>
    <w:lvl w:ilvl="0">
      <w:lvlJc w:val="left"/>
      <w:lvlText w:val="(%1)"/>
      <w:numFmt w:val="upperLetter"/>
      <w:start w:val="2"/>
    </w:lvl>
    <w:lvl w:ilvl="1">
      <w:lvlJc w:val="left"/>
      <w:lvlText w:val="(%2)"/>
      <w:numFmt w:val="lowerLetter"/>
      <w:start w:val="2"/>
    </w:lvl>
  </w:abstractNum>
  <w:abstractNum w:abstractNumId="225">
    <w:nsid w:val="683CAAD3"/>
    <w:multiLevelType w:val="hybridMultilevel"/>
    <w:lvl w:ilvl="0">
      <w:lvlJc w:val="left"/>
      <w:lvlText w:val="(%1)"/>
      <w:numFmt w:val="lowerLetter"/>
      <w:start w:val="1"/>
    </w:lvl>
  </w:abstractNum>
  <w:abstractNum w:abstractNumId="226">
    <w:nsid w:val="313C7C99"/>
    <w:multiLevelType w:val="hybridMultilevel"/>
    <w:lvl w:ilvl="0">
      <w:lvlJc w:val="left"/>
      <w:lvlText w:val="(%1)"/>
      <w:numFmt w:val="lowerLetter"/>
      <w:start w:val="3"/>
    </w:lvl>
  </w:abstractNum>
  <w:abstractNum w:abstractNumId="227">
    <w:nsid w:val="519EB94C"/>
    <w:multiLevelType w:val="hybridMultilevel"/>
    <w:lvl w:ilvl="0">
      <w:lvlJc w:val="left"/>
      <w:lvlText w:val="(%1)"/>
      <w:numFmt w:val="lowerLetter"/>
      <w:start w:val="1"/>
    </w:lvl>
  </w:abstractNum>
  <w:abstractNum w:abstractNumId="228">
    <w:nsid w:val="39DF2579"/>
    <w:multiLevelType w:val="hybridMultilevel"/>
    <w:lvl w:ilvl="0">
      <w:lvlJc w:val="left"/>
      <w:lvlText w:val="(%1)"/>
      <w:numFmt w:val="lowerLetter"/>
      <w:start w:val="2"/>
    </w:lvl>
  </w:abstractNum>
  <w:abstractNum w:abstractNumId="229">
    <w:nsid w:val="126E008B"/>
    <w:multiLevelType w:val="hybridMultilevel"/>
    <w:lvl w:ilvl="0">
      <w:lvlJc w:val="left"/>
      <w:lvlText w:val="(%1)"/>
      <w:numFmt w:val="lowerLetter"/>
      <w:start w:val="1"/>
    </w:lvl>
  </w:abstractNum>
  <w:abstractNum w:abstractNumId="230">
    <w:nsid w:val="34DFBC00"/>
    <w:multiLevelType w:val="hybridMultilevel"/>
    <w:lvl w:ilvl="0">
      <w:lvlJc w:val="left"/>
      <w:lvlText w:val="(%1)"/>
      <w:numFmt w:val="lowerLetter"/>
      <w:start w:val="1"/>
    </w:lvl>
  </w:abstractNum>
  <w:abstractNum w:abstractNumId="231">
    <w:nsid w:val="1F9EC322"/>
    <w:multiLevelType w:val="hybridMultilevel"/>
    <w:lvl w:ilvl="0">
      <w:lvlJc w:val="left"/>
      <w:lvlText w:val="%1"/>
      <w:numFmt w:val="lowerLetter"/>
      <w:start w:val="1"/>
    </w:lvl>
    <w:lvl w:ilvl="1">
      <w:lvlJc w:val="left"/>
      <w:lvlText w:val="(%2)"/>
      <w:numFmt w:val="lowerLetter"/>
      <w:start w:val="1"/>
    </w:lvl>
  </w:abstractNum>
  <w:abstractNum w:abstractNumId="232">
    <w:nsid w:val="3410ED56"/>
    <w:multiLevelType w:val="hybridMultilevel"/>
    <w:lvl w:ilvl="0">
      <w:lvlJc w:val="left"/>
      <w:lvlText w:val="(%1)"/>
      <w:numFmt w:val="lowerLetter"/>
      <w:start w:val="24"/>
    </w:lvl>
    <w:lvl w:ilvl="1">
      <w:lvlJc w:val="left"/>
      <w:lvlText w:val="%2"/>
      <w:numFmt w:val="lowerLetter"/>
      <w:start w:val="1"/>
    </w:lvl>
  </w:abstractNum>
  <w:abstractNum w:abstractNumId="233">
    <w:nsid w:val="23C049A"/>
    <w:multiLevelType w:val="hybridMultilevel"/>
    <w:lvl w:ilvl="0">
      <w:lvlJc w:val="left"/>
      <w:lvlText w:val="(%1)"/>
      <w:numFmt w:val="lowerLetter"/>
      <w:start w:val="1"/>
    </w:lvl>
  </w:abstractNum>
  <w:abstractNum w:abstractNumId="234">
    <w:nsid w:val="5BDA35D4"/>
    <w:multiLevelType w:val="hybridMultilevel"/>
    <w:lvl w:ilvl="0">
      <w:lvlJc w:val="left"/>
      <w:lvlText w:val="(%1)"/>
      <w:numFmt w:val="lowerLetter"/>
      <w:start w:val="1"/>
    </w:lvl>
  </w:abstractNum>
  <w:abstractNum w:abstractNumId="235">
    <w:nsid w:val="496FB218"/>
    <w:multiLevelType w:val="hybridMultilevel"/>
    <w:lvl w:ilvl="0">
      <w:lvlJc w:val="left"/>
      <w:lvlText w:val="%1"/>
      <w:numFmt w:val="lowerLetter"/>
      <w:start w:val="1"/>
    </w:lvl>
    <w:lvl w:ilvl="1">
      <w:lvlJc w:val="left"/>
      <w:lvlText w:val="(%2)"/>
      <w:numFmt w:val="lowerLetter"/>
      <w:start w:val="1"/>
    </w:lvl>
  </w:abstractNum>
  <w:abstractNum w:abstractNumId="236">
    <w:nsid w:val="680EA5D1"/>
    <w:multiLevelType w:val="hybridMultilevel"/>
    <w:lvl w:ilvl="0">
      <w:lvlJc w:val="left"/>
      <w:lvlText w:val="(%1)"/>
      <w:numFmt w:val="lowerLetter"/>
      <w:start w:val="9"/>
    </w:lvl>
    <w:lvl w:ilvl="1">
      <w:lvlJc w:val="left"/>
      <w:lvlText w:val="%2"/>
      <w:numFmt w:val="lowerLetter"/>
      <w:start w:val="1"/>
    </w:lvl>
  </w:abstractNum>
  <w:abstractNum w:abstractNumId="237">
    <w:nsid w:val="4A9554FE"/>
    <w:multiLevelType w:val="hybridMultilevel"/>
    <w:lvl w:ilvl="0">
      <w:lvlJc w:val="left"/>
      <w:lvlText w:val="%1"/>
      <w:numFmt w:val="lowerRoman"/>
      <w:start w:val="1"/>
    </w:lvl>
    <w:lvl w:ilvl="1">
      <w:lvlJc w:val="left"/>
      <w:lvlText w:val="(%2)"/>
      <w:numFmt w:val="lowerRoman"/>
      <w:start w:val="2"/>
    </w:lvl>
    <w:lvl w:ilvl="2">
      <w:lvlJc w:val="left"/>
      <w:lvlText w:val="%3"/>
      <w:numFmt w:val="lowerLetter"/>
      <w:start w:val="1"/>
    </w:lvl>
  </w:abstractNum>
  <w:abstractNum w:abstractNumId="238">
    <w:nsid w:val="392EDBE4"/>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2"/>
    </w:lvl>
  </w:abstractNum>
  <w:abstractNum w:abstractNumId="239">
    <w:nsid w:val="3D1A2DD9"/>
    <w:multiLevelType w:val="hybridMultilevel"/>
    <w:lvl w:ilvl="0">
      <w:lvlJc w:val="left"/>
      <w:lvlText w:val="(%1)"/>
      <w:numFmt w:val="lowerLetter"/>
      <w:start w:val="1"/>
    </w:lvl>
  </w:abstractNum>
  <w:abstractNum w:abstractNumId="240">
    <w:nsid w:val="7F618FCD"/>
    <w:multiLevelType w:val="hybridMultilevel"/>
    <w:lvl w:ilvl="0">
      <w:lvlJc w:val="left"/>
      <w:lvlText w:val="(%1)"/>
      <w:numFmt w:val="lowerLetter"/>
      <w:start w:val="1"/>
    </w:lvl>
  </w:abstractNum>
  <w:abstractNum w:abstractNumId="241">
    <w:nsid w:val="7843E45"/>
    <w:multiLevelType w:val="hybridMultilevel"/>
    <w:lvl w:ilvl="0">
      <w:lvlJc w:val="left"/>
      <w:lvlText w:val="(%1)"/>
      <w:numFmt w:val="lowerLetter"/>
      <w:start w:val="4"/>
    </w:lvl>
  </w:abstractNum>
  <w:abstractNum w:abstractNumId="242">
    <w:nsid w:val="9815DA3"/>
    <w:multiLevelType w:val="hybridMultilevel"/>
    <w:lvl w:ilvl="0">
      <w:lvlJc w:val="left"/>
      <w:lvlText w:val="(%1)"/>
      <w:numFmt w:val="lowerLetter"/>
      <w:start w:val="10"/>
    </w:lvl>
  </w:abstractNum>
  <w:abstractNum w:abstractNumId="243">
    <w:nsid w:val="5204A191"/>
    <w:multiLevelType w:val="hybridMultilevel"/>
    <w:lvl w:ilvl="0">
      <w:lvlJc w:val="left"/>
      <w:lvlText w:val="(%1)"/>
      <w:numFmt w:val="lowerLetter"/>
      <w:start w:val="1"/>
    </w:lvl>
  </w:abstractNum>
  <w:abstractNum w:abstractNumId="244">
    <w:nsid w:val="4C73A9C6"/>
    <w:multiLevelType w:val="hybridMultilevel"/>
    <w:lvl w:ilvl="0">
      <w:lvlJc w:val="left"/>
      <w:lvlText w:val="(%1)"/>
      <w:numFmt w:val="lowerRoman"/>
      <w:start w:val="2"/>
    </w:lvl>
  </w:abstractNum>
  <w:abstractNum w:abstractNumId="245">
    <w:nsid w:val="1C7E3C01"/>
    <w:multiLevelType w:val="hybridMultilevel"/>
    <w:lvl w:ilvl="0">
      <w:lvlJc w:val="left"/>
      <w:lvlText w:val="(%1)"/>
      <w:numFmt w:val="lowerLetter"/>
      <w:start w:val="1"/>
    </w:lvl>
  </w:abstractNum>
  <w:abstractNum w:abstractNumId="246">
    <w:nsid w:val="1C2201FF"/>
    <w:multiLevelType w:val="hybridMultilevel"/>
    <w:lvl w:ilvl="0">
      <w:lvlJc w:val="left"/>
      <w:lvlText w:val="(%1)"/>
      <w:numFmt w:val="lowerLetter"/>
      <w:start w:val="2"/>
    </w:lvl>
  </w:abstractNum>
  <w:abstractNum w:abstractNumId="247">
    <w:nsid w:val="50ABCEC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48">
    <w:nsid w:val="7635AA2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2"/>
    </w:lvl>
    <w:lvl w:ilvl="3">
      <w:lvlJc w:val="left"/>
      <w:lvlText w:val="(%4)"/>
      <w:numFmt w:val="upperLetter"/>
      <w:start w:val="1"/>
    </w:lvl>
  </w:abstractNum>
  <w:abstractNum w:abstractNumId="249">
    <w:nsid w:val="5E74C4D9"/>
    <w:multiLevelType w:val="hybridMultilevel"/>
    <w:lvl w:ilvl="0">
      <w:lvlJc w:val="left"/>
      <w:lvlText w:val="(%1)"/>
      <w:numFmt w:val="lowerLetter"/>
      <w:start w:val="25"/>
    </w:lvl>
    <w:lvl w:ilvl="1">
      <w:lvlJc w:val="left"/>
      <w:lvlText w:val="(%2)"/>
      <w:numFmt w:val="upperLetter"/>
      <w:start w:val="2"/>
    </w:lvl>
  </w:abstractNum>
  <w:abstractNum w:abstractNumId="250">
    <w:nsid w:val="3B3EBE15"/>
    <w:multiLevelType w:val="hybridMultilevel"/>
    <w:lvl w:ilvl="0">
      <w:lvlJc w:val="left"/>
      <w:lvlText w:val="(%1)"/>
      <w:numFmt w:val="lowerLetter"/>
      <w:start w:val="24"/>
    </w:lvl>
    <w:lvl w:ilvl="1">
      <w:lvlJc w:val="left"/>
      <w:lvlText w:val="(%2)"/>
      <w:numFmt w:val="lowerLetter"/>
      <w:start w:val="26"/>
    </w:lvl>
  </w:abstractNum>
  <w:abstractNum w:abstractNumId="251">
    <w:nsid w:val="3822CB01"/>
    <w:multiLevelType w:val="hybridMultilevel"/>
    <w:lvl w:ilvl="0">
      <w:lvlJc w:val="left"/>
      <w:lvlText w:val="%1"/>
      <w:numFmt w:val="lowerLetter"/>
      <w:start w:val="1"/>
    </w:lvl>
    <w:lvl w:ilvl="1">
      <w:lvlJc w:val="left"/>
      <w:lvlText w:val="(%2)"/>
      <w:numFmt w:val="upperLetter"/>
      <w:start w:val="3"/>
    </w:lvl>
  </w:abstractNum>
  <w:abstractNum w:abstractNumId="252">
    <w:nsid w:val="6CE00443"/>
    <w:multiLevelType w:val="hybridMultilevel"/>
    <w:lvl w:ilvl="0">
      <w:lvlJc w:val="left"/>
      <w:lvlText w:val="(%1)"/>
      <w:numFmt w:val="lowerLetter"/>
      <w:start w:val="24"/>
    </w:lvl>
    <w:lvl w:ilvl="1">
      <w:lvlJc w:val="left"/>
      <w:lvlText w:val="%2"/>
      <w:numFmt w:val="upperLetter"/>
      <w:start w:val="1"/>
    </w:lvl>
  </w:abstractNum>
  <w:abstractNum w:abstractNumId="253">
    <w:nsid w:val="79F0D62F"/>
    <w:multiLevelType w:val="hybridMultilevel"/>
    <w:lvl w:ilvl="0">
      <w:lvlJc w:val="left"/>
      <w:lvlText w:val="%1"/>
      <w:numFmt w:val="lowerLetter"/>
      <w:start w:val="1"/>
    </w:lvl>
    <w:lvl w:ilvl="1">
      <w:lvlJc w:val="left"/>
      <w:lvlText w:val="(%2)"/>
      <w:numFmt w:val="upperLetter"/>
      <w:start w:val="6"/>
    </w:lvl>
  </w:abstractNum>
  <w:abstractNum w:abstractNumId="254">
    <w:nsid w:val="7975E8EE"/>
    <w:multiLevelType w:val="hybridMultilevel"/>
    <w:lvl w:ilvl="0">
      <w:lvlJc w:val="left"/>
      <w:lvlText w:val="(%1)"/>
      <w:numFmt w:val="lowerLetter"/>
      <w:start w:val="3"/>
    </w:lvl>
    <w:lvl w:ilvl="1">
      <w:lvlJc w:val="left"/>
      <w:lvlText w:val="%2"/>
      <w:numFmt w:val="upperLetter"/>
      <w:start w:val="1"/>
    </w:lvl>
  </w:abstractNum>
  <w:abstractNum w:abstractNumId="255">
    <w:nsid w:val="73154115"/>
    <w:multiLevelType w:val="hybridMultilevel"/>
    <w:lvl w:ilvl="0">
      <w:lvlJc w:val="left"/>
      <w:lvlText w:val="(%1)"/>
      <w:numFmt w:val="lowerLetter"/>
      <w:start w:val="1"/>
    </w:lvl>
  </w:abstractNum>
  <w:abstractNum w:abstractNumId="256">
    <w:nsid w:val="622D8102"/>
    <w:multiLevelType w:val="hybridMultilevel"/>
    <w:lvl w:ilvl="0">
      <w:lvlJc w:val="left"/>
      <w:lvlText w:val="(%1)"/>
      <w:numFmt w:val="lowerLetter"/>
      <w:start w:val="9"/>
    </w:lvl>
  </w:abstractNum>
  <w:abstractNum w:abstractNumId="257">
    <w:nsid w:val="2AB26587"/>
    <w:multiLevelType w:val="hybridMultilevel"/>
    <w:lvl w:ilvl="0">
      <w:lvlJc w:val="left"/>
      <w:lvlText w:val="(%1)"/>
      <w:numFmt w:val="lowerLetter"/>
      <w:start w:val="2"/>
    </w:lvl>
  </w:abstractNum>
  <w:abstractNum w:abstractNumId="258">
    <w:nsid w:val="44B3FA61"/>
    <w:multiLevelType w:val="hybridMultilevel"/>
    <w:lvl w:ilvl="0">
      <w:lvlJc w:val="left"/>
      <w:lvlText w:val="(%1)"/>
      <w:numFmt w:val="lowerRoman"/>
      <w:start w:val="1"/>
    </w:lvl>
  </w:abstractNum>
  <w:abstractNum w:abstractNumId="259">
    <w:nsid w:val="1C0CA67C"/>
    <w:multiLevelType w:val="hybridMultilevel"/>
    <w:lvl w:ilvl="0">
      <w:lvlJc w:val="left"/>
      <w:lvlText w:val="(%1)"/>
      <w:numFmt w:val="lowerLetter"/>
      <w:start w:val="1"/>
    </w:lvl>
  </w:abstractNum>
  <w:abstractNum w:abstractNumId="260">
    <w:nsid w:val="3D206613"/>
    <w:multiLevelType w:val="hybridMultilevel"/>
    <w:lvl w:ilvl="0">
      <w:lvlJc w:val="left"/>
      <w:lvlText w:val="(%1)"/>
      <w:numFmt w:val="lowerLetter"/>
      <w:start w:val="12"/>
    </w:lvl>
  </w:abstractNum>
  <w:abstractNum w:abstractNumId="261">
    <w:nsid w:val="7993B662"/>
    <w:multiLevelType w:val="hybridMultilevel"/>
    <w:lvl w:ilvl="0">
      <w:lvlJc w:val="left"/>
      <w:lvlText w:val="%1"/>
      <w:numFmt w:val="lowerLetter"/>
      <w:start w:val="1"/>
    </w:lvl>
    <w:lvl w:ilvl="1">
      <w:lvlJc w:val="left"/>
      <w:lvlText w:val="(%2)"/>
      <w:numFmt w:val="lowerLetter"/>
      <w:start w:val="13"/>
    </w:lvl>
  </w:abstractNum>
  <w:abstractNum w:abstractNumId="262">
    <w:nsid w:val="3BAB699E"/>
    <w:multiLevelType w:val="hybridMultilevel"/>
    <w:lvl w:ilvl="0">
      <w:lvlJc w:val="left"/>
      <w:lvlText w:val="(%1)"/>
      <w:numFmt w:val="lowerLetter"/>
      <w:start w:val="35"/>
    </w:lvl>
    <w:lvl w:ilvl="1">
      <w:lvlJc w:val="left"/>
      <w:lvlText w:val="(%2)"/>
      <w:numFmt w:val="lowerLetter"/>
      <w:start w:val="14"/>
    </w:lvl>
  </w:abstractNum>
  <w:abstractNum w:abstractNumId="263">
    <w:nsid w:val="71315369"/>
    <w:multiLevelType w:val="hybridMultilevel"/>
    <w:lvl w:ilvl="0">
      <w:lvlJc w:val="left"/>
      <w:lvlText w:val="(%1)"/>
      <w:numFmt w:val="lowerLetter"/>
      <w:start w:val="1"/>
    </w:lvl>
  </w:abstractNum>
  <w:abstractNum w:abstractNumId="264">
    <w:nsid w:val="7BCFBAFC"/>
    <w:multiLevelType w:val="hybridMultilevel"/>
    <w:lvl w:ilvl="0">
      <w:lvlJc w:val="left"/>
      <w:lvlText w:val="(%1)"/>
      <w:numFmt w:val="lowerLetter"/>
      <w:start w:val="4"/>
    </w:lvl>
  </w:abstractNum>
  <w:abstractNum w:abstractNumId="265">
    <w:nsid w:val="17859F72"/>
    <w:multiLevelType w:val="hybridMultilevel"/>
    <w:lvl w:ilvl="0">
      <w:lvlJc w:val="left"/>
      <w:lvlText w:val="(%1)"/>
      <w:numFmt w:val="lowerLetter"/>
      <w:start w:val="24"/>
    </w:lvl>
  </w:abstractNum>
  <w:abstractNum w:abstractNumId="266">
    <w:nsid w:val="3AA10581"/>
    <w:multiLevelType w:val="hybridMultilevel"/>
    <w:lvl w:ilvl="0">
      <w:lvlJc w:val="left"/>
      <w:lvlText w:val="(%1)"/>
      <w:numFmt w:val="lowerLetter"/>
      <w:start w:val="1"/>
    </w:lvl>
  </w:abstractNum>
  <w:abstractNum w:abstractNumId="267">
    <w:nsid w:val="63DE60CD"/>
    <w:multiLevelType w:val="hybridMultilevel"/>
    <w:lvl w:ilvl="0">
      <w:lvlJc w:val="left"/>
      <w:lvlText w:val="(%1)"/>
      <w:numFmt w:val="lowerLetter"/>
      <w:start w:val="1"/>
    </w:lvl>
  </w:abstractNum>
  <w:abstractNum w:abstractNumId="268">
    <w:nsid w:val="621AF471"/>
    <w:multiLevelType w:val="hybridMultilevel"/>
    <w:lvl w:ilvl="0">
      <w:lvlJc w:val="left"/>
      <w:lvlText w:val="(%1)"/>
      <w:numFmt w:val="lowerLetter"/>
      <w:start w:val="3"/>
    </w:lvl>
  </w:abstractNum>
  <w:abstractNum w:abstractNumId="269">
    <w:nsid w:val="73CFE16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70">
    <w:nsid w:val="20F88EA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71">
    <w:nsid w:val="617C843E"/>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4"/>
    </w:lvl>
  </w:abstractNum>
  <w:abstractNum w:abstractNumId="272">
    <w:nsid w:val="7B541FAB"/>
    <w:multiLevelType w:val="hybridMultilevel"/>
    <w:lvl w:ilvl="0">
      <w:lvlJc w:val="left"/>
      <w:lvlText w:val="(%1)"/>
      <w:numFmt w:val="lowerLetter"/>
      <w:start w:val="1"/>
    </w:lvl>
  </w:abstractNum>
  <w:abstractNum w:abstractNumId="273">
    <w:nsid w:val="2A79EC49"/>
    <w:multiLevelType w:val="hybridMultilevel"/>
    <w:lvl w:ilvl="0">
      <w:lvlJc w:val="left"/>
      <w:lvlText w:val="(%1)"/>
      <w:numFmt w:val="lowerLetter"/>
      <w:start w:val="1"/>
    </w:lvl>
  </w:abstractNum>
  <w:abstractNum w:abstractNumId="274">
    <w:nsid w:val="338125CF"/>
    <w:multiLevelType w:val="hybridMultilevel"/>
    <w:lvl w:ilvl="0">
      <w:lvlJc w:val="left"/>
      <w:lvlText w:val="(%1)"/>
      <w:numFmt w:val="lowerLetter"/>
      <w:start w:val="6"/>
    </w:lvl>
  </w:abstractNum>
  <w:abstractNum w:abstractNumId="275">
    <w:nsid w:val="47C7C971"/>
    <w:multiLevelType w:val="hybridMultilevel"/>
    <w:lvl w:ilvl="0">
      <w:lvlJc w:val="left"/>
      <w:lvlText w:val="%1"/>
      <w:numFmt w:val="lowerLetter"/>
      <w:start w:val="1"/>
    </w:lvl>
    <w:lvl w:ilvl="1">
      <w:lvlJc w:val="left"/>
      <w:lvlText w:val="(%2)"/>
      <w:numFmt w:val="lowerLetter"/>
      <w:start w:val="1"/>
    </w:lvl>
  </w:abstractNum>
  <w:abstractNum w:abstractNumId="276">
    <w:nsid w:val="46F8284B"/>
    <w:multiLevelType w:val="hybridMultilevel"/>
    <w:lvl w:ilvl="0">
      <w:lvlJc w:val="left"/>
      <w:lvlText w:val="(%1)"/>
      <w:numFmt w:val="lowerLetter"/>
      <w:start w:val="35"/>
    </w:lvl>
    <w:lvl w:ilvl="1">
      <w:lvlJc w:val="left"/>
      <w:lvlText w:val="(%2)"/>
      <w:numFmt w:val="lowerLetter"/>
      <w:start w:val="2"/>
    </w:lvl>
  </w:abstractNum>
  <w:abstractNum w:abstractNumId="277">
    <w:nsid w:val="4FA327CE"/>
    <w:multiLevelType w:val="hybridMultilevel"/>
    <w:lvl w:ilvl="0">
      <w:lvlJc w:val="left"/>
      <w:lvlText w:val="%1"/>
      <w:numFmt w:val="lowerRoman"/>
      <w:start w:val="1"/>
    </w:lvl>
    <w:lvl w:ilvl="1">
      <w:lvlJc w:val="left"/>
      <w:lvlText w:val="(%2)"/>
      <w:numFmt w:val="lowerLetter"/>
      <w:start w:val="1"/>
    </w:lvl>
  </w:abstractNum>
  <w:abstractNum w:abstractNumId="278">
    <w:nsid w:val="1873983A"/>
    <w:multiLevelType w:val="hybridMultilevel"/>
    <w:lvl w:ilvl="0">
      <w:lvlJc w:val="left"/>
      <w:lvlText w:val="(%1)"/>
      <w:numFmt w:val="lowerRoman"/>
      <w:start w:val="1"/>
    </w:lvl>
    <w:lvl w:ilvl="1">
      <w:lvlJc w:val="left"/>
      <w:lvlText w:val="(%2)"/>
      <w:numFmt w:val="lowerLetter"/>
      <w:start w:val="5"/>
    </w:lvl>
  </w:abstractNum>
  <w:abstractNum w:abstractNumId="279">
    <w:nsid w:val="3D2DD275"/>
    <w:multiLevelType w:val="hybridMultilevel"/>
    <w:lvl w:ilvl="0">
      <w:lvlJc w:val="left"/>
      <w:lvlText w:val="%1"/>
      <w:numFmt w:val="lowerLetter"/>
      <w:start w:val="1"/>
    </w:lvl>
    <w:lvl w:ilvl="1">
      <w:lvlJc w:val="left"/>
      <w:lvlText w:val="(%2)"/>
      <w:numFmt w:val="lowerLetter"/>
      <w:start w:val="7"/>
    </w:lvl>
  </w:abstractNum>
  <w:abstractNum w:abstractNumId="280">
    <w:nsid w:val="2E17ECA7"/>
    <w:multiLevelType w:val="hybridMultilevel"/>
    <w:lvl w:ilvl="0">
      <w:lvlJc w:val="left"/>
      <w:lvlText w:val="(%1)"/>
      <w:numFmt w:val="lowerLetter"/>
      <w:start w:val="9"/>
    </w:lvl>
    <w:lvl w:ilvl="1">
      <w:lvlJc w:val="left"/>
      <w:lvlText w:val="(%2)"/>
      <w:numFmt w:val="lowerLetter"/>
      <w:start w:val="10"/>
    </w:lvl>
  </w:abstractNum>
  <w:abstractNum w:abstractNumId="281">
    <w:nsid w:val="53B2564F"/>
    <w:multiLevelType w:val="hybridMultilevel"/>
    <w:lvl w:ilvl="0">
      <w:lvlJc w:val="left"/>
      <w:lvlText w:val="(%1)"/>
      <w:numFmt w:val="lowerLetter"/>
      <w:start w:val="13"/>
    </w:lvl>
  </w:abstractNum>
  <w:abstractNum w:abstractNumId="282">
    <w:nsid w:val="75509D76"/>
    <w:multiLevelType w:val="hybridMultilevel"/>
    <w:lvl w:ilvl="0">
      <w:lvlJc w:val="left"/>
      <w:lvlText w:val="(%1)"/>
      <w:numFmt w:val="lowerLetter"/>
      <w:start w:val="1"/>
    </w:lvl>
  </w:abstractNum>
  <w:abstractNum w:abstractNumId="283">
    <w:nsid w:val="1AF7F0EA"/>
    <w:multiLevelType w:val="hybridMultilevel"/>
    <w:lvl w:ilvl="0">
      <w:lvlJc w:val="left"/>
      <w:lvlText w:val="(%1)"/>
      <w:numFmt w:val="decimal"/>
      <w:start w:val="1"/>
    </w:lvl>
  </w:abstractNum>
  <w:abstractNum w:abstractNumId="284">
    <w:nsid w:val="4DA32C7E"/>
    <w:multiLevelType w:val="hybridMultilevel"/>
    <w:lvl w:ilvl="0">
      <w:lvlJc w:val="left"/>
      <w:lvlText w:val="%1"/>
      <w:numFmt w:val="lowerLetter"/>
      <w:start w:val="1"/>
    </w:lvl>
    <w:lvl w:ilvl="1">
      <w:lvlJc w:val="left"/>
      <w:lvlText w:val="(%2)"/>
      <w:numFmt w:val="lowerLetter"/>
      <w:start w:val="1"/>
    </w:lvl>
  </w:abstractNum>
  <w:abstractNum w:abstractNumId="285">
    <w:nsid w:val="6EC68664"/>
    <w:multiLevelType w:val="hybridMultilevel"/>
    <w:lvl w:ilvl="0">
      <w:lvlJc w:val="left"/>
      <w:lvlText w:val="(%1)"/>
      <w:numFmt w:val="lowerLetter"/>
      <w:start w:val="9"/>
    </w:lvl>
    <w:lvl w:ilvl="1">
      <w:lvlJc w:val="left"/>
      <w:lvlText w:val="%2"/>
      <w:numFmt w:val="lowerLetter"/>
      <w:start w:val="1"/>
    </w:lvl>
  </w:abstractNum>
  <w:abstractNum w:abstractNumId="286">
    <w:nsid w:val="E0D31FF"/>
    <w:multiLevelType w:val="hybridMultilevel"/>
    <w:lvl w:ilvl="0">
      <w:lvlJc w:val="left"/>
      <w:lvlText w:val="(%1)"/>
      <w:numFmt w:val="lowerRoman"/>
      <w:start w:val="2"/>
    </w:lvl>
  </w:abstractNum>
  <w:abstractNum w:abstractNumId="287">
    <w:nsid w:val="2FD0AD81"/>
    <w:multiLevelType w:val="hybridMultilevel"/>
    <w:lvl w:ilvl="0">
      <w:lvlJc w:val="left"/>
      <w:lvlText w:val="(%1)"/>
      <w:numFmt w:val="lowerRoman"/>
      <w:start w:val="3"/>
    </w:lvl>
  </w:abstractNum>
  <w:abstractNum w:abstractNumId="288">
    <w:nsid w:val="1978EBEB"/>
    <w:multiLevelType w:val="hybridMultilevel"/>
    <w:lvl w:ilvl="0">
      <w:lvlJc w:val="left"/>
      <w:lvlText w:val="(%1)"/>
      <w:numFmt w:val="lowerRoman"/>
      <w:start w:val="4"/>
    </w:lvl>
  </w:abstractNum>
  <w:abstractNum w:abstractNumId="289">
    <w:nsid w:val="52C12C61"/>
    <w:multiLevelType w:val="hybridMultilevel"/>
    <w:lvl w:ilvl="0">
      <w:lvlJc w:val="left"/>
      <w:lvlText w:val="(%1)"/>
      <w:numFmt w:val="lowerRoman"/>
      <w:start w:val="5"/>
    </w:lvl>
  </w:abstractNum>
  <w:abstractNum w:abstractNumId="290">
    <w:nsid w:val="4BDD53FD"/>
    <w:multiLevelType w:val="hybridMultilevel"/>
    <w:lvl w:ilvl="0">
      <w:lvlJc w:val="left"/>
      <w:lvlText w:val="(%1)"/>
      <w:numFmt w:val="lowerLetter"/>
      <w:start w:val="2"/>
    </w:lvl>
  </w:abstractNum>
  <w:abstractNum w:abstractNumId="291">
    <w:nsid w:val="569951FE"/>
    <w:multiLevelType w:val="hybridMultilevel"/>
    <w:lvl w:ilvl="0">
      <w:lvlJc w:val="left"/>
      <w:lvlText w:val="(%1)"/>
      <w:numFmt w:val="lowerRoman"/>
      <w:start w:val="1"/>
    </w:lvl>
  </w:abstractNum>
  <w:abstractNum w:abstractNumId="292">
    <w:nsid w:val="4C54E2C3"/>
    <w:multiLevelType w:val="hybridMultilevel"/>
    <w:lvl w:ilvl="0">
      <w:lvlJc w:val="left"/>
      <w:lvlText w:val="(%1)"/>
      <w:numFmt w:val="lowerRoman"/>
      <w:start w:val="1"/>
    </w:lvl>
  </w:abstractNum>
  <w:abstractNum w:abstractNumId="293">
    <w:nsid w:val="788BD9B"/>
    <w:multiLevelType w:val="hybridMultilevel"/>
    <w:lvl w:ilvl="0">
      <w:lvlJc w:val="left"/>
      <w:lvlText w:val="(%1)"/>
      <w:numFmt w:val="lowerLetter"/>
      <w:start w:val="3"/>
    </w:lvl>
  </w:abstractNum>
  <w:abstractNum w:abstractNumId="294">
    <w:nsid w:val="47CAA567"/>
    <w:multiLevelType w:val="hybridMultilevel"/>
    <w:lvl w:ilvl="0">
      <w:lvlJc w:val="left"/>
      <w:lvlText w:val="(%1)"/>
      <w:numFmt w:val="lowerLetter"/>
      <w:start w:val="1"/>
    </w:lvl>
  </w:abstractNum>
  <w:abstractNum w:abstractNumId="295">
    <w:nsid w:val="48249DBF"/>
    <w:multiLevelType w:val="hybridMultilevel"/>
    <w:lvl w:ilvl="0">
      <w:lvlJc w:val="left"/>
      <w:lvlText w:val="%1"/>
      <w:numFmt w:val="lowerRoman"/>
      <w:start w:val="1"/>
    </w:lvl>
    <w:lvl w:ilvl="1">
      <w:lvlJc w:val="left"/>
      <w:lvlText w:val="(%2)"/>
      <w:numFmt w:val="lowerLetter"/>
      <w:start w:val="2"/>
    </w:lvl>
  </w:abstractNum>
  <w:abstractNum w:abstractNumId="296">
    <w:nsid w:val="1F0E5D0D"/>
    <w:multiLevelType w:val="hybridMultilevel"/>
    <w:lvl w:ilvl="0">
      <w:lvlJc w:val="left"/>
      <w:lvlText w:val="(%1)"/>
      <w:numFmt w:val="lowerRoman"/>
      <w:start w:val="1"/>
    </w:lvl>
    <w:lvl w:ilvl="1">
      <w:lvlJc w:val="left"/>
      <w:lvlText w:val="%2"/>
      <w:numFmt w:val="lowerLetter"/>
      <w:start w:val="1"/>
    </w:lvl>
  </w:abstractNum>
  <w:abstractNum w:abstractNumId="297">
    <w:nsid w:val="26BAAE9"/>
    <w:multiLevelType w:val="hybridMultilevel"/>
    <w:lvl w:ilvl="0">
      <w:lvlJc w:val="left"/>
      <w:lvlText w:val="%1"/>
      <w:numFmt w:val="lowerLetter"/>
      <w:start w:val="1"/>
    </w:lvl>
    <w:lvl w:ilvl="1">
      <w:lvlJc w:val="left"/>
      <w:lvlText w:val="(%2)"/>
      <w:numFmt w:val="lowerLetter"/>
      <w:start w:val="3"/>
    </w:lvl>
  </w:abstractNum>
  <w:abstractNum w:abstractNumId="298">
    <w:nsid w:val="2C02FE8C"/>
    <w:multiLevelType w:val="hybridMultilevel"/>
    <w:lvl w:ilvl="0">
      <w:lvlJc w:val="left"/>
      <w:lvlText w:val="(%1)"/>
      <w:numFmt w:val="lowerLetter"/>
      <w:start w:val="35"/>
    </w:lvl>
    <w:lvl w:ilvl="1">
      <w:lvlJc w:val="left"/>
      <w:lvlText w:val="(%2)"/>
      <w:numFmt w:val="lowerLetter"/>
      <w:start w:val="4"/>
    </w:lvl>
  </w:abstractNum>
  <w:abstractNum w:abstractNumId="299">
    <w:nsid w:val="129517E"/>
    <w:multiLevelType w:val="hybridMultilevel"/>
    <w:lvl w:ilvl="0">
      <w:lvlJc w:val="left"/>
      <w:lvlText w:val="(%1)"/>
      <w:numFmt w:val="lowerLetter"/>
      <w:start w:val="1"/>
    </w:lvl>
  </w:abstractNum>
  <w:abstractNum w:abstractNumId="300">
    <w:nsid w:val="763B8C4E"/>
    <w:multiLevelType w:val="hybridMultilevel"/>
    <w:lvl w:ilvl="0">
      <w:lvlJc w:val="left"/>
      <w:lvlText w:val="(%1)"/>
      <w:numFmt w:val="lowerLetter"/>
      <w:start w:val="3"/>
    </w:lvl>
  </w:abstractNum>
  <w:abstractNum w:abstractNumId="301">
    <w:nsid w:val="4CFB8D3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02">
    <w:nsid w:val="62A5D5BD"/>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03">
    <w:nsid w:val="718FABF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04">
    <w:nsid w:val="7775797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05">
    <w:nsid w:val="1626FB8C"/>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06">
    <w:nsid w:val="3957756A"/>
    <w:multiLevelType w:val="hybridMultilevel"/>
    <w:lvl w:ilvl="0">
      <w:lvlJc w:val="left"/>
      <w:lvlText w:val="%1"/>
      <w:numFmt w:val="lowerLetter"/>
      <w:start w:val="1"/>
    </w:lvl>
    <w:lvl w:ilvl="1">
      <w:lvlJc w:val="left"/>
      <w:lvlText w:val="(%2)"/>
      <w:numFmt w:val="lowerLetter"/>
      <w:start w:val="3"/>
    </w:lvl>
  </w:abstractNum>
  <w:abstractNum w:abstractNumId="307">
    <w:nsid w:val="3E6DA1C7"/>
    <w:multiLevelType w:val="hybridMultilevel"/>
    <w:lvl w:ilvl="0">
      <w:lvlJc w:val="left"/>
      <w:lvlText w:val="(%1)"/>
      <w:numFmt w:val="lowerLetter"/>
      <w:start w:val="9"/>
    </w:lvl>
    <w:lvl w:ilvl="1">
      <w:lvlJc w:val="left"/>
      <w:lvlText w:val="%2"/>
      <w:numFmt w:val="lowerLetter"/>
      <w:start w:val="1"/>
    </w:lvl>
  </w:abstractNum>
  <w:abstractNum w:abstractNumId="308">
    <w:nsid w:val="65CA235B"/>
    <w:multiLevelType w:val="hybridMultilevel"/>
    <w:lvl w:ilvl="0">
      <w:lvlJc w:val="left"/>
      <w:lvlText w:val="(%1)"/>
      <w:numFmt w:val="lowerLetter"/>
      <w:start w:val="9"/>
    </w:lvl>
    <w:lvl w:ilvl="1">
      <w:lvlJc w:val="left"/>
      <w:lvlText w:val="(%2)"/>
      <w:numFmt w:val="lowerLetter"/>
      <w:start w:val="6"/>
    </w:lvl>
  </w:abstractNum>
  <w:abstractNum w:abstractNumId="309">
    <w:nsid w:val="51CB0DA4"/>
    <w:multiLevelType w:val="hybridMultilevel"/>
    <w:lvl w:ilvl="0">
      <w:lvlJc w:val="left"/>
      <w:lvlText w:val="(%1)"/>
      <w:numFmt w:val="lowerLetter"/>
      <w:start w:val="9"/>
    </w:lvl>
    <w:lvl w:ilvl="1">
      <w:lvlJc w:val="left"/>
      <w:lvlText w:val="%2"/>
      <w:numFmt w:val="lowerLetter"/>
      <w:start w:val="1"/>
    </w:lvl>
  </w:abstractNum>
  <w:abstractNum w:abstractNumId="310">
    <w:nsid w:val="7B9B743C"/>
    <w:multiLevelType w:val="hybridMultilevel"/>
    <w:lvl w:ilvl="0">
      <w:lvlJc w:val="left"/>
      <w:lvlText w:val="(%1)"/>
      <w:numFmt w:val="lowerLetter"/>
      <w:start w:val="7"/>
    </w:lvl>
  </w:abstractNum>
  <w:abstractNum w:abstractNumId="311">
    <w:nsid w:val="13E21002"/>
    <w:multiLevelType w:val="hybridMultilevel"/>
    <w:lvl w:ilvl="0">
      <w:lvlJc w:val="left"/>
      <w:lvlText w:val="(%1)"/>
      <w:numFmt w:val="lowerRoman"/>
      <w:start w:val="1"/>
    </w:lvl>
  </w:abstractNum>
  <w:abstractNum w:abstractNumId="312">
    <w:nsid w:val="257D63F4"/>
    <w:multiLevelType w:val="hybridMultilevel"/>
    <w:lvl w:ilvl="0">
      <w:lvlJc w:val="left"/>
      <w:lvlText w:val="(%1)"/>
      <w:numFmt w:val="lowerLetter"/>
      <w:start w:val="1"/>
    </w:lvl>
  </w:abstractNum>
  <w:abstractNum w:abstractNumId="313">
    <w:nsid w:val="70EC11B2"/>
    <w:multiLevelType w:val="hybridMultilevel"/>
    <w:lvl w:ilvl="0">
      <w:lvlJc w:val="left"/>
      <w:lvlText w:val="(%1)"/>
      <w:numFmt w:val="lowerLetter"/>
      <w:start w:val="1"/>
    </w:lvl>
  </w:abstractNum>
  <w:abstractNum w:abstractNumId="314">
    <w:nsid w:val="2EDA00ED"/>
    <w:multiLevelType w:val="hybridMultilevel"/>
    <w:lvl w:ilvl="0">
      <w:lvlJc w:val="left"/>
      <w:lvlText w:val="(%1)"/>
      <w:numFmt w:val="lowerLetter"/>
      <w:start w:val="4"/>
    </w:lvl>
  </w:abstractNum>
  <w:abstractNum w:abstractNumId="315">
    <w:nsid w:val="73209072"/>
    <w:multiLevelType w:val="hybridMultilevel"/>
    <w:lvl w:ilvl="0">
      <w:lvlJc w:val="left"/>
      <w:lvlText w:val="(%1)"/>
      <w:numFmt w:val="upperLetter"/>
      <w:start w:val="2"/>
    </w:lvl>
  </w:abstractNum>
  <w:abstractNum w:abstractNumId="316">
    <w:nsid w:val="5FB29816"/>
    <w:multiLevelType w:val="hybridMultilevel"/>
    <w:lvl w:ilvl="0">
      <w:lvlJc w:val="left"/>
      <w:lvlText w:val="(%1)"/>
      <w:numFmt w:val="lowerLetter"/>
      <w:start w:val="1"/>
    </w:lvl>
  </w:abstractNum>
  <w:abstractNum w:abstractNumId="317">
    <w:nsid w:val="3CE732EC"/>
    <w:multiLevelType w:val="hybridMultilevel"/>
    <w:lvl w:ilvl="0">
      <w:lvlJc w:val="left"/>
      <w:lvlText w:val="%1"/>
      <w:numFmt w:val="lowerLetter"/>
      <w:start w:val="1"/>
    </w:lvl>
    <w:lvl w:ilvl="1">
      <w:lvlJc w:val="left"/>
      <w:lvlText w:val="(%2)"/>
      <w:numFmt w:val="lowerLetter"/>
      <w:start w:val="2"/>
    </w:lvl>
  </w:abstractNum>
  <w:abstractNum w:abstractNumId="318">
    <w:nsid w:val="22F13DF3"/>
    <w:multiLevelType w:val="hybridMultilevel"/>
    <w:lvl w:ilvl="0">
      <w:lvlJc w:val="left"/>
      <w:lvlText w:val="(%1)"/>
      <w:numFmt w:val="lowerLetter"/>
      <w:start w:val="25"/>
    </w:lvl>
    <w:lvl w:ilvl="1">
      <w:lvlJc w:val="left"/>
      <w:lvlText w:val="%2"/>
      <w:numFmt w:val="lowerLetter"/>
      <w:start w:val="1"/>
    </w:lvl>
  </w:abstractNum>
  <w:abstractNum w:abstractNumId="319">
    <w:nsid w:val="792B8401"/>
    <w:multiLevelType w:val="hybridMultilevel"/>
    <w:lvl w:ilvl="0">
      <w:lvlJc w:val="left"/>
      <w:lvlText w:val="(%1)"/>
      <w:numFmt w:val="lowerLetter"/>
      <w:start w:val="1"/>
    </w:lvl>
    <w:lvl w:ilvl="1">
      <w:lvlJc w:val="left"/>
      <w:lvlText w:val="(%2)"/>
      <w:numFmt w:val="lowerRoman"/>
      <w:start w:val="1"/>
    </w:lvl>
  </w:abstractNum>
  <w:abstractNum w:abstractNumId="320">
    <w:nsid w:val="FA85F4D"/>
    <w:multiLevelType w:val="hybridMultilevel"/>
    <w:lvl w:ilvl="0">
      <w:lvlJc w:val="left"/>
      <w:lvlText w:val="%1"/>
      <w:numFmt w:val="lowerRoman"/>
      <w:start w:val="1"/>
    </w:lvl>
    <w:lvl w:ilvl="1">
      <w:lvlJc w:val="left"/>
      <w:lvlText w:val="(%2)"/>
      <w:numFmt w:val="lowerLetter"/>
      <w:start w:val="1"/>
    </w:lvl>
  </w:abstractNum>
  <w:abstractNum w:abstractNumId="321">
    <w:nsid w:val="6ECE91F0"/>
    <w:multiLevelType w:val="hybridMultilevel"/>
    <w:lvl w:ilvl="0">
      <w:lvlJc w:val="left"/>
      <w:lvlText w:val="(%1)"/>
      <w:numFmt w:val="lowerRoman"/>
      <w:start w:val="1"/>
    </w:lvl>
    <w:lvl w:ilvl="1">
      <w:lvlJc w:val="left"/>
      <w:lvlText w:val="(%2)"/>
      <w:numFmt w:val="lowerLetter"/>
      <w:start w:val="2"/>
    </w:lvl>
  </w:abstractNum>
  <w:abstractNum w:abstractNumId="322">
    <w:nsid w:val="4FC4D600"/>
    <w:multiLevelType w:val="hybridMultilevel"/>
    <w:lvl w:ilvl="0">
      <w:lvlJc w:val="left"/>
      <w:lvlText w:val="(%1)"/>
      <w:numFmt w:val="lowerRoman"/>
      <w:start w:val="1"/>
    </w:lvl>
    <w:lvl w:ilvl="1">
      <w:lvlJc w:val="left"/>
      <w:lvlText w:val="(%2)"/>
      <w:numFmt w:val="lowerLetter"/>
      <w:start w:val="3"/>
    </w:lvl>
  </w:abstractNum>
  <w:abstractNum w:abstractNumId="323">
    <w:nsid w:val="5BFD421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24">
    <w:nsid w:val="76574F8B"/>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325">
    <w:nsid w:val="178F7B67"/>
    <w:multiLevelType w:val="hybridMultilevel"/>
    <w:lvl w:ilvl="0">
      <w:lvlJc w:val="left"/>
      <w:lvlText w:val="(%1)"/>
      <w:numFmt w:val="lowerRoman"/>
      <w:start w:val="3"/>
    </w:lvl>
  </w:abstractNum>
  <w:abstractNum w:abstractNumId="326">
    <w:nsid w:val="2421DFCF"/>
    <w:multiLevelType w:val="hybridMultilevel"/>
    <w:lvl w:ilvl="0">
      <w:lvlJc w:val="left"/>
      <w:lvlText w:val="(%1)"/>
      <w:numFmt w:val="decimal"/>
      <w:start w:val="1"/>
    </w:lvl>
    <w:lvl w:ilvl="1">
      <w:lvlJc w:val="left"/>
      <w:lvlText w:val="(%2)"/>
      <w:numFmt w:val="lowerLetter"/>
      <w:start w:val="1"/>
    </w:lvl>
  </w:abstractNum>
  <w:abstractNum w:abstractNumId="327">
    <w:nsid w:val="1565AC99"/>
    <w:multiLevelType w:val="hybridMultilevel"/>
    <w:lvl w:ilvl="0">
      <w:lvlJc w:val="left"/>
      <w:lvlText w:val="(%1)"/>
      <w:numFmt w:val="decimal"/>
      <w:start w:val="1"/>
    </w:lvl>
    <w:lvl w:ilvl="1">
      <w:lvlJc w:val="left"/>
      <w:lvlText w:val="(%2)"/>
      <w:numFmt w:val="lowerLetter"/>
      <w:start w:val="1"/>
    </w:lvl>
  </w:abstractNum>
  <w:abstractNum w:abstractNumId="328">
    <w:nsid w:val="19FB26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167" Type="http://schemas.openxmlformats.org/officeDocument/2006/relationships/hyperlink" Target="http://www.sec.gov/Archives/edgar/data/1508655/000119312520174009/d936084dex32.htm" TargetMode="External"/><Relationship Id="rId168" Type="http://schemas.openxmlformats.org/officeDocument/2006/relationships/hyperlink" Target="http://www.sec.gov/Archives/edgar/data/1508655/000119312520174009/d936084dex33.htm" TargetMode="External"/><Relationship Id="rId169" Type="http://schemas.openxmlformats.org/officeDocument/2006/relationships/hyperlink" Target="http://www.sec.gov/Archives/edgar/data/1508655/000119312512127485/d318388dex42.htm" TargetMode="External"/><Relationship Id="rId170" Type="http://schemas.openxmlformats.org/officeDocument/2006/relationships/hyperlink" Target="http://www.sec.gov/Archives/edgar/data/0001508655/000119312517027505/d341977dex41.htm" TargetMode="External"/><Relationship Id="rId171" Type="http://schemas.openxmlformats.org/officeDocument/2006/relationships/hyperlink" Target="http://www.sec.gov/Archives/edgar/data/0001508655/000119312518016134/d428064dex41.htm" TargetMode="External"/><Relationship Id="rId172" Type="http://schemas.openxmlformats.org/officeDocument/2006/relationships/hyperlink" Target="http://www.sec.gov/Archives/edgar/data/0001508655/000119312518016134/d428064dex42.htm" TargetMode="External"/><Relationship Id="rId173" Type="http://schemas.openxmlformats.org/officeDocument/2006/relationships/hyperlink" Target="http://www.sec.gov/Archives/edgar/data/1508655/000119312518196892/d612351dex41.htm" TargetMode="External"/><Relationship Id="rId174" Type="http://schemas.openxmlformats.org/officeDocument/2006/relationships/hyperlink" Target="http://www.sec.gov/Archives/edgar/data/1508655/000119312519281943/d828545dex42.htm" TargetMode="External"/><Relationship Id="rId175" Type="http://schemas.openxmlformats.org/officeDocument/2006/relationships/hyperlink" Target="http://www.sec.gov/Archives/edgar/data/1508655/000119312521027315/d114372dex42.htm" TargetMode="External"/><Relationship Id="rId176" Type="http://schemas.openxmlformats.org/officeDocument/2006/relationships/hyperlink" Target="http://www.sec.gov/Archives/edgar/data/1508655/000095012311025019/y90239exv10w3.htm" TargetMode="External"/><Relationship Id="rId180" Type="http://schemas.openxmlformats.org/officeDocument/2006/relationships/hyperlink" Target="http://www.sec.gov/Archives/edgar/data/1508655/000119312511339263/d269504dex101.htm" TargetMode="External"/><Relationship Id="rId181" Type="http://schemas.openxmlformats.org/officeDocument/2006/relationships/hyperlink" Target="http://www.sec.gov/Archives/edgar/data/1508655/000119312512490609/d446947dex101.htm" TargetMode="External"/><Relationship Id="rId182" Type="http://schemas.openxmlformats.org/officeDocument/2006/relationships/hyperlink" Target="http://www.sec.gov/Archives/edgar/data/1508655/000119312514082476/d673597dex1020.htm" TargetMode="External"/><Relationship Id="rId183" Type="http://schemas.openxmlformats.org/officeDocument/2006/relationships/hyperlink" Target="http://www.sec.gov/Archives/edgar/data/1508655/000119312514102674/d630521dex99e.htm" TargetMode="External"/><Relationship Id="rId184" Type="http://schemas.openxmlformats.org/officeDocument/2006/relationships/hyperlink" Target="http://www.sec.gov/Archives/edgar/data/1508655/000119312514293593/d769019dex103.htm" TargetMode="External"/><Relationship Id="rId185" Type="http://schemas.openxmlformats.org/officeDocument/2006/relationships/hyperlink" Target="http://www.sec.gov/Archives/edgar/data/1508655/000119312514293593/d769019dex104.htm" TargetMode="External"/><Relationship Id="rId186" Type="http://schemas.openxmlformats.org/officeDocument/2006/relationships/hyperlink" Target="http://www.sec.gov/Archives/edgar/data/1508655/000119312514293593/d769019dex105.htm" TargetMode="External"/><Relationship Id="rId187" Type="http://schemas.openxmlformats.org/officeDocument/2006/relationships/hyperlink" Target="http://www.sec.gov/Archives/edgar/data/0001508655/000119312514394267/d813731dex101.htm" TargetMode="External"/><Relationship Id="rId188" Type="http://schemas.openxmlformats.org/officeDocument/2006/relationships/hyperlink" Target="http://www.sec.gov/Archives/edgar/data/0001508655/000119312515111830/d899694dex101.htm" TargetMode="External"/><Relationship Id="rId189" Type="http://schemas.openxmlformats.org/officeDocument/2006/relationships/hyperlink" Target="http://www.sec.gov/Archives/edgar/data/0001508655/000156459015009165/tslx-ex101_394.htm" TargetMode="External"/><Relationship Id="rId190" Type="http://schemas.openxmlformats.org/officeDocument/2006/relationships/hyperlink" Target="http://www.sec.gov/Archives/edgar/data/0001508655/000156459017002010/tslx-ex1015_196.htm" TargetMode="External"/><Relationship Id="rId191" Type="http://schemas.openxmlformats.org/officeDocument/2006/relationships/hyperlink" Target="http://www.sec.gov/Archives/edgar/data/0001508655/000156459017002010/tslx-ex1016_267.htm" TargetMode="External"/><Relationship Id="rId192" Type="http://schemas.openxmlformats.org/officeDocument/2006/relationships/hyperlink" Target="http://www.sec.gov/Archives/edgar/data/1508655/000156459018002665/tslx-ex1016_374.htm" TargetMode="External"/><Relationship Id="rId193" Type="http://schemas.openxmlformats.org/officeDocument/2006/relationships/hyperlink" Target="http://www.sec.gov/Archives/edgar/data/1508655/000156459018027390/tslx-ex101_128.htm" TargetMode="External"/><Relationship Id="rId196" Type="http://schemas.openxmlformats.org/officeDocument/2006/relationships/hyperlink" Target="http://www.sec.gov/Archives/edgar/data/1508655/000156459019003442/tslx-ex1016_204.htm" TargetMode="External"/><Relationship Id="rId197" Type="http://schemas.openxmlformats.org/officeDocument/2006/relationships/hyperlink" Target="http://www.sec.gov/Archives/edgar/data/1508655/000156459020005268/tslx-ex1017_198.htm" TargetMode="External"/><Relationship Id="rId198" Type="http://schemas.openxmlformats.org/officeDocument/2006/relationships/hyperlink" Target="http://www.sec.gov/Archives/edgar/data/1508655/000156459021006366/tslx-ex1018_27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2022-02-17T15:07:38Z</dcterms:created>
  <dcterms:modified xsi:type="dcterms:W3CDTF">2022-02-17T15:07:38Z</dcterms:modified>
</cp:coreProperties>
</file>