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6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43"/>
        <w:spacing w:after="0"/>
        <w:rPr>
          <w:sz w:val="20"/>
          <w:szCs w:val="20"/>
          <w:color w:val="auto"/>
        </w:rPr>
      </w:pPr>
      <w:r>
        <w:rPr>
          <w:rFonts w:ascii="Arial" w:cs="Arial" w:eastAsia="Arial" w:hAnsi="Arial"/>
          <w:sz w:val="29"/>
          <w:szCs w:val="29"/>
          <w:b w:val="1"/>
          <w:bCs w:val="1"/>
          <w:color w:val="auto"/>
        </w:rPr>
        <w:t>SCHEDULE 14A INFORMATION</w:t>
      </w:r>
    </w:p>
    <w:p>
      <w:pPr>
        <w:spacing w:after="0" w:line="195" w:lineRule="exact"/>
        <w:rPr>
          <w:sz w:val="24"/>
          <w:szCs w:val="24"/>
          <w:color w:val="auto"/>
        </w:rPr>
      </w:pPr>
    </w:p>
    <w:p>
      <w:pPr>
        <w:jc w:val="center"/>
        <w:ind w:right="-63"/>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20" w:lineRule="exact"/>
        <w:rPr>
          <w:sz w:val="24"/>
          <w:szCs w:val="24"/>
          <w:color w:val="auto"/>
        </w:rPr>
      </w:pPr>
    </w:p>
    <w:p>
      <w:pPr>
        <w:jc w:val="center"/>
        <w:ind w:right="-63"/>
        <w:spacing w:after="0"/>
        <w:rPr>
          <w:sz w:val="20"/>
          <w:szCs w:val="20"/>
          <w:color w:val="auto"/>
        </w:rPr>
      </w:pPr>
      <w:r>
        <w:rPr>
          <w:rFonts w:ascii="Arial" w:cs="Arial" w:eastAsia="Arial" w:hAnsi="Arial"/>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4"/>
        <w:spacing w:after="0" w:line="184" w:lineRule="exact"/>
        <w:tabs>
          <w:tab w:leader="none" w:pos="282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0"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16"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4"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04"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4"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4"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67" w:lineRule="exact"/>
        <w:rPr>
          <w:sz w:val="24"/>
          <w:szCs w:val="24"/>
          <w:color w:val="auto"/>
        </w:rPr>
      </w:pPr>
    </w:p>
    <w:p>
      <w:pPr>
        <w:jc w:val="center"/>
        <w:ind w:right="-63"/>
        <w:spacing w:after="0"/>
        <w:rPr>
          <w:sz w:val="20"/>
          <w:szCs w:val="20"/>
          <w:color w:val="auto"/>
        </w:rPr>
      </w:pPr>
      <w:r>
        <w:rPr>
          <w:rFonts w:ascii="Arial" w:cs="Arial" w:eastAsia="Arial" w:hAnsi="Arial"/>
          <w:sz w:val="35"/>
          <w:szCs w:val="35"/>
          <w:b w:val="1"/>
          <w:bCs w:val="1"/>
          <w:color w:val="auto"/>
        </w:rPr>
        <w:t>TICC CAPITAL CORP.</w:t>
      </w:r>
    </w:p>
    <w:p>
      <w:pPr>
        <w:spacing w:after="0" w:line="37"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79"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TPG Specialty Lending, Inc.</w:t>
      </w:r>
    </w:p>
    <w:p>
      <w:pPr>
        <w:spacing w:after="0" w:line="19" w:lineRule="exact"/>
        <w:rPr>
          <w:sz w:val="24"/>
          <w:szCs w:val="24"/>
          <w:color w:val="auto"/>
        </w:rPr>
      </w:pPr>
    </w:p>
    <w:p>
      <w:pPr>
        <w:jc w:val="center"/>
        <w:ind w:right="-63"/>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64"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not required.</w:t>
      </w:r>
    </w:p>
    <w:p>
      <w:pPr>
        <w:spacing w:after="0" w:line="200"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0" w:lineRule="exact"/>
        <w:rPr>
          <w:rFonts w:ascii="MS PGothic" w:cs="MS PGothic" w:eastAsia="MS PGothic" w:hAnsi="MS PGothic"/>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line="277" w:lineRule="auto"/>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96" w:lineRule="exact"/>
        <w:rPr>
          <w:rFonts w:ascii="MS PGothic" w:cs="MS PGothic" w:eastAsia="MS PGothic" w:hAnsi="MS PGothic"/>
          <w:sz w:val="16"/>
          <w:szCs w:val="16"/>
          <w:color w:val="auto"/>
        </w:rPr>
      </w:pPr>
    </w:p>
    <w:p>
      <w:pPr>
        <w:ind w:left="464" w:right="40" w:hanging="464"/>
        <w:spacing w:after="0" w:line="277" w:lineRule="auto"/>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924" w:hanging="455"/>
        <w:spacing w:after="0"/>
        <w:tabs>
          <w:tab w:leader="none" w:pos="924"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-3937635</wp:posOffset>
            </wp:positionV>
            <wp:extent cx="66744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-3540760</wp:posOffset>
            </wp:positionV>
            <wp:extent cx="66744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-3021965</wp:posOffset>
            </wp:positionV>
            <wp:extent cx="6674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-2625725</wp:posOffset>
            </wp:positionV>
            <wp:extent cx="6674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-2228850</wp:posOffset>
            </wp:positionV>
            <wp:extent cx="6674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-916940</wp:posOffset>
            </wp:positionV>
            <wp:extent cx="66744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-520065</wp:posOffset>
            </wp:positionV>
            <wp:extent cx="66744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-123190</wp:posOffset>
            </wp:positionV>
            <wp:extent cx="66744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272415</wp:posOffset>
            </wp:positionV>
            <wp:extent cx="66744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432435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470535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4" w:right="40"/>
        <w:spacing w:after="0" w:line="351" w:lineRule="auto"/>
        <w:rPr>
          <w:sz w:val="20"/>
          <w:szCs w:val="20"/>
          <w:color w:val="auto"/>
        </w:rPr>
      </w:pPr>
      <w:r>
        <w:rPr>
          <w:rFonts w:ascii="Arial" w:cs="Arial" w:eastAsia="Arial" w:hAnsi="Arial"/>
          <w:sz w:val="14"/>
          <w:szCs w:val="14"/>
          <w:color w:val="auto"/>
        </w:rPr>
        <w:t>TPG Specialty Lending, Inc., together with the other participants named herein (collectively, “TSLX”), intends to file a preliminary proxy statement and an accompanying proxy card with the Securities and Exchange Commission to be used to solicit votes from the stockholders of TICC Capital Corp. (“TICC”) to: (a) elect TSLX’s director nominee at</w:t>
      </w:r>
    </w:p>
    <w:p>
      <w:pPr>
        <w:sectPr>
          <w:pgSz w:w="11900" w:h="16838" w:orient="portrait"/>
          <w:cols w:equalWidth="0" w:num="1">
            <w:col w:w="11384"/>
          </w:cols>
          <w:pgMar w:left="236" w:top="475" w:right="279" w:bottom="0" w:gutter="0" w:footer="0" w:header="0"/>
        </w:sectPr>
      </w:pPr>
    </w:p>
    <w:bookmarkStart w:id="1" w:name="page2"/>
    <w:bookmarkEnd w:id="1"/>
    <w:p>
      <w:pPr>
        <w:spacing w:after="0" w:line="277" w:lineRule="auto"/>
        <w:rPr>
          <w:sz w:val="20"/>
          <w:szCs w:val="20"/>
          <w:color w:val="auto"/>
        </w:rPr>
      </w:pPr>
      <w:r>
        <w:rPr>
          <w:rFonts w:ascii="Arial" w:cs="Arial" w:eastAsia="Arial" w:hAnsi="Arial"/>
          <w:sz w:val="16"/>
          <w:szCs w:val="16"/>
          <w:color w:val="auto"/>
        </w:rPr>
        <w:t>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On February 3, 2016, TSLX issued an investor presentation, a copy of which is attached hereto.</w:t>
      </w:r>
    </w:p>
    <w:p>
      <w:pPr>
        <w:sectPr>
          <w:pgSz w:w="11900" w:h="16838" w:orient="portrait"/>
          <w:cols w:equalWidth="0" w:num="1">
            <w:col w:w="11160"/>
          </w:cols>
          <w:pgMar w:left="240" w:top="127" w:right="4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2019-12-20T22:22:50Z</dcterms:created>
  <dcterms:modified xsi:type="dcterms:W3CDTF">2019-12-20T22:22:50Z</dcterms:modified>
</cp:coreProperties>
</file>