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54" w:lineRule="exact"/>
        <w:rPr>
          <w:sz w:val="24"/>
          <w:szCs w:val="24"/>
          <w:color w:val="auto"/>
        </w:rPr>
      </w:pPr>
    </w:p>
    <w:p>
      <w:pPr>
        <w:ind w:left="120"/>
        <w:spacing w:after="0" w:line="207" w:lineRule="exact"/>
        <w:tabs>
          <w:tab w:leader="none" w:pos="27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0"/>
          <w:szCs w:val="40"/>
          <w:b w:val="1"/>
          <w:bCs w:val="1"/>
          <w:color w:val="auto"/>
        </w:rPr>
        <w:t>Sixth Street Specialty Lending, Inc.</w:t>
      </w:r>
    </w:p>
    <w:p>
      <w:pPr>
        <w:spacing w:after="0" w:line="4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2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31"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77"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54455"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544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13, 2023</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We are pleased to invite you to attend the 2023 Annual Meeting of Stockholders of Sixth Street Specialty Lending, Inc. to be held on May 25, 2023, at 9:30 a.m., Eastern Time, at the offices of Cleary Gottlieb Steen &amp; Hamilton LLP, One Liberty Plaza, 38th Floor, New York, NY 10006.</w:t>
      </w:r>
    </w:p>
    <w:p>
      <w:pPr>
        <w:spacing w:after="0" w:line="14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following pages include a formal notice of the meeting and our proxy statement. The Notice of Internet Availability of Proxy Materials you received in the mail and this proxy statement describe various matters on the agenda for the meeting. Please read these materials so that you will know what we plan to do at the meeting. It is important that your shares be represented at the annual meeting, regardless of whether you plan to attend the meeting in person. Please vote your shares as soon as possible through any of the voting options available to you as described in the Notice of Internet Availability of Proxy Materials and this proxy statement.</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You will also receive separate proxy materials for a Special Meeting of Stockholders, which will be held at the same place and on the same date stated above, but not at the same time. Please be certain to vote separately each proxy card that you receive from us.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behalf of management and our Board of Directors, we thank you for your continued support of Sixth Street Specialty Lending, Inc.</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Joshua Easterly</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13, 2023</w:t>
      </w:r>
    </w:p>
    <w:p>
      <w:pPr>
        <w:sectPr>
          <w:pgSz w:w="11900" w:h="16838" w:orient="portrait"/>
          <w:cols w:equalWidth="0" w:num="1">
            <w:col w:w="10960"/>
          </w:cols>
          <w:pgMar w:left="320" w:top="455" w:right="6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 for the Annual Meeting of Stockholders to Be Held on May 25, 2023.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proxy statement and annual report on Form 10-K for the year ended December 31, 2022 are available online at www.proxyvote.com.</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information applicable to the Annual Meeting of Stockholders may be found in the proxy statement and accompanying proxy card:</w:t>
      </w:r>
    </w:p>
    <w:p>
      <w:pPr>
        <w:spacing w:after="0" w:line="142"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time and location of the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the matters intended to be acted on and our recommendations regarding those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control/identification numbers that you need to access proxy material online;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attending the meeting and voting in person.</w:t>
      </w:r>
    </w:p>
    <w:p>
      <w:pPr>
        <w:sectPr>
          <w:pgSz w:w="11900" w:h="16838" w:orient="portrait"/>
          <w:cols w:equalWidth="0" w:num="1">
            <w:col w:w="11060"/>
          </w:cols>
          <w:pgMar w:left="320" w:top="455" w:right="5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54455"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544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160020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of the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NOTICE IS HEREBY GIVEN that the 2023 Annual Meeting of Stockholders of Sixth Street Specialty Lending, Inc. will be held at the offices of Cleary Gottlieb Steen &amp; Hamilton LLP, One Liberty Plaza, 38th Floor, New York, NY 10006 on May 25, 2023, at 9:30 a.m., local time. The 2023 Annual Meeting of Stockholders is being held for the following purposes:</w:t>
      </w:r>
    </w:p>
    <w:p>
      <w:pPr>
        <w:spacing w:after="0" w:line="176" w:lineRule="exact"/>
        <w:rPr>
          <w:sz w:val="20"/>
          <w:szCs w:val="20"/>
          <w:color w:val="auto"/>
        </w:rPr>
      </w:pPr>
    </w:p>
    <w:p>
      <w:pPr>
        <w:ind w:left="560" w:right="120" w:firstLine="419"/>
        <w:spacing w:after="0" w:line="282" w:lineRule="auto"/>
        <w:tabs>
          <w:tab w:leader="none" w:pos="11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III directors, each to serve for a three-year term and until a successor has been duly elected and qualified or until the director’s earlier resignation or removal.</w:t>
      </w:r>
    </w:p>
    <w:p>
      <w:pPr>
        <w:spacing w:after="0" w:line="161" w:lineRule="exact"/>
        <w:rPr>
          <w:rFonts w:ascii="Times New Roman" w:cs="Times New Roman" w:eastAsia="Times New Roman" w:hAnsi="Times New Roman"/>
          <w:sz w:val="18"/>
          <w:szCs w:val="18"/>
          <w:color w:val="auto"/>
        </w:rPr>
      </w:pPr>
    </w:p>
    <w:p>
      <w:pPr>
        <w:ind w:left="560" w:right="720" w:firstLine="419"/>
        <w:spacing w:after="0" w:line="282" w:lineRule="auto"/>
        <w:tabs>
          <w:tab w:leader="none" w:pos="11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KPMG LLP as the Company’s independent registered public accounting firm for the fiscal year ending December 31, 2023.</w:t>
      </w:r>
    </w:p>
    <w:p>
      <w:pPr>
        <w:spacing w:after="0" w:line="161" w:lineRule="exact"/>
        <w:rPr>
          <w:rFonts w:ascii="Times New Roman" w:cs="Times New Roman" w:eastAsia="Times New Roman" w:hAnsi="Times New Roman"/>
          <w:sz w:val="18"/>
          <w:szCs w:val="18"/>
          <w:color w:val="auto"/>
        </w:rPr>
      </w:pPr>
    </w:p>
    <w:p>
      <w:pPr>
        <w:ind w:left="560" w:right="740" w:firstLine="419"/>
        <w:spacing w:after="0" w:line="282" w:lineRule="auto"/>
        <w:tabs>
          <w:tab w:leader="none" w:pos="11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2023 Annual Meeting of Stockholders or any postponement or adjournment thereof.</w:t>
      </w:r>
    </w:p>
    <w:p>
      <w:pPr>
        <w:spacing w:after="0" w:line="162"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March 31, 2023, are entitled to notice of and to vote at the 2023 Annual Meeting of Stockholders or any postponement or adjournment thereof.</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are furnishing a proxy statement, annual report and proxy card to our stockholders on the internet, rather than mailing printed copies of those materials to each stockholder. If you received a Notice of Internet Availability of Proxy Materials by mail, you will not receive a printed copy of the proxy statement, annual report and proxy card unless you request them. Instead, the Notice of Internet Availability of Proxy Materials will instruct you as to how you may access and review the proxy statement and annual report, and vote your proxy, on the internet.</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Your vote is extremely important to us. Whether or not you plan to attend the 2023 Annual Meeting of Stockholders, we encourage you to vote your 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Further, from time to time we may repurchase shares of our common stock and are notifying you of this ability as required by applicable securities law. See “Stock Repurchases” in the proxy statement.</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Anton Brett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Anton Brett</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Chief Compliance Officer and Secretary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13, 2023</w:t>
      </w:r>
    </w:p>
    <w:p>
      <w:pPr>
        <w:spacing w:after="0" w:line="221" w:lineRule="exact"/>
        <w:rPr>
          <w:sz w:val="20"/>
          <w:szCs w:val="20"/>
          <w:color w:val="auto"/>
        </w:rPr>
      </w:pPr>
    </w:p>
    <w:p>
      <w:pPr>
        <w:ind w:left="120" w:right="14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YOUR VOTE IS IMPORTANT</w:t>
      </w:r>
      <w:r>
        <w:rPr>
          <w:rFonts w:ascii="Times New Roman" w:cs="Times New Roman" w:eastAsia="Times New Roman" w:hAnsi="Times New Roman"/>
          <w:sz w:val="18"/>
          <w:szCs w:val="18"/>
          <w:b w:val="1"/>
          <w:bCs w:val="1"/>
          <w:color w:val="auto"/>
        </w:rPr>
        <w:t>! WE HOPE YOU WILL VOTE OVER THE INTERNET, BY PHONE OR BY MARKING, SIGNING AND RETURNING YOUR PROXY AS SOON AS POSSIBLE, WHETHER OR NOT YOU PLAN TO ATTEND THE MEETING. EVEN IF YOU VOTE YOUR SHARES PRIOR TO THE MEETING, YOU STILL MAY ATTEND THE MEETING AND VOTE YOUR SHARES IN PERSON.</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5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9"/>
              </w:rPr>
              <w:t>Proxy Statement for the 2023 Annual Meeting of Stockholders</w:t>
            </w:r>
          </w:p>
        </w:tc>
        <w:tc>
          <w:tcPr>
            <w:tcW w:w="6140" w:type="dxa"/>
            <w:vAlign w:val="bottom"/>
            <w:gridSpan w:val="4"/>
            <w:vMerge w:val="restart"/>
          </w:tcPr>
          <w:p>
            <w:pPr>
              <w:spacing w:after="0"/>
              <w:rPr>
                <w:sz w:val="15"/>
                <w:szCs w:val="15"/>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0"/>
        </w:trPr>
        <w:tc>
          <w:tcPr>
            <w:tcW w:w="4520" w:type="dxa"/>
            <w:vAlign w:val="bottom"/>
            <w:tcBorders>
              <w:bottom w:val="single" w:sz="8" w:color="0000EE"/>
            </w:tcBorders>
            <w:gridSpan w:val="8"/>
            <w:vMerge w:val="continue"/>
          </w:tcPr>
          <w:p>
            <w:pPr>
              <w:spacing w:after="0"/>
              <w:rPr>
                <w:sz w:val="13"/>
                <w:szCs w:val="13"/>
                <w:color w:val="auto"/>
              </w:rPr>
            </w:pPr>
          </w:p>
        </w:tc>
        <w:tc>
          <w:tcPr>
            <w:tcW w:w="6140" w:type="dxa"/>
            <w:vAlign w:val="bottom"/>
            <w:gridSpan w:val="4"/>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8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5780" w:type="dxa"/>
            <w:vAlign w:val="bottom"/>
            <w:gridSpan w:val="3"/>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No. 1—Election of Directors</w:t>
            </w:r>
          </w:p>
        </w:tc>
        <w:tc>
          <w:tcPr>
            <w:tcW w:w="790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Corporate Governance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Proposal No. 2—Ratification of Selection of Independent Registered Public Accounting Firm</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678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Audit Committee Report</w:t>
            </w:r>
          </w:p>
        </w:tc>
        <w:tc>
          <w:tcPr>
            <w:tcW w:w="38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1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Business</w:t>
            </w:r>
          </w:p>
        </w:tc>
        <w:tc>
          <w:tcPr>
            <w:tcW w:w="680" w:type="dxa"/>
            <w:vAlign w:val="bottom"/>
            <w:tcBorders>
              <w:top w:val="single" w:sz="8" w:color="0000EE"/>
            </w:tcBorders>
            <w:gridSpan w:val="3"/>
          </w:tcPr>
          <w:p>
            <w:pPr>
              <w:spacing w:after="0"/>
              <w:rPr>
                <w:sz w:val="17"/>
                <w:szCs w:val="17"/>
                <w:color w:val="auto"/>
              </w:rPr>
            </w:pPr>
          </w:p>
        </w:tc>
        <w:tc>
          <w:tcPr>
            <w:tcW w:w="888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Stock Repurchases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Proposals and Nominations for the 2023 Annual Meeting of Stockholders</w:t>
            </w:r>
          </w:p>
        </w:tc>
        <w:tc>
          <w:tcPr>
            <w:tcW w:w="444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Annual Report</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26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826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3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Privacy Principles</w:t>
            </w:r>
          </w:p>
        </w:tc>
        <w:tc>
          <w:tcPr>
            <w:tcW w:w="930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54455"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544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160020</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2023</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accompanying proxy is solicited on behalf of the Board of Directors (the “Board”) of Sixth Street Specialty Lending, Inc., which is sometimes referred to in this proxy statement as “TSLX,” “we,” “us,” “our,” or the “Company,” for use at the 2023 Annual Meeting of Stockholders (the “Meeting”) to be held to be held at the offices of Cleary Gottlieb Steen &amp; Hamilton LLP, One Liberty Plaza, 38th Floor, New York, NY 10006 on May 25, 2023, at 9:30 a.m., Eastern Time. Only holders of record of our common stock at the close of business on March 31, 2023, which is the record date, will be entitled to vote at the Meeting. At the close of business on the record date, we had 81,751,865 shares of common stock outstanding and entitled to vote.</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It is anticipated that the Notice of Internet Availability of Proxy Materials will first be sent to Stockholders on or about April 13, 2023. This proxy statement, including the accompanying form of proxy (collectively, the “Proxy Statement”), and the Company’s Annual Report for the fiscal year ended December 31, 2022 will first be made available to stockholders on or about April 13, 2023. The Annual Report and Proxy Statement can both be accessed online at www.proxyvote.com.</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Class III director candidates nominated by the Board and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selection of KPMG LLP as the Company’s independent registered public accounting firm for the fiscal year ending December 31, 2022. Should any matter not described above be properly presented at the Meeting, the named proxies will vote in accordance with their judgment as permitted.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as of the record date.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2023 Annual Meeting of Stockholders is being held for the following purposes:</w:t>
      </w:r>
    </w:p>
    <w:p>
      <w:pPr>
        <w:spacing w:after="0" w:line="225" w:lineRule="exact"/>
        <w:rPr>
          <w:sz w:val="20"/>
          <w:szCs w:val="20"/>
          <w:color w:val="auto"/>
        </w:rPr>
      </w:pPr>
    </w:p>
    <w:p>
      <w:pPr>
        <w:ind w:left="120" w:right="560" w:firstLine="436"/>
        <w:spacing w:after="0" w:line="282"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III directors, each to serve for a three-year term and until a successor has been duly elected and qualified or until the director’s earlier resignation or removal.</w:t>
      </w:r>
    </w:p>
    <w:p>
      <w:pPr>
        <w:spacing w:after="0" w:line="161"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KPMG LLP as the Company’s independent registered public accounting firm for the fiscal year ending December 31,</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w:t>
      </w:r>
    </w:p>
    <w:p>
      <w:pPr>
        <w:spacing w:after="0" w:line="206"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2023 Annual Meeting of Stockholders or any postponement or adjournment</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 Effect of Abstentions and Broker Non-Votes, Vote Required to Approve the Proposals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 majority of the outstanding shares of common stock must be present or represented by proxy at the Meeting in order to have a quorum. If you have properly voted by proxy online, by phone, or via mail, you will be considered part of the quorum. We will count “abstain” and “withhold”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Provided a quorum is present, directors are elected by a plurality of the votes represented at the meeting and voted for nominee(s) in the election. Broker non-votes, if any, though counted for purposes of establishing a quorum, will not affect the outcome of the voting on the elections. A proxy marked “withhold” with respect to a director nominee will result in such director nominee receiving one fewer “FOR” vote that would count towards a plurality.</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affirmative vote of the majority of shares represented at the meeting and voting on the proposal will determine the outcome of the ratification of the independent registered public accounting firm. For each of these proposals, “abstain” votes and broker non-votes, if any, though counted for purposes of establishing a quorum, will have no effect on the outcome of the vote.</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inspector of elections appointed for the Meeting will separately tabulate affirmative votes, “against” votes or “withhold” votes, as applicable, “abstain” votes and broker non-votes.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Adjournment of Meeting</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Any such adjournment proposed by a stockholder or person named as a proxy would require the affirmative vote of the majority of the outstanding shares present in person or represented by proxy at the Meeting. In addition, pursuant to the bylaws of the Company, if there are not sufficient votes for a quorum or to approve or ratify any proposal at the time of the Meeting, the chairman of the Meeting, or any other officer entitled to preside or to act as secretary at the Meeting, may adjourn or postpone the Meeting in order to permit further solicitation of proxies by the Company, without notice other than announcement at the meeting.</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At any such adjourned or postponed meeting,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Proxies for the Meeting</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named proxies for the Meeting are Ian Simmonds and Anton Brett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Information Regarding This Proxy</w:t>
      </w:r>
    </w:p>
    <w:p>
      <w:pPr>
        <w:spacing w:after="0" w:line="121"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The Company will pay the expenses of soliciting proxies to be voted at the Meeting. The Company has retained Broadridge Investor Communication Solutions, Inc. to assist with the distribution and collection of proxies for a fee of approximately $75,000, plus reimbursement of expenses.</w:t>
      </w:r>
    </w:p>
    <w:p>
      <w:pPr>
        <w:spacing w:after="0" w:line="176"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solicitation of proxies by the use of the internet, proxies may be solicited in person and/or by telephone, mail or facsimile transmission by directors or officers of the Company and/or officers or employees of Sixth Street Specialty Lending Advisers, LLC, the Company’s investment adviser (the “Adviser”). No additional compensation will be paid to such directors, officers or regular employees for such services. The address of the Adviser is 2100 McKinney Avenue, Suite 1500, Dallas, TX 75201.</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in person. However, the mere presence of the stockholder at the Meeting does not revoke the proxy.</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a sufficient time in advance of the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Contact Information for Proxy Solicitation</w:t>
      </w:r>
    </w:p>
    <w:p>
      <w:pPr>
        <w:spacing w:after="0" w:line="121" w:lineRule="exact"/>
        <w:rPr>
          <w:sz w:val="20"/>
          <w:szCs w:val="20"/>
          <w:color w:val="auto"/>
        </w:rPr>
      </w:pPr>
    </w:p>
    <w:p>
      <w:pPr>
        <w:ind w:left="120" w:right="240" w:firstLine="440"/>
        <w:spacing w:after="0" w:line="198" w:lineRule="auto"/>
        <w:rPr>
          <w:sz w:val="20"/>
          <w:szCs w:val="20"/>
          <w:color w:val="auto"/>
        </w:rPr>
      </w:pPr>
      <w:r>
        <w:rPr>
          <w:rFonts w:ascii="Times New Roman" w:cs="Times New Roman" w:eastAsia="Times New Roman" w:hAnsi="Times New Roman"/>
          <w:sz w:val="18"/>
          <w:szCs w:val="18"/>
          <w:color w:val="auto"/>
        </w:rPr>
        <w:t>You can contact us by mail sent to the attention of the Secretary of the Company, Anton Brett, Sixth Street Specialty Lending, Inc., 888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Avenue, 41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New York, NY 10106, or by email at abrett@sixthstreet.com. You can call us by dialing 469-621-2033. You can access our proxy materials online at www.proxyvote.com.</w:t>
      </w: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Attendance and Participation</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Company’s Meeting will be conducted in-person at the offices of Cleary Gottlieb Steen &amp; Hamilton LLP, One Liberty Plaza, 38th Floor, New York, NY 10006. Stockholders as of the close of business on March 31, 2023, the record date, are entitled to participate in and vote at the Meeting. If you have a question pertaining to the business of the Meeting, please submit it in accordance with the procedures described below.</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To participate in the Meeting, you will need the 16-digit control number included on your proxy card, your voting instruction form, or the Notice of Internet Availability of Proxy Materials previously mailed or made available to stockholders entitled to vote at the Meeting.</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In-person admission to the Meeting will be on a first-come, first served basis. Please bring proof of your common share ownership, such as a current brokerage statement and photo identification. If you are representing an entity that is a stockholder, you must also present documentation showing your authority to attend and act on behalf of the entity (such as a power of attorney, written proxy to vote or letter of authorization on the entity’s letterhead). We reserve the right to restrict admission to the meeting or limit the number of representatives for any entity that may be admitted to the meeting for security or health and safety reasons at our sole discretion.</w:t>
      </w:r>
    </w:p>
    <w:p>
      <w:pPr>
        <w:spacing w:after="0" w:line="183"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Annual Meeting of Stockholders will begin promptly at 9:30 a.m., Eastern Time, and the Special Meeting of Stockholders will begin promptly at 10:00 a.m., Eastern Time. Participants should allow plenty of time to check in prior to the start of the meetings.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can vote in person at the Meeting. If you hold your shares in “street name”, you must obtain a proxy from the record holder to vote in person.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your shares are held in a bank, brokerage or other institutional account, you are a beneficial owner of these shares but not the record holder. This is known as holding shares in “street name.” If you wish to vote the shares you hold in “street name” in person at the meeting, you must obtain a legal proxy from your bank, broker or other intermediary and bring it with you to hand in with your ballot.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List</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list of our stockholders of record entitled to vote at the Meeting will be made available for viewing by stockholders at the Meeting for any purpose germane to the Meeting.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March 31, 2023, the beneficial ownership as indicated in the Company’s books and records of each current director, the nominees for director, the Company’s Named Executive Officers, the Company’s executive officers and directors as a group, and each person known to the Company to beneficially own 5% or more of the outstanding shares of the Company’s common stock. With respect to persons known to the Company to beneficially own 5% or more of the outstanding shares of the Company’s common stock, the Company bases such knowledge on beneficial ownership filings made by the holders with the SEC.</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percentage ownership is based on 81,751,865 shares of common stock outstanding as of March 31, 2023.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2100 McKinney Avenue, Suite 1500, Dallas, TX 75201.</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54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54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54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54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Individual or Identity of Group</w:t>
            </w:r>
          </w:p>
        </w:tc>
        <w:tc>
          <w:tcPr>
            <w:tcW w:w="5840" w:type="dxa"/>
            <w:vAlign w:val="bottom"/>
            <w:vMerge w:val="restart"/>
          </w:tcPr>
          <w:p>
            <w:pPr>
              <w:spacing w:after="0"/>
              <w:rPr>
                <w:sz w:val="12"/>
                <w:szCs w:val="12"/>
                <w:color w:val="auto"/>
              </w:rPr>
            </w:pPr>
          </w:p>
        </w:tc>
        <w:tc>
          <w:tcPr>
            <w:tcW w:w="154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Beneficially</w:t>
            </w:r>
          </w:p>
        </w:tc>
        <w:tc>
          <w:tcPr>
            <w:tcW w:w="0" w:type="dxa"/>
            <w:vAlign w:val="bottom"/>
          </w:tcPr>
          <w:p>
            <w:pPr>
              <w:spacing w:after="0"/>
              <w:rPr>
                <w:sz w:val="1"/>
                <w:szCs w:val="1"/>
                <w:color w:val="auto"/>
              </w:rPr>
            </w:pPr>
          </w:p>
        </w:tc>
      </w:tr>
      <w:tr>
        <w:trPr>
          <w:trHeight w:val="180"/>
        </w:trPr>
        <w:tc>
          <w:tcPr>
            <w:tcW w:w="2480" w:type="dxa"/>
            <w:vAlign w:val="bottom"/>
            <w:tcBorders>
              <w:bottom w:val="single" w:sz="8" w:color="auto"/>
            </w:tcBorders>
            <w:vMerge w:val="continue"/>
          </w:tcPr>
          <w:p>
            <w:pPr>
              <w:spacing w:after="0"/>
              <w:rPr>
                <w:sz w:val="15"/>
                <w:szCs w:val="15"/>
                <w:color w:val="auto"/>
              </w:rPr>
            </w:pPr>
          </w:p>
        </w:tc>
        <w:tc>
          <w:tcPr>
            <w:tcW w:w="5840" w:type="dxa"/>
            <w:vAlign w:val="bottom"/>
            <w:vMerge w:val="continue"/>
          </w:tcPr>
          <w:p>
            <w:pPr>
              <w:spacing w:after="0"/>
              <w:rPr>
                <w:sz w:val="15"/>
                <w:szCs w:val="15"/>
                <w:color w:val="auto"/>
              </w:rPr>
            </w:pPr>
          </w:p>
        </w:tc>
        <w:tc>
          <w:tcPr>
            <w:tcW w:w="1540" w:type="dxa"/>
            <w:vAlign w:val="bottom"/>
            <w:gridSpan w:val="2"/>
          </w:tcPr>
          <w:p>
            <w:pPr>
              <w:jc w:val="center"/>
              <w:ind w:right="78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0"/>
                <w:szCs w:val="10"/>
                <w:b w:val="1"/>
                <w:bCs w:val="1"/>
                <w:color w:val="auto"/>
              </w:rPr>
              <w:t>(1)</w:t>
            </w:r>
          </w:p>
        </w:tc>
        <w:tc>
          <w:tcPr>
            <w:tcW w:w="11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90"/>
        </w:trPr>
        <w:tc>
          <w:tcPr>
            <w:tcW w:w="83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7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Interested Directors</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Joshua Easterly </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(Director Nominee)</w:t>
            </w: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56,355</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832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Michael Fishman </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7"/>
                <w:szCs w:val="17"/>
                <w:color w:val="auto"/>
              </w:rPr>
              <w:t xml:space="preserve"> (Director Nominee)</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36,366</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Jennifer Gordon</w:t>
            </w: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2,500</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David Stiepleman </w:t>
            </w:r>
            <w:r>
              <w:rPr>
                <w:rFonts w:ascii="Times New Roman" w:cs="Times New Roman" w:eastAsia="Times New Roman" w:hAnsi="Times New Roman"/>
                <w:sz w:val="25"/>
                <w:szCs w:val="25"/>
                <w:color w:val="auto"/>
                <w:vertAlign w:val="superscript"/>
              </w:rPr>
              <w:t>(4)</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11,079</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Independent Directors</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Hurley Doddy (Director Nominee)</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20,087</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Richard Higginbotham</w:t>
            </w: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29,000</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John Ross</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35,000</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Judy Slotkin</w:t>
            </w: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10,005</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Ronald Tanemura</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86,516</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Named Executive Officers Who Are Not Directors</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Ian Simmonds</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5,351</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Robert (Bo) Stanley </w:t>
            </w:r>
            <w:r>
              <w:rPr>
                <w:rFonts w:ascii="Times New Roman" w:cs="Times New Roman" w:eastAsia="Times New Roman" w:hAnsi="Times New Roman"/>
                <w:sz w:val="25"/>
                <w:szCs w:val="25"/>
                <w:color w:val="auto"/>
                <w:vertAlign w:val="superscript"/>
              </w:rPr>
              <w:t>(5)</w:t>
            </w: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14,907</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All Directors and Executive Officers as a Group (17 persons) </w:t>
            </w:r>
            <w:r>
              <w:rPr>
                <w:rFonts w:ascii="Times New Roman" w:cs="Times New Roman" w:eastAsia="Times New Roman" w:hAnsi="Times New Roman"/>
                <w:sz w:val="26"/>
                <w:szCs w:val="26"/>
                <w:color w:val="auto"/>
                <w:vertAlign w:val="superscript"/>
              </w:rPr>
              <w:t>(6)(7)</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2,997,671</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7715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5" w:lineRule="exact"/>
        <w:rPr>
          <w:sz w:val="20"/>
          <w:szCs w:val="20"/>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0.1%.</w:t>
      </w:r>
    </w:p>
    <w:p>
      <w:pPr>
        <w:spacing w:after="0" w:line="27" w:lineRule="exact"/>
        <w:rPr>
          <w:sz w:val="20"/>
          <w:szCs w:val="20"/>
          <w:color w:val="auto"/>
        </w:rPr>
      </w:pPr>
    </w:p>
    <w:p>
      <w:pPr>
        <w:ind w:left="540" w:right="20" w:hanging="424"/>
        <w:spacing w:after="0" w:line="251"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common stock and each director and executive officer has sole voting and/or investment power over the shares reported.</w:t>
      </w:r>
    </w:p>
    <w:p>
      <w:pPr>
        <w:spacing w:after="0" w:line="1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20" w:hanging="424"/>
        <w:spacing w:after="0" w:line="261"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18,792 shares of common stock beneficially owned by Mr. Easterly have been pledged as security in connection with a line of credit with a third party financial institution unaffiliated with the Company.</w:t>
      </w:r>
    </w:p>
    <w:p>
      <w:pPr>
        <w:ind w:left="540" w:right="200" w:hanging="424"/>
        <w:spacing w:after="0" w:line="25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36,366 shares of common stock beneficially owned by Mr. Fishman have been pledged as security in connection with a line of credit with a third party financial institution unaffiliated with the Company.</w:t>
      </w:r>
    </w:p>
    <w:p>
      <w:pPr>
        <w:ind w:left="540" w:hanging="424"/>
        <w:spacing w:after="0" w:line="25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5,544 shares of common stock beneficially owned by Mr. Stiepleman have been pledged as security in connection with a line of credit with a third party financial institution unaffiliated with the Company.</w:t>
      </w:r>
    </w:p>
    <w:p>
      <w:pPr>
        <w:ind w:left="540" w:right="260" w:hanging="424"/>
        <w:spacing w:after="0" w:line="25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3,907 shares of common stock beneficially owned by Mr. Stanley have been pledged as security in connection with a line of credit with a third party financial institution unaffiliated with the Company.</w:t>
      </w:r>
    </w:p>
    <w:p>
      <w:pPr>
        <w:ind w:left="540" w:right="140" w:hanging="424"/>
        <w:spacing w:after="0" w:line="25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owned by officers that are not “Named Executive Officers,” as defined in Item 402 of Regulation S-K, as promulgated under the Securities Act of 1933, as amended. 64,609 shares of common stock beneficially owned by certain officers have been pledged as security in connection with lines of credit with a third party financial institution unaffiliated with the Company.</w:t>
      </w:r>
    </w:p>
    <w:p>
      <w:pPr>
        <w:spacing w:after="0" w:line="1" w:lineRule="exact"/>
        <w:rPr>
          <w:rFonts w:ascii="Times New Roman" w:cs="Times New Roman" w:eastAsia="Times New Roman" w:hAnsi="Times New Roman"/>
          <w:sz w:val="18"/>
          <w:szCs w:val="18"/>
          <w:color w:val="auto"/>
        </w:rPr>
      </w:pPr>
    </w:p>
    <w:p>
      <w:pPr>
        <w:ind w:left="540" w:right="60" w:hanging="424"/>
        <w:spacing w:after="0" w:line="251"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Specialty Lending Advisers, LLC holds 2,714,226 shares of common stock (the “Sixth Street Specialty Lending Advisers Shares”). The business and affairs of Sixth Street Specialty Lending Advisers are managed by Sixth Street Specialty Lending Advisers Holdings, LLC, a Delaware limited liability company, the sole member of Sixth Street Specialty Lending Advisers. Sixth Street Specialty Advisers Holdings is managed by TSSP Holdco Management, LLC, a Delaware limited liability company. TSSP Holdco Management is managed by a board of directors, which is currently comprised of Alan Waxman. Mr. Waxman is the CEO and Managing Partner of TSSP Holdco Management. Because Mr. Waxman is a member of the board of directors of TSSP Holdco Management, he may be deemed to beneficially own the Sixth Street Specialty Lending Advisers Shares. Mr. Waxman disclaims beneficial ownership of the Sixth Street Specialty Lending Advisers Shares except to the extent of his pecuniary interest therein.</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455"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Pursuant to our certificate of incorporation, our Board consists of nine members. The Board is divided into three classes, with the members of each class each serving staggered, three-year terms. The terms of our Class III directors will expire at the Meeting; the terms of our Class I directors will expire at the 2024 annual meeting of stockholders; and the terms of our Class II directors will expire at the 2025 annual meeting of stockholders.</w:t>
      </w:r>
    </w:p>
    <w:p>
      <w:pPr>
        <w:spacing w:after="0" w:line="176" w:lineRule="exact"/>
        <w:rPr>
          <w:sz w:val="20"/>
          <w:szCs w:val="20"/>
          <w:color w:val="auto"/>
        </w:rPr>
      </w:pPr>
    </w:p>
    <w:p>
      <w:pPr>
        <w:jc w:val="both"/>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The Board has nominated Hurley Doddy, Joshua Easterly and Michael Fishman, each to serve until her or his successor is duly elected and qualified at the annual meeting of stockholders held in 2025 or until her or his earlier death, resignation or removal. Messrs. Doddy, Easterly and Fishman are currently directors of TSLX.</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Messrs. Doddy, Easterly and Fishman have consented to being named in this proxy statement and to serving as directors if elected at the Meeting. If, for any reason, any of them become unable or unwilling to serve at the time of the Meeting, the persons named as proxies in the proxy will have the authority to vote for a substitute nominee or nominees. We do not anticipate that Messrs. Doddy, Easterly and Fishman will be unable or unwilling to serve.</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Board has determined that Mr. Doddy is not an “interested person” of the Company, of the Adviser, or of any of their respective affiliates as defined in Section 2(a)(19) of the 1940 Act.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Board recommends that stockholders vote “FOR” the Company’s nominees for Class III Director.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Biographical Information</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Set forth below are brief biographies of Messrs. Doddy, Easterly and Fishman and of all other members of the Board who will continue in office.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Nominees for Election as Class III Director</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040" w:type="dxa"/>
            <w:vAlign w:val="bottom"/>
          </w:tcPr>
          <w:p>
            <w:pPr>
              <w:spacing w:after="0"/>
              <w:rPr>
                <w:sz w:val="16"/>
                <w:szCs w:val="16"/>
                <w:color w:val="auto"/>
              </w:rPr>
            </w:pPr>
          </w:p>
        </w:tc>
        <w:tc>
          <w:tcPr>
            <w:tcW w:w="7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45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Expiration of Term</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Hurley Doddy</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500" w:type="dxa"/>
            <w:vAlign w:val="bottom"/>
            <w:tcBorders>
              <w:top w:val="single" w:sz="8" w:color="CCEEFF"/>
            </w:tcBorders>
            <w:shd w:val="clear" w:color="auto" w:fill="CCEEFF"/>
          </w:tcPr>
          <w:p>
            <w:pPr>
              <w:spacing w:after="0"/>
              <w:rPr>
                <w:sz w:val="18"/>
                <w:szCs w:val="18"/>
                <w:color w:val="auto"/>
              </w:rPr>
            </w:pPr>
          </w:p>
        </w:tc>
        <w:tc>
          <w:tcPr>
            <w:tcW w:w="4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 (Independent)</w:t>
            </w:r>
          </w:p>
        </w:tc>
        <w:tc>
          <w:tcPr>
            <w:tcW w:w="4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60" w:type="dxa"/>
            <w:vAlign w:val="bottom"/>
            <w:tcBorders>
              <w:top w:val="single" w:sz="8" w:color="CCEEFF"/>
            </w:tcBorders>
            <w:shd w:val="clear" w:color="auto" w:fill="CCEEFF"/>
          </w:tcPr>
          <w:p>
            <w:pPr>
              <w:spacing w:after="0"/>
              <w:rPr>
                <w:sz w:val="18"/>
                <w:szCs w:val="18"/>
                <w:color w:val="auto"/>
              </w:rPr>
            </w:pPr>
          </w:p>
        </w:tc>
      </w:tr>
      <w:tr>
        <w:trPr>
          <w:trHeight w:val="198"/>
        </w:trPr>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Joshua Easterly</w:t>
            </w:r>
          </w:p>
        </w:tc>
        <w:tc>
          <w:tcPr>
            <w:tcW w:w="740" w:type="dxa"/>
            <w:vAlign w:val="bottom"/>
            <w:gridSpan w:val="2"/>
          </w:tcPr>
          <w:p>
            <w:pPr>
              <w:jc w:val="right"/>
              <w:ind w:right="500"/>
              <w:spacing w:after="0" w:line="198" w:lineRule="exact"/>
              <w:rPr>
                <w:sz w:val="20"/>
                <w:szCs w:val="20"/>
                <w:color w:val="auto"/>
              </w:rPr>
            </w:pPr>
            <w:r>
              <w:rPr>
                <w:rFonts w:ascii="Times New Roman" w:cs="Times New Roman" w:eastAsia="Times New Roman" w:hAnsi="Times New Roman"/>
                <w:sz w:val="18"/>
                <w:szCs w:val="18"/>
                <w:color w:val="auto"/>
              </w:rPr>
              <w:t>46</w:t>
            </w:r>
          </w:p>
        </w:tc>
        <w:tc>
          <w:tcPr>
            <w:tcW w:w="4580" w:type="dxa"/>
            <w:vAlign w:val="bottom"/>
            <w:gridSpan w:val="2"/>
          </w:tcPr>
          <w:p>
            <w:pPr>
              <w:jc w:val="center"/>
              <w:ind w:right="460"/>
              <w:spacing w:after="0" w:line="198" w:lineRule="exact"/>
              <w:rPr>
                <w:sz w:val="20"/>
                <w:szCs w:val="20"/>
                <w:color w:val="auto"/>
              </w:rPr>
            </w:pPr>
            <w:r>
              <w:rPr>
                <w:rFonts w:ascii="Times New Roman" w:cs="Times New Roman" w:eastAsia="Times New Roman" w:hAnsi="Times New Roman"/>
                <w:sz w:val="18"/>
                <w:szCs w:val="18"/>
                <w:color w:val="auto"/>
              </w:rPr>
              <w:t>Chairman, Director (Interested)</w:t>
            </w: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3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5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and Chief Executive Officer</w:t>
            </w: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2011</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Fishman</w:t>
            </w:r>
          </w:p>
        </w:tc>
        <w:tc>
          <w:tcPr>
            <w:tcW w:w="7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60</w:t>
            </w:r>
          </w:p>
        </w:tc>
        <w:tc>
          <w:tcPr>
            <w:tcW w:w="458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rPr>
              <w:t>Director (Interested) and Vice President</w:t>
            </w:r>
          </w:p>
        </w:tc>
        <w:tc>
          <w:tcPr>
            <w:tcW w:w="17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2011</w:t>
            </w:r>
          </w:p>
        </w:tc>
      </w:tr>
    </w:tbl>
    <w:p>
      <w:pPr>
        <w:spacing w:after="0" w:line="19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Hurley Doddy </w:t>
      </w:r>
      <w:r>
        <w:rPr>
          <w:rFonts w:ascii="Times New Roman" w:cs="Times New Roman" w:eastAsia="Times New Roman" w:hAnsi="Times New Roman"/>
          <w:sz w:val="18"/>
          <w:szCs w:val="18"/>
          <w:color w:val="auto"/>
        </w:rPr>
        <w:t>was elected a director of TSLX in January 2019. Mr. Doddy is a Managing Director, Founding Partner and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Emerging Capital Partners, a private equity fund manager focused on Africa. Prior to founding Emerging Capital Partners in 1999, Mr. Doddy was an Executive Director at Sumitomo Finance International in London. Mr. Doddy’s career in finance began at Salomon Brothers in 1984, lasting over 14 years with assignments in New York, Tokyo, and Sao Paulo. He also currently serves on the board of Sixth Street Lending Partners. Mr. Doddy holds an A.B. in Economics from Princeton University and a Chartered Financial Analyst (CFA) designation. Mr. Doddy’s breadth of experience across financial markets and products, geographies, along with his focus on risk management, provides the Board with valuable insight and perspective in the credit sector.</w:t>
      </w:r>
    </w:p>
    <w:p>
      <w:pPr>
        <w:spacing w:after="0" w:line="183"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Joshua Easterly </w:t>
      </w:r>
      <w:r>
        <w:rPr>
          <w:rFonts w:ascii="Times New Roman" w:cs="Times New Roman" w:eastAsia="Times New Roman" w:hAnsi="Times New Roman"/>
          <w:sz w:val="18"/>
          <w:szCs w:val="18"/>
          <w:color w:val="auto"/>
        </w:rPr>
        <w:t>was appointed Chief Executive Officer of TSLX in January 2018 and elected a director and Chairman of TSLX in March 2011.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his appointment, Mr. Easterly served as a Vice President of TSLX since March 2011 and as the Co-Chief Executive Officer of TSLX since December 2013, along with</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1" w:lineRule="auto"/>
        <w:rPr>
          <w:sz w:val="20"/>
          <w:szCs w:val="20"/>
          <w:color w:val="auto"/>
        </w:rPr>
      </w:pPr>
      <w:r>
        <w:rPr>
          <w:rFonts w:ascii="Times New Roman" w:cs="Times New Roman" w:eastAsia="Times New Roman" w:hAnsi="Times New Roman"/>
          <w:sz w:val="17"/>
          <w:szCs w:val="17"/>
          <w:color w:val="auto"/>
        </w:rPr>
        <w:t>Michael Fishman. Mr. Easterly is also Chief Executive Officer, a trustee and Chairman of the board of Sixth Street Lending Partners. Mr. Easterly is a Co-Founding Partner and Co-President of Sixth Street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commercial finance company of Wells Fargo and Company. Mr. Easterly graduated from California State University, Fresno with a Bachelor of Science in Business Administration, magna cum laude. Mr. Easterly’s depth of experience investing in a variety of distressed and special situations transactions as well as his extensive knowledge of the business and operations of Sixth Street provides the Board with valuable insight and expertise.</w:t>
      </w:r>
    </w:p>
    <w:p>
      <w:pPr>
        <w:spacing w:after="0" w:line="16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Michael Fishman </w:t>
      </w:r>
      <w:r>
        <w:rPr>
          <w:rFonts w:ascii="Times New Roman" w:cs="Times New Roman" w:eastAsia="Times New Roman" w:hAnsi="Times New Roman"/>
          <w:sz w:val="18"/>
          <w:szCs w:val="18"/>
          <w:color w:val="auto"/>
        </w:rPr>
        <w:t>was elected a director of TSLX in April 2011. From April 2011 to December 2013, he served as Chief Executive Officer,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December 2013 to December 2017, he served as Co-Chief Executive Officer with Joshua Easterly. Mr. Fishman is a Vice President of TSLX and is a Sixth Street Partner. He has been an executive in corporate lending for more than 30 years with senior management experience in credit, portfolio management and primary loan originations. Prior to joining TSLX,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Bachelor of Science in Finance from Rochester Institute of Technology. Mr. Fishman’s extensive experience in the credit markets provides the Board with valuable industry-specific knowledge.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Incumbent Class I Directors: Term Expiring 2024</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50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41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6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9"/>
              </w:rPr>
              <w:t>Expiration of Term</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Higginbotham</w:t>
            </w: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75</w:t>
            </w:r>
          </w:p>
        </w:tc>
        <w:tc>
          <w:tcPr>
            <w:tcW w:w="480" w:type="dxa"/>
            <w:vAlign w:val="bottom"/>
            <w:tcBorders>
              <w:top w:val="single" w:sz="8" w:color="CCEEFF"/>
            </w:tcBorders>
            <w:shd w:val="clear" w:color="auto" w:fill="CCEEFF"/>
          </w:tcPr>
          <w:p>
            <w:pPr>
              <w:spacing w:after="0"/>
              <w:rPr>
                <w:sz w:val="18"/>
                <w:szCs w:val="18"/>
                <w:color w:val="auto"/>
              </w:rPr>
            </w:pPr>
          </w:p>
        </w:tc>
        <w:tc>
          <w:tcPr>
            <w:tcW w:w="3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Director (Independent)</w:t>
            </w:r>
          </w:p>
        </w:tc>
        <w:tc>
          <w:tcPr>
            <w:tcW w:w="4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David Stiepleman</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51</w:t>
            </w:r>
          </w:p>
        </w:tc>
        <w:tc>
          <w:tcPr>
            <w:tcW w:w="4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Director (Interested) and Vice President</w:t>
            </w:r>
          </w:p>
        </w:tc>
        <w:tc>
          <w:tcPr>
            <w:tcW w:w="1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2019</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Tanemura</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59</w:t>
            </w:r>
          </w:p>
        </w:tc>
        <w:tc>
          <w:tcPr>
            <w:tcW w:w="418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rPr>
              <w:t>Director (Independent)</w:t>
            </w:r>
          </w:p>
        </w:tc>
        <w:tc>
          <w:tcPr>
            <w:tcW w:w="16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2011</w:t>
            </w:r>
          </w:p>
        </w:tc>
      </w:tr>
    </w:tbl>
    <w:p>
      <w:pPr>
        <w:spacing w:after="0" w:line="19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Richard Higginbotham </w:t>
      </w:r>
      <w:r>
        <w:rPr>
          <w:rFonts w:ascii="Times New Roman" w:cs="Times New Roman" w:eastAsia="Times New Roman" w:hAnsi="Times New Roman"/>
          <w:sz w:val="18"/>
          <w:szCs w:val="18"/>
          <w:color w:val="auto"/>
        </w:rPr>
        <w:t>was elected a director of TSLX in March 2011. From September 2010, he was a director of Healthcare Finance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until its sale in 2013. Between July 2008 and March 2010, Mr. Higginbotham was a director and then chairman of Tygris Commercial Finance Group, Inc.,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 He also currently serves on the board of Sixth Street Lending Partners. 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83"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David Stiepleman </w:t>
      </w:r>
      <w:r>
        <w:rPr>
          <w:rFonts w:ascii="Times New Roman" w:cs="Times New Roman" w:eastAsia="Times New Roman" w:hAnsi="Times New Roman"/>
          <w:sz w:val="18"/>
          <w:szCs w:val="18"/>
          <w:color w:val="auto"/>
        </w:rPr>
        <w:t>was elected a director of TSLX in September 2019. Mr. Stiepleman is a Vice President of TSLX. He is a Co-Founding Partner,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Co-President and Co-Chief Operating Officer of Sixth Street. Mr. Stiepleman has been a cross-border corporate lawyer, senior executive and business builder for over 25 years, starting and running businesses, and representing clients, in the U.S., Europe and Asia. Mr. Stiepleman currently serves on the board of Sixth Street Lending Partners and is a strategic advisor to Concrete Rose, an early stage investment platform deploying financial and social capital to underrepresented founders of color. He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also serves on the Advisory Council for Mt. Tamalpais College, a college-degree awarding program at San Quentin Prison. Mr. Stiepleman received a B.A. in French and Political Science from Amherst College and a J.D. from Columbia University. Mr. Stiepleman’s legal, regulatory and operational experience provides the Board with valuable knowledge and guidance.</w:t>
      </w:r>
    </w:p>
    <w:p>
      <w:pPr>
        <w:spacing w:after="0" w:line="17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Ronald Tanemura </w:t>
      </w:r>
      <w:r>
        <w:rPr>
          <w:rFonts w:ascii="Times New Roman" w:cs="Times New Roman" w:eastAsia="Times New Roman" w:hAnsi="Times New Roman"/>
          <w:sz w:val="18"/>
          <w:szCs w:val="18"/>
          <w:color w:val="auto"/>
        </w:rPr>
        <w:t>was elected a director of TSLX in March 2011. Since 2012, Mr. Tanemura has served as a director of post-reorganization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Lehman Brothers Holdings Inc. in New York. Also, from 2012 to 2019, he served as a non-executive director of ICE Clear Credit in Chicago and, from 2009 to 2019, he served as a non-executive director of ICE Clear Europe in London, both wholly owned subsidiaries of Intercontinental Exchange, Inc. Prior to that, Mr. Tanemura was an Advisory Director and Partner at Goldman, Sachs &amp; Co. from 2000 to 2006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and currently serves on the boards of Sixth Street Lending Partners and of Talcott Resolution Life Insurance Company and certain affiliates. Mr. Tanemura’s extensive experience in the financial markets provides the Board with valuable industry-specific knowledge.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Incumbent Class II Directors: Term Expiring 2025</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400" w:type="dxa"/>
            <w:vAlign w:val="bottom"/>
          </w:tcPr>
          <w:p>
            <w:pPr>
              <w:spacing w:after="0"/>
              <w:rPr>
                <w:sz w:val="16"/>
                <w:szCs w:val="16"/>
                <w:color w:val="auto"/>
              </w:rPr>
            </w:pPr>
          </w:p>
        </w:tc>
        <w:tc>
          <w:tcPr>
            <w:tcW w:w="7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4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Expiration of Term</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Gordon</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0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 (Interested) and Vice President</w:t>
            </w:r>
          </w:p>
        </w:tc>
        <w:tc>
          <w:tcPr>
            <w:tcW w:w="4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4"/>
              </w:rPr>
              <w:t>2025</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John Ross</w:t>
            </w:r>
          </w:p>
        </w:tc>
        <w:tc>
          <w:tcPr>
            <w:tcW w:w="7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78</w:t>
            </w:r>
          </w:p>
        </w:tc>
        <w:tc>
          <w:tcPr>
            <w:tcW w:w="4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Director (Independent)</w:t>
            </w:r>
          </w:p>
        </w:tc>
        <w:tc>
          <w:tcPr>
            <w:tcW w:w="16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2011</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Judy Slotkin</w:t>
            </w:r>
          </w:p>
        </w:tc>
        <w:tc>
          <w:tcPr>
            <w:tcW w:w="7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69</w:t>
            </w:r>
          </w:p>
        </w:tc>
        <w:tc>
          <w:tcPr>
            <w:tcW w:w="424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9"/>
              </w:rPr>
              <w:t>Director (Independent)</w:t>
            </w:r>
          </w:p>
        </w:tc>
        <w:tc>
          <w:tcPr>
            <w:tcW w:w="16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2019</w:t>
            </w:r>
          </w:p>
        </w:tc>
      </w:tr>
    </w:tbl>
    <w:p>
      <w:pPr>
        <w:spacing w:after="0" w:line="19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Jennifer Gordon </w:t>
      </w:r>
      <w:r>
        <w:rPr>
          <w:rFonts w:ascii="Times New Roman" w:cs="Times New Roman" w:eastAsia="Times New Roman" w:hAnsi="Times New Roman"/>
          <w:sz w:val="18"/>
          <w:szCs w:val="18"/>
          <w:color w:val="auto"/>
        </w:rPr>
        <w:t>was elected a director of TSLX in January 2019. Ms. Gordon is a Vice President of TSLX and is a Partner, Co-Chief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and Chief Compliance Officer of Sixth Street. She also currently serves on the board of Sixth Street Lending Partners. Until Ms. Gordon’s election to the Company’s Board, she also served as the Chief Compliance Officer and Secretary of the Company since 2015. Prior to joining Sixth Street, from 2004 to 2014, she held various positions at Goldman, Sachs &amp; Co., including most recently as a Managing Director co-heading Americas Securities Division Compliance. Ms. Gordon was previously an associate at the law firm of White &amp; Case LLP. Ms. Gordon holds a J.D. from Fordham University School of Law and B.A. in International Relations from the University of Michigan. Ms. Gordon’s regulatory and operational knowledge provides the Board with valuable insight in the financial services sector.</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John Ross </w:t>
      </w:r>
      <w:r>
        <w:rPr>
          <w:rFonts w:ascii="Times New Roman" w:cs="Times New Roman" w:eastAsia="Times New Roman" w:hAnsi="Times New Roman"/>
          <w:sz w:val="18"/>
          <w:szCs w:val="18"/>
          <w:color w:val="auto"/>
        </w:rPr>
        <w:t>was elected a director of TSLX in March 2011. From 2003 to 2011, Mr. Ross was a director and member of the board risk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 University of Pennsylvania. Mr. Ross’s experience serving as a director of a regulated bank, as well as his past experience as a chief operating officer, provides the Board with valuable knowledge and insight in the financial services sector, as well as experience in financial and accounting matters.</w:t>
      </w:r>
    </w:p>
    <w:p>
      <w:pPr>
        <w:spacing w:after="0" w:line="185" w:lineRule="exact"/>
        <w:rPr>
          <w:sz w:val="20"/>
          <w:szCs w:val="20"/>
          <w:color w:val="auto"/>
        </w:rPr>
      </w:pPr>
    </w:p>
    <w:p>
      <w:pPr>
        <w:ind w:left="120" w:right="3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Judy Slotkin </w:t>
      </w:r>
      <w:r>
        <w:rPr>
          <w:rFonts w:ascii="Times New Roman" w:cs="Times New Roman" w:eastAsia="Times New Roman" w:hAnsi="Times New Roman"/>
          <w:sz w:val="18"/>
          <w:szCs w:val="18"/>
          <w:color w:val="auto"/>
        </w:rPr>
        <w:t>was elected a director of TSLX in September 2019. Ms. Slotkin retired as a Managing Director from Bank of America in 2015,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 she most recently led business development and relationship management for the New York market as part of the Market Executive team in private wealth management. Prior to joining Bank of America in 2010, Ms. Slotkin served as the Chief Risk Officer at Everspan Financial Guaranty. Prior to joining Everspan, Ms. Slotkin served various leadership roles at Citigroup, including Department Head of the Corporate Finance Division, where she led origination, trading and sales of asset-backed</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securities, commercial paper on an agency basis, loan note trading and investment grade loan syndications. During her career at Citigroup, Ms. Slotkin also served as the Credit Head of the Corporate Finance Division and Municipal Credit Head of Public Finance. Ms. Slotkin holds a B.S. in Accounting from Fairleigh Dickinson University and an M.B.A. in Finance from Fordham University. She currently serves on the board and as chair of the audit committee of Sixth Street Lending Partners and she previously served as a director, chair of the nominating and corporate governance committee and a member of the audit committee for Siga Technologies, Inc. and a director and chair of the audit committee for Nephros, Inc. Ms. Slotkin’s numerous management positions and broad experiences within financial institutions provide the Board and, specifically, the Audit Committee, which she chairs, with valuable knowledge and insight in the financial services sector.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Owned by Directors and Nominees in the Company</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dollar range of equity securities of the Company beneficially owned by each director or director nominee as of March 31, 2023. The Company is not part of a “family of investment companies,” as that term is defined in the 1940 Act.</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4260" w:type="dxa"/>
            <w:vAlign w:val="bottom"/>
            <w:gridSpan w:val="3"/>
          </w:tcPr>
          <w:p>
            <w:pPr>
              <w:jc w:val="center"/>
              <w:ind w:left="1828"/>
              <w:spacing w:after="0"/>
              <w:rPr>
                <w:sz w:val="20"/>
                <w:szCs w:val="20"/>
                <w:color w:val="auto"/>
              </w:rPr>
            </w:pPr>
            <w:r>
              <w:rPr>
                <w:rFonts w:ascii="Times New Roman" w:cs="Times New Roman" w:eastAsia="Times New Roman" w:hAnsi="Times New Roman"/>
                <w:sz w:val="14"/>
                <w:szCs w:val="14"/>
                <w:b w:val="1"/>
                <w:bCs w:val="1"/>
                <w:color w:val="auto"/>
              </w:rPr>
              <w:t>Dollar Range of our Common Stock</w:t>
            </w:r>
          </w:p>
        </w:tc>
      </w:tr>
      <w:tr>
        <w:trPr>
          <w:trHeight w:val="173"/>
        </w:trPr>
        <w:tc>
          <w:tcPr>
            <w:tcW w:w="50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 xml:space="preserve">Beneficially Owned </w:t>
            </w:r>
            <w:r>
              <w:rPr>
                <w:rFonts w:ascii="Times New Roman" w:cs="Times New Roman" w:eastAsia="Times New Roman" w:hAnsi="Times New Roman"/>
                <w:sz w:val="10"/>
                <w:szCs w:val="10"/>
                <w:b w:val="1"/>
                <w:bCs w:val="1"/>
                <w:color w:val="auto"/>
              </w:rPr>
              <w:t>(1) (2)</w:t>
            </w:r>
          </w:p>
        </w:tc>
      </w:tr>
      <w:tr>
        <w:trPr>
          <w:trHeight w:val="196"/>
        </w:trPr>
        <w:tc>
          <w:tcPr>
            <w:tcW w:w="5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Interested Directors</w:t>
            </w:r>
          </w:p>
        </w:tc>
        <w:tc>
          <w:tcPr>
            <w:tcW w:w="198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Joshua Easterly</w:t>
            </w:r>
          </w:p>
        </w:tc>
        <w:tc>
          <w:tcPr>
            <w:tcW w:w="1980" w:type="dxa"/>
            <w:vAlign w:val="bottom"/>
          </w:tcPr>
          <w:p>
            <w:pPr>
              <w:spacing w:after="0"/>
              <w:rPr>
                <w:sz w:val="18"/>
                <w:szCs w:val="18"/>
                <w:color w:val="auto"/>
              </w:rPr>
            </w:pP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Michael Fishman</w:t>
            </w:r>
          </w:p>
        </w:tc>
        <w:tc>
          <w:tcPr>
            <w:tcW w:w="19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Jennifer Gordon (Director Nominee)</w:t>
            </w:r>
          </w:p>
        </w:tc>
        <w:tc>
          <w:tcPr>
            <w:tcW w:w="1980" w:type="dxa"/>
            <w:vAlign w:val="bottom"/>
          </w:tcPr>
          <w:p>
            <w:pPr>
              <w:spacing w:after="0"/>
              <w:rPr>
                <w:sz w:val="18"/>
                <w:szCs w:val="18"/>
                <w:color w:val="auto"/>
              </w:rPr>
            </w:pP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$10,001—$50,000</w:t>
            </w: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David Stiepleman</w:t>
            </w:r>
          </w:p>
        </w:tc>
        <w:tc>
          <w:tcPr>
            <w:tcW w:w="19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Independent Directors</w:t>
            </w:r>
          </w:p>
        </w:tc>
        <w:tc>
          <w:tcPr>
            <w:tcW w:w="19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Hurley Doddy</w:t>
            </w:r>
          </w:p>
        </w:tc>
        <w:tc>
          <w:tcPr>
            <w:tcW w:w="19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Richard Higginbotham</w:t>
            </w:r>
          </w:p>
        </w:tc>
        <w:tc>
          <w:tcPr>
            <w:tcW w:w="1980" w:type="dxa"/>
            <w:vAlign w:val="bottom"/>
          </w:tcPr>
          <w:p>
            <w:pPr>
              <w:spacing w:after="0"/>
              <w:rPr>
                <w:sz w:val="18"/>
                <w:szCs w:val="18"/>
                <w:color w:val="auto"/>
              </w:rPr>
            </w:pP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John Ross (Director Nominee)</w:t>
            </w:r>
          </w:p>
        </w:tc>
        <w:tc>
          <w:tcPr>
            <w:tcW w:w="19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Judy Slotkin (Director Nominee)</w:t>
            </w:r>
          </w:p>
        </w:tc>
        <w:tc>
          <w:tcPr>
            <w:tcW w:w="1980" w:type="dxa"/>
            <w:vAlign w:val="bottom"/>
          </w:tcPr>
          <w:p>
            <w:pPr>
              <w:spacing w:after="0"/>
              <w:rPr>
                <w:sz w:val="18"/>
                <w:szCs w:val="18"/>
                <w:color w:val="auto"/>
              </w:rPr>
            </w:pP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Ronald Tanemura</w:t>
            </w:r>
          </w:p>
        </w:tc>
        <w:tc>
          <w:tcPr>
            <w:tcW w:w="19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ranges used in the above table are $1—$10,000, $10,001—$50,000, $50,001—$100,000, or over $100,000.</w:t>
      </w:r>
    </w:p>
    <w:p>
      <w:pPr>
        <w:spacing w:after="0" w:line="27" w:lineRule="exact"/>
        <w:rPr>
          <w:rFonts w:ascii="Times New Roman" w:cs="Times New Roman" w:eastAsia="Times New Roman" w:hAnsi="Times New Roman"/>
          <w:sz w:val="18"/>
          <w:szCs w:val="18"/>
          <w:color w:val="auto"/>
        </w:rPr>
      </w:pPr>
    </w:p>
    <w:p>
      <w:pPr>
        <w:ind w:left="540" w:right="200" w:hanging="424"/>
        <w:spacing w:after="0" w:line="26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were determined using the number of shares that are beneficially owned as of March 31, 2023, multiplied by the closing sale price of the Company’s common stock as reported on the New York Stock Exchange (“NYSE”) as of March 31, 2023.</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Litigation Involving Directors and Nominees Adverse to the Company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Regarding Executive Officers Who Are Not Directors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92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6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Officer Since</w:t>
            </w:r>
          </w:p>
        </w:tc>
      </w:tr>
      <w:tr>
        <w:trPr>
          <w:trHeight w:val="209"/>
        </w:trPr>
        <w:tc>
          <w:tcPr>
            <w:tcW w:w="2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Anton Brett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36</w:t>
            </w:r>
          </w:p>
        </w:tc>
        <w:tc>
          <w:tcPr>
            <w:tcW w:w="380" w:type="dxa"/>
            <w:vAlign w:val="bottom"/>
            <w:tcBorders>
              <w:top w:val="single" w:sz="8" w:color="CCEEFF"/>
            </w:tcBorders>
            <w:shd w:val="clear" w:color="auto" w:fill="CCEEFF"/>
          </w:tcPr>
          <w:p>
            <w:pPr>
              <w:spacing w:after="0"/>
              <w:rPr>
                <w:sz w:val="18"/>
                <w:szCs w:val="18"/>
                <w:color w:val="auto"/>
              </w:rPr>
            </w:pPr>
          </w:p>
        </w:tc>
        <w:tc>
          <w:tcPr>
            <w:tcW w:w="6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Chief Compliance Officer and Secretary</w:t>
            </w: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Graf</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41</w:t>
            </w:r>
          </w:p>
        </w:tc>
        <w:tc>
          <w:tcPr>
            <w:tcW w:w="6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Deputy Chief Financial Officer and Principal Accounting Officer</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2015</w:t>
            </w: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Hamrah</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54</w:t>
            </w:r>
          </w:p>
        </w:tc>
        <w:tc>
          <w:tcPr>
            <w:tcW w:w="66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8"/>
              </w:rPr>
              <w:t>Vice President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2016</w:t>
            </w: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Joshua Peck</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44</w:t>
            </w:r>
          </w:p>
        </w:tc>
        <w:tc>
          <w:tcPr>
            <w:tcW w:w="6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Vice President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2022</w:t>
            </w: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Pluss</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60</w:t>
            </w:r>
          </w:p>
        </w:tc>
        <w:tc>
          <w:tcPr>
            <w:tcW w:w="66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8"/>
              </w:rPr>
              <w:t>Vice President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2014</w:t>
            </w: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Ian Simmonds</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51</w:t>
            </w:r>
          </w:p>
        </w:tc>
        <w:tc>
          <w:tcPr>
            <w:tcW w:w="6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2015</w:t>
            </w: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(Bo) Stanley</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48</w:t>
            </w:r>
          </w:p>
        </w:tc>
        <w:tc>
          <w:tcPr>
            <w:tcW w:w="66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8"/>
              </w:rPr>
              <w:t>President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2016</w:t>
            </w:r>
          </w:p>
        </w:tc>
      </w:tr>
      <w:tr>
        <w:trPr>
          <w:trHeight w:val="234"/>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Waxman</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48</w:t>
            </w:r>
          </w:p>
        </w:tc>
        <w:tc>
          <w:tcPr>
            <w:tcW w:w="6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Vice President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2011</w:t>
            </w:r>
          </w:p>
        </w:tc>
      </w:tr>
      <w:tr>
        <w:trPr>
          <w:trHeight w:val="346"/>
        </w:trPr>
        <w:tc>
          <w:tcPr>
            <w:tcW w:w="2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300" w:type="dxa"/>
            <w:vAlign w:val="bottom"/>
          </w:tcPr>
          <w:p>
            <w:pPr>
              <w:jc w:val="right"/>
              <w:ind w:right="4152"/>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Anton Brett </w:t>
      </w:r>
      <w:r>
        <w:rPr>
          <w:rFonts w:ascii="Times New Roman" w:cs="Times New Roman" w:eastAsia="Times New Roman" w:hAnsi="Times New Roman"/>
          <w:sz w:val="18"/>
          <w:szCs w:val="18"/>
          <w:color w:val="auto"/>
        </w:rPr>
        <w:t>is the Chief Compliance Officer and Secretary of TSLX and a Principal of Sixth Street. Prior to joining Sixth Street, from 2017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 he was a Senior Associate at Scopia Capital Management, LP. From 2014 to 2017, Mr. Brett was an Associate at the law firm of Willkie Farr &amp; Gallagher LLP. From 2009 to 2011, he was an Analyst, and later a Senior Analyst, at the law firm of Kobre &amp; Kim LLP. Mr. Brett holds a J.D. from Duke University School of Law and B.A. in International Relations and Slavic Studies, magna cum laude, from Brown University.</w:t>
      </w:r>
    </w:p>
    <w:p>
      <w:pPr>
        <w:spacing w:after="0" w:line="176"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Michael Graf </w:t>
      </w:r>
      <w:r>
        <w:rPr>
          <w:rFonts w:ascii="Times New Roman" w:cs="Times New Roman" w:eastAsia="Times New Roman" w:hAnsi="Times New Roman"/>
          <w:sz w:val="18"/>
          <w:szCs w:val="18"/>
          <w:color w:val="auto"/>
        </w:rPr>
        <w:t>is a Principal and Deputy Chief Financial Officer of TSLX. Mr. Graf has been TSLX’s Controller since 2013. From 2010 to 2013,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Graf was a Vice President in Alternative Investments at U.S. Bancorp Fund Services, LLC. From 2006 to 2010, Mr. Graf was an Accounting Manager at GSC Group, Inc., a private investment firm. Prior to working at GSC Group Inc., Mr. Graf worked in public accounting at KPMG from 2004 to 2006. Mr. Graf holds a B.S. in Finance and Accounting from the Leonard N. Stern School of Business at New York University. He is a Certified Public Accountant.</w:t>
      </w:r>
    </w:p>
    <w:p>
      <w:pPr>
        <w:spacing w:after="0" w:line="179" w:lineRule="exact"/>
        <w:rPr>
          <w:sz w:val="20"/>
          <w:szCs w:val="20"/>
          <w:color w:val="auto"/>
        </w:rPr>
      </w:pPr>
    </w:p>
    <w:p>
      <w:pPr>
        <w:ind w:left="120" w:right="14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Craig Hamrah </w:t>
      </w:r>
      <w:r>
        <w:rPr>
          <w:rFonts w:ascii="Times New Roman" w:cs="Times New Roman" w:eastAsia="Times New Roman" w:hAnsi="Times New Roman"/>
          <w:sz w:val="17"/>
          <w:szCs w:val="17"/>
          <w:color w:val="auto"/>
        </w:rPr>
        <w:t>is a Vice President of TSLX, Senior Credit Underwriter of the Adviser and a Partner of Sixth Street. Mr. Hamrah was previously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Silver Point Capital, where he was a senior deal underwriter and oversaw the portfolio in the private finance group. From 2004 to 2005,</w:t>
      </w:r>
    </w:p>
    <w:p>
      <w:pPr>
        <w:spacing w:after="0" w:line="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Mr. Hamrah was a Senior Vice President at the Royal Bank of Scotland. From 1997 to 2004, Mr. Hamrah was an Executive Vice President at Emigrant Business Credit Corp, a subsidiary of Emigrant Savings Bank. Mr. Hamrah started his career at The CIT Group in 1990 working in the commercial finance and equipment finance divisions. He holds a B.A. in Business Economics from Brown University.</w:t>
      </w:r>
    </w:p>
    <w:p>
      <w:pPr>
        <w:spacing w:after="0" w:line="182" w:lineRule="exact"/>
        <w:rPr>
          <w:sz w:val="20"/>
          <w:szCs w:val="20"/>
          <w:color w:val="auto"/>
        </w:rPr>
      </w:pPr>
    </w:p>
    <w:p>
      <w:pPr>
        <w:ind w:left="12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Joshua Peck </w:t>
      </w:r>
      <w:r>
        <w:rPr>
          <w:rFonts w:ascii="Times New Roman" w:cs="Times New Roman" w:eastAsia="Times New Roman" w:hAnsi="Times New Roman"/>
          <w:sz w:val="17"/>
          <w:szCs w:val="17"/>
          <w:color w:val="auto"/>
        </w:rPr>
        <w:t>is a Vice President of TSLX and a Partner and General Counsel of Sixth Street. Prior to joining Sixth Street in 2015, Mr. Peck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 Associate with Weil, Gotshal &amp; Manges LLP, focused on private equity and mergers and acquisitions. He holds a J.D. from Fordham Law School and a B.A. in Government from Cornell University. Mr. Peck serves on the Board of Directors of Legal Aid at Work, a non-profit legal services organization that has been assisting low-income, working families for more than 100 years. He also serves on the Advisory Council of the Law Firm Antiracism Alliance, which brings together law firms and legal services organizations to identify and dismantle structural and systemic racism in the law.</w:t>
      </w:r>
    </w:p>
    <w:p>
      <w:pPr>
        <w:spacing w:after="0" w:line="164" w:lineRule="exact"/>
        <w:rPr>
          <w:sz w:val="20"/>
          <w:szCs w:val="20"/>
          <w:color w:val="auto"/>
        </w:rPr>
      </w:pPr>
    </w:p>
    <w:p>
      <w:pPr>
        <w:ind w:left="120" w:right="1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Steven Pluss </w:t>
      </w:r>
      <w:r>
        <w:rPr>
          <w:rFonts w:ascii="Times New Roman" w:cs="Times New Roman" w:eastAsia="Times New Roman" w:hAnsi="Times New Roman"/>
          <w:sz w:val="18"/>
          <w:szCs w:val="18"/>
          <w:color w:val="auto"/>
        </w:rPr>
        <w:t>is a Vice President of TSLX. He is a Co-Founding Partner of Sixth Street and has also been the Chief Risk Officer since 2013,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the Chief Financial Officer from 2013 to 2016. Prior to joining Sixth Street, Mr. Pluss was a Managing 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holds a B.B.A. from Texas A&amp;M University and an M.B.A. from Southern Methodist University.</w:t>
      </w:r>
    </w:p>
    <w:p>
      <w:pPr>
        <w:spacing w:after="0" w:line="17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Ian Simmonds </w:t>
      </w:r>
      <w:r>
        <w:rPr>
          <w:rFonts w:ascii="Times New Roman" w:cs="Times New Roman" w:eastAsia="Times New Roman" w:hAnsi="Times New Roman"/>
          <w:sz w:val="18"/>
          <w:szCs w:val="18"/>
          <w:color w:val="auto"/>
        </w:rPr>
        <w:t>is the Chief Financial Officer of TSLX and a Managing Director of Sixth Street. He is also the Chief Financial Officer of Sixth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Street Lending Partners. From 2005 to 2015, Mr. Simmonds was a member of the Financial Institutions Group at Bank of America Merrill Lynch’s Global Investment Bank in New York, most recently as a Managing Director. From 2000 to 2003, Mr. Simmonds was Managing Director at Principal Global Investors, the asset management unit of The Principal Financial Group, based in Singapore. Prior to this role, Mr. Simmonds was a Senior Vice President at Bankers Trust Australia from 1995 to 2000 (acquired by Principal in 1999), and worked in public accounting at KPMG from 1989 to 1995. Mr. Simmonds holds a Bachelor of Commerce from the University of New South Wales, a Master of Applied Finance from Macquarie University, and an M.B.A. from the Wharton School of the University of Pennsylvania. He is a Chartered Accountant.</w:t>
      </w:r>
    </w:p>
    <w:p>
      <w:pPr>
        <w:spacing w:after="0" w:line="183" w:lineRule="exact"/>
        <w:rPr>
          <w:sz w:val="20"/>
          <w:szCs w:val="20"/>
          <w:color w:val="auto"/>
        </w:rPr>
      </w:pPr>
    </w:p>
    <w:p>
      <w:pPr>
        <w:jc w:val="both"/>
        <w:ind w:left="120"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Robert (“Bo”) Stanley </w:t>
      </w:r>
      <w:r>
        <w:rPr>
          <w:rFonts w:ascii="Times New Roman" w:cs="Times New Roman" w:eastAsia="Times New Roman" w:hAnsi="Times New Roman"/>
          <w:sz w:val="18"/>
          <w:szCs w:val="18"/>
          <w:color w:val="auto"/>
        </w:rPr>
        <w:t>is President of TSLX, a Partner of Sixth Street, and co-head of Sixth Street Growth. Mr. Stanley focuses on originating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in the software, payment systems, data infrastructure and business services sectors. Mr. Stanley was previously with Wells Fargo Capital Finance, a provider of specialized</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senior secured financing to companies throughout the U.S. and Canada, from 2000 to 2011. While at Wells Fargo, Mr. Stanley served in multiple roles in an underwriting and origination capacity. He holds a B.S. in Business Administration with a concentration in Finance from the University of Maine.</w:t>
      </w:r>
    </w:p>
    <w:p>
      <w:pPr>
        <w:spacing w:after="0" w:line="15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Alan Waxman </w:t>
      </w:r>
      <w:r>
        <w:rPr>
          <w:rFonts w:ascii="Times New Roman" w:cs="Times New Roman" w:eastAsia="Times New Roman" w:hAnsi="Times New Roman"/>
          <w:sz w:val="18"/>
          <w:szCs w:val="18"/>
          <w:color w:val="auto"/>
        </w:rPr>
        <w:t>is a Vice President of TSLX. Mr. Waxman is a Co-Founding Partner and Chief Executive Officer of Sixth Street.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co-founding Sixth Street, Mr. Waxman was a Partner at Goldman, Sachs &amp; Co. and Chief Investment Officer of its largest proprietary investing business, the Americas Special Situations Group. Sixth Street continues an investment philosophy Mr. Waxman and Sixth Street’s founding partner group began developing over 20 years ago while building complementary businesses to invest Goldman’s capital in public and private markets across the capital structure in companies, assets, and idiosyncratic opportunities. Mr. Waxman is a Founding LP and Strategic Advisor to Concrete Rose, an early stage investment platform deploying financial and social capital to underrepresented founders of color. He and other Sixth Street team members began advising Concrete Rose leadership on the firm’s formation in 2018 and Sixth Street is a Founding Strategic Partner. Mr. Waxman holds a B.A. in International Relations from the University of Pennsylvania and currently serves on the Board of Overseers for the University of Pennsylvania College of Arts and Sciences. He is a Board Member Emeritus for Tipping Point Community and serves on the Advisory Council for the Boys and Girls Club of the Peninsula, which are both focused on fighting poverty and inequality of opportunity in the San Francisco Bay Area.</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Pursuant to our certificate of incorporation and our bylaws, our Board consists of nine members. Pursuant to our bylaws, the Board may increase or decrease the number of directors to no fewer than four and no greater than nine. The Board is divided into three classes, with the members of each class each serving staggered, three-year terms. The terms of our Class I directors will expire at the 2024 annual meeting of stockholders; the terms of our Class II directors will expire at the 2025 annual meeting of stockholders; and the terms of our Class III directors will expire at the Meeting.</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business development company (“BDC”) is considered to be independent if he or she is not an “interested person” of ours, as defined in Section 2(a)(19) of the 1940 Act. We refer to these directors as our “Independent Directors.”</w:t>
      </w:r>
    </w:p>
    <w:p>
      <w:pPr>
        <w:spacing w:after="0" w:line="180"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Doddy, Higginbotham, Ross,</w:t>
      </w: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Ms. Slotkin and Mr. Tanemura qualify as Independent Directors. Each director who serves on the Audit Committee is an independent director under the applicable NYSE listing standards and for purposes of Rule 10A-3 under the Securities Exchange Act of 1934, as amended (the “Exchange Act”). Each director who serves on the Compensation Committee and Nominating and Corporate Governance Committee is an independent director under the applicable NYSE listing standards. A majority of the voting members of the Risk Management Committee are Independent Directors.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Messrs. Easterly, Fishman, Ms. Gordon and Mr. Stiepleman are considered “interested persons” (as defined in the 1940 Act) of the Company since both of them are employed by the Adviser. See “Proposal No. 1 Election of Directors – Biographical Information.”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Meetings and Attendance</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Board met four times in 2022 and acted on various occasions by written consent. Our Board also holds informal periodic telephonic update meetings. No incumbent director attended fewer than 75% of the aggregate of the total number of meetings of the Board (held during the period for which he or she has been a director) and the total number of meetings held by all committees of the Board on which he or she served (during the periods that he or she served).</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Board Attendance at the Meeting</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policy is to encourage our directors to attend each annual meeting of stockholders; however, attendance is not required. Mr. Easterly attended the 2022 annual meeting of stockholders virtually, as the meeting was held completely virtually.</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 and Role in Risk Oversight</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Board monitors and performs an oversight role with respect to our business and affairs, including with respect to investment practices and performance, compliance with regulatory requirements, cybersecurity and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 Nominating and Corporate Governance Committee, a Compensation Committee and an Audit Committee, each consisting solely of Independent Directors for the purposes of the NYSE corporate governance rules and, in the case of the Audit Committee, Rule 10A-3 under the Exchange Act. During executive sessions, the Chair of the Audit Committee or her designee acts as presiding director. We also have a Risk Management Committee, a majority of the voting members of which are Independent Directors. In addition, our corporate governance practices include the appointment of our Chief Compliance Officer, with whom the Independent Directors meet in executive session without the presence of interested directors and other members of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9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Our Board performs its risk oversight function primarily through its committees and monitoring by our Chief Compliance Officer in accordance with its compliance policies and procedures.</w:t>
      </w:r>
    </w:p>
    <w:p>
      <w:pPr>
        <w:spacing w:after="0" w:line="162"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As described below in more detail under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as described below under “—Board Committees—Risk Management Committee,” the Risk Management Committee assists the Board in its oversight of our overall risk tolerance and management of capital, liquidity, and funding planning and strategy. In performing its responsibilities, the Risk Management Committee liaises with the Chair of the Audit Committee to assist that committee in its review of our risk assessment and risk management matters.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81" w:lineRule="exact"/>
        <w:rPr>
          <w:sz w:val="20"/>
          <w:szCs w:val="20"/>
          <w:color w:val="auto"/>
        </w:rPr>
      </w:pPr>
    </w:p>
    <w:p>
      <w:pPr>
        <w:ind w:left="5540" w:right="1900" w:hanging="4884"/>
        <w:spacing w:after="0" w:line="454" w:lineRule="auto"/>
        <w:tabs>
          <w:tab w:leader="none" w:pos="10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compliance policies and procedures and certain of our service providers since the last report; 14</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changes to these policies and procedures or recommended changes;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compliance matter that has occurred about which the Board would reasonably need to know to oversee our compliance activities and risks.</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In addition, the Chief Compliance Officer meets separately in executive session with the Independent Directors periodically, typically every quarter, but in no event less than once each year.</w:t>
      </w:r>
    </w:p>
    <w:p>
      <w:pPr>
        <w:spacing w:after="0" w:line="16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including limitations under the 1940 Act on the amount of borrowings, debt securities or preferred stock we may incur or issue.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regulated investment company (“RIC”) under Subchapter M of the Internal Revenue Code of 1986, as amended (the “Code”). As a RIC, we must, among other things, meet certain source of income, asset diversification and distribution requirements.</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76"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We believe that the Board’s role in risk oversight must be evaluated on a case-by-case basis and that its existing role in risk oversight is appropriate.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with Directors</w:t>
      </w:r>
    </w:p>
    <w:p>
      <w:pPr>
        <w:spacing w:after="0" w:line="121" w:lineRule="exact"/>
        <w:rPr>
          <w:sz w:val="20"/>
          <w:szCs w:val="20"/>
          <w:color w:val="auto"/>
        </w:rPr>
      </w:pPr>
    </w:p>
    <w:p>
      <w:pPr>
        <w:ind w:left="120" w:firstLine="440"/>
        <w:spacing w:after="0" w:line="233" w:lineRule="auto"/>
        <w:rPr>
          <w:sz w:val="20"/>
          <w:szCs w:val="20"/>
          <w:color w:val="auto"/>
        </w:rPr>
      </w:pPr>
      <w:r>
        <w:rPr>
          <w:rFonts w:ascii="Times New Roman" w:cs="Times New Roman" w:eastAsia="Times New Roman" w:hAnsi="Times New Roman"/>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Chief Compliance Officer, Anton Brett, Sixth Street Specialty Lending, Inc., 888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Avenue, 41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New York, NY 10106. Such communications should specify the intended recipient or recipients. All such communications, other than unsolicited commercial solicitations, will be forwarded to the appropriate director, or directors, for review.</w:t>
      </w:r>
    </w:p>
    <w:p>
      <w:pPr>
        <w:spacing w:after="0" w:line="20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 addition, information on how to report issues related to financial statement disclosures, accounting, internal accounting controls or auditing matters to our Board or the Independent Directors via email is available on our website at http://www.sixthstreetspecialtylending.com.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We currently have four standing committees: the Audit Committee, the Nominating and Corporate Governance Committee, the Compensation Committee and the Risk Management Committee.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operates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8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integrity of our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system of internal controls;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225"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Our Audit Committee has the sole authority to approve the engagement, and review the performance of, our independent registered public accounting firm.</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Messrs. Doddy, Higginbotham, Ross, Ms. Slotkin and Mr. Tanemura are members of the Audit Committee and Ms. Slotkin serves as Chair. The Audit Committee held eight meetings in 2022.</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operates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8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researching and nominating directors for election by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nominees to fill vacancies on the Board or a committee of the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a set of corporate governance principles;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and our management.</w:t>
      </w:r>
    </w:p>
    <w:p>
      <w:pPr>
        <w:spacing w:after="0" w:line="225"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nominees to the Board recommended by a stockholder, if that stockholder complies with the advance notice provisions of our bylaws, as described below.</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are Messrs. Doddy, Higginbotham, Ross, Ms. Slotkin and Mr. Tanemura, each of whom is independent for purposes of the NYSE corporate governance rules, and each of whom is not an “interested person” of the Company, of the Adviser, or of any of their respective affiliates as defined in Section 2(a)(19) of the 1940 Act. Mr. Higginbotham serves as Chairman. The Nominating and Corporate Governance Committee held two meetings in 2022.</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operates pursuant to the Compensation Committee Charter. The Compensation Committee Charter sets forth the responsibilities of the Compensation Committee. The Compensation Committee is responsible for:</w:t>
      </w:r>
    </w:p>
    <w:p>
      <w:pPr>
        <w:spacing w:after="0" w:line="67" w:lineRule="exact"/>
        <w:rPr>
          <w:sz w:val="20"/>
          <w:szCs w:val="20"/>
          <w:color w:val="auto"/>
        </w:rPr>
      </w:pPr>
    </w:p>
    <w:p>
      <w:pPr>
        <w:ind w:left="1080" w:right="160" w:hanging="424"/>
        <w:spacing w:after="0" w:line="289" w:lineRule="auto"/>
        <w:tabs>
          <w:tab w:leader="none" w:pos="10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reimbursement by us of compensation paid by the Adviser or its affiliates pursuant to the terms of the investment advisory agreement entered into by and between the Company and the Adviser, as amended (the “Investment Advisory Agreement”) and the administration agreement entered into between us and the Adviser, as amended (the “Administration Agreement”);</w:t>
      </w:r>
    </w:p>
    <w:p>
      <w:pPr>
        <w:spacing w:after="0" w:line="6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setting compensation for our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along with the Board, approving or renewing the Investment Advisory Agreement and Administration Agreement.</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60"/>
          </w:cols>
          <w:pgMar w:left="320" w:top="455" w:right="5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“—Compensation and Insider Participation—Compensation of Executive Officers.”</w:t>
      </w:r>
    </w:p>
    <w:p>
      <w:pPr>
        <w:spacing w:after="0" w:line="225"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members of the Compensation Committee are Messrs. Doddy, Higginbotham, Ross, Ms. Slotkin and Mr. Tanemura, each of whom is independent for purposes of the NYSE corporate governance rules. Mr. Ross serves as Chairman. The Compensation Committee held three meeting in 2022.</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Committee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Risk Management Committee operates pursuant to the Risk Management Committee Charter. The Risk Management Committee Charter sets forth the responsibilities of the Risk Management Committee. The Risk Management Committee is responsible for assisting the Board in its oversight of the Company’s overall risk tolerance and management of capital, liquidity, and fund planning and strategy. Risk assessment and risk management are the primary responsibility of the Company’s management. The Risk Management Committee’s responsibility is one of oversight and review, in furtherance of the Board’s oversight role.</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voting members of the Risk Management Committee are Messrs. Easterly, Ross and Tanemura, and the non-voting members of the committee are Messrs. Simmonds and Pluss. Messrs. Ross and Tanemura are independent for purposes of the NYSE corporate governance rules. Mr. Easterly serves as Chairman. The Risk Management Committee held four meetings in 2022, which were held jointly with a meeting of the full board.</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Committee Charters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maintain a corporate governance section on our website, which contains copies of the charters for the committees of our Board. The corporate governance section may be found at http://www.sixthstreetspecialtylending.com in the “Investor Resources” section of our website. The corporate governance section contains the following documents:</w:t>
      </w:r>
    </w:p>
    <w:p>
      <w:pPr>
        <w:spacing w:after="0" w:line="81"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Charter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 Charter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Charter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Management Committee Charter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Anton Brett, Sixth Street Specialty Lending, Inc., 2100 McKinney Avenue, Suite 1500, Dallas, TX 75201. Please refer to the text of our bylaws (including Article II, paragraph (K)), which are on file with the SEC, and “Bylaw Requirements for Stockholder Submission of Nominations and Proposals” in this proxy statement for additional information.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evaluating director nominees, the Nominating and Corporate Governance Committee considers, among others, the following factors:</w:t>
      </w:r>
    </w:p>
    <w:p>
      <w:pPr>
        <w:spacing w:after="0" w:line="13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 size and composition of our Board;</w:t>
      </w:r>
    </w:p>
    <w:p>
      <w:pPr>
        <w:spacing w:after="0" w:line="130" w:lineRule="exact"/>
        <w:rPr>
          <w:rFonts w:ascii="Times New Roman" w:cs="Times New Roman" w:eastAsia="Times New Roman" w:hAnsi="Times New Roman"/>
          <w:sz w:val="18"/>
          <w:szCs w:val="18"/>
          <w:color w:val="auto"/>
        </w:rPr>
      </w:pPr>
    </w:p>
    <w:p>
      <w:pPr>
        <w:ind w:left="5540" w:right="2300" w:hanging="4884"/>
        <w:spacing w:after="0" w:line="454" w:lineRule="auto"/>
        <w:tabs>
          <w:tab w:leader="none" w:pos="10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person is an “interested person” of TSLX as defined in Section 2(a)(19) of the 1940 Act; 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needs of TSLX with respect to the particular talents and experience of its directors;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skills and experience of nominees in light of prevailing business conditions and the knowledge, skills and experience already possessed by other members of the Board;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character and integrity;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familiarity with national and international business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with accounting rules and practices;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desire to balance the considerable benefit of continuity with the periodic injection of the fresh perspective provided by new members;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laws, rules, regulations, and listing standards.</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Committee’s goal is to assemble a board that brings to TSLX a variety of perspectives and skills derived from high-quality business and professional experience.</w:t>
      </w:r>
    </w:p>
    <w:p>
      <w:pPr>
        <w:spacing w:after="0" w:line="162" w:lineRule="exact"/>
        <w:rPr>
          <w:sz w:val="20"/>
          <w:szCs w:val="20"/>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Other than the foregoing, there are no stated minimum criteria for director nominees, although the Nominating and Corporate Governance Committee may also consider other factors as they may deem are in the best interests of TSLX and its stockholders. The Board also believes it appropriate for certain key members of our management to participate as members of the Board.</w:t>
      </w:r>
    </w:p>
    <w:p>
      <w:pPr>
        <w:spacing w:after="0" w:line="176"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or if there are otherwise any vacancies on the Board,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w:t>
      </w:r>
    </w:p>
    <w:p>
      <w:pPr>
        <w:spacing w:after="0" w:line="17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and ethnicity, gender, national origin, differences of viewpoint, professional experience, education, skill and other qualities that contribute to the Board when identifying and recommending director nominees. The Board believes that the inclusion of diversity as one of many factors considered in selecting director nominees is consistent with the Board’s goal of creating a Board that best serves the needs of TSLX and the interests of our stockholders.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have adopted a SOX Code of Business Conduct and Ethics which applies to, among others, our executive officers, including our Principal Executive Officers and Principal Financial Officer, as well as every officer, director and employee of the Company. There have been no material changes to our corporate code of ethics or material waivers of the code that apply to our Chief Executive Officers or Chief Financial Officer. Our SOX Code of Business Conduct and Ethics and our Corporate Governance Guidelines can be accessed on our website at http://www.sixthstreetspecialtylending.com in the “Investor Resources” section. We intend to disclose any substantive amendments to or waivers of required provisions of the SOX Code of Business Conduct and Ethics on our website or on a current report on Form 8-K.</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Involvement in Certain Legal Proceedings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Election of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Board elects our officers and our officers serve until their resignation or termination or until their successors are duly elected and qualified.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and Insider Participation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Independent Directors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pay each Independent Director the following amounts for serving as a director:</w:t>
      </w:r>
    </w:p>
    <w:p>
      <w:pPr>
        <w:spacing w:after="0" w:line="13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$110,000 annual retainer;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 for each meeting of the Board attended;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 for each monthly telephonic update meeting attended;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for each committee meeting of ours attended;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fee of $15,000 per year for the chairman of the Audit Committee and $10,000 per year for the chairman of the Nominating and Corporate Governance Committee.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we also reimbursed directors for certain out-of-pocket expenses each Independent Director incurred in connection with the fulfillment of his duties as an Independent Director.</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total compensation earned by or paid to each of our Independent Directors during the fiscal year ended December 31, 2022:</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340" w:type="dxa"/>
            <w:vAlign w:val="bottom"/>
          </w:tcPr>
          <w:p>
            <w:pPr>
              <w:spacing w:after="0"/>
              <w:rPr>
                <w:sz w:val="13"/>
                <w:szCs w:val="13"/>
                <w:color w:val="auto"/>
              </w:rPr>
            </w:pP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3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Paid in Cash</w:t>
            </w:r>
          </w:p>
        </w:tc>
        <w:tc>
          <w:tcPr>
            <w:tcW w:w="3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Hurley Doddy</w:t>
            </w:r>
          </w:p>
        </w:tc>
        <w:tc>
          <w:tcPr>
            <w:tcW w:w="2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143,500</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$143,500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Richard Higginbotham</w:t>
            </w:r>
          </w:p>
        </w:tc>
        <w:tc>
          <w:tcPr>
            <w:tcW w:w="238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153,500</w:t>
            </w:r>
          </w:p>
        </w:tc>
        <w:tc>
          <w:tcPr>
            <w:tcW w:w="10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$153,500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Ross</w:t>
            </w:r>
          </w:p>
        </w:tc>
        <w:tc>
          <w:tcPr>
            <w:tcW w:w="2380" w:type="dxa"/>
            <w:vAlign w:val="bottom"/>
            <w:gridSpan w:val="2"/>
            <w:shd w:val="clear" w:color="auto" w:fill="CCEEFF"/>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158,500</w:t>
            </w:r>
          </w:p>
        </w:tc>
        <w:tc>
          <w:tcPr>
            <w:tcW w:w="108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$158,500</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Judy Slotkin</w:t>
            </w:r>
          </w:p>
        </w:tc>
        <w:tc>
          <w:tcPr>
            <w:tcW w:w="238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142,500</w:t>
            </w:r>
          </w:p>
        </w:tc>
        <w:tc>
          <w:tcPr>
            <w:tcW w:w="10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$142,500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Tanemura</w:t>
            </w:r>
          </w:p>
        </w:tc>
        <w:tc>
          <w:tcPr>
            <w:tcW w:w="2380" w:type="dxa"/>
            <w:vAlign w:val="bottom"/>
            <w:gridSpan w:val="2"/>
            <w:shd w:val="clear" w:color="auto" w:fill="CCEEFF"/>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142,500</w:t>
            </w:r>
          </w:p>
        </w:tc>
        <w:tc>
          <w:tcPr>
            <w:tcW w:w="108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$142,500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Executive Officers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and the Administration Agreement.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None of our executive officers receives direct compensation from us. We reimburse the Adviser or its affiliates for an allocable portion of the compensation paid by the Adviser or its affiliates to our Chief Compliance Officer, Chief Financial Officer, and other professionals who provide operational and administrative services to us pursuant to the Administration Agreement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5"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Policy on Hedging and Speculative Transactions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consider it improper and inappropriate for our directors and officers, as well as employees of the Adviser, to engage in short-term or speculative transactions in our securities. Pursuant to the insider trading policy applicable to our directors and officers and employees of the Adviser, all trades in our securities by such parties must be pre-cleared with Sixth Street Legal and Compliance. The insider trading policy prohibits those directors, officers and employees from engaging in certain transactions that can allow the offset of downside risk associated with investment in our securities. This prohibition applies to short sales and transactions in publicly traded options, such as puts, calls or other derivative securities. We strongly discourage, but do not prohibit, those directors, officers, and employees from engaging in other types of hedging transactions, such as exchange funds. Any such proposed transaction must be approved by Sixth Street Legal and Compliance. Our directors and officers and employees of the Adviser may not hold our securities in a margin account or pledge our securities as collateral for a loan or other transaction. Exceptions may be granted by Sixth Street Legal and Compliance in certain situations, including if our securities are pledged as collateral for a loan and the person clearly demonstrates the financial capacity to repay the loan without resort to the pledged securities.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Investment Adviser and Administrator</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Sixth Street Specialty Lending Advisers, LLC is our external manager. Our Adviser is a Delaware limited liability company. Our Adviser acts as our investment adviser and administrator, and is a registered investment adviser with the SEC under the Investment Advisers Act of 1940, as amended, or the Advisers Act. Our Adviser sources and manages our portfolio through a dedicated team of investment professionals predominately focused on us,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an investment review committee (the “Investment Review Committee”), which includes senior personnel of our Adviser and Sixth Street. The members of the Investment Review Committee are Joshua Easterly, Michael Fishman, Bo Stanley, David Stiepleman and Alan Waxman.</w:t>
      </w:r>
    </w:p>
    <w:p>
      <w:pPr>
        <w:spacing w:after="0" w:line="192"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Sixth Street is a global investment business with approximately $65 billion of assets under management. Sixth Street operates nine diversified, collaborative investment platforms: Specialty Lending, Lending Partners, Specialty Lending Europe, TAO, Opportunities, Credit Market Strategies, Growth, Fundamental Strategies, and Agriculture.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475 investment and operating professionals. As of December 31, 2022, forty-four (44) of these personnel are focused on our strategy, including thirty-four (34) investment professionals.</w:t>
      </w:r>
    </w:p>
    <w:p>
      <w:pPr>
        <w:spacing w:after="0" w:line="18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Adviser’s address is 2100 McKinney Avenue, Suite 1500, Dallas, TX 75201.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Persons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Relationship with Sixth Street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investment activities are managed by our Adviser, which is responsible for sourcing, researching and structuring potential investments,</w:t>
      </w:r>
    </w:p>
    <w:p>
      <w:pPr>
        <w:spacing w:after="0" w:line="27" w:lineRule="exact"/>
        <w:rPr>
          <w:sz w:val="20"/>
          <w:szCs w:val="20"/>
          <w:color w:val="auto"/>
        </w:rPr>
      </w:pPr>
    </w:p>
    <w:p>
      <w:pPr>
        <w:jc w:val="center"/>
        <w:ind w:left="380" w:right="60"/>
        <w:spacing w:after="0" w:line="433" w:lineRule="auto"/>
        <w:rPr>
          <w:sz w:val="20"/>
          <w:szCs w:val="20"/>
          <w:color w:val="auto"/>
        </w:rPr>
      </w:pPr>
      <w:r>
        <w:rPr>
          <w:rFonts w:ascii="Times New Roman" w:cs="Times New Roman" w:eastAsia="Times New Roman" w:hAnsi="Times New Roman"/>
          <w:sz w:val="18"/>
          <w:szCs w:val="18"/>
          <w:color w:val="auto"/>
        </w:rPr>
        <w:t>monitoring our portfolio companies and providing operating, managerial and administrative assistance to us and to our portfolio companies as required. 20</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Adviser is registered under the Advisers Act and is an affiliate of Sixth Street. Other affiliates of Sixth Street are also registered investment advisers and provide investment advisory services to a number of private investment funds. In addition, Sixth Street and its affiliates engage in a broad range of other investment activities, including pursuing investments for their own account and for the account of associated funds and providing other services to these funds and their portfolio companies. Sixth Street manages another BDC targeting loan originations of larger size than the originations that we target. The Adviser held 2,714,226 shares, or 3.3%, of our common stock as of March 31, 2023.</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believe we benefit from the Adviser’s relationships with Sixth Street. The Adviser has access to the contacts and industry knowledge of Sixth Street’s investment professionals, and is also able to consult with Sixth Street investment professionals on specific industry issues, trends and other matters to complement our investment process. However, the Adviser and members of the Investment Review Committee are expected to face a number of actual and potential conflicts of interest involving us, Sixth Street and other private investment funds affiliated with Sixth Street, including conflicts in the allocation of investment opportunities among us and other Sixth Street vehicles, as well as in their time and attention requirements as to these other vehicles. Additionally, various potential and actual conflicts of interest may arise from the overall advisory, investment and other activities of the Adviser, its affiliates, including Sixth Street and its clients.</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Allocations of Investment Opportunities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Certain members of the Adviser’s senior management and the Investment Review Committee are and will continue to be active in other investment funds affiliated with Sixth Street that pursue investment opportunities that could overlap with those pursued by us. However, the Adviser and its affiliates intend to allocate investment opportunities in a fair and equitable manner in accordance with their allocation principles.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described in more detail below, the SEC granted us a new exemptive order in August 2022, pursuant to which Sixth Street must generally make us aware of all investment opportunities that fall within certain criteria established by our Board from time to time pursuant to the terms of the order, which we refer to as the “Board Established Criteria”. Our Adviser will ultimately determine whether an investment opportunity is appropriate for us in view of our investment objectives, positions, policies, strategies and restrictions, as well as regulatory requirements and other relevant factors.</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Specifically, the Adviser will determine whether it would be permissible, advisable or otherwise appropriate for us to pursue a particular investment opportunity.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opportunity to be appropriate, it will determine an appropriate size for our investment. The size of any investment opportunity allocated to us may also be reduced to the extent the investment would be appropriate for investment by other investment funds affiliated with Sixth Street, even if the investment falls within our Board Established Criteria. The decision to allocate an opportunity as between us and other Sixth Street vehicles will take into account various factors that Sixth Street and our Adviser deem appropriate.</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ability to pursue investment opportunities is subject to the allocation decisions by Sixth Street senior professionals. Such opportunities may be required to be offered to, or may be otherwise suitable for, other Sixth Street funds or investment vehicles. As a result, the Adviser and its affiliates may face conflicts in allocating investment opportunities between us and those other entities. It is possible that we may not be given the opportunity to participate in certain investments made by Sixth Street vehicles that would otherwise be suitable for us. We will typically not be able to participate under the exemptive order in investments that fall outside of our Board Established Criteria. Sixth Street has organized separate investment vehicles, aimed specifically at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middle-market loan originations and may in the future organize vehicles aimed at other loan origination opportunities outside our primary focus (for example, based on opportunity size or geography).</w:t>
      </w:r>
    </w:p>
    <w:p>
      <w:pPr>
        <w:spacing w:after="0" w:line="162"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the Adviser, Sixth Street and their affiliates were to determine that an investment is appropriate both for us and for one or more other affiliated vehicles, we would only be able to make the investment in conjunction with another vehicle to the extent the exemptive order granted to us by the SEC permits us to do so or the investment is otherwise permitted under relevant SEC guidance.</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Adviser believes this allocation system is fair and equitable, and consistent with its fiduciary duty to us. In particular, we have disclosed to investors that Sixth Street must make us aware of all investment opportunities that fall within our Board Established Criteria. In addition, we have disclosed how allocation determinations are made among Sixth Street vehicles in connection with such opportunities, including those circumstances in which the Adviser may be required to offer them to these affiliated vehicles.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Exemptive Order</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Under the 1940 Act, we are prohibited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Subsequent further applications were also made, most recently as June 29, 2022. On August 3, 2022, the SEC granted an amended exemptive order in response to our application.</w:t>
      </w:r>
    </w:p>
    <w:p>
      <w:pPr>
        <w:spacing w:after="0" w:line="18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Further, in accordance with the exemptive order, we have undertaken that, in connection with any commitment to a co-investment or follow-on investment, a “required majority” (as defined in Section 57(o) of the 1940 Act) of Independent Directors must make certain conclusions, including that:</w:t>
      </w:r>
    </w:p>
    <w:p>
      <w:pPr>
        <w:spacing w:after="0" w:line="45" w:lineRule="exact"/>
        <w:rPr>
          <w:sz w:val="20"/>
          <w:szCs w:val="20"/>
          <w:color w:val="auto"/>
        </w:rPr>
      </w:pPr>
    </w:p>
    <w:p>
      <w:pPr>
        <w:ind w:left="1080" w:right="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consistent with the interests of our stockholders and our investment strategies and policies;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by our affiliate would not disadvantage us, and our participation is not on a basis different from or less advantageous than that of our affiliate; and</w:t>
      </w:r>
    </w:p>
    <w:p>
      <w:pPr>
        <w:spacing w:after="0" w:line="67" w:lineRule="exact"/>
        <w:rPr>
          <w:rFonts w:ascii="Times New Roman" w:cs="Times New Roman" w:eastAsia="Times New Roman" w:hAnsi="Times New Roman"/>
          <w:sz w:val="18"/>
          <w:szCs w:val="18"/>
          <w:color w:val="auto"/>
        </w:rPr>
      </w:pPr>
    </w:p>
    <w:p>
      <w:pPr>
        <w:ind w:left="5540" w:right="60" w:hanging="4884"/>
        <w:spacing w:after="0" w:line="454" w:lineRule="auto"/>
        <w:tabs>
          <w:tab w:leader="none" w:pos="10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will not benefit any affiliate other than the affiliate participating in the investment, and as otherwise permitted by the order. 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Allocation of Non-Loan Origination Investment Opportunities</w:t>
      </w:r>
    </w:p>
    <w:p>
      <w:pPr>
        <w:spacing w:after="0" w:line="119" w:lineRule="exact"/>
        <w:rPr>
          <w:sz w:val="20"/>
          <w:szCs w:val="20"/>
          <w:color w:val="auto"/>
        </w:rPr>
      </w:pPr>
    </w:p>
    <w:p>
      <w:pPr>
        <w:ind w:left="120" w:right="300" w:firstLine="440"/>
        <w:spacing w:after="0" w:line="270" w:lineRule="auto"/>
        <w:rPr>
          <w:sz w:val="20"/>
          <w:szCs w:val="20"/>
          <w:color w:val="auto"/>
        </w:rPr>
      </w:pPr>
      <w:r>
        <w:rPr>
          <w:rFonts w:ascii="Times New Roman" w:cs="Times New Roman" w:eastAsia="Times New Roman" w:hAnsi="Times New Roman"/>
          <w:sz w:val="17"/>
          <w:szCs w:val="17"/>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w:t>
      </w:r>
    </w:p>
    <w:p>
      <w:pPr>
        <w:spacing w:after="0" w:line="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$250 million or more, certain high yield bonds and other instruments or assets (including consumer and commercial loans). Many of these opportunities may be required to be offered to, or may be otherwise suitable for, other Sixth Street funds or investment vehicles, in which case the scope or size of opportunities otherwise available to us may be adversely affected or reduced. In the event that an investment opportunity falls within our Board Established Criteria and Sixth Street is not required to, and otherwise determines not to, direct these investment opportunities to an affiliated fund, we may be permitted to participate in such investment opportunity under the terms of our current exemptive order.</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Administrator</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Adviser also serves as our administrator. The administrator, on behalf of us and at our expense, may retain one or more service providers that may also be affiliates of Sixth Street to serve as sub-administrator, custodian, accounting agent, investor services agent, transfer agent or other service provider for us. Any fees we pay, or indemnification obligations we undertake, in respect of the administrator and those other service providers that are Sixth Street affiliates, will be set at arm’s length and approved by the Independent Directors.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Fees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the course of our investing activities, we pay fees to the Adviser, incur direct expenses and reimburse the Adviser for certain expenses it incurs.</w:t>
      </w:r>
    </w:p>
    <w:p>
      <w:pPr>
        <w:spacing w:after="0" w:line="3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Certain Business Relationships</w:t>
      </w:r>
    </w:p>
    <w:p>
      <w:pPr>
        <w:spacing w:after="0" w:line="11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Certain of our current directors and officers are directors or officers of the Adviser or its affiliates. See “Proposal No. 1 Election of Directors – Biographical Information.”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Indebtedness of Management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Related-Party Transactions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Investment Advisory Agreement; Administration Agreement; License Agreement</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On April 15, 2011, we entered into the Investment Advisory Agreement with our Adviser. The Investment Advisory Agreement was subsequently amended on December 12, 2011.</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Investment Advisory Agreement, the Adviser:</w:t>
      </w:r>
    </w:p>
    <w:p>
      <w:pPr>
        <w:spacing w:after="0" w:line="131" w:lineRule="exact"/>
        <w:rPr>
          <w:sz w:val="20"/>
          <w:szCs w:val="20"/>
          <w:color w:val="auto"/>
        </w:rPr>
      </w:pPr>
    </w:p>
    <w:p>
      <w:pPr>
        <w:ind w:left="1080" w:right="1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our portfolio, the nature and timing of the changes to our portfolio and the manner of implementing those changes;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we make (including performing due diligence on our prospective portfolio companies);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assets we will originate, purchase, retain or sell;</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closes, monitors and administers the investments we make, including the exercise of any rights in our capacity as a lender or equity holder;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Under the terms of the Investment Advisory Agreement, we pay the Adviser a base management fee, or the “Management Fee,” and may also pay certain incentive fees, or “Incentive Fees”.</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year ended December 31, 2022, Management Fees (gross of waivers) were $39.9 million.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waived Management Fees are not subject to recoupment by the Adviser.</w:t>
      </w:r>
    </w:p>
    <w:p>
      <w:pPr>
        <w:spacing w:after="0" w:line="225"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For the year ended December 31, 2022, Management Fees of $0.4 million were waived pursuant to the Leverage Waiver. Any waived Management Fees are not subject to recoupment by the Adviser pursuant to the Leverage Waiver.</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31" w:lineRule="exact"/>
        <w:rPr>
          <w:sz w:val="20"/>
          <w:szCs w:val="20"/>
          <w:color w:val="auto"/>
        </w:rPr>
      </w:pPr>
    </w:p>
    <w:p>
      <w:pPr>
        <w:ind w:left="1080" w:right="20" w:hanging="532"/>
        <w:spacing w:after="0" w:line="254"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83" w:lineRule="exact"/>
        <w:rPr>
          <w:rFonts w:ascii="Times New Roman" w:cs="Times New Roman" w:eastAsia="Times New Roman" w:hAnsi="Times New Roman"/>
          <w:sz w:val="18"/>
          <w:szCs w:val="18"/>
          <w:color w:val="auto"/>
        </w:rPr>
      </w:pPr>
    </w:p>
    <w:p>
      <w:pPr>
        <w:ind w:left="1100"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gains or losses.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line="253"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Incentive Fee with respect to unrealized capital gains because a capital gains Incentive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is subject to an Incentive Fee rate of 15% and the portion of our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w:t>
      </w:r>
    </w:p>
    <w:p>
      <w:pPr>
        <w:spacing w:after="0" w:line="19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62"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Section 205(b)(3) of the Advisers Act, as amended, prohibits the Adviser from receiving the payment of fees on unrealized gains until those gains are realized, if ever. There can be no assurance that such unrealized gains will be realized in the future. For the year ended December 31, 2022, Incentive Fees were $24.5 million, $33.4 million of which was realized and payable to the Adviser. The Adviser did not waive any Incentive Fees for the year ended December 31, 2022.</w:t>
      </w:r>
    </w:p>
    <w:p>
      <w:pPr>
        <w:spacing w:after="0" w:line="180"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Since our IPO, with the exception of its waiver of Management Fees and certain Incentive Fees attributable to our ownership of certain investments and the Leverage Waiver, the Adviser has not waived its right to receive any Management Fees or Incentive Fees payable pursuant to the Investment Advisory Agreement.</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November 2022, the Board renewed the Investment Advisory Agreement. Unless earlier terminated as described below, the Investment Advisory Agreement will remain in effect until November 2023,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See “—</w:t>
      </w:r>
      <w:r>
        <w:rPr>
          <w:rFonts w:ascii="Times New Roman" w:cs="Times New Roman" w:eastAsia="Times New Roman" w:hAnsi="Times New Roman"/>
          <w:sz w:val="18"/>
          <w:szCs w:val="18"/>
          <w:i w:val="1"/>
          <w:iCs w:val="1"/>
          <w:color w:val="auto"/>
        </w:rPr>
        <w:t>Payment of Our Expenses</w:t>
      </w:r>
      <w:r>
        <w:rPr>
          <w:rFonts w:ascii="Times New Roman" w:cs="Times New Roman" w:eastAsia="Times New Roman" w:hAnsi="Times New Roman"/>
          <w:sz w:val="18"/>
          <w:szCs w:val="18"/>
          <w:color w:val="auto"/>
        </w:rPr>
        <w:t>” below. In addition, the Adviser is permitted to delegate its duties under the Administration Agreement to affiliates or third parties and we pay or reimburse the Adviser expenses incurred by any such affiliates or third parties for work done on our behalf. For the year ended December 31, 2022, we incurred expenses of $3.1 million for administrative services payable under the terms of the Administration Agreement.</w:t>
      </w:r>
    </w:p>
    <w:p>
      <w:pPr>
        <w:spacing w:after="0" w:line="19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76"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In November 2022, the Board renewed the Administration Agreement. Unless earlier terminated as described below, the Administration Agreement will remain in effect until November 2023, and may be extended subject to required approvals. The Administration Agreement may be terminated by either party without penalty on 60 days’ written notice to the other party.</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9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Payment of Our Expenses</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costs associated with the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81"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stock and other securities, including registration and listing fees;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fees and expenses;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88"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officers/errors and omissions liability insurance, and any other insurance premiums;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80"/>
          </w:cols>
          <w:pgMar w:left="320" w:top="455"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In addition, from time to time, the Adviser pays amounts owed by us to third-party providers of goods or services, including the Board. We subsequently reimburse the Adviser for those amounts paid on our behalf.</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Amounts payable to the Adviser are settled in the normal course of business without formal payment terms. We also reimburse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our Chief Compliance Officer, Chief Financial Officer, and other professionals who spend time on those related activities, including individuals who provide “back office” or “middle office” financial, operational, legal and/or compliance services to us. We reimburse the Adviser (or its affiliates) for the allocable portion of the compensation paid by the Adviser (or its affiliates) to such individuals based on the percentage of time such individuals devote, on an estimated basis, to our business and affairs and in acting on behalf of the Company. We may also reimburse the Adviser or its affiliates for the allocable portion of overhead expenses (including rent, office equipment and utilities) attributable thereto.</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Duration and Termination</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Unless earlier terminated as described below, both the Investment Advisory Agreement and the Administration Agreement will remain in effect until November 2023,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Board Approval of the Investment Advisory Agreement</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Board, including our Independent Directors, and holders of a majority of our outstanding securities, approved our Investment Advisory Agreement in December 2011. Our Board, including a majority of the Independent Directors, renewed the Investment Advisory Agreement in November 2022. A discussion regarding the basis for our Board’s approval and renewal of the Investment Advisory Agreement is available in our Annual Report on Form 10-K for the fiscal year ended December 31, 2022.</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Review, Approval or Ratification of Transactions with Related Persons</w:t>
      </w:r>
    </w:p>
    <w:p>
      <w:pPr>
        <w:spacing w:after="0" w:line="11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is required to review and approve any transactions with related persons (as such term is defined in Item 404 of Regulation S-K).</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620"/>
          </w:cols>
          <w:pgMar w:left="320" w:top="455" w:right="9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Audit Committee has selected KPMG LLP to serve as our independent registered public accounting firm to audit our consolidated financial statements for the year ending December 31, 2023. While the Audit Committee is responsible for the appointment, compensation, retention, termination and oversight of the independent auditor, we are requesting, as a matter of good corporate governance, that the stockholders ratify the appointment of KPMG LLP as the Company’s independent registered public accounting firm. If the stockholders fail to ratify the selection, the Audit Committee will reconsider whether to retain KPMG LLP and may retain that firm or another without re-submitting the matter to our stockholders. Even if the appointment is ratified, the Audit Committee may, in its discretion, direct the appointment of a different independent registered public accounting firm at any time during the year.</w:t>
      </w:r>
    </w:p>
    <w:p>
      <w:pPr>
        <w:spacing w:after="0" w:line="18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KPMG LLP’s representatives are expected to be available telephonically for the Meeting and will have an opportunity to make a statement, if they so desire, as well as to respond to appropriate questions asked by our stockholders.</w:t>
      </w:r>
    </w:p>
    <w:p>
      <w:pPr>
        <w:spacing w:after="0" w:line="158"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our stockholders vote “FOR” ratification of the selection of KPMG LLP as the Company’s independent registered public accounting firm for the fiscal year ending December 31, 2023.</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Paid to KPMG LLP</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11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the aggregate fees billed by KPMG LLP for the audit of our consolidated financial statements, review of our interim financial statements and other professional services related to SEC registration statements were $744,000. In addition, we reimbursed KPMG LLP $7,093 for out-of-pocket expenses incurred in the performance of audit services.</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the aggregate fees billed by KPMG LLP for the audit of our consolidated financial statements, review of our interim financial statements and other professional services related to SEC registration statements were $826,000. In addition, we reimbursed KPMG LLP $15,158 for out-of-pocket expenses incurred in the performance of audit services.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Audit-Related Fees</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the aggregate fees billed by KPMG LLP for audit-related services, which consist of assurance and related services that are reasonably related to the performance of the audit or review of our consolidated financial statements, but which are not reportable as Audit Fees, were $30,000.</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the aggregate fees billed by KPMG LLP for audit-related services, which consist of assurance and related services that are reasonably related to the performance of the audit or review of our consolidated financial statements, but which are not reportable as Audit Fees, were $165,000.</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Audit-related services are assurance and related services that are reasonably related to the performance of the audit or review of our financial statements and that are traditionally performed by the independent auditor.</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Tax Fees</w:t>
      </w:r>
    </w:p>
    <w:p>
      <w:pPr>
        <w:spacing w:after="0" w:line="11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the aggregate fees billed by KPMG LLP for tax compliance, tax advice and tax planning services were $339,000.</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the aggregate fees billed by KPMG LLP for tax compliance, tax advice and tax planning services were $318,000.</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Tax services include tax compliance, tax planning and tax advice.</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All Other Fees</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For each of the years ended December 31, 2022 and 2021, there were no fees billed for services rendered by KPMG LLP not reportable as Audit Fees, Audit-Related Fees or Tax Fees.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services provided by KPMG LLP described in “Audit-Related Fees,” “Tax Fees” and “All Other Fees” above, were approved by the Audit Committee according to applicable SEC rules. The Audit Committee has determined the rendering of the above-mentioned non-audit services by KPMG LLP was compatible with maintaining our independent registered public accounting firm’s independence.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Auditor Independence</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has considered whether the provision of the above-noted services is compatible with maintaining the independence of the independent registered public accounting firm and has determined that the provision of such services has not adversely affected KPMG LLP’s independence.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Audit Committee of our Board operates under a written charter adopted by the Board. The Audit Committee is currently composed of Messrs.</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Ross, Doddy, Higginbotham and Tanemura and Ms. Slotkin.</w:t>
      </w:r>
    </w:p>
    <w:p>
      <w:pPr>
        <w:spacing w:after="0" w:line="20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Management is responsible for the Company’s internal controls and the financial reporting process. The Company’s independent registered public accounting firm is responsible for performing an independent audit of the Company’s financial statements in accordance with the standards of the Public Company Accounting Oversight Board (US) and expressing an opinion on the conformity of those audited financial statements in accordance with accounting principles generally accepted in the United States and for auditing and reporting on the effectiveness of the Company’s internal control over financial reporting. The Audit Committee’s responsibility is to monitor and oversee these processes. The Audit Committee is also directly responsible for the appointment, compensation and oversight of the Company’s independent registered public accounting firm.</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The Audit Committee has established a pre-approval policy that describes the permitted audit, audit-related, tax and other services to be provided by KPMG LLP, the Company’s independent registered public accounting firm. The policy requires that the Audit Committee pre-approve the audit and non-audit services performed by the independent auditor in order to assure that the provision of such service does not impair the auditor’s independence.</w:t>
      </w:r>
    </w:p>
    <w:p>
      <w:pPr>
        <w:spacing w:after="0" w:line="158"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The Audit Committee does not delegate its responsibilities to pre-approve services performed by the independent registered public accounting firm to management.</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Review with Management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the audited financial statements, along with management’s assessment of the effectiveness of the Company’s internal control over financial reporting, and met and held discussions with management regarding the audited financial statements and its assessment of the effectiveness of the Company’s internal control over financial reporting. Management has represented to the Audit Committee that the Company’s financial statements were prepared in accordance with accounting principles generally accepted in the United States.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 is adequate and that the Company employs appropriate accounting and auditing procedures.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Review and Discussion with Independent Registered Public Accounting Firm</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has reviewed and discussed the Company’s audited financial statements, along with management’s assessment of the effectiveness of the Company’s internal control over financial reporting and KPMG LLP’s evaluation of the Company’s internal control over financial reporting, with management and KPMG LLP, the Company’s independent registered public accounting firm, with and without management present. The Audit Committee included in its review the results of KPMG’s examinations, the Company’s internal controls and the quality of the Company’s financial reporting.</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also has discussed with KPMG matters relating to KPMG’s judgments about the quality, as well as the acceptability, of the Company’s accounting principles as applied in its financial reporting as required by Public Company Accounting Oversight Board Auditing Standard No. 16, Communications with</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Audit Committees. In addition, the Audit Committee has discussed with KPMG their independence from management and the Company, as well as the matters in the written disclosures received from KPMG and required by Public Company Accounting Oversight Board Rule 3526, Communication with Audit Committees Concerning Independence. The Audit Committee received a written communication from KPMG confirming their independence and discussed it with them. The Audit Committee discussed and reviewed with KPMG the Company’s critical accounting policies and practices, other material written communications to management, and the scope of KPMG’s audits and all fees paid to KPMG during the fiscal year. The Audit Committee has adopted guidelines requiring review and pre-approval by the Audit Committee of audit and non-audit services performed by KPMG for the Company. The Audit Committee has reviewed and considered the compatibility of KPMG’s performance of non-audit services with the maintenance of KPMG’s independence as the Company’s independent registered public accounting firm.</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Conclusion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Based on the Audit Committee’s discussion with management and the independent registered public accounting firm, the Audit Committee’s review of the audited financial statements, the representations of management and the report of the independent registered public accounting firm to the Audit Committee, the Audit Committee recommended that the Board include the audited financial statements in the Company’s Annual Report on Form 10-K for the year ended December 31, 2022 for filing with the Securities and Exchange Commission. The Audit Committee also recommended the selection of KPMG LLP to serve as the independent registered public accounting firm for the year ending December 31, 2023.</w:t>
      </w:r>
    </w:p>
    <w:p>
      <w:pPr>
        <w:spacing w:after="0" w:line="32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Respectfully Submitted,</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The Audit Committee: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Judy Slotkin, Chair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John Ross</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Hurley Doddy</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Richard Higginbotham</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Ronald Tanemura</w:t>
      </w:r>
    </w:p>
    <w:p>
      <w:pPr>
        <w:spacing w:after="0" w:line="203"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color w:val="auto"/>
        </w:rPr>
        <w:t>Unless marked to the contrary, the shares represented by the enclosed proxy card will be voted “FOR” ratification of the appointment of KPMG LLP as the Company’s independent registered public accounting firm for the fiscal year ending December 31, 2023.</w:t>
      </w:r>
    </w:p>
    <w:p>
      <w:pPr>
        <w:spacing w:after="0" w:line="155"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color w:val="auto"/>
        </w:rPr>
        <w:t>The material contained in the foregoing Audit Committee Report is not “soliciting material,” is not deemed “filed” with the SEC, and is not to be incorporated by reference into any filing of the Company under the Exchange Act, whether made before or after the date hereof and irrespective of any general incorporation language in any such filing.</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Board is not aware of any other matter to be submitted at the Meeting. If any other matter properly comes before the Meeting, the persons named in this proxy generally will have discretionary authority to vote the shares thereby represented in accordance with their judgment.</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STOCK REPURCHASES</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accordance with Section 23(c)(1) under the 1940 Act, the Company hereby advises you that it may repurchase shares of its common stock from time to time.</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 FOR THE 2024 ANNUAL MEETING OF</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Inclusion of Proposals in Our Proxy Statement and Proxy Card Under the SEC’s Rules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proposal of a stockholder intended to be included in our proxy statement and form of proxy/voting instruction card for the 2024 annual meeting of stockholders pursuant to Rule 14a-8 of the SEC’s rules must be received by us at our principal executive offices no later than December 15, 2023.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Anton Brett, Sixth Street Specialty Lending, Inc., 2100 McKinney Avenue, Suite 1500, Dallas, TX 75201.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Bylaw Requirements for Stockholder Submission of Nominations and Proposals</w:t>
      </w:r>
    </w:p>
    <w:p>
      <w:pPr>
        <w:spacing w:after="0" w:line="121" w:lineRule="exact"/>
        <w:rPr>
          <w:sz w:val="20"/>
          <w:szCs w:val="20"/>
          <w:color w:val="auto"/>
        </w:rPr>
      </w:pPr>
    </w:p>
    <w:p>
      <w:pPr>
        <w:jc w:val="both"/>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 stockholder recommendation for nomination of a person for election to our Board or a proposal for consideration at our 2024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w:t>
      </w:r>
    </w:p>
    <w:p>
      <w:pPr>
        <w:spacing w:after="0" w:line="183"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Our Bylaws require that the proposal or recommendation for nomination must be received by our Secretary at our principal executive offices at the above address no later than February 25, 2024, unless the date of our 2024 annual meeting is more than 30 days before or more than 60 days after May 25, 2024, the anniversary of our 2023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 copy of our Annual Report on Form 10-K for the fiscal year ended December 31, 2022, which includes financial statements, is being furnished with this proxy statement.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the Notice of Internet Availability of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ind w:left="120" w:firstLine="440"/>
        <w:spacing w:after="0" w:line="242"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Sixth Street Specialty Lending, Inc., 888 7th Avenue, 41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New York, NY 10106, Attention: TSLX Investor Relations, by email at IRTSLX@sixthstreet.com or by phone at 469-621-2033.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w:t>
      </w:r>
    </w:p>
    <w:p>
      <w:pPr>
        <w:spacing w:after="0" w:line="192"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PLAN TO ATTEND THE MEETING, WE URGE YOU TO VOTE OVER THE INTERNET, BY PHONE, OR BY MARKING, SIGNING AND RETURNING YOUR PROXY OR VOTING INSTRUCTION CARD AS SOON AS POSSIBLE. NO POSTAGE IS NECESSARY IF MAILED IN THE UNITED STATES.</w:t>
      </w:r>
    </w:p>
    <w:p>
      <w:pPr>
        <w:spacing w:after="0" w:line="20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Anton Brett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Anton Brett</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Chief Compliance Officer and Secretary</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40"/>
          </w:cols>
          <w:pgMar w:left="320" w:top="455" w:right="5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PRIVACY PRINCIPLES</w:t>
      </w:r>
    </w:p>
    <w:p>
      <w:pPr>
        <w:spacing w:after="0" w:line="22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80"/>
          </w:cols>
          <w:pgMar w:left="320" w:top="455"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215265</wp:posOffset>
            </wp:positionV>
            <wp:extent cx="5623560" cy="62147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23560" cy="62147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2"/>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lowerRoman"/>
      <w:start w:val="1"/>
    </w:lvl>
  </w:abstractNum>
  <w:abstractNum w:abstractNumId="26">
    <w:nsid w:val="71F32454"/>
    <w:multiLevelType w:val="hybridMultilevel"/>
    <w:lvl w:ilvl="0">
      <w:lvlJc w:val="left"/>
      <w:lvlText w:val="(%1)"/>
      <w:numFmt w:val="lowerRoman"/>
      <w:start w:val="2"/>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2023-04-13T17:32:32Z</dcterms:created>
  <dcterms:modified xsi:type="dcterms:W3CDTF">2023-04-13T17:32:32Z</dcterms:modified>
</cp:coreProperties>
</file>