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1,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814-00854</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27-3380000</w:t>
      </w:r>
    </w:p>
    <w:p>
      <w:pPr>
        <w:spacing w:after="0" w:line="200" w:lineRule="exact"/>
        <w:rPr>
          <w:sz w:val="24"/>
          <w:szCs w:val="24"/>
          <w:color w:val="auto"/>
        </w:rPr>
      </w:pPr>
    </w:p>
    <w:p>
      <w:pPr>
        <w:sectPr>
          <w:pgSz w:w="11900" w:h="16838" w:orient="portrait"/>
          <w:cols w:equalWidth="0" w:num="3">
            <w:col w:w="4620" w:space="720"/>
            <w:col w:w="3220" w:space="720"/>
            <w:col w:w="2020"/>
          </w:cols>
          <w:pgMar w:left="240" w:top="522" w:right="359" w:bottom="1440" w:gutter="0" w:footer="0" w:header="0"/>
          <w:type w:val="continuous"/>
        </w:sectPr>
      </w:pPr>
    </w:p>
    <w:p>
      <w:pPr>
        <w:spacing w:after="0" w:line="48"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580" w:space="720"/>
            <w:col w:w="2260"/>
          </w:cols>
          <w:pgMar w:left="240" w:top="522" w:right="359" w:bottom="1440" w:gutter="0" w:footer="0" w:header="0"/>
          <w:type w:val="continuous"/>
        </w:sectPr>
      </w:pPr>
    </w:p>
    <w:p>
      <w:pPr>
        <w:spacing w:after="0" w:line="11"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Fort Worth, TX</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200"/>
        <w:spacing w:after="0"/>
        <w:rPr>
          <w:sz w:val="20"/>
          <w:szCs w:val="20"/>
          <w:color w:val="auto"/>
        </w:rPr>
      </w:pPr>
      <w:r>
        <w:rPr>
          <w:rFonts w:ascii="Arial" w:cs="Arial" w:eastAsia="Arial" w:hAnsi="Arial"/>
          <w:sz w:val="18"/>
          <w:szCs w:val="18"/>
          <w:color w:val="auto"/>
        </w:rPr>
        <w:t>76102</w:t>
      </w:r>
    </w:p>
    <w:p>
      <w:pPr>
        <w:spacing w:after="0" w:line="23"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3000"/>
          </w:cols>
          <w:pgMar w:left="240" w:top="522" w:right="359" w:bottom="1440" w:gutter="0" w:footer="0" w:header="0"/>
          <w:type w:val="continuous"/>
        </w:sectPr>
      </w:pP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(817) 871-4000</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On April 7, 2011, the Board of Directors of TPG Specialty Lending, Inc. (the “Company”) appointed Michael Fishman, age 48, as a director and Chief Executive Officer of the Company, effective April 1, 2011. Mr. Fishman’s term as a director of the Company will expire in 2014.</w:t>
      </w:r>
    </w:p>
    <w:p>
      <w:pPr>
        <w:spacing w:after="0" w:line="38"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Mr. Fishman has been an executive in corporate lending for more than 20 years with senior management experience in credit, portfolio management and primary loan originations. Prior to joining the Company, Mr. Fishman was the Executive Vice President and National Director of Loan Originations for Wells Fargo Capital Finance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Company with valuable industry-specific knowledge.</w:t>
      </w:r>
    </w:p>
    <w:p>
      <w:pPr>
        <w:spacing w:after="0" w:line="84"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Mr. Fishman will be compensated by TSL Advisers, LLC, the Company’s investment adviser. The Company will not reimburse TSL Advisers, LLC for Mr. Fishman’s compensation.</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Mr. Fishman has no family relationships with any director or executive officer of the Company and there are no transactions in which Mr. Fishman has an interest requiring disclosure under Item 404(a) of Regulation S-K.</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70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2778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April 7, 2011</w:t>
            </w:r>
          </w:p>
        </w:tc>
        <w:tc>
          <w:tcPr>
            <w:tcW w:w="6360" w:type="dxa"/>
            <w:vAlign w:val="bottom"/>
            <w:gridSpan w:val="2"/>
          </w:tcPr>
          <w:p>
            <w:pPr>
              <w:jc w:val="right"/>
              <w:ind w:right="2750"/>
              <w:spacing w:after="0"/>
              <w:rPr>
                <w:sz w:val="20"/>
                <w:szCs w:val="20"/>
                <w:color w:val="auto"/>
              </w:rPr>
            </w:pPr>
            <w:r>
              <w:rPr>
                <w:rFonts w:ascii="Arial" w:cs="Arial" w:eastAsia="Arial" w:hAnsi="Arial"/>
                <w:sz w:val="18"/>
                <w:szCs w:val="18"/>
                <w:color w:val="auto"/>
              </w:rPr>
              <w:t>By: /s/ Ronald Cami</w:t>
            </w:r>
          </w:p>
        </w:tc>
      </w:tr>
      <w:tr>
        <w:trPr>
          <w:trHeight w:val="195"/>
        </w:trPr>
        <w:tc>
          <w:tcPr>
            <w:tcW w:w="33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3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21"/>
        </w:trPr>
        <w:tc>
          <w:tcPr>
            <w:tcW w:w="3380" w:type="dxa"/>
            <w:vAlign w:val="bottom"/>
          </w:tcPr>
          <w:p>
            <w:pPr>
              <w:spacing w:after="0"/>
              <w:rPr>
                <w:sz w:val="24"/>
                <w:szCs w:val="24"/>
                <w:color w:val="auto"/>
              </w:rPr>
            </w:pPr>
          </w:p>
        </w:tc>
        <w:tc>
          <w:tcPr>
            <w:tcW w:w="6360" w:type="dxa"/>
            <w:vAlign w:val="bottom"/>
            <w:gridSpan w:val="2"/>
          </w:tcPr>
          <w:p>
            <w:pPr>
              <w:jc w:val="right"/>
              <w:ind w:right="383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0580"/>
      </w:cols>
      <w:pgMar w:left="240" w:top="962"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2019-12-11T09:23:09Z</dcterms:created>
  <dcterms:modified xsi:type="dcterms:W3CDTF">2019-12-11T09:23:09Z</dcterms:modified>
</cp:coreProperties>
</file>