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7" w:lineRule="exact"/>
        <w:rPr>
          <w:sz w:val="24"/>
          <w:szCs w:val="24"/>
          <w:color w:val="auto"/>
        </w:rPr>
      </w:pPr>
    </w:p>
    <w:tbl>
      <w:tblPr>
        <w:tblLayout w:type="fixed"/>
        <w:tblInd w:w="120" w:type="dxa"/>
        <w:tblCellMar>
          <w:top w:w="0" w:type="dxa"/>
          <w:left w:w="0" w:type="dxa"/>
          <w:bottom w:w="0" w:type="dxa"/>
          <w:right w:w="0" w:type="dxa"/>
        </w:tblCellMar>
      </w:tblPr>
      <w:tr>
        <w:trPr>
          <w:trHeight w:val="378"/>
        </w:trPr>
        <w:tc>
          <w:tcPr>
            <w:tcW w:w="2300" w:type="dxa"/>
            <w:vAlign w:val="bottom"/>
          </w:tcPr>
          <w:p>
            <w:pPr>
              <w:spacing w:after="0"/>
              <w:rPr>
                <w:sz w:val="24"/>
                <w:szCs w:val="24"/>
                <w:color w:val="auto"/>
              </w:rPr>
            </w:pPr>
          </w:p>
        </w:tc>
        <w:tc>
          <w:tcPr>
            <w:tcW w:w="5460" w:type="dxa"/>
            <w:vAlign w:val="bottom"/>
            <w:gridSpan w:val="3"/>
          </w:tcPr>
          <w:p>
            <w:pPr>
              <w:jc w:val="center"/>
              <w:ind w:left="843"/>
              <w:spacing w:after="0"/>
              <w:rPr>
                <w:sz w:val="20"/>
                <w:szCs w:val="20"/>
                <w:color w:val="auto"/>
              </w:rPr>
            </w:pPr>
            <w:r>
              <w:rPr>
                <w:rFonts w:ascii="Arial" w:cs="Arial" w:eastAsia="Arial" w:hAnsi="Arial"/>
                <w:sz w:val="32"/>
                <w:szCs w:val="32"/>
                <w:b w:val="1"/>
                <w:bCs w:val="1"/>
                <w:color w:val="auto"/>
                <w:w w:val="99"/>
              </w:rPr>
              <w:t>SCHEDULE 14A</w:t>
            </w:r>
          </w:p>
        </w:tc>
      </w:tr>
      <w:tr>
        <w:trPr>
          <w:trHeight w:val="280"/>
        </w:trPr>
        <w:tc>
          <w:tcPr>
            <w:tcW w:w="2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420" w:type="dxa"/>
            <w:vAlign w:val="bottom"/>
            <w:gridSpan w:val="2"/>
          </w:tcPr>
          <w:p>
            <w:pPr>
              <w:jc w:val="center"/>
              <w:ind w:right="1100"/>
              <w:spacing w:after="0"/>
              <w:rPr>
                <w:sz w:val="20"/>
                <w:szCs w:val="20"/>
                <w:color w:val="auto"/>
              </w:rPr>
            </w:pPr>
            <w:r>
              <w:rPr>
                <w:rFonts w:ascii="Arial" w:cs="Arial" w:eastAsia="Arial" w:hAnsi="Arial"/>
                <w:sz w:val="22"/>
                <w:szCs w:val="22"/>
                <w:b w:val="1"/>
                <w:bCs w:val="1"/>
                <w:color w:val="auto"/>
                <w:w w:val="94"/>
              </w:rPr>
              <w:t>(RULE 14a-101)</w:t>
            </w:r>
          </w:p>
        </w:tc>
      </w:tr>
      <w:tr>
        <w:trPr>
          <w:trHeight w:val="219"/>
        </w:trPr>
        <w:tc>
          <w:tcPr>
            <w:tcW w:w="23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1100" w:type="dxa"/>
            <w:vAlign w:val="bottom"/>
          </w:tcPr>
          <w:p>
            <w:pPr>
              <w:spacing w:after="0"/>
              <w:rPr>
                <w:sz w:val="19"/>
                <w:szCs w:val="19"/>
                <w:color w:val="auto"/>
              </w:rPr>
            </w:pPr>
          </w:p>
        </w:tc>
      </w:tr>
      <w:tr>
        <w:trPr>
          <w:trHeight w:val="317"/>
        </w:trPr>
        <w:tc>
          <w:tcPr>
            <w:tcW w:w="2300" w:type="dxa"/>
            <w:vAlign w:val="bottom"/>
          </w:tcPr>
          <w:p>
            <w:pPr>
              <w:spacing w:after="0"/>
              <w:rPr>
                <w:sz w:val="24"/>
                <w:szCs w:val="24"/>
                <w:color w:val="auto"/>
              </w:rPr>
            </w:pPr>
          </w:p>
        </w:tc>
        <w:tc>
          <w:tcPr>
            <w:tcW w:w="5460" w:type="dxa"/>
            <w:vAlign w:val="bottom"/>
            <w:gridSpan w:val="3"/>
          </w:tcPr>
          <w:p>
            <w:pPr>
              <w:jc w:val="center"/>
              <w:ind w:left="843"/>
              <w:spacing w:after="0"/>
              <w:rPr>
                <w:sz w:val="20"/>
                <w:szCs w:val="20"/>
                <w:color w:val="auto"/>
              </w:rPr>
            </w:pPr>
            <w:r>
              <w:rPr>
                <w:rFonts w:ascii="Arial" w:cs="Arial" w:eastAsia="Arial" w:hAnsi="Arial"/>
                <w:sz w:val="22"/>
                <w:szCs w:val="22"/>
                <w:b w:val="1"/>
                <w:bCs w:val="1"/>
                <w:color w:val="auto"/>
                <w:w w:val="88"/>
              </w:rPr>
              <w:t>Proxy Statement Pursuant to Section 14(a) of the</w:t>
            </w:r>
          </w:p>
        </w:tc>
      </w:tr>
      <w:tr>
        <w:trPr>
          <w:trHeight w:val="280"/>
        </w:trPr>
        <w:tc>
          <w:tcPr>
            <w:tcW w:w="2300" w:type="dxa"/>
            <w:vAlign w:val="bottom"/>
          </w:tcPr>
          <w:p>
            <w:pPr>
              <w:spacing w:after="0"/>
              <w:rPr>
                <w:sz w:val="24"/>
                <w:szCs w:val="24"/>
                <w:color w:val="auto"/>
              </w:rPr>
            </w:pPr>
          </w:p>
        </w:tc>
        <w:tc>
          <w:tcPr>
            <w:tcW w:w="5460" w:type="dxa"/>
            <w:vAlign w:val="bottom"/>
            <w:gridSpan w:val="3"/>
          </w:tcPr>
          <w:p>
            <w:pPr>
              <w:jc w:val="center"/>
              <w:ind w:left="823"/>
              <w:spacing w:after="0"/>
              <w:rPr>
                <w:sz w:val="20"/>
                <w:szCs w:val="20"/>
                <w:color w:val="auto"/>
              </w:rPr>
            </w:pPr>
            <w:r>
              <w:rPr>
                <w:rFonts w:ascii="Arial" w:cs="Arial" w:eastAsia="Arial" w:hAnsi="Arial"/>
                <w:sz w:val="22"/>
                <w:szCs w:val="22"/>
                <w:b w:val="1"/>
                <w:bCs w:val="1"/>
                <w:color w:val="auto"/>
                <w:w w:val="87"/>
              </w:rPr>
              <w:t>Securities Exchange Act of 1934</w:t>
            </w:r>
          </w:p>
        </w:tc>
      </w:tr>
      <w:tr>
        <w:trPr>
          <w:trHeight w:val="334"/>
        </w:trPr>
        <w:tc>
          <w:tcPr>
            <w:tcW w:w="2300" w:type="dxa"/>
            <w:vAlign w:val="bottom"/>
          </w:tcPr>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tc>
        <w:tc>
          <w:tcPr>
            <w:tcW w:w="5460" w:type="dxa"/>
            <w:vAlign w:val="bottom"/>
            <w:gridSpan w:val="3"/>
          </w:tcPr>
          <w:p>
            <w:pPr>
              <w:ind w:left="3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tc>
      </w:tr>
      <w:tr>
        <w:trPr>
          <w:trHeight w:val="304"/>
        </w:trPr>
        <w:tc>
          <w:tcPr>
            <w:tcW w:w="2300" w:type="dxa"/>
            <w:vAlign w:val="bottom"/>
          </w:tcPr>
          <w:p>
            <w:pPr>
              <w:spacing w:after="0"/>
              <w:rPr>
                <w:sz w:val="20"/>
                <w:szCs w:val="20"/>
                <w:color w:val="auto"/>
              </w:rPr>
            </w:pPr>
            <w:r>
              <w:rPr>
                <w:rFonts w:ascii="Arial" w:cs="Arial" w:eastAsia="Arial" w:hAnsi="Arial"/>
                <w:sz w:val="18"/>
                <w:szCs w:val="18"/>
                <w:color w:val="auto"/>
              </w:rPr>
              <w:t>Check the appropriate box:</w:t>
            </w:r>
          </w:p>
        </w:tc>
        <w:tc>
          <w:tcPr>
            <w:tcW w:w="20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107" w:lineRule="exact"/>
        <w:rPr>
          <w:sz w:val="24"/>
          <w:szCs w:val="24"/>
          <w:color w:val="auto"/>
        </w:rPr>
      </w:pPr>
    </w:p>
    <w:p>
      <w:pPr>
        <w:ind w:left="780" w:hanging="664"/>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780" w:hanging="664"/>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780" w:hanging="664"/>
        <w:spacing w:after="0"/>
        <w:tabs>
          <w:tab w:leader="none" w:pos="7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780" w:hanging="664"/>
        <w:spacing w:after="0"/>
        <w:tabs>
          <w:tab w:leader="none" w:pos="7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780" w:hanging="664"/>
        <w:spacing w:after="0"/>
        <w:tabs>
          <w:tab w:leader="none" w:pos="7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84" w:lineRule="exact"/>
        <w:rPr>
          <w:sz w:val="24"/>
          <w:szCs w:val="24"/>
          <w:color w:val="auto"/>
        </w:rPr>
      </w:pPr>
    </w:p>
    <w:p>
      <w:pPr>
        <w:jc w:val="center"/>
        <w:ind w:right="-279"/>
        <w:spacing w:after="0"/>
        <w:rPr>
          <w:sz w:val="20"/>
          <w:szCs w:val="20"/>
          <w:color w:val="auto"/>
        </w:rPr>
      </w:pPr>
      <w:r>
        <w:rPr>
          <w:rFonts w:ascii="Arial" w:cs="Arial" w:eastAsia="Arial" w:hAnsi="Arial"/>
          <w:sz w:val="40"/>
          <w:szCs w:val="40"/>
          <w:b w:val="1"/>
          <w:bCs w:val="1"/>
          <w:color w:val="auto"/>
        </w:rPr>
        <w:t>TPG Specialty Lending, Inc.</w:t>
      </w:r>
    </w:p>
    <w:p>
      <w:pPr>
        <w:spacing w:after="0" w:line="35"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3"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4"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660" w:hanging="544"/>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660" w:hanging="544"/>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1560" w:hanging="904"/>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65" w:lineRule="exact"/>
        <w:rPr>
          <w:rFonts w:ascii="Arial" w:cs="Arial" w:eastAsia="Arial" w:hAnsi="Arial"/>
          <w:sz w:val="18"/>
          <w:szCs w:val="18"/>
          <w:color w:val="auto"/>
        </w:rPr>
      </w:pPr>
    </w:p>
    <w:p>
      <w:pPr>
        <w:ind w:left="1560" w:hanging="904"/>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1560" w:hanging="904"/>
        <w:spacing w:after="0" w:line="277" w:lineRule="auto"/>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value of transaction computed pursuant to Exchange Act Rule 0-11 (set forth the amount on which the filing fee is calculated and state how it was determined):</w:t>
      </w:r>
    </w:p>
    <w:p>
      <w:pPr>
        <w:spacing w:after="0" w:line="210" w:lineRule="exact"/>
        <w:rPr>
          <w:rFonts w:ascii="Arial" w:cs="Arial" w:eastAsia="Arial" w:hAnsi="Arial"/>
          <w:sz w:val="18"/>
          <w:szCs w:val="18"/>
          <w:color w:val="auto"/>
        </w:rPr>
      </w:pPr>
    </w:p>
    <w:p>
      <w:pPr>
        <w:ind w:left="1560" w:hanging="904"/>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1560" w:hanging="904"/>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65" w:lineRule="exact"/>
        <w:rPr>
          <w:rFonts w:ascii="Arial" w:cs="Arial" w:eastAsia="Arial" w:hAnsi="Arial"/>
          <w:sz w:val="18"/>
          <w:szCs w:val="18"/>
          <w:color w:val="auto"/>
        </w:rPr>
      </w:pPr>
    </w:p>
    <w:p>
      <w:pPr>
        <w:ind w:left="660" w:hanging="544"/>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660" w:right="160" w:hanging="544"/>
        <w:spacing w:after="0" w:line="306" w:lineRule="auto"/>
        <w:tabs>
          <w:tab w:leader="none" w:pos="6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7"/>
          <w:szCs w:val="17"/>
          <w:color w:val="auto"/>
        </w:rPr>
      </w:pPr>
    </w:p>
    <w:p>
      <w:pPr>
        <w:ind w:left="1560" w:hanging="904"/>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98" w:lineRule="exact"/>
        <w:rPr>
          <w:rFonts w:ascii="Arial" w:cs="Arial" w:eastAsia="Arial" w:hAnsi="Arial"/>
          <w:sz w:val="18"/>
          <w:szCs w:val="18"/>
          <w:color w:val="auto"/>
        </w:rPr>
      </w:pPr>
    </w:p>
    <w:p>
      <w:pPr>
        <w:ind w:left="1560" w:hanging="904"/>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98" w:lineRule="exact"/>
        <w:rPr>
          <w:rFonts w:ascii="Arial" w:cs="Arial" w:eastAsia="Arial" w:hAnsi="Arial"/>
          <w:sz w:val="18"/>
          <w:szCs w:val="18"/>
          <w:color w:val="auto"/>
        </w:rPr>
      </w:pPr>
    </w:p>
    <w:p>
      <w:pPr>
        <w:ind w:left="1560" w:hanging="904"/>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98" w:lineRule="exact"/>
        <w:rPr>
          <w:rFonts w:ascii="Arial" w:cs="Arial" w:eastAsia="Arial" w:hAnsi="Arial"/>
          <w:sz w:val="18"/>
          <w:szCs w:val="18"/>
          <w:color w:val="auto"/>
        </w:rPr>
      </w:pPr>
    </w:p>
    <w:p>
      <w:pPr>
        <w:ind w:left="1560" w:hanging="904"/>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990600</wp:posOffset>
            </wp:positionH>
            <wp:positionV relativeFrom="paragraph">
              <wp:posOffset>-2787650</wp:posOffset>
            </wp:positionV>
            <wp:extent cx="60775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-2487930</wp:posOffset>
            </wp:positionV>
            <wp:extent cx="60775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77585" cy="8890"/>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-2050415</wp:posOffset>
            </wp:positionV>
            <wp:extent cx="60775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-1750695</wp:posOffset>
            </wp:positionV>
            <wp:extent cx="60775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-1450340</wp:posOffset>
            </wp:positionV>
            <wp:extent cx="60775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-653415</wp:posOffset>
            </wp:positionV>
            <wp:extent cx="60775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77585" cy="8890"/>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-396240</wp:posOffset>
            </wp:positionV>
            <wp:extent cx="60775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77585" cy="8890"/>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-139065</wp:posOffset>
            </wp:positionV>
            <wp:extent cx="60775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77585" cy="8890"/>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117475</wp:posOffset>
            </wp:positionV>
            <wp:extent cx="60775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77585" cy="8255"/>
                    </a:xfrm>
                    <a:prstGeom prst="rect">
                      <a:avLst/>
                    </a:prstGeom>
                    <a:noFill/>
                  </pic:spPr>
                </pic:pic>
              </a:graphicData>
            </a:graphic>
          </wp:anchor>
        </w:drawing>
      </w:r>
    </w:p>
    <w:p>
      <w:pPr>
        <w:sectPr>
          <w:pgSz w:w="11900" w:h="16838" w:orient="portrait"/>
          <w:cols w:equalWidth="0" w:num="1">
            <w:col w:w="10980"/>
          </w:cols>
          <w:pgMar w:left="320" w:top="230" w:right="5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337310" cy="565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3731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2100 McKinney Avenue, Suite 1500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Dallas, TX 75201</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17, 2020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Our Stockholders: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are pleased to invite you to attend the 2020 Annual Meeting of Stockholders of TPG Specialty Lending, Inc. to be held on May 28, 2020, at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9:00 a.m., local time, at the offices of Cleary Gottlieb Steen &amp; Hamilton LLP, 450 Park Avenue, 28th Floor, New York, NY 10022.</w:t>
      </w:r>
    </w:p>
    <w:p>
      <w:pPr>
        <w:spacing w:after="0" w:line="21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following pages include a formal notice of the meeting and our proxy statement. The Notice of Internet Availability of Proxy Materials you received in the mail and this proxy statement describe various matters on the agenda for the meeting. Please read these materials so that you will know what we plan to do at the meeting. It is important that your shares be represented at the annual meeting, regardless of whether you plan to attend the meeting in person. Please vote your shares as soon as possible through any of the voting options available to you as described in the Notice of Internet Availability of Proxy Materials and this proxy statement.</w:t>
      </w:r>
    </w:p>
    <w:p>
      <w:pPr>
        <w:spacing w:after="0" w:line="188"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You will also receive separate proxy materials for a special meeting of stockholders, which will be held at the same place and on the same date stated above, but not at the same time. Please be certain to vote separately each proxy card that you receive from us.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behalf of management and our Board of Directors, we thank you for your continued support of TPG Specialty Lending, Inc.</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Chairman of the Board of Directors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Dallas, TX</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17, 2020</w:t>
      </w:r>
    </w:p>
    <w:p>
      <w:pPr>
        <w:sectPr>
          <w:pgSz w:w="11900" w:h="16838" w:orient="portrait"/>
          <w:cols w:equalWidth="0" w:num="1">
            <w:col w:w="10960"/>
          </w:cols>
          <w:pgMar w:left="320" w:top="459" w:right="6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Important Notice Regarding the Availability of Proxy Material for the Annual Meeting of Stockholders to Be Held on May 28, 2020.</w:t>
      </w:r>
    </w:p>
    <w:p>
      <w:pPr>
        <w:spacing w:after="0" w:line="24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proxy statement and annual report on Form 10-K for the year ended December 31, 2019 are available online at www.proxyvote.com.</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information applicable to the Annual Meeting of Stockholders may be found in the proxy statement and accompanying proxy card:</w:t>
      </w:r>
    </w:p>
    <w:p>
      <w:pPr>
        <w:spacing w:after="0" w:line="154"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 time and location of the meeting;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list of the matters intended to be acted on and our recommendations regarding those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control/identification numbers that you need to access proxy material online;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information about attending the meeting and voting in person.</w:t>
      </w:r>
    </w:p>
    <w:p>
      <w:pPr>
        <w:sectPr>
          <w:pgSz w:w="11900" w:h="16838" w:orient="portrait"/>
          <w:cols w:equalWidth="0" w:num="1">
            <w:col w:w="11060"/>
          </w:cols>
          <w:pgMar w:left="320" w:top="459" w:right="5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337310" cy="5657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3731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2100 McKinney Avenue, Suite 1500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Dallas, TX 75201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160020</wp:posOffset>
            </wp:positionV>
            <wp:extent cx="1474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of the 2020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163195</wp:posOffset>
            </wp:positionV>
            <wp:extent cx="1474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OUR STOCKHOLDERS:</w:t>
      </w:r>
    </w:p>
    <w:p>
      <w:pPr>
        <w:spacing w:after="0" w:line="22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NOTICE IS HEREBY GIVEN that the 2020 Annual Meeting of Stockholders of TPG Specialty Lending, Inc. will be held at the offices of Cleary Gottlieb Steen &amp; Hamilton LLP, 450 Park Avenue, 28th Floor, New York, NY 10022 on May 28, 2020, at 9:00 a.m., local time. The 2020 Annual Meeting of Stockholders is being held for the following purposes:</w:t>
      </w:r>
    </w:p>
    <w:p>
      <w:pPr>
        <w:spacing w:after="0" w:line="76" w:lineRule="exact"/>
        <w:rPr>
          <w:sz w:val="20"/>
          <w:szCs w:val="20"/>
          <w:color w:val="auto"/>
        </w:rPr>
      </w:pPr>
    </w:p>
    <w:p>
      <w:pPr>
        <w:ind w:left="560" w:right="120" w:firstLine="419"/>
        <w:spacing w:after="0" w:line="277" w:lineRule="auto"/>
        <w:tabs>
          <w:tab w:leader="none" w:pos="1163"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three Class III directors, each to serve for a three-year term and until a successor has been duly elected and qualified or until the director’s earlier resignation or removal.</w:t>
      </w:r>
    </w:p>
    <w:p>
      <w:pPr>
        <w:spacing w:after="0" w:line="62" w:lineRule="exact"/>
        <w:rPr>
          <w:rFonts w:ascii="Arial" w:cs="Arial" w:eastAsia="Arial" w:hAnsi="Arial"/>
          <w:sz w:val="18"/>
          <w:szCs w:val="18"/>
          <w:color w:val="auto"/>
        </w:rPr>
      </w:pPr>
    </w:p>
    <w:p>
      <w:pPr>
        <w:ind w:left="560" w:right="720" w:firstLine="419"/>
        <w:spacing w:after="0" w:line="277" w:lineRule="auto"/>
        <w:tabs>
          <w:tab w:leader="none" w:pos="1163"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selection of KPMG LLP as the Company’s independent registered public accounting firm for the fiscal year ending December 31, 2020.</w:t>
      </w:r>
    </w:p>
    <w:p>
      <w:pPr>
        <w:spacing w:after="0" w:line="62" w:lineRule="exact"/>
        <w:rPr>
          <w:rFonts w:ascii="Arial" w:cs="Arial" w:eastAsia="Arial" w:hAnsi="Arial"/>
          <w:sz w:val="18"/>
          <w:szCs w:val="18"/>
          <w:color w:val="auto"/>
        </w:rPr>
      </w:pPr>
    </w:p>
    <w:p>
      <w:pPr>
        <w:ind w:left="560" w:right="740" w:firstLine="419"/>
        <w:spacing w:after="0" w:line="277" w:lineRule="auto"/>
        <w:tabs>
          <w:tab w:leader="none" w:pos="1163"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2020 Annual Meeting of Stockholders or any postponement or adjournment thereof.</w:t>
      </w:r>
    </w:p>
    <w:p>
      <w:pPr>
        <w:spacing w:after="0" w:line="170"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Only stockholders of record at the close of business on March 30, 2020, are entitled to notice of and to vote at the 2020 Annual Meeting of Stockholders or any postponement or adjournment thereof.</w:t>
      </w:r>
    </w:p>
    <w:p>
      <w:pPr>
        <w:spacing w:after="0" w:line="170"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We are furnishing a proxy statement, annual report and proxy card to our stockholders on the internet, rather than mailing printed copies of those materials to each stockholder. If you received a Notice of Internet Availability of Proxy Materials by mail, you will not receive a printed copy of the proxy statement, annual report and proxy card unless you request them. Instead, the Notice of Internet Availability of Proxy Materials will instruct you as to how you may access and review the proxy statement and annual report, and vote your proxy, on the internet.</w:t>
      </w:r>
    </w:p>
    <w:p>
      <w:pPr>
        <w:spacing w:after="0" w:line="17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Your vote is extremely important to us. If you are unable to attend the 2020 Annual Meeting of Stockholders, we encourage you to vote your proxy on the internet by following the instructions provided on the Notice of Internet Availability of Proxy Materials or proxy card. Stockholders may also request from us free of charge hard copies of the proxy statement and proxy card by following the instructions on the Notice of Internet Availability of Proxy Materials.</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Further, from time to time we may repurchase shares of our common stock and are notifying you of this ability as required by applicable securities law. See “Stock Repurchases” in the proxy statement.</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Ken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Ken Burke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7"/>
          <w:szCs w:val="17"/>
          <w:i w:val="1"/>
          <w:iCs w:val="1"/>
          <w:color w:val="auto"/>
        </w:rPr>
        <w:t>Chief Compliance Officer, Vice President and Secretary</w:t>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Dallas, TX</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17, 2020</w:t>
      </w:r>
    </w:p>
    <w:p>
      <w:pPr>
        <w:spacing w:after="0" w:line="207" w:lineRule="exact"/>
        <w:rPr>
          <w:sz w:val="20"/>
          <w:szCs w:val="20"/>
          <w:color w:val="auto"/>
        </w:rPr>
      </w:pPr>
    </w:p>
    <w:p>
      <w:pPr>
        <w:ind w:left="120" w:right="140"/>
        <w:spacing w:after="0" w:line="261" w:lineRule="auto"/>
        <w:rPr>
          <w:sz w:val="20"/>
          <w:szCs w:val="20"/>
          <w:color w:val="auto"/>
        </w:rPr>
      </w:pPr>
      <w:r>
        <w:rPr>
          <w:rFonts w:ascii="Arial" w:cs="Arial" w:eastAsia="Arial" w:hAnsi="Arial"/>
          <w:sz w:val="18"/>
          <w:szCs w:val="18"/>
          <w:b w:val="1"/>
          <w:bCs w:val="1"/>
          <w:u w:val="single" w:color="auto"/>
          <w:color w:val="auto"/>
        </w:rPr>
        <w:t>YOUR VOTE IS IMPORTANT</w:t>
      </w:r>
      <w:r>
        <w:rPr>
          <w:rFonts w:ascii="Arial" w:cs="Arial" w:eastAsia="Arial" w:hAnsi="Arial"/>
          <w:sz w:val="18"/>
          <w:szCs w:val="18"/>
          <w:b w:val="1"/>
          <w:bCs w:val="1"/>
          <w:color w:val="auto"/>
        </w:rPr>
        <w:t>! WE HOPE YOU WILL VOTE OVER THE INTERNET, BY PHONE OR BY MARKING, SIGNING AND RETURNING YOUR PROXY AS SOON AS POSSIBLE, WHETHER OR NOT YOU PLAN TO ATTEND THE MEETING. EVEN IF YOU VOTE YOUR SHARES PRIOR TO THE MEETING, YOU STILL MAY ATTEND THE MEETING AND VOTE YOUR SHARES IN PERSON.</w:t>
      </w:r>
    </w:p>
    <w:p>
      <w:pPr>
        <w:sectPr>
          <w:pgSz w:w="11900" w:h="16838" w:orient="portrait"/>
          <w:cols w:equalWidth="0" w:num="1">
            <w:col w:w="11100"/>
          </w:cols>
          <w:pgMar w:left="32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6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4"/>
                <w:szCs w:val="14"/>
                <w:b w:val="1"/>
                <w:bCs w:val="1"/>
                <w:color w:val="auto"/>
              </w:rPr>
              <w:t>Page</w:t>
            </w:r>
          </w:p>
        </w:tc>
      </w:tr>
      <w:tr>
        <w:trPr>
          <w:trHeight w:val="209"/>
        </w:trPr>
        <w:tc>
          <w:tcPr>
            <w:tcW w:w="10660" w:type="dxa"/>
            <w:vAlign w:val="bottom"/>
            <w:tcBorders>
              <w:top w:val="single" w:sz="8" w:color="CCEEFF"/>
            </w:tcBorders>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Proxy Statement for the 2020 Annual Meeting of Stockholders</w:t>
              </w:r>
            </w:hyperlink>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Security Ownership of Certain Beneficial Owners and Management</w:t>
              </w:r>
            </w:hyperlink>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10660" w:type="dxa"/>
            <w:vAlign w:val="bottom"/>
            <w:shd w:val="clear" w:color="auto" w:fill="CCEEFF"/>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Proposal No. 1—Election of Directors</w:t>
              </w:r>
            </w:hyperlink>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Corporate Governance</w:t>
              </w:r>
            </w:hyperlink>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10660" w:type="dxa"/>
            <w:vAlign w:val="bottom"/>
            <w:shd w:val="clear" w:color="auto" w:fill="CCEEFF"/>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Proposal No. 2—Ratification of Selection of Independent Registered Public Accounting Firm</w:t>
              </w:r>
            </w:hyperlink>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Audit Committee Report</w:t>
              </w:r>
            </w:hyperlink>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r>
      <w:tr>
        <w:trPr>
          <w:trHeight w:val="216"/>
        </w:trPr>
        <w:tc>
          <w:tcPr>
            <w:tcW w:w="10660" w:type="dxa"/>
            <w:vAlign w:val="bottom"/>
            <w:shd w:val="clear" w:color="auto" w:fill="CCEEFF"/>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Other Business</w:t>
              </w:r>
            </w:hyperlink>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Stock Repurchases</w:t>
              </w:r>
            </w:hyperlink>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r>
      <w:tr>
        <w:trPr>
          <w:trHeight w:val="216"/>
        </w:trPr>
        <w:tc>
          <w:tcPr>
            <w:tcW w:w="10660" w:type="dxa"/>
            <w:vAlign w:val="bottom"/>
            <w:shd w:val="clear" w:color="auto" w:fill="CCEEFF"/>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Stockholder Proposals and Nominations for the 2021 Annual Meeting of Stockholders</w:t>
              </w:r>
            </w:hyperlink>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Annual Report</w:t>
              </w:r>
            </w:hyperlink>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r>
      <w:tr>
        <w:trPr>
          <w:trHeight w:val="216"/>
        </w:trPr>
        <w:tc>
          <w:tcPr>
            <w:tcW w:w="10660" w:type="dxa"/>
            <w:vAlign w:val="bottom"/>
            <w:shd w:val="clear" w:color="auto" w:fill="CCEEFF"/>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Householding of Proxy Materials</w:t>
              </w:r>
            </w:hyperlink>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r>
      <w:tr>
        <w:trPr>
          <w:trHeight w:val="230"/>
        </w:trPr>
        <w:tc>
          <w:tcPr>
            <w:tcW w:w="10660" w:type="dxa"/>
            <w:vAlign w:val="bottom"/>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Privacy Principles</w:t>
              </w:r>
            </w:hyperlink>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337310" cy="5657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3731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2100 McKinney Avenue, Suite 1500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Dallas, TX 75201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160020</wp:posOffset>
            </wp:positionV>
            <wp:extent cx="14744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3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2020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6"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accompanying proxy is solicited on behalf of the Board of Directors (the “Board”) of TPG Specialty Lending, Inc., which is sometimes referred to in this proxy statement as “TSLX,” “we,” “us,” “our,” or the “Company,” for use at the 2020 Annual Meeting of Stockholders (the “Meeting”) to be held at the offices of Cleary Gottlieb Steen &amp; Hamilton LLP, 450 Park Avenue, 28th Floor, New York, NY 10022 on May 28, 2020, at 9:00 a.m., local time. Only holders of record of our common stock at the close of business on March 30, 2020, which is the record date, will be entitled to vote at the Meeting. At the close of business on the record date, we had 66,512,097 shares of common stock outstanding and entitled to vote.</w:t>
      </w:r>
    </w:p>
    <w:p>
      <w:pPr>
        <w:spacing w:after="0" w:line="16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It is anticipated that the Notice of Internet Availability of Proxy Materials will first be sent to Stockholders on or about April 17, 2020. This proxy statement, including the accompanying form of proxy (collectively, the “Proxy Statement”), and the Company’s Annual Report for the fiscal year ended December 31, 2019 will first be made available to stockholders on or about April 17, 2020. The Annual Report and Proxy Statement can both be accessed online at www.proxyvote.com.</w:t>
      </w:r>
    </w:p>
    <w:p>
      <w:pPr>
        <w:spacing w:after="0" w:line="18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 xml:space="preserve">All proxies will be voted in accordance with the instructions contained therein. Unless contrary instructions are specified, if the accompanying proxy is executed and returned (and not revoked) prior to the Meeting, the shares of the Company’s common stock represented by the proxy will be voted (1)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the Class III director candidates nominated by the Board and (2)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ratification of the selection of KPMG LLP as the Company’s independent registered public accounting firm for the fiscal year ending December 31, 2020. Should any matter not described above be properly presented at the Meeting, the named proxies will vote in accordance with their judgment as permitted.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Holders of our common stock are entitled to one vote for each share held as of the record date.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2020 Annual Meeting of Stockholders is being held for the following purposes:</w:t>
      </w:r>
    </w:p>
    <w:p>
      <w:pPr>
        <w:spacing w:after="0" w:line="225" w:lineRule="exact"/>
        <w:rPr>
          <w:sz w:val="20"/>
          <w:szCs w:val="20"/>
          <w:color w:val="auto"/>
        </w:rPr>
      </w:pPr>
    </w:p>
    <w:p>
      <w:pPr>
        <w:ind w:left="120" w:right="520" w:firstLine="436"/>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elect three Class III directors, each to serve for a three-year term and until a successor has been duly elected and qualified or until the director’s earlier resignation or removal.</w:t>
      </w:r>
    </w:p>
    <w:p>
      <w:pPr>
        <w:spacing w:after="0" w:line="170" w:lineRule="exact"/>
        <w:rPr>
          <w:rFonts w:ascii="Arial" w:cs="Arial" w:eastAsia="Arial" w:hAnsi="Arial"/>
          <w:sz w:val="18"/>
          <w:szCs w:val="18"/>
          <w:color w:val="auto"/>
        </w:rPr>
      </w:pPr>
    </w:p>
    <w:p>
      <w:pPr>
        <w:ind w:left="740" w:hanging="184"/>
        <w:spacing w:after="0"/>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ratify the selection of KPMG LLP as the Company’s independent registered public accounting firm for the fiscal year ending December 31,</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2020.</w:t>
      </w:r>
    </w:p>
    <w:p>
      <w:pPr>
        <w:spacing w:after="0" w:line="210" w:lineRule="exact"/>
        <w:rPr>
          <w:rFonts w:ascii="Arial" w:cs="Arial" w:eastAsia="Arial" w:hAnsi="Arial"/>
          <w:sz w:val="16"/>
          <w:szCs w:val="16"/>
          <w:color w:val="auto"/>
        </w:rPr>
      </w:pPr>
    </w:p>
    <w:p>
      <w:pPr>
        <w:ind w:left="740" w:hanging="184"/>
        <w:spacing w:after="0"/>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2020 Annual Meeting of Stockholders or any postponement or adjournment</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Quorum, Effect of Abstentions and Broker Non-Votes, Vote Required to Approve the Proposals</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 majority of the outstanding shares of common stock must be present or represented by proxy at the Meeting in order to have a quorum. If you have properly voted by proxy online, by phone, or via mail, you will</w:t>
      </w:r>
    </w:p>
    <w:p>
      <w:pPr>
        <w:sectPr>
          <w:pgSz w:w="11900" w:h="16838" w:orient="portrait"/>
          <w:cols w:equalWidth="0" w:num="1">
            <w:col w:w="11080"/>
          </w:cols>
          <w:pgMar w:left="320" w:top="459"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be considered part of the quorum. We will count “abstain” and “withhold” votes as present for the purpose of establishing a quorum for the transaction of business at the Meeting. If at any time shares are held through brokers, we will count broker non-votes as present for the purpose of establishing a quorum. A broker non-vote occurs when a broker holding shares for a beneficial owner votes on some matters on the proxy card, but not on others, because the broker does not have instructions from the beneficial owner or discretionary authority (or declines to exercise discretionary authority) with respect to those other matters.</w:t>
      </w:r>
    </w:p>
    <w:p>
      <w:pPr>
        <w:spacing w:after="0" w:line="188"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Provided a quorum is present, directors are elected by a plurality of the votes represented at the meeting and voted for nominee(s) in the election. Broker non-votes, if any, though counted for purposes of establishing a quorum, will not affect the outcome of the voting on the elections. A proxy marked “withhold” with respect to a director nominee will result in such director nominee receiving one fewer “FOR” vote that would count towards a plurality.</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affirmative vote of the majority of shares represented at the meeting and voting on the proposal will determine the outcome of the ratification of the independent registered public accounting firm. For each of these proposals, “abstain” votes and broker non-votes, if any, though counted for purposes of establishing a quorum, will have no effect on the outcome of the vote.</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inspector of elections appointed for the Meeting will separately tabulate affirmative votes, “against” votes or “withhold” votes, as applicable, “abstain” votes and broker non-votes.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Adjournment of Meeting</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the event that a quorum shall fail to attend the Meeting, either in person or represented by proxy, the stockholders entitled to vote at the Meeting (present in person or represented by proxy) shall have the power to adjourn the meeting from time to time, without notice other than announcement at the meeting, until a quorum shall be present or represented by proxy. Any such adjournment proposed by a stockholder or person named as a proxy would require the affirmative vote of the majority of the outstanding shares present in person or represented by proxy at the Meeting. In addition, pursuant to the bylaws of the Company, if there are not sufficient votes for a quorum or to approve or ratify any proposal at the time of the Meeting, the chairman of the Meeting, or any other officer entitled to preside or to act as secretary at the Meeting, may adjourn or postpone the Meeting in order to permit further solicitation of proxies by the Company, without notice other than announcement at the meeting.</w:t>
      </w:r>
    </w:p>
    <w:p>
      <w:pPr>
        <w:spacing w:after="0" w:line="17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At any such adjourned or postponed meeting, any business may be transacted which might have been transacted at the meeting as originally called. If the adjournment is for more than 30 days, or if after adjournment a new record date is set, then a notice of the adjourned meeting shall be given to each stockholder of record entitled to vote at the meeting.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Proxies for the Meeting</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named proxies for the Meeting are Ian Simmonds and Ken Burke (or their duly authorized designees), who will follow submitted proxy voting instructions. They will vote as the Board recommends herein as to any submitted proxies that do not direct how to vote on any item, and will vote on any other matters properly presented at the Meeting in their judgment.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Information Regarding This Proxy</w:t>
      </w:r>
    </w:p>
    <w:p>
      <w:pPr>
        <w:spacing w:after="0" w:line="121"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The Company will pay the expenses of soliciting proxies to be voted at the Meeting. The Company has retained Broadridge Investor Communications Solutions, Inc. to assist with the distribution and collection of proxies for a fee of approximately $75,000, plus reimbursement of expenses.</w:t>
      </w:r>
    </w:p>
    <w:p>
      <w:pPr>
        <w:spacing w:after="0" w:line="184"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In addition to the solicitation of proxies by the use of the Internet, proxies may be solicited in person and/or by telephone, mail or facsimile transmission by directors or officers of the Company and/or officers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342" w:lineRule="auto"/>
        <w:rPr>
          <w:sz w:val="20"/>
          <w:szCs w:val="20"/>
          <w:color w:val="auto"/>
        </w:rPr>
      </w:pPr>
      <w:r>
        <w:rPr>
          <w:rFonts w:ascii="Arial" w:cs="Arial" w:eastAsia="Arial" w:hAnsi="Arial"/>
          <w:sz w:val="16"/>
          <w:szCs w:val="16"/>
          <w:color w:val="auto"/>
        </w:rPr>
        <w:t>employees of TSL Advisers, LLC, the Company’s investment adviser (the “Adviser”). No additional compensation will be paid to such directors, officers or regular employees for such services. The address of the Adviser is 2100 McKinney Avenue, Suite 1500, Dallas, TX 75201.</w:t>
      </w:r>
    </w:p>
    <w:p>
      <w:pPr>
        <w:spacing w:after="0" w:line="124"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As part of our effort to maintain a safe and healthy environment at the Meeting, we are closely monitoring statements issued by the World Health Organization (who.int), the Centers for Disease Control and Prevention (cdc.gov) and other federal, state and local government authorities regarding the coronavirus (COVID-19) outbreak. For that reason, we reserve the right to reconsider the date, time, and/or means of convening the Meeting, including by holding the meeting virtually over the internet via webcast. If we take this step, we will announce the decision to do so in advance, and details on how to participate will be issued by press release, posted on our website, and filed with the SEC as additional proxy material. We also encourage attendees to review guidance from public health authorities on this issue. We urge you to retain your control or proxy voting number after you vote in case changes are made to the meeting format and such information is again required.</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Revocability of Proxies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A stockholder “of record” (i.e., stockholders holding shares directly in their name) may revoke any proxy by delivering a new proxy in accordance with applicable law bearing a later date, by giving notice of revocation in writing to the Secretary of the Company prior to the Meeting or by attending the Meeting and voting in person. However, the mere presence of the stockholder at the Meeting does not revoke the proxy.</w:t>
      </w:r>
    </w:p>
    <w:p>
      <w:pPr>
        <w:spacing w:after="0" w:line="16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If your shares are held for your account by a broker, bank or other institution or nominee, you may vote such shares at the Meeting only if you obtain proper written authority from your institution or nominee and present it at the Meeting. If your shares are held for your account by a broker, bank or other institution or nominee, to revoke any voting instructions prior to the time the vote is taken at the Meeting, you must contact such broker, bank or other institution or nominee to determine how to revoke your vote in accordance with its policies a sufficient time in advance of the Meeting.</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Contact Information for Proxy Solicitation</w:t>
      </w:r>
    </w:p>
    <w:p>
      <w:pPr>
        <w:spacing w:after="0" w:line="121"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You can contact us by mail sent to the attention of the Secretary of the Company, Ken Burke, TPG Specialty Lending, Inc., 888 7</w:t>
      </w:r>
      <w:r>
        <w:rPr>
          <w:rFonts w:ascii="Arial" w:cs="Arial" w:eastAsia="Arial" w:hAnsi="Arial"/>
          <w:sz w:val="15"/>
          <w:szCs w:val="15"/>
          <w:color w:val="auto"/>
        </w:rPr>
        <w:t>th</w:t>
      </w:r>
      <w:r>
        <w:rPr>
          <w:rFonts w:ascii="Arial" w:cs="Arial" w:eastAsia="Arial" w:hAnsi="Arial"/>
          <w:sz w:val="18"/>
          <w:szCs w:val="18"/>
          <w:color w:val="auto"/>
        </w:rPr>
        <w:t xml:space="preserve"> Avenue, 35</w:t>
      </w:r>
      <w:r>
        <w:rPr>
          <w:rFonts w:ascii="Arial" w:cs="Arial" w:eastAsia="Arial" w:hAnsi="Arial"/>
          <w:sz w:val="15"/>
          <w:szCs w:val="15"/>
          <w:color w:val="auto"/>
        </w:rPr>
        <w:t>th</w:t>
      </w:r>
      <w:r>
        <w:rPr>
          <w:rFonts w:ascii="Arial" w:cs="Arial" w:eastAsia="Arial" w:hAnsi="Arial"/>
          <w:sz w:val="18"/>
          <w:szCs w:val="18"/>
          <w:color w:val="auto"/>
        </w:rPr>
        <w:t xml:space="preserve"> Floor, New York, NY 10106, or by email at kburke@tpg.com. You can call us by dialing (212) 601-4753. You can access our proxy materials online at www.proxyvote.com.</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Beneficial ownership is determined in accordance with the rules and regulations of the U.S. Securities and Exchange Commission (the “SEC”). These rules generally provide that a person is the beneficial owner of securities if the person has or shares the power to vote or direct the voting thereof, or to dispose or direct the disposition thereof or has the right to acquire these powers within 60 days. The following table sets forth, as of March 30, 2020, the beneficial ownership as indicated in the Company’s books and records of each current director, the nominees for director, the Company’s Named Executive Officers, the Company’s executive officers and directors as a group, and each person known to the Company to beneficially own 5% or more of the outstanding shares of the Company’s common stock. With respect to persons known to the Company to beneficially own 5% or more of the outstanding shares of the Company’s common stock, the Company bases such knowledge on beneficial ownership filings made by the holders with the SEC.</w:t>
      </w:r>
    </w:p>
    <w:p>
      <w:pPr>
        <w:spacing w:after="0" w:line="192"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percentage ownership is based on 66,512,097 shares of common stock outstanding as of March 30, 2020. To the Company’s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2100 McKinney Avenue, Suite 1500, Dallas, TX 75201.</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7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4"/>
              </w:rPr>
              <w:t>Number of</w:t>
            </w: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7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Shares of</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7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48"/>
        </w:trPr>
        <w:tc>
          <w:tcPr>
            <w:tcW w:w="24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 of Individual or Identity of Group</w:t>
            </w:r>
          </w:p>
        </w:tc>
        <w:tc>
          <w:tcPr>
            <w:tcW w:w="5660" w:type="dxa"/>
            <w:vAlign w:val="bottom"/>
            <w:vMerge w:val="restart"/>
          </w:tcPr>
          <w:p>
            <w:pPr>
              <w:spacing w:after="0"/>
              <w:rPr>
                <w:sz w:val="12"/>
                <w:szCs w:val="12"/>
                <w:color w:val="auto"/>
              </w:rPr>
            </w:pPr>
          </w:p>
        </w:tc>
        <w:tc>
          <w:tcPr>
            <w:tcW w:w="17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Beneficially</w:t>
            </w:r>
          </w:p>
        </w:tc>
        <w:tc>
          <w:tcPr>
            <w:tcW w:w="0" w:type="dxa"/>
            <w:vAlign w:val="bottom"/>
          </w:tcPr>
          <w:p>
            <w:pPr>
              <w:spacing w:after="0"/>
              <w:rPr>
                <w:sz w:val="1"/>
                <w:szCs w:val="1"/>
                <w:color w:val="auto"/>
              </w:rPr>
            </w:pPr>
          </w:p>
        </w:tc>
      </w:tr>
      <w:tr>
        <w:trPr>
          <w:trHeight w:val="178"/>
        </w:trPr>
        <w:tc>
          <w:tcPr>
            <w:tcW w:w="2480" w:type="dxa"/>
            <w:vAlign w:val="bottom"/>
            <w:tcBorders>
              <w:bottom w:val="single" w:sz="8" w:color="auto"/>
            </w:tcBorders>
            <w:vMerge w:val="continue"/>
          </w:tcPr>
          <w:p>
            <w:pPr>
              <w:spacing w:after="0"/>
              <w:rPr>
                <w:sz w:val="15"/>
                <w:szCs w:val="15"/>
                <w:color w:val="auto"/>
              </w:rPr>
            </w:pPr>
          </w:p>
        </w:tc>
        <w:tc>
          <w:tcPr>
            <w:tcW w:w="5660" w:type="dxa"/>
            <w:vAlign w:val="bottom"/>
            <w:vMerge w:val="continue"/>
          </w:tcPr>
          <w:p>
            <w:pPr>
              <w:spacing w:after="0"/>
              <w:rPr>
                <w:sz w:val="15"/>
                <w:szCs w:val="15"/>
                <w:color w:val="auto"/>
              </w:rPr>
            </w:pPr>
          </w:p>
        </w:tc>
        <w:tc>
          <w:tcPr>
            <w:tcW w:w="1720" w:type="dxa"/>
            <w:vAlign w:val="bottom"/>
            <w:gridSpan w:val="2"/>
          </w:tcPr>
          <w:p>
            <w:pPr>
              <w:jc w:val="center"/>
              <w:ind w:right="740"/>
              <w:spacing w:after="0" w:line="158" w:lineRule="exact"/>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11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189"/>
        </w:trPr>
        <w:tc>
          <w:tcPr>
            <w:tcW w:w="81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Directors and Executive Officers:</w:t>
            </w:r>
          </w:p>
        </w:tc>
        <w:tc>
          <w:tcPr>
            <w:tcW w:w="9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i w:val="1"/>
                <w:iCs w:val="1"/>
                <w:color w:val="auto"/>
              </w:rPr>
              <w:t>Interested Directors</w:t>
            </w: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Joshua Easterly (Director Nominee)</w:t>
            </w:r>
            <w:r>
              <w:rPr>
                <w:rFonts w:ascii="Arial" w:cs="Arial" w:eastAsia="Arial" w:hAnsi="Arial"/>
                <w:sz w:val="15"/>
                <w:szCs w:val="15"/>
                <w:color w:val="auto"/>
              </w:rPr>
              <w:t>(2)</w:t>
            </w: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38,507</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Michael Fishman (Director Nominee)</w:t>
            </w:r>
            <w:r>
              <w:rPr>
                <w:rFonts w:ascii="Arial" w:cs="Arial" w:eastAsia="Arial" w:hAnsi="Arial"/>
                <w:sz w:val="15"/>
                <w:szCs w:val="15"/>
                <w:color w:val="auto"/>
              </w:rPr>
              <w:t>(3)</w:t>
            </w: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36,366</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Jennifer Gordon</w:t>
            </w: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David Stiepleman</w:t>
            </w:r>
            <w:r>
              <w:rPr>
                <w:rFonts w:ascii="Arial" w:cs="Arial" w:eastAsia="Arial" w:hAnsi="Arial"/>
                <w:sz w:val="15"/>
                <w:szCs w:val="15"/>
                <w:color w:val="auto"/>
              </w:rPr>
              <w:t>(4)</w:t>
            </w: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11,079</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Independent Directors</w:t>
            </w: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Hurley Doddy (Director Nominee)</w:t>
            </w: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8,088</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Richard Higginbotham</w:t>
            </w: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22,000</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John Ross</w:t>
            </w: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26,701</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Judy Slotkin</w:t>
            </w: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Ronald Tanemura</w:t>
            </w: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86,516</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Named Executive Officers Who Are Not Directors</w:t>
            </w: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Ian Simmonds</w:t>
            </w: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2,946</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Robert (Bo) Stanley</w:t>
            </w:r>
            <w:r>
              <w:rPr>
                <w:rFonts w:ascii="Arial" w:cs="Arial" w:eastAsia="Arial" w:hAnsi="Arial"/>
                <w:sz w:val="15"/>
                <w:szCs w:val="15"/>
                <w:color w:val="auto"/>
              </w:rPr>
              <w:t>(5)</w:t>
            </w: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14,907</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(16 persons)</w:t>
            </w:r>
            <w:r>
              <w:rPr>
                <w:rFonts w:ascii="Arial" w:cs="Arial" w:eastAsia="Arial" w:hAnsi="Arial"/>
                <w:sz w:val="15"/>
                <w:szCs w:val="15"/>
                <w:color w:val="auto"/>
              </w:rPr>
              <w:t>(6)(7)</w:t>
            </w: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2,940,556</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Five-Percent Stockholders:</w:t>
            </w: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State Teachers Retirement Board of Ohio</w:t>
            </w:r>
            <w:r>
              <w:rPr>
                <w:rFonts w:ascii="Arial" w:cs="Arial" w:eastAsia="Arial" w:hAnsi="Arial"/>
                <w:sz w:val="15"/>
                <w:szCs w:val="15"/>
                <w:color w:val="auto"/>
              </w:rPr>
              <w:t>(8)</w:t>
            </w: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5,749,659</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FMR LLC</w:t>
            </w:r>
            <w:r>
              <w:rPr>
                <w:rFonts w:ascii="Arial" w:cs="Arial" w:eastAsia="Arial" w:hAnsi="Arial"/>
                <w:sz w:val="15"/>
                <w:szCs w:val="15"/>
                <w:color w:val="auto"/>
              </w:rPr>
              <w:t>(9)</w:t>
            </w: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5,463,196</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Division of Investment, Department of Treasury, State of New Jersey</w:t>
            </w:r>
            <w:r>
              <w:rPr>
                <w:rFonts w:ascii="Arial" w:cs="Arial" w:eastAsia="Arial" w:hAnsi="Arial"/>
                <w:sz w:val="15"/>
                <w:szCs w:val="15"/>
                <w:color w:val="auto"/>
              </w:rPr>
              <w:t>(10)</w:t>
            </w: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4,300,000</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less than 0.1%.</w:t>
      </w:r>
    </w:p>
    <w:p>
      <w:pPr>
        <w:spacing w:after="0" w:line="23" w:lineRule="exact"/>
        <w:rPr>
          <w:sz w:val="20"/>
          <w:szCs w:val="20"/>
          <w:color w:val="auto"/>
        </w:rPr>
      </w:pPr>
    </w:p>
    <w:p>
      <w:pPr>
        <w:ind w:left="540" w:right="20" w:hanging="424"/>
        <w:spacing w:after="0" w:line="290" w:lineRule="auto"/>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For purposes of this table, a person or group is deemed to have “beneficial ownership” of any shares of common stock as of a given date which such person has or shares the power to vote or direct the voting thereof, or to dispose or direct the disposition thereof, or has the right to acquire such powers within 60 days after such date. For purposes of computing the percentage of outstanding shares of common stock held by each person or group of persons named above on a given date, any security which such person or persons has the right to acquire within 60 days after such date is deemed to be outstanding for the purpose of determining the percentage of shares beneficially owned for such person, but is not deemed to be outstanding for the purpose of computing the percentage of beneficial ownership of any other person (except</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80"/>
        <w:spacing w:after="0" w:line="274" w:lineRule="auto"/>
        <w:rPr>
          <w:sz w:val="20"/>
          <w:szCs w:val="20"/>
          <w:color w:val="auto"/>
        </w:rPr>
      </w:pPr>
      <w:r>
        <w:rPr>
          <w:rFonts w:ascii="Arial" w:cs="Arial" w:eastAsia="Arial" w:hAnsi="Arial"/>
          <w:sz w:val="17"/>
          <w:szCs w:val="17"/>
          <w:color w:val="auto"/>
        </w:rPr>
        <w:t>in the case of directors and executive officers as a group). Except as otherwise noted, each beneficial owner of more than five percent of common stock and each director and executive officer has sole voting and/or investment power over the shares reported.</w:t>
      </w:r>
    </w:p>
    <w:p>
      <w:pPr>
        <w:ind w:left="540" w:right="240" w:hanging="424"/>
        <w:spacing w:after="0" w:line="250"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9,745 shares of common stock beneficially owned by Mr. Easterly have been pledged as security in connection with a line of credit with a third party financial institution unaffiliated with the Company.</w:t>
      </w:r>
    </w:p>
    <w:p>
      <w:pPr>
        <w:ind w:left="540" w:right="220" w:hanging="424"/>
        <w:spacing w:after="0" w:line="250"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36,366 shares of common stock beneficially owned by Mr. Fishman have been pledged as security in connection with a line of credit with a third party financial institution unaffiliated with the Company.</w:t>
      </w:r>
    </w:p>
    <w:p>
      <w:pPr>
        <w:ind w:left="540" w:right="20" w:hanging="424"/>
        <w:spacing w:after="0" w:line="250"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5,544 shares of common stock beneficially owned by Mr. Stiepleman have been pledged as security in connection with a line of credit with a third party financial institution unaffiliated with the Company.</w:t>
      </w:r>
    </w:p>
    <w:p>
      <w:pPr>
        <w:ind w:left="540" w:right="280" w:hanging="424"/>
        <w:spacing w:after="0" w:line="250"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3,907 shares of common stock beneficially owned by Mr. Stanley have been pledged as security in connection with a line of credit with a third party financial institution unaffiliated with the Company.</w:t>
      </w:r>
    </w:p>
    <w:p>
      <w:pPr>
        <w:ind w:left="540" w:right="160" w:hanging="424"/>
        <w:spacing w:after="0" w:line="250"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shares owned by officers that are not “Named Executive Officers,” as defined in Item 402 of Regulation S-K, as promulgated under the Securities Act of 1933, as amended. 55,562 shares of common stock beneficially owned by certain officers have been pledged as security in connection with lines of credit with a third party financial institution unaffiliated with the Company.</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TSL Advisers, LLC holds 2,716,977 shares of common stock, or the TSL Advisers Shares.</w:t>
      </w:r>
    </w:p>
    <w:p>
      <w:pPr>
        <w:spacing w:after="0" w:line="9" w:lineRule="exact"/>
        <w:rPr>
          <w:rFonts w:ascii="Arial" w:cs="Arial" w:eastAsia="Arial" w:hAnsi="Arial"/>
          <w:sz w:val="18"/>
          <w:szCs w:val="18"/>
          <w:color w:val="auto"/>
        </w:rPr>
      </w:pPr>
    </w:p>
    <w:p>
      <w:pPr>
        <w:ind w:left="560" w:right="20"/>
        <w:spacing w:after="0" w:line="250" w:lineRule="auto"/>
        <w:rPr>
          <w:rFonts w:ascii="Arial" w:cs="Arial" w:eastAsia="Arial" w:hAnsi="Arial"/>
          <w:sz w:val="18"/>
          <w:szCs w:val="18"/>
          <w:color w:val="auto"/>
        </w:rPr>
      </w:pPr>
      <w:r>
        <w:rPr>
          <w:rFonts w:ascii="Arial" w:cs="Arial" w:eastAsia="Arial" w:hAnsi="Arial"/>
          <w:sz w:val="18"/>
          <w:szCs w:val="18"/>
          <w:color w:val="auto"/>
        </w:rPr>
        <w:t>The business and affairs of TSL Advisers are managed by TSSP HoldCo Management, LLC, a Delaware limited liability company, the managing member of TSL Advisers. TSSP HoldCo Management is managed by a three-person board of directors, whose members include Alan Waxman. Any decision or determination by the board of directors of TSSP HoldCo Management requires unanimous approval of the directors in attendance once a quorum is established.</w:t>
      </w:r>
    </w:p>
    <w:p>
      <w:pPr>
        <w:spacing w:after="0" w:line="1" w:lineRule="exact"/>
        <w:rPr>
          <w:rFonts w:ascii="Arial" w:cs="Arial" w:eastAsia="Arial" w:hAnsi="Arial"/>
          <w:sz w:val="18"/>
          <w:szCs w:val="18"/>
          <w:color w:val="auto"/>
        </w:rPr>
      </w:pPr>
    </w:p>
    <w:p>
      <w:pPr>
        <w:jc w:val="both"/>
        <w:ind w:left="560" w:right="120"/>
        <w:spacing w:after="0" w:line="250" w:lineRule="auto"/>
        <w:rPr>
          <w:rFonts w:ascii="Arial" w:cs="Arial" w:eastAsia="Arial" w:hAnsi="Arial"/>
          <w:sz w:val="18"/>
          <w:szCs w:val="18"/>
          <w:color w:val="auto"/>
        </w:rPr>
      </w:pPr>
      <w:r>
        <w:rPr>
          <w:rFonts w:ascii="Arial" w:cs="Arial" w:eastAsia="Arial" w:hAnsi="Arial"/>
          <w:sz w:val="18"/>
          <w:szCs w:val="18"/>
          <w:color w:val="auto"/>
        </w:rPr>
        <w:t>Mr. Waxman is a Vice President of the Company. Because Mr. Waxman is a member of the board of directors of TSSP HoldCo Management, he may be deemed to beneficially own the TSL Advisers Shares. Mr. Waxman disclaims beneficial ownership of the TSL Advisers Shares except to the extent of his pecuniary interest therein.</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address of the State Teachers Retirement Board of Ohio is 275 East Broad Street, Columbus, OH 43215.</w:t>
      </w:r>
    </w:p>
    <w:p>
      <w:pPr>
        <w:spacing w:after="0" w:line="9" w:lineRule="exact"/>
        <w:rPr>
          <w:rFonts w:ascii="Arial" w:cs="Arial" w:eastAsia="Arial" w:hAnsi="Arial"/>
          <w:sz w:val="18"/>
          <w:szCs w:val="18"/>
          <w:color w:val="auto"/>
        </w:rPr>
      </w:pPr>
    </w:p>
    <w:p>
      <w:pPr>
        <w:ind w:left="540" w:hanging="424"/>
        <w:spacing w:after="0" w:line="265" w:lineRule="auto"/>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upon a Schedule 13G filed with the SEC on February 7, 2020 by FMR LLC and Abigail P. Johnson. FMR LLC had (i) sole power to vote 610,382 shares and (ii) sole power to dispose of 5,463,196 shares. Abigail P. Johnson had sole power to dispose of 5,463,196 shares.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as amended, or the 1940 Act, to form a controlling group with respect to FMR LLC. Neither FMR LLC nor Abigail P. Johnson has the sole power to vote or direct the voting of the shares owned directly by the various investment companies registered under the 1940 Act, or Fidelity Funds, advised by Fidelity Management &amp; Research Company, a wholly owned subsidiary of FMR LLC, which power resides with the Fidelity Funds’ Boards of Trustees. Fidelity Management &amp; Research Company carries out the voting of the shares under written guidelines established by the Fidelity Funds’ Boards of Trustees. The address of each of FMR LLC and Abigail P. Johnson is 245 Summer Street, Boston, MA 02210.</w:t>
      </w:r>
    </w:p>
    <w:p>
      <w:pPr>
        <w:spacing w:after="0" w:line="2" w:lineRule="exact"/>
        <w:rPr>
          <w:rFonts w:ascii="Arial" w:cs="Arial" w:eastAsia="Arial" w:hAnsi="Arial"/>
          <w:sz w:val="17"/>
          <w:szCs w:val="17"/>
          <w:color w:val="auto"/>
        </w:rPr>
      </w:pPr>
    </w:p>
    <w:p>
      <w:pPr>
        <w:ind w:left="540" w:right="120" w:hanging="424"/>
        <w:spacing w:after="0" w:line="260"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address of the Division of Investment, Department of Treasury, State of New Jersey is 50 West State Street, 9th Floor, PO Box 290, Trenton, NJ 08625.</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ELECTION OF DIRECTORS</w:t>
      </w:r>
    </w:p>
    <w:p>
      <w:pPr>
        <w:spacing w:after="0" w:line="211"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Pursuant to our certificate of incorporation, our Board consists of nine members. The Board is divided into three classes, with the members of each class each serving staggered, three-year terms. The terms of our Class I directors will expire at the 2021 annual meeting of stockholders; the terms of our Class II directors will expire at the 2022 annual meeting of stockholders; and the terms of our Class III directors will expire at the Meeting.</w:t>
      </w:r>
    </w:p>
    <w:p>
      <w:pPr>
        <w:spacing w:after="0" w:line="149"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Board has nominated Hurley Doddy, Joshua Easterly and Michael Fishman as Class III directors, each to serve until his successor is duly elected and qualified at the annual meeting of stockholders held in 2023 or until his earlier death, resignation or removal. Messrs. Doddy, Easterly and Fishman are currently directors of TSLX.</w:t>
      </w:r>
    </w:p>
    <w:p>
      <w:pPr>
        <w:spacing w:after="0" w:line="18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Messrs. Doddy, Easterly and Fishman have consented to being named in this proxy statement and to serving as directors if elected at the Meeting. If, for any reason, any of them become unable or unwilling to serve at the time of the Meeting, the persons named as proxies in the proxy will have the authority to vote for a substitute nominee or nominees. We do not anticipate that Messrs. Doddy, Easterly or Fishman will be unable or unwilling to serve.</w:t>
      </w:r>
    </w:p>
    <w:p>
      <w:pPr>
        <w:spacing w:after="0" w:line="18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Board has determined that Mr. Doddy is not an “interested person” of the Company, of the Adviser, or of any of their respective affiliates as defined in Section 2(a)(19) of the 1940 Act.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Board recommends that stockholders vote “FOR” the Company’s nominees for Class III Director.</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Biographical Information</w:t>
      </w:r>
    </w:p>
    <w:p>
      <w:pPr>
        <w:spacing w:after="0" w:line="12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Set forth below are brief biographies of Messrs. Doddy, Easterly and Fishman and of all other members of the Board who will continue in office. Also included below following each biography is a brief discussion of the specific experience, qualifications, attributes or skills that led our Board to conclude that the applicable director should serve on our Board at this time. In addition, set forth further below is a biography of each of our executive officers who is not a director.</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Nominees for Election as Class III Director</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120" w:type="dxa"/>
            <w:vAlign w:val="bottom"/>
          </w:tcPr>
          <w:p>
            <w:pPr>
              <w:spacing w:after="0"/>
              <w:rPr>
                <w:sz w:val="16"/>
                <w:szCs w:val="16"/>
                <w:color w:val="auto"/>
              </w:rPr>
            </w:pPr>
          </w:p>
        </w:tc>
        <w:tc>
          <w:tcPr>
            <w:tcW w:w="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Age</w:t>
            </w:r>
          </w:p>
        </w:tc>
        <w:tc>
          <w:tcPr>
            <w:tcW w:w="47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Position</w:t>
            </w:r>
          </w:p>
        </w:tc>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Expiration of Term</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2"/>
              </w:rPr>
              <w:t>Director Since</w:t>
            </w:r>
          </w:p>
        </w:tc>
      </w:tr>
      <w:tr>
        <w:trPr>
          <w:trHeight w:val="210"/>
        </w:trPr>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Hurley Doddy</w:t>
            </w:r>
          </w:p>
        </w:tc>
        <w:tc>
          <w:tcPr>
            <w:tcW w:w="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340" w:type="dxa"/>
            <w:vAlign w:val="bottom"/>
            <w:tcBorders>
              <w:top w:val="single" w:sz="8" w:color="CCEEFF"/>
            </w:tcBorders>
            <w:shd w:val="clear" w:color="auto" w:fill="CCEEFF"/>
          </w:tcPr>
          <w:p>
            <w:pPr>
              <w:spacing w:after="0"/>
              <w:rPr>
                <w:sz w:val="18"/>
                <w:szCs w:val="18"/>
                <w:color w:val="auto"/>
              </w:rPr>
            </w:pPr>
          </w:p>
        </w:tc>
        <w:tc>
          <w:tcPr>
            <w:tcW w:w="4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Director (Independent)</w:t>
            </w:r>
          </w:p>
        </w:tc>
        <w:tc>
          <w:tcPr>
            <w:tcW w:w="3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4"/>
              </w:rPr>
              <w:t>2020</w:t>
            </w:r>
          </w:p>
        </w:tc>
        <w:tc>
          <w:tcPr>
            <w:tcW w:w="4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60" w:type="dxa"/>
            <w:vAlign w:val="bottom"/>
            <w:tcBorders>
              <w:top w:val="single" w:sz="8" w:color="CCEEFF"/>
            </w:tcBorders>
            <w:shd w:val="clear" w:color="auto" w:fill="CCEEFF"/>
          </w:tcPr>
          <w:p>
            <w:pPr>
              <w:spacing w:after="0"/>
              <w:rPr>
                <w:sz w:val="18"/>
                <w:szCs w:val="18"/>
                <w:color w:val="auto"/>
              </w:rPr>
            </w:pPr>
          </w:p>
        </w:tc>
      </w:tr>
      <w:tr>
        <w:trPr>
          <w:trHeight w:val="202"/>
        </w:trPr>
        <w:tc>
          <w:tcPr>
            <w:tcW w:w="3120" w:type="dxa"/>
            <w:vAlign w:val="bottom"/>
          </w:tcPr>
          <w:p>
            <w:pPr>
              <w:spacing w:after="0" w:line="201" w:lineRule="exact"/>
              <w:rPr>
                <w:sz w:val="20"/>
                <w:szCs w:val="20"/>
                <w:color w:val="auto"/>
              </w:rPr>
            </w:pPr>
            <w:r>
              <w:rPr>
                <w:rFonts w:ascii="Arial" w:cs="Arial" w:eastAsia="Arial" w:hAnsi="Arial"/>
                <w:sz w:val="18"/>
                <w:szCs w:val="18"/>
                <w:color w:val="auto"/>
              </w:rPr>
              <w:t>Joshua Easterly</w:t>
            </w:r>
          </w:p>
        </w:tc>
        <w:tc>
          <w:tcPr>
            <w:tcW w:w="240" w:type="dxa"/>
            <w:vAlign w:val="bottom"/>
          </w:tcPr>
          <w:p>
            <w:pPr>
              <w:jc w:val="center"/>
              <w:spacing w:after="0" w:line="201" w:lineRule="exact"/>
              <w:rPr>
                <w:sz w:val="20"/>
                <w:szCs w:val="20"/>
                <w:color w:val="auto"/>
              </w:rPr>
            </w:pPr>
            <w:r>
              <w:rPr>
                <w:rFonts w:ascii="Arial" w:cs="Arial" w:eastAsia="Arial" w:hAnsi="Arial"/>
                <w:sz w:val="18"/>
                <w:szCs w:val="18"/>
                <w:color w:val="auto"/>
                <w:w w:val="89"/>
              </w:rPr>
              <w:t>43</w:t>
            </w:r>
          </w:p>
        </w:tc>
        <w:tc>
          <w:tcPr>
            <w:tcW w:w="340" w:type="dxa"/>
            <w:vAlign w:val="bottom"/>
          </w:tcPr>
          <w:p>
            <w:pPr>
              <w:spacing w:after="0"/>
              <w:rPr>
                <w:sz w:val="17"/>
                <w:szCs w:val="17"/>
                <w:color w:val="auto"/>
              </w:rPr>
            </w:pPr>
          </w:p>
        </w:tc>
        <w:tc>
          <w:tcPr>
            <w:tcW w:w="4760" w:type="dxa"/>
            <w:vAlign w:val="bottom"/>
            <w:gridSpan w:val="2"/>
          </w:tcPr>
          <w:p>
            <w:pPr>
              <w:jc w:val="center"/>
              <w:ind w:right="360"/>
              <w:spacing w:after="0" w:line="201" w:lineRule="exact"/>
              <w:rPr>
                <w:sz w:val="20"/>
                <w:szCs w:val="20"/>
                <w:color w:val="auto"/>
              </w:rPr>
            </w:pPr>
            <w:r>
              <w:rPr>
                <w:rFonts w:ascii="Arial" w:cs="Arial" w:eastAsia="Arial" w:hAnsi="Arial"/>
                <w:sz w:val="18"/>
                <w:szCs w:val="18"/>
                <w:color w:val="auto"/>
                <w:w w:val="91"/>
              </w:rPr>
              <w:t>Chairman, Director (Interested)</w:t>
            </w:r>
          </w:p>
        </w:tc>
        <w:tc>
          <w:tcPr>
            <w:tcW w:w="1600" w:type="dxa"/>
            <w:vAlign w:val="bottom"/>
            <w:gridSpan w:val="2"/>
          </w:tcPr>
          <w:p>
            <w:pPr>
              <w:ind w:left="820"/>
              <w:spacing w:after="0" w:line="201" w:lineRule="exact"/>
              <w:rPr>
                <w:sz w:val="20"/>
                <w:szCs w:val="20"/>
                <w:color w:val="auto"/>
              </w:rPr>
            </w:pPr>
            <w:r>
              <w:rPr>
                <w:rFonts w:ascii="Arial" w:cs="Arial" w:eastAsia="Arial" w:hAnsi="Arial"/>
                <w:sz w:val="18"/>
                <w:szCs w:val="18"/>
                <w:color w:val="auto"/>
              </w:rPr>
              <w:t>2020</w:t>
            </w:r>
          </w:p>
        </w:tc>
        <w:tc>
          <w:tcPr>
            <w:tcW w:w="9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2011</w:t>
            </w:r>
          </w:p>
        </w:tc>
      </w:tr>
      <w:tr>
        <w:trPr>
          <w:trHeight w:val="237"/>
        </w:trPr>
        <w:tc>
          <w:tcPr>
            <w:tcW w:w="3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6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and Chief Executive Officer</w:t>
            </w: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Michael Fishman</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34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1"/>
              </w:rPr>
              <w:t>Director (Interested) and Vice President</w:t>
            </w:r>
          </w:p>
        </w:tc>
        <w:tc>
          <w:tcPr>
            <w:tcW w:w="16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2020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2011</w:t>
            </w:r>
          </w:p>
        </w:tc>
      </w:tr>
    </w:tbl>
    <w:p>
      <w:pPr>
        <w:spacing w:after="0" w:line="198" w:lineRule="exact"/>
        <w:rPr>
          <w:sz w:val="20"/>
          <w:szCs w:val="20"/>
          <w:color w:val="auto"/>
        </w:rPr>
      </w:pPr>
    </w:p>
    <w:p>
      <w:pPr>
        <w:ind w:left="120" w:right="20" w:firstLine="440"/>
        <w:spacing w:after="0" w:line="274" w:lineRule="auto"/>
        <w:rPr>
          <w:sz w:val="20"/>
          <w:szCs w:val="20"/>
          <w:color w:val="auto"/>
        </w:rPr>
      </w:pPr>
      <w:r>
        <w:rPr>
          <w:rFonts w:ascii="Arial" w:cs="Arial" w:eastAsia="Arial" w:hAnsi="Arial"/>
          <w:sz w:val="17"/>
          <w:szCs w:val="17"/>
          <w:b w:val="1"/>
          <w:bCs w:val="1"/>
          <w:color w:val="auto"/>
        </w:rPr>
        <w:t xml:space="preserve">Hurley Doddy </w:t>
      </w:r>
      <w:r>
        <w:rPr>
          <w:rFonts w:ascii="Arial" w:cs="Arial" w:eastAsia="Arial" w:hAnsi="Arial"/>
          <w:sz w:val="17"/>
          <w:szCs w:val="17"/>
          <w:color w:val="auto"/>
        </w:rPr>
        <w:t>was elected a director of TSLX in January 2019. Mr. Doddy is a Managing Director, Founding Partner and Co-Chief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of Emerging Capital Partners, a private equity fund manager focused on Africa. Prior to founding Emerging Capital Partners in 1999, Mr. Doddy was an Executive Director at Sumitomo Finance International in London. Mr. Doddy’s career in finance began at Salomon Brothers in 1984, lasting over 14 years with assignments in New York, Tokyo, and Sao Paulo. Mr. Doddy holds an A.B. in Economics from Princeton University and a Chartered Financial Analyst (CFA) designation. Mr. Doddy’s breadth of experience across financial markets and products, geographies, along with his focus on risk management, provides the Board with valuable insight and perspective in the credit sector.</w:t>
      </w:r>
    </w:p>
    <w:p>
      <w:pPr>
        <w:spacing w:after="0" w:line="173" w:lineRule="exact"/>
        <w:rPr>
          <w:sz w:val="20"/>
          <w:szCs w:val="20"/>
          <w:color w:val="auto"/>
        </w:rPr>
      </w:pPr>
    </w:p>
    <w:p>
      <w:pPr>
        <w:ind w:left="120" w:right="140" w:firstLine="440"/>
        <w:spacing w:after="0" w:line="266" w:lineRule="auto"/>
        <w:rPr>
          <w:sz w:val="20"/>
          <w:szCs w:val="20"/>
          <w:color w:val="auto"/>
        </w:rPr>
      </w:pPr>
      <w:r>
        <w:rPr>
          <w:rFonts w:ascii="Arial" w:cs="Arial" w:eastAsia="Arial" w:hAnsi="Arial"/>
          <w:sz w:val="18"/>
          <w:szCs w:val="18"/>
          <w:b w:val="1"/>
          <w:bCs w:val="1"/>
          <w:color w:val="auto"/>
        </w:rPr>
        <w:t xml:space="preserve">Joshua Easterly </w:t>
      </w:r>
      <w:r>
        <w:rPr>
          <w:rFonts w:ascii="Arial" w:cs="Arial" w:eastAsia="Arial" w:hAnsi="Arial"/>
          <w:sz w:val="18"/>
          <w:szCs w:val="18"/>
          <w:color w:val="auto"/>
        </w:rPr>
        <w:t>was appointed Chief Executive Officer of TSLX in January 2018 and elected a director and Chairman of TSLX in March 2011.</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his appointment, Mr. Easterly served as a Vice President of TSLX since March 2011 and as the Co-Chief Executive Officer of TSLX since December 2013, along with</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Michael Fishman. Mr. Easterly is a Co-Founding Partner of Sixth Street Partners (“Sixth Street”) and the Co-Chief Investment Officer of the Adviser. Between 2008 and 2010, he was a Managing Director at Goldman, Sachs &amp; Co. in the Americas Special Situations Group, which invested Goldman’s capital in both the public markets and private transactions in distressed and special situations. Between 2006 and 2008, he served as a Director, Management Committee Member and Co-Head of the Goldman Sachs Specialty Lending Group. Prior to joining Goldman, Sachs &amp; Co. in March 2006, Mr. Easterly was Senior Vice President, Northeast Regional Originations Manager at Wells Fargo Capital Finance, or WFCF, formerly known as Wells Fargo Foothill and Foothill Capital Corporation, the $8 billion commercial finance company of Wells Fargo and Company. Mr. Easterly graduated from California State University, Fresno with a Bachelor of Science in Business Administration, magna cum laude. Mr. Easterly’s depth of experience investing in a variety of distressed and special situations transactions as well as his extensive knowledge of the business and operations of Sixth Street provides the Board with valuable insight and expertise.</w:t>
      </w:r>
    </w:p>
    <w:p>
      <w:pPr>
        <w:spacing w:after="0" w:line="17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b w:val="1"/>
          <w:bCs w:val="1"/>
          <w:color w:val="auto"/>
        </w:rPr>
        <w:t xml:space="preserve">Michael Fishman </w:t>
      </w:r>
      <w:r>
        <w:rPr>
          <w:rFonts w:ascii="Arial" w:cs="Arial" w:eastAsia="Arial" w:hAnsi="Arial"/>
          <w:sz w:val="17"/>
          <w:szCs w:val="17"/>
          <w:color w:val="auto"/>
        </w:rPr>
        <w:t>was elected a director of TSLX in April 2011. From April 2011 to December 2013, he served as Chief Executive Officer, and</w:t>
      </w:r>
      <w:r>
        <w:rPr>
          <w:rFonts w:ascii="Arial" w:cs="Arial" w:eastAsia="Arial" w:hAnsi="Arial"/>
          <w:sz w:val="17"/>
          <w:szCs w:val="17"/>
          <w:b w:val="1"/>
          <w:bCs w:val="1"/>
          <w:color w:val="auto"/>
        </w:rPr>
        <w:t xml:space="preserve"> </w:t>
      </w:r>
      <w:r>
        <w:rPr>
          <w:rFonts w:ascii="Arial" w:cs="Arial" w:eastAsia="Arial" w:hAnsi="Arial"/>
          <w:sz w:val="17"/>
          <w:szCs w:val="17"/>
          <w:color w:val="auto"/>
        </w:rPr>
        <w:t>from December 2013 to December 2017, he served as Co-Chief Executive Officer with Joshua Easterly. Mr. Fishman is a Vice President of TSLX and is a Sixth Street Partner. He has been an executive in corporate lending for more than 30 years with senior management experience in credit, portfolio management and primary loan originations. Prior to joining TSLX, Mr. Fishman was the Executive Vice President and National Director of Loan Originations for WFCF, formerly known as Wells Fargo Foothill and Foothill Capital Corporation. In this role, Mr. Fishman sat on the senior investment committee and was responsible for primary and secondary lending, loan distribution and syndications, strategic transactions and new lending products. From 2000 to 2007, he built the team that grew WFCF’s assets under management from approximately $2 billion to over $10 billion. Mr. Fishman has also contributed to various industry publications and panel discussions, and has sat on the board of the American Bankruptcy Institute. He holds a Bachelor of Science in Finance from Rochester Institute of Technology. Mr. Fishman’s extensive experience in the credit markets provides the Board with valuable industry-specific knowledge.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Incumbent Class II Directors: Term Expiring 2022</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140" w:type="dxa"/>
            <w:vAlign w:val="bottom"/>
          </w:tcPr>
          <w:p>
            <w:pPr>
              <w:spacing w:after="0"/>
              <w:rPr>
                <w:sz w:val="16"/>
                <w:szCs w:val="16"/>
                <w:color w:val="auto"/>
              </w:rPr>
            </w:pPr>
          </w:p>
        </w:tc>
        <w:tc>
          <w:tcPr>
            <w:tcW w:w="6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Age</w:t>
            </w:r>
          </w:p>
        </w:tc>
        <w:tc>
          <w:tcPr>
            <w:tcW w:w="4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Position</w:t>
            </w:r>
          </w:p>
        </w:tc>
        <w:tc>
          <w:tcPr>
            <w:tcW w:w="16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Expiration of Term</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2"/>
              </w:rPr>
              <w:t>Director Since</w:t>
            </w:r>
          </w:p>
        </w:tc>
      </w:tr>
      <w:tr>
        <w:trPr>
          <w:trHeight w:val="210"/>
        </w:trPr>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Jennifer Gordon</w:t>
            </w:r>
          </w:p>
        </w:tc>
        <w:tc>
          <w:tcPr>
            <w:tcW w:w="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380" w:type="dxa"/>
            <w:vAlign w:val="bottom"/>
            <w:tcBorders>
              <w:top w:val="single" w:sz="8" w:color="CCEEFF"/>
            </w:tcBorders>
            <w:shd w:val="clear" w:color="auto" w:fill="CCEEFF"/>
          </w:tcPr>
          <w:p>
            <w:pPr>
              <w:spacing w:after="0"/>
              <w:rPr>
                <w:sz w:val="18"/>
                <w:szCs w:val="18"/>
                <w:color w:val="auto"/>
              </w:rPr>
            </w:pPr>
          </w:p>
        </w:tc>
        <w:tc>
          <w:tcPr>
            <w:tcW w:w="4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Director (Interested) and Vice President</w:t>
            </w:r>
          </w:p>
        </w:tc>
        <w:tc>
          <w:tcPr>
            <w:tcW w:w="3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4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John Ross</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75</w:t>
            </w:r>
          </w:p>
        </w:tc>
        <w:tc>
          <w:tcPr>
            <w:tcW w:w="380" w:type="dxa"/>
            <w:vAlign w:val="bottom"/>
          </w:tcPr>
          <w:p>
            <w:pPr>
              <w:spacing w:after="0"/>
              <w:rPr>
                <w:sz w:val="18"/>
                <w:szCs w:val="18"/>
                <w:color w:val="auto"/>
              </w:rPr>
            </w:pPr>
          </w:p>
        </w:tc>
        <w:tc>
          <w:tcPr>
            <w:tcW w:w="468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Director (Independent)</w:t>
            </w:r>
          </w:p>
        </w:tc>
        <w:tc>
          <w:tcPr>
            <w:tcW w:w="1620" w:type="dxa"/>
            <w:vAlign w:val="bottom"/>
            <w:gridSpan w:val="2"/>
          </w:tcPr>
          <w:p>
            <w:pPr>
              <w:jc w:val="right"/>
              <w:ind w:right="420"/>
              <w:spacing w:after="0"/>
              <w:rPr>
                <w:sz w:val="20"/>
                <w:szCs w:val="20"/>
                <w:color w:val="auto"/>
              </w:rPr>
            </w:pPr>
            <w:r>
              <w:rPr>
                <w:rFonts w:ascii="Arial" w:cs="Arial" w:eastAsia="Arial" w:hAnsi="Arial"/>
                <w:sz w:val="18"/>
                <w:szCs w:val="18"/>
                <w:color w:val="auto"/>
              </w:rPr>
              <w:t>2022</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2011</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Judy Slotkin</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66</w:t>
            </w:r>
          </w:p>
        </w:tc>
        <w:tc>
          <w:tcPr>
            <w:tcW w:w="380" w:type="dxa"/>
            <w:vAlign w:val="bottom"/>
            <w:shd w:val="clear" w:color="auto" w:fill="CCEEFF"/>
          </w:tcPr>
          <w:p>
            <w:pPr>
              <w:spacing w:after="0"/>
              <w:rPr>
                <w:sz w:val="18"/>
                <w:szCs w:val="18"/>
                <w:color w:val="auto"/>
              </w:rPr>
            </w:pPr>
          </w:p>
        </w:tc>
        <w:tc>
          <w:tcPr>
            <w:tcW w:w="468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2"/>
              </w:rPr>
              <w:t>Director (Independent)</w:t>
            </w: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2022</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2019</w:t>
            </w:r>
          </w:p>
        </w:tc>
      </w:tr>
    </w:tbl>
    <w:p>
      <w:pPr>
        <w:spacing w:after="0" w:line="198" w:lineRule="exact"/>
        <w:rPr>
          <w:sz w:val="20"/>
          <w:szCs w:val="20"/>
          <w:color w:val="auto"/>
        </w:rPr>
      </w:pPr>
    </w:p>
    <w:p>
      <w:pPr>
        <w:ind w:left="120" w:right="160" w:firstLine="440"/>
        <w:spacing w:after="0" w:line="274" w:lineRule="auto"/>
        <w:rPr>
          <w:sz w:val="20"/>
          <w:szCs w:val="20"/>
          <w:color w:val="auto"/>
        </w:rPr>
      </w:pPr>
      <w:r>
        <w:rPr>
          <w:rFonts w:ascii="Arial" w:cs="Arial" w:eastAsia="Arial" w:hAnsi="Arial"/>
          <w:sz w:val="17"/>
          <w:szCs w:val="17"/>
          <w:b w:val="1"/>
          <w:bCs w:val="1"/>
          <w:color w:val="auto"/>
        </w:rPr>
        <w:t xml:space="preserve">Jennifer Gordon </w:t>
      </w:r>
      <w:r>
        <w:rPr>
          <w:rFonts w:ascii="Arial" w:cs="Arial" w:eastAsia="Arial" w:hAnsi="Arial"/>
          <w:sz w:val="17"/>
          <w:szCs w:val="17"/>
          <w:color w:val="auto"/>
        </w:rPr>
        <w:t>was elected a director of TSLX in January 2019. Ms. Gordon is a Partner and the Chief Compliance Officer and Deputy Chief</w:t>
      </w:r>
      <w:r>
        <w:rPr>
          <w:rFonts w:ascii="Arial" w:cs="Arial" w:eastAsia="Arial" w:hAnsi="Arial"/>
          <w:sz w:val="17"/>
          <w:szCs w:val="17"/>
          <w:b w:val="1"/>
          <w:bCs w:val="1"/>
          <w:color w:val="auto"/>
        </w:rPr>
        <w:t xml:space="preserve"> </w:t>
      </w:r>
      <w:r>
        <w:rPr>
          <w:rFonts w:ascii="Arial" w:cs="Arial" w:eastAsia="Arial" w:hAnsi="Arial"/>
          <w:sz w:val="17"/>
          <w:szCs w:val="17"/>
          <w:color w:val="auto"/>
        </w:rPr>
        <w:t>Operating Officer of Sixth Street. Until Ms. Gordon’s election to the Company’s Board, she also served as the Chief Compliance Officer and Secretary of the Company since 2015. Prior to joining Sixth Street, from 2004 to 2014, she held various positions at Goldman, Sachs &amp; Co., including most recently as a Managing Director and Co-Head of Americas Securities Division Compliance. Ms. Gordon was previously an associate at the law firm of White &amp; Case LLP. Ms. Gordon holds a J.D. from Fordham University School of Law and B.A. from the University of Michigan. Ms. Gordon’s regulatory and operational knowledge provides the Board with valuable insight in the financial services sector.</w:t>
      </w:r>
    </w:p>
    <w:p>
      <w:pPr>
        <w:spacing w:after="0" w:line="173"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b w:val="1"/>
          <w:bCs w:val="1"/>
          <w:color w:val="auto"/>
        </w:rPr>
        <w:t xml:space="preserve">John Ross </w:t>
      </w:r>
      <w:r>
        <w:rPr>
          <w:rFonts w:ascii="Arial" w:cs="Arial" w:eastAsia="Arial" w:hAnsi="Arial"/>
          <w:sz w:val="18"/>
          <w:szCs w:val="18"/>
          <w:color w:val="auto"/>
        </w:rPr>
        <w:t>was elected a director of TSLX in March 2011. From 2003 to 2011, Mr. Ross was a director and member of the board risk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of DBS Bank Ltd., Singapore, as well as Chairman of its Nominating Committee between 2008 and 2011. In addition, between 2009 and 2011, he was Non-Executive Chairman of DBS Bank China Ltd., a wholly owned subsidiary of DBS Bank Ltd. where he also served as Chairman of its Audit Committee from 2009 to 2010. From 1992 to 2002, Mr. Ross worked at Deutsche Bank Group, where he served as Corporate Chief Operating Officer from 2001 to 2002. Mr. Ross holds a B.A. in American History from Hobart &amp; William Smith Colleges and an M.B.A. from The Wharton School of the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University of Pennsylvania. Mr. Ross’s experience serving as a director of a regulated bank, as well as his past</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experience as a chief operating officer, provides the Board and, specifically, the Audit Committee, which he chairs, with valuable knowledge and insight in the financial services sector, as well as experience in financial and accounting matters.</w:t>
      </w:r>
    </w:p>
    <w:p>
      <w:pPr>
        <w:spacing w:after="0" w:line="166" w:lineRule="exact"/>
        <w:rPr>
          <w:sz w:val="20"/>
          <w:szCs w:val="20"/>
          <w:color w:val="auto"/>
        </w:rPr>
      </w:pPr>
    </w:p>
    <w:p>
      <w:pPr>
        <w:ind w:left="120" w:right="180" w:firstLine="440"/>
        <w:spacing w:after="0" w:line="289" w:lineRule="auto"/>
        <w:rPr>
          <w:sz w:val="20"/>
          <w:szCs w:val="20"/>
          <w:color w:val="auto"/>
        </w:rPr>
      </w:pPr>
      <w:r>
        <w:rPr>
          <w:rFonts w:ascii="Arial" w:cs="Arial" w:eastAsia="Arial" w:hAnsi="Arial"/>
          <w:sz w:val="16"/>
          <w:szCs w:val="16"/>
          <w:b w:val="1"/>
          <w:bCs w:val="1"/>
          <w:color w:val="auto"/>
        </w:rPr>
        <w:t xml:space="preserve">Judy Slotkin </w:t>
      </w:r>
      <w:r>
        <w:rPr>
          <w:rFonts w:ascii="Arial" w:cs="Arial" w:eastAsia="Arial" w:hAnsi="Arial"/>
          <w:sz w:val="16"/>
          <w:szCs w:val="16"/>
          <w:color w:val="auto"/>
        </w:rPr>
        <w:t>was elected a director of TSLX in September 2019. Ms. Slotkin retired as a Managing Director from Bank of America in 2015,</w:t>
      </w:r>
      <w:r>
        <w:rPr>
          <w:rFonts w:ascii="Arial" w:cs="Arial" w:eastAsia="Arial" w:hAnsi="Arial"/>
          <w:sz w:val="16"/>
          <w:szCs w:val="16"/>
          <w:b w:val="1"/>
          <w:bCs w:val="1"/>
          <w:color w:val="auto"/>
        </w:rPr>
        <w:t xml:space="preserve"> </w:t>
      </w:r>
      <w:r>
        <w:rPr>
          <w:rFonts w:ascii="Arial" w:cs="Arial" w:eastAsia="Arial" w:hAnsi="Arial"/>
          <w:sz w:val="16"/>
          <w:szCs w:val="16"/>
          <w:color w:val="auto"/>
        </w:rPr>
        <w:t>where she most recently led business development and relationship management for the New York market as part of the Market Executive team in private wealth management. Prior to joining Bank of America in 2010, Ms. Slotkin served as the Chief Risk Officer at Everspan Financial Guaranty. Prior to joining Everspan, Ms. Slotkin served various leadership roles at Citigroup, including Department Head of the Corporate Finance Division, where she led origination, trading and sales of asset-backed securities, commercial paper on an agency basis, loan note trading and investment grade loan syndications. During her career at Citigroup, Ms. Slotkin also served as the Credit Head of the Corporate Finance Division and Municipal Credit Head of the Public Finance Department. Ms. Slotkin holds a B.S. in Accounting from Fairleigh Dickinson University and an M.B.A. in Finance from Fordham University. She previously served as a director, chair of the nominating and corporate governance committee and a member of the audit committee for Siga Technologies, Inc. and a director and chair of the audit committee for Nephros, Inc. Ms. Slotkin’s numerous management positions and broad experiences within financial institutions provide the Board with valuable knowledge and insight in the financial services sector.</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Incumbent Class I Directors: Term Expiring 2021</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240" w:type="dxa"/>
            <w:vAlign w:val="bottom"/>
          </w:tcPr>
          <w:p>
            <w:pPr>
              <w:spacing w:after="0"/>
              <w:rPr>
                <w:sz w:val="16"/>
                <w:szCs w:val="16"/>
                <w:color w:val="auto"/>
              </w:rPr>
            </w:pPr>
          </w:p>
        </w:tc>
        <w:tc>
          <w:tcPr>
            <w:tcW w:w="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Age</w:t>
            </w:r>
          </w:p>
        </w:tc>
        <w:tc>
          <w:tcPr>
            <w:tcW w:w="46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Position</w:t>
            </w:r>
          </w:p>
        </w:tc>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Expiration of Term</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2"/>
              </w:rPr>
              <w:t>Director Since</w:t>
            </w:r>
          </w:p>
        </w:tc>
      </w:tr>
      <w:tr>
        <w:trPr>
          <w:trHeight w:val="210"/>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Richard Higginbotham</w:t>
            </w:r>
          </w:p>
        </w:tc>
        <w:tc>
          <w:tcPr>
            <w:tcW w:w="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72</w:t>
            </w:r>
          </w:p>
        </w:tc>
        <w:tc>
          <w:tcPr>
            <w:tcW w:w="360" w:type="dxa"/>
            <w:vAlign w:val="bottom"/>
            <w:tcBorders>
              <w:top w:val="single" w:sz="8" w:color="CCEEFF"/>
            </w:tcBorders>
            <w:shd w:val="clear" w:color="auto" w:fill="CCEEFF"/>
          </w:tcPr>
          <w:p>
            <w:pPr>
              <w:spacing w:after="0"/>
              <w:rPr>
                <w:sz w:val="18"/>
                <w:szCs w:val="18"/>
                <w:color w:val="auto"/>
              </w:rPr>
            </w:pPr>
          </w:p>
        </w:tc>
        <w:tc>
          <w:tcPr>
            <w:tcW w:w="4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Director (Independent)</w:t>
            </w:r>
          </w:p>
        </w:tc>
        <w:tc>
          <w:tcPr>
            <w:tcW w:w="3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4"/>
              </w:rPr>
              <w:t>2021</w:t>
            </w:r>
          </w:p>
        </w:tc>
        <w:tc>
          <w:tcPr>
            <w:tcW w:w="4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David Stiepleman</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360" w:type="dxa"/>
            <w:vAlign w:val="bottom"/>
          </w:tcPr>
          <w:p>
            <w:pPr>
              <w:spacing w:after="0"/>
              <w:rPr>
                <w:sz w:val="18"/>
                <w:szCs w:val="18"/>
                <w:color w:val="auto"/>
              </w:rPr>
            </w:pPr>
          </w:p>
        </w:tc>
        <w:tc>
          <w:tcPr>
            <w:tcW w:w="460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Director (Interested) and Vice President</w:t>
            </w:r>
          </w:p>
        </w:tc>
        <w:tc>
          <w:tcPr>
            <w:tcW w:w="1600" w:type="dxa"/>
            <w:vAlign w:val="bottom"/>
            <w:gridSpan w:val="2"/>
          </w:tcPr>
          <w:p>
            <w:pPr>
              <w:ind w:left="820"/>
              <w:spacing w:after="0"/>
              <w:rPr>
                <w:sz w:val="20"/>
                <w:szCs w:val="20"/>
                <w:color w:val="auto"/>
              </w:rPr>
            </w:pPr>
            <w:r>
              <w:rPr>
                <w:rFonts w:ascii="Arial" w:cs="Arial" w:eastAsia="Arial" w:hAnsi="Arial"/>
                <w:sz w:val="18"/>
                <w:szCs w:val="18"/>
                <w:color w:val="auto"/>
              </w:rPr>
              <w:t>2021</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2019</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Ronald Tanemura</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36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2"/>
              </w:rPr>
              <w:t>Director (Independent)</w:t>
            </w:r>
          </w:p>
        </w:tc>
        <w:tc>
          <w:tcPr>
            <w:tcW w:w="16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2021</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2011</w:t>
            </w:r>
          </w:p>
        </w:tc>
      </w:tr>
    </w:tbl>
    <w:p>
      <w:pPr>
        <w:spacing w:after="0" w:line="198" w:lineRule="exact"/>
        <w:rPr>
          <w:sz w:val="20"/>
          <w:szCs w:val="20"/>
          <w:color w:val="auto"/>
        </w:rPr>
      </w:pPr>
    </w:p>
    <w:p>
      <w:pPr>
        <w:ind w:left="120" w:right="40" w:firstLine="440"/>
        <w:spacing w:after="0" w:line="274" w:lineRule="auto"/>
        <w:rPr>
          <w:sz w:val="20"/>
          <w:szCs w:val="20"/>
          <w:color w:val="auto"/>
        </w:rPr>
      </w:pPr>
      <w:r>
        <w:rPr>
          <w:rFonts w:ascii="Arial" w:cs="Arial" w:eastAsia="Arial" w:hAnsi="Arial"/>
          <w:sz w:val="17"/>
          <w:szCs w:val="17"/>
          <w:b w:val="1"/>
          <w:bCs w:val="1"/>
          <w:color w:val="auto"/>
        </w:rPr>
        <w:t xml:space="preserve">Richard Higginbotham </w:t>
      </w:r>
      <w:r>
        <w:rPr>
          <w:rFonts w:ascii="Arial" w:cs="Arial" w:eastAsia="Arial" w:hAnsi="Arial"/>
          <w:sz w:val="17"/>
          <w:szCs w:val="17"/>
          <w:color w:val="auto"/>
        </w:rPr>
        <w:t>was elected a director of TSLX in March 2011. From 2010 to 2013, he was a director of Healthcare Finance Group LLC.</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July 2008 and March 2010, Mr. Higginbotham was a director and then chairman of Tygris Commercial Finance Group, Inc., where he also served on the risk committee. From 2004 to 2005, Mr. Higginbotham was the President of Asset Based Lending and Leasing at Bank of America. Prior to that, he worked for 35 years, including in various senior executive positions, at Fleet Bank, Fleet Financial Group, Inc. and FleetBoston Financial, Inc. Mr. Higginbotham holds a B.A. in Political Science from Brown University. Mr. Higginbotham’s depth of experience in senior executive positions in the financial sector provides the Board with valuable experience, insight and perspective in the credit sector.</w:t>
      </w:r>
    </w:p>
    <w:p>
      <w:pPr>
        <w:spacing w:after="0" w:line="173" w:lineRule="exact"/>
        <w:rPr>
          <w:sz w:val="20"/>
          <w:szCs w:val="20"/>
          <w:color w:val="auto"/>
        </w:rPr>
      </w:pPr>
    </w:p>
    <w:p>
      <w:pPr>
        <w:jc w:val="both"/>
        <w:ind w:left="120" w:right="100" w:firstLine="440"/>
        <w:spacing w:after="0" w:line="289" w:lineRule="auto"/>
        <w:rPr>
          <w:sz w:val="20"/>
          <w:szCs w:val="20"/>
          <w:color w:val="auto"/>
        </w:rPr>
      </w:pPr>
      <w:r>
        <w:rPr>
          <w:rFonts w:ascii="Arial" w:cs="Arial" w:eastAsia="Arial" w:hAnsi="Arial"/>
          <w:sz w:val="16"/>
          <w:szCs w:val="16"/>
          <w:b w:val="1"/>
          <w:bCs w:val="1"/>
          <w:color w:val="auto"/>
        </w:rPr>
        <w:t xml:space="preserve">David Stiepleman </w:t>
      </w:r>
      <w:r>
        <w:rPr>
          <w:rFonts w:ascii="Arial" w:cs="Arial" w:eastAsia="Arial" w:hAnsi="Arial"/>
          <w:sz w:val="16"/>
          <w:szCs w:val="16"/>
          <w:color w:val="auto"/>
        </w:rPr>
        <w:t>was elected a director of TSLX in September 2019. Mr. Stiepleman is a Vice President of TSLX. He is a Co-Founding Partner</w:t>
      </w:r>
      <w:r>
        <w:rPr>
          <w:rFonts w:ascii="Arial" w:cs="Arial" w:eastAsia="Arial" w:hAnsi="Arial"/>
          <w:sz w:val="16"/>
          <w:szCs w:val="16"/>
          <w:b w:val="1"/>
          <w:bCs w:val="1"/>
          <w:color w:val="auto"/>
        </w:rPr>
        <w:t xml:space="preserve"> </w:t>
      </w:r>
      <w:r>
        <w:rPr>
          <w:rFonts w:ascii="Arial" w:cs="Arial" w:eastAsia="Arial" w:hAnsi="Arial"/>
          <w:sz w:val="16"/>
          <w:szCs w:val="16"/>
          <w:color w:val="auto"/>
        </w:rPr>
        <w:t>and Chief Operating Officer of Sixth Street. From 2007 to 2010, Mr. Stiepleman was a Managing Director and the Deputy General Counsel of Fortress Investment Group LLC, where he was the lead lawyer responsible for that firm’s new business initiatives. Prior to that, from 2003 to 2007,</w:t>
      </w:r>
    </w:p>
    <w:p>
      <w:pPr>
        <w:spacing w:after="0" w:line="2" w:lineRule="exact"/>
        <w:rPr>
          <w:sz w:val="20"/>
          <w:szCs w:val="20"/>
          <w:color w:val="auto"/>
        </w:rPr>
      </w:pPr>
    </w:p>
    <w:p>
      <w:pPr>
        <w:ind w:left="120" w:right="20"/>
        <w:spacing w:after="0" w:line="292" w:lineRule="auto"/>
        <w:rPr>
          <w:sz w:val="20"/>
          <w:szCs w:val="20"/>
          <w:color w:val="auto"/>
        </w:rPr>
      </w:pPr>
      <w:r>
        <w:rPr>
          <w:rFonts w:ascii="Arial" w:cs="Arial" w:eastAsia="Arial" w:hAnsi="Arial"/>
          <w:sz w:val="16"/>
          <w:szCs w:val="16"/>
          <w:color w:val="auto"/>
        </w:rPr>
        <w:t>Mr. Stiepleman was lead counsel to Americas Special Situations Group (“AmSSG”) and the Mortgages Department at Goldman Sachs. In those roles he served as a member of the AmSSG Investment Committee and the Mortgages Capital Committee. Prior to Goldman Sachs, Mr. Stiepleman was a lawyer at Cleary Gottlieb Steen &amp; Hamilton LLP where he represented corporates, funds and sovereigns in mergers and acquisitions and fund formation in the United States and Europe. Mr. Stiepleman received a B.A. in French and Political Science from Amherst College and a J.D. from Columbia University. Mr. Stiepleman’s legal, regulatory and operational experience provides the Board with valuable knowledge and guidance.</w:t>
      </w:r>
    </w:p>
    <w:p>
      <w:pPr>
        <w:spacing w:after="0" w:line="158" w:lineRule="exact"/>
        <w:rPr>
          <w:sz w:val="20"/>
          <w:szCs w:val="20"/>
          <w:color w:val="auto"/>
        </w:rPr>
      </w:pPr>
    </w:p>
    <w:p>
      <w:pPr>
        <w:jc w:val="both"/>
        <w:ind w:left="120" w:right="340" w:firstLine="440"/>
        <w:spacing w:after="0" w:line="314" w:lineRule="auto"/>
        <w:rPr>
          <w:sz w:val="20"/>
          <w:szCs w:val="20"/>
          <w:color w:val="auto"/>
        </w:rPr>
      </w:pPr>
      <w:r>
        <w:rPr>
          <w:rFonts w:ascii="Arial" w:cs="Arial" w:eastAsia="Arial" w:hAnsi="Arial"/>
          <w:sz w:val="16"/>
          <w:szCs w:val="16"/>
          <w:b w:val="1"/>
          <w:bCs w:val="1"/>
          <w:color w:val="auto"/>
        </w:rPr>
        <w:t xml:space="preserve">Ronald Tanemura </w:t>
      </w:r>
      <w:r>
        <w:rPr>
          <w:rFonts w:ascii="Arial" w:cs="Arial" w:eastAsia="Arial" w:hAnsi="Arial"/>
          <w:sz w:val="16"/>
          <w:szCs w:val="16"/>
          <w:color w:val="auto"/>
        </w:rPr>
        <w:t>was elected a director of TSLX in March 2011. Since 2012, Mr. Tanemura has served as a director of post-reorganization</w:t>
      </w:r>
      <w:r>
        <w:rPr>
          <w:rFonts w:ascii="Arial" w:cs="Arial" w:eastAsia="Arial" w:hAnsi="Arial"/>
          <w:sz w:val="16"/>
          <w:szCs w:val="16"/>
          <w:b w:val="1"/>
          <w:bCs w:val="1"/>
          <w:color w:val="auto"/>
        </w:rPr>
        <w:t xml:space="preserve"> </w:t>
      </w:r>
      <w:r>
        <w:rPr>
          <w:rFonts w:ascii="Arial" w:cs="Arial" w:eastAsia="Arial" w:hAnsi="Arial"/>
          <w:sz w:val="16"/>
          <w:szCs w:val="16"/>
          <w:color w:val="auto"/>
        </w:rPr>
        <w:t>Lehman Brothers Holdings Inc. in New York. Also, since November 2012, he has served as a non-executive director of ICE Clear Credit in Chicago and, since 2009, he has served as a non-executive director of ICE Clear Europe in London, both wholly owned subsidiaries of Intercontinental</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color w:val="auto"/>
        </w:rPr>
        <w:t>Exchange, Inc. Prior to that, from 2004 to 2006, Mr. Tanemura was an Advisory Director at Goldman, Sachs &amp; Co. From 2000 to 2004, Mr. Tanemura was a Partner at Goldman, Sachs &amp; Co. and the Global Co-Head of Credit Derivatives and a member of the Fixed Income, Currency and Commodities Risk Committee and Firmwide Credit Policy Committee. In addition, Mr. Tanemura has led a variety of fixed income businesses, working at Deutsche Bank from 1996 to 2000 and at Salomon Brothers from 1985 to 1996. Mr. Tanemura holds an A.B. in Computer Science from the University of California, Berkeley. Mr. Tanemura’s extensive experience in the financial markets provides the Board with valuable industry-specific knowledge.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Owned by Directors and Nominees in the Company</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following table sets forth the dollar range of equity securities of the Company beneficially owned by each director or director nominee as of March 30, 2020. The Company is not part of a “family of investment companies,” as that term is defined in the 1940 Act.</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2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Dollar Range of our Common Stock</w:t>
            </w:r>
          </w:p>
        </w:tc>
      </w:tr>
      <w:tr>
        <w:trPr>
          <w:trHeight w:val="171"/>
        </w:trPr>
        <w:tc>
          <w:tcPr>
            <w:tcW w:w="6100" w:type="dxa"/>
            <w:vAlign w:val="bottom"/>
          </w:tcPr>
          <w:p>
            <w:pPr>
              <w:spacing w:after="0"/>
              <w:rPr>
                <w:sz w:val="14"/>
                <w:szCs w:val="14"/>
                <w:color w:val="auto"/>
              </w:rPr>
            </w:pPr>
          </w:p>
        </w:tc>
        <w:tc>
          <w:tcPr>
            <w:tcW w:w="22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 xml:space="preserve">Beneficially Owned </w:t>
            </w:r>
            <w:r>
              <w:rPr>
                <w:rFonts w:ascii="Arial" w:cs="Arial" w:eastAsia="Arial" w:hAnsi="Arial"/>
                <w:sz w:val="12"/>
                <w:szCs w:val="12"/>
                <w:b w:val="1"/>
                <w:bCs w:val="1"/>
                <w:color w:val="auto"/>
                <w:w w:val="93"/>
              </w:rPr>
              <w:t>(1) (2)</w:t>
            </w:r>
          </w:p>
        </w:tc>
      </w:tr>
      <w:tr>
        <w:trPr>
          <w:trHeight w:val="196"/>
        </w:trPr>
        <w:tc>
          <w:tcPr>
            <w:tcW w:w="6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Interested Directors</w:t>
            </w:r>
          </w:p>
        </w:tc>
        <w:tc>
          <w:tcPr>
            <w:tcW w:w="22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rPr>
              <w:t>Joshua Easterly (Director Nominee)</w:t>
            </w:r>
          </w:p>
        </w:tc>
        <w:tc>
          <w:tcPr>
            <w:tcW w:w="2260" w:type="dxa"/>
            <w:vAlign w:val="bottom"/>
            <w:gridSpan w:val="2"/>
          </w:tcPr>
          <w:p>
            <w:pPr>
              <w:jc w:val="center"/>
              <w:spacing w:after="0"/>
              <w:rPr>
                <w:sz w:val="20"/>
                <w:szCs w:val="20"/>
                <w:color w:val="auto"/>
              </w:rPr>
            </w:pPr>
            <w:r>
              <w:rPr>
                <w:rFonts w:ascii="Arial" w:cs="Arial" w:eastAsia="Arial" w:hAnsi="Arial"/>
                <w:sz w:val="18"/>
                <w:szCs w:val="18"/>
                <w:color w:val="auto"/>
                <w:w w:val="90"/>
              </w:rPr>
              <w:t>over $100,000</w:t>
            </w:r>
          </w:p>
        </w:tc>
      </w:t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Michael Fishman (Director Nominee)</w:t>
            </w:r>
          </w:p>
        </w:tc>
        <w:tc>
          <w:tcPr>
            <w:tcW w:w="2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over $100,000</w:t>
            </w: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rPr>
              <w:t>Jennifer Gordon</w:t>
            </w:r>
          </w:p>
        </w:tc>
        <w:tc>
          <w:tcPr>
            <w:tcW w:w="22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David Stiepleman</w:t>
            </w:r>
          </w:p>
        </w:tc>
        <w:tc>
          <w:tcPr>
            <w:tcW w:w="2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over $100,000</w:t>
            </w:r>
          </w:p>
        </w:tc>
      </w:tr>
      <w:tr>
        <w:trPr>
          <w:trHeight w:val="216"/>
        </w:trPr>
        <w:tc>
          <w:tcPr>
            <w:tcW w:w="6100" w:type="dxa"/>
            <w:vAlign w:val="bottom"/>
          </w:tcPr>
          <w:p>
            <w:pPr>
              <w:spacing w:after="0"/>
              <w:rPr>
                <w:sz w:val="20"/>
                <w:szCs w:val="20"/>
                <w:color w:val="auto"/>
              </w:rPr>
            </w:pPr>
            <w:r>
              <w:rPr>
                <w:rFonts w:ascii="Arial" w:cs="Arial" w:eastAsia="Arial" w:hAnsi="Arial"/>
                <w:sz w:val="18"/>
                <w:szCs w:val="18"/>
                <w:i w:val="1"/>
                <w:iCs w:val="1"/>
                <w:color w:val="auto"/>
              </w:rPr>
              <w:t>Independent Directors</w:t>
            </w:r>
          </w:p>
        </w:tc>
        <w:tc>
          <w:tcPr>
            <w:tcW w:w="22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Hurley Doddy (Director Nominee)</w:t>
            </w:r>
          </w:p>
        </w:tc>
        <w:tc>
          <w:tcPr>
            <w:tcW w:w="2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over $100,000</w:t>
            </w: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rPr>
              <w:t>Richard Higginbotham</w:t>
            </w:r>
          </w:p>
        </w:tc>
        <w:tc>
          <w:tcPr>
            <w:tcW w:w="2260" w:type="dxa"/>
            <w:vAlign w:val="bottom"/>
            <w:gridSpan w:val="2"/>
          </w:tcPr>
          <w:p>
            <w:pPr>
              <w:jc w:val="center"/>
              <w:spacing w:after="0"/>
              <w:rPr>
                <w:sz w:val="20"/>
                <w:szCs w:val="20"/>
                <w:color w:val="auto"/>
              </w:rPr>
            </w:pPr>
            <w:r>
              <w:rPr>
                <w:rFonts w:ascii="Arial" w:cs="Arial" w:eastAsia="Arial" w:hAnsi="Arial"/>
                <w:sz w:val="18"/>
                <w:szCs w:val="18"/>
                <w:color w:val="auto"/>
                <w:w w:val="90"/>
              </w:rPr>
              <w:t>over $100,000</w:t>
            </w:r>
          </w:p>
        </w:tc>
      </w:t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John Ross</w:t>
            </w:r>
          </w:p>
        </w:tc>
        <w:tc>
          <w:tcPr>
            <w:tcW w:w="2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over $100,000</w:t>
            </w: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rPr>
              <w:t>Judy Slotkin</w:t>
            </w:r>
          </w:p>
        </w:tc>
        <w:tc>
          <w:tcPr>
            <w:tcW w:w="22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Ronald Tanemura</w:t>
            </w:r>
          </w:p>
        </w:tc>
        <w:tc>
          <w:tcPr>
            <w:tcW w:w="2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over $100,000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dollar ranges used in the above table are $1—$10,000, $10,001—$50,000, $50,001—$100,000, or over $100,000.</w:t>
      </w:r>
    </w:p>
    <w:p>
      <w:pPr>
        <w:spacing w:after="0" w:line="23" w:lineRule="exact"/>
        <w:rPr>
          <w:rFonts w:ascii="Arial" w:cs="Arial" w:eastAsia="Arial" w:hAnsi="Arial"/>
          <w:sz w:val="18"/>
          <w:szCs w:val="18"/>
          <w:color w:val="auto"/>
        </w:rPr>
      </w:pPr>
    </w:p>
    <w:p>
      <w:pPr>
        <w:ind w:left="540" w:right="200" w:hanging="424"/>
        <w:spacing w:after="0" w:line="260"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Dollar ranges were determined using the number of shares that are beneficially owned as of March 30, 2020, multiplied by the closing sale price of the Company’s common stock as reported on the New York Stock Exchange (“NYSE”) as of March 30, 2020.</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Litigation Involving Directors and Nominees Adverse to the Company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Regarding Executive Officers Who Are Not Directors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540" w:type="dxa"/>
            <w:vAlign w:val="bottom"/>
            <w:gridSpan w:val="2"/>
          </w:tcPr>
          <w:p>
            <w:pPr>
              <w:ind w:left="980"/>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Age</w:t>
            </w:r>
          </w:p>
        </w:tc>
        <w:tc>
          <w:tcPr>
            <w:tcW w:w="7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Position</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2"/>
              </w:rPr>
              <w:t>Officer Since</w:t>
            </w:r>
          </w:p>
        </w:tc>
      </w:tr>
      <w:tr>
        <w:trPr>
          <w:trHeight w:val="210"/>
        </w:trPr>
        <w:tc>
          <w:tcPr>
            <w:tcW w:w="2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Ken Burke</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37</w:t>
            </w:r>
          </w:p>
        </w:tc>
        <w:tc>
          <w:tcPr>
            <w:tcW w:w="220" w:type="dxa"/>
            <w:vAlign w:val="bottom"/>
            <w:tcBorders>
              <w:top w:val="single" w:sz="8" w:color="CCEEFF"/>
            </w:tcBorders>
            <w:shd w:val="clear" w:color="auto" w:fill="CCEEFF"/>
          </w:tcPr>
          <w:p>
            <w:pPr>
              <w:spacing w:after="0"/>
              <w:rPr>
                <w:sz w:val="18"/>
                <w:szCs w:val="18"/>
                <w:color w:val="auto"/>
              </w:rPr>
            </w:pPr>
          </w:p>
        </w:tc>
        <w:tc>
          <w:tcPr>
            <w:tcW w:w="6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Chief Compliance Officer, Vice President and Secretary</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Michael Graf</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220" w:type="dxa"/>
            <w:vAlign w:val="bottom"/>
          </w:tcPr>
          <w:p>
            <w:pPr>
              <w:spacing w:after="0"/>
              <w:rPr>
                <w:sz w:val="18"/>
                <w:szCs w:val="18"/>
                <w:color w:val="auto"/>
              </w:rPr>
            </w:pPr>
          </w:p>
        </w:tc>
        <w:tc>
          <w:tcPr>
            <w:tcW w:w="71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Vice President and Principal Accounting Officer</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2015</w:t>
            </w: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Craig Hamrah</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2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Vice President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2016</w:t>
            </w: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Steven Pluss</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220" w:type="dxa"/>
            <w:vAlign w:val="bottom"/>
          </w:tcPr>
          <w:p>
            <w:pPr>
              <w:spacing w:after="0"/>
              <w:rPr>
                <w:sz w:val="18"/>
                <w:szCs w:val="18"/>
                <w:color w:val="auto"/>
              </w:rPr>
            </w:pPr>
          </w:p>
        </w:tc>
        <w:tc>
          <w:tcPr>
            <w:tcW w:w="71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Vice President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2014</w:t>
            </w: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Ian Simmonds</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2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Chief Financial Officer</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2015</w:t>
            </w: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Robert (Bo) Stanley</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220" w:type="dxa"/>
            <w:vAlign w:val="bottom"/>
          </w:tcPr>
          <w:p>
            <w:pPr>
              <w:spacing w:after="0"/>
              <w:rPr>
                <w:sz w:val="18"/>
                <w:szCs w:val="18"/>
                <w:color w:val="auto"/>
              </w:rPr>
            </w:pPr>
          </w:p>
        </w:tc>
        <w:tc>
          <w:tcPr>
            <w:tcW w:w="71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President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2016</w:t>
            </w: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Waxman</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2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Vice President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2011</w:t>
            </w:r>
          </w:p>
        </w:tc>
      </w:tr>
      <w:tr>
        <w:trPr>
          <w:trHeight w:val="365"/>
        </w:trPr>
        <w:tc>
          <w:tcPr>
            <w:tcW w:w="2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40" w:type="dxa"/>
            <w:vAlign w:val="bottom"/>
          </w:tcPr>
          <w:p>
            <w:pPr>
              <w:jc w:val="right"/>
              <w:ind w:right="4312"/>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b w:val="1"/>
          <w:bCs w:val="1"/>
          <w:color w:val="auto"/>
        </w:rPr>
        <w:t xml:space="preserve">Ken Burke </w:t>
      </w:r>
      <w:r>
        <w:rPr>
          <w:rFonts w:ascii="Arial" w:cs="Arial" w:eastAsia="Arial" w:hAnsi="Arial"/>
          <w:sz w:val="16"/>
          <w:szCs w:val="16"/>
          <w:color w:val="auto"/>
        </w:rPr>
        <w:t>is the Chief Compliance Officer, Vice President and Secretary of TSLX. Mr. Burke is the Deputy Chief Compliance Officer of Sixth</w:t>
      </w:r>
      <w:r>
        <w:rPr>
          <w:rFonts w:ascii="Arial" w:cs="Arial" w:eastAsia="Arial" w:hAnsi="Arial"/>
          <w:sz w:val="16"/>
          <w:szCs w:val="16"/>
          <w:b w:val="1"/>
          <w:bCs w:val="1"/>
          <w:color w:val="auto"/>
        </w:rPr>
        <w:t xml:space="preserve"> </w:t>
      </w:r>
      <w:r>
        <w:rPr>
          <w:rFonts w:ascii="Arial" w:cs="Arial" w:eastAsia="Arial" w:hAnsi="Arial"/>
          <w:sz w:val="16"/>
          <w:szCs w:val="16"/>
          <w:color w:val="auto"/>
        </w:rPr>
        <w:t>Street and also serves as Chief Compliance Officer of TSSP BD, LLC, Sixth Street’s affiliate broker-dealer. Prior to joining Sixth Street in 2015,</w:t>
      </w:r>
    </w:p>
    <w:p>
      <w:pPr>
        <w:spacing w:after="0" w:line="1" w:lineRule="exact"/>
        <w:rPr>
          <w:sz w:val="20"/>
          <w:szCs w:val="20"/>
          <w:color w:val="auto"/>
        </w:rPr>
      </w:pPr>
    </w:p>
    <w:p>
      <w:pPr>
        <w:ind w:left="120" w:right="20"/>
        <w:spacing w:after="0" w:line="295" w:lineRule="auto"/>
        <w:rPr>
          <w:sz w:val="20"/>
          <w:szCs w:val="20"/>
          <w:color w:val="auto"/>
        </w:rPr>
      </w:pPr>
      <w:r>
        <w:rPr>
          <w:rFonts w:ascii="Arial" w:cs="Arial" w:eastAsia="Arial" w:hAnsi="Arial"/>
          <w:sz w:val="16"/>
          <w:szCs w:val="16"/>
          <w:color w:val="auto"/>
        </w:rPr>
        <w:t>Mr. Burke was the Chief Compliance Officer at Marble Arch Investments, LP. Prior to that role, Mr. Burke worked as an Associate Attorney at Gibson, Dunn &amp; Crutcher LLP, counseling private fund clients on a variety of regulatory and compliance issues. Mr. Burke began his career at the Securities and Exchange Commission (SEC) in New York, where he spent more than seven years working in the SEC’s investment adviser examination program. Mr. Burke holds a J.D. from Fordham University School of Law and a B.S. in Finance from the State University of New York at New Paltz.</w:t>
      </w:r>
    </w:p>
    <w:p>
      <w:pPr>
        <w:spacing w:after="0" w:line="157" w:lineRule="exact"/>
        <w:rPr>
          <w:sz w:val="20"/>
          <w:szCs w:val="20"/>
          <w:color w:val="auto"/>
        </w:rPr>
      </w:pPr>
    </w:p>
    <w:p>
      <w:pPr>
        <w:ind w:left="120" w:firstLine="440"/>
        <w:spacing w:after="0" w:line="258" w:lineRule="auto"/>
        <w:rPr>
          <w:sz w:val="20"/>
          <w:szCs w:val="20"/>
          <w:color w:val="auto"/>
        </w:rPr>
      </w:pPr>
      <w:r>
        <w:rPr>
          <w:rFonts w:ascii="Arial" w:cs="Arial" w:eastAsia="Arial" w:hAnsi="Arial"/>
          <w:sz w:val="18"/>
          <w:szCs w:val="18"/>
          <w:b w:val="1"/>
          <w:bCs w:val="1"/>
          <w:color w:val="auto"/>
        </w:rPr>
        <w:t xml:space="preserve">Michael Graf </w:t>
      </w:r>
      <w:r>
        <w:rPr>
          <w:rFonts w:ascii="Arial" w:cs="Arial" w:eastAsia="Arial" w:hAnsi="Arial"/>
          <w:sz w:val="18"/>
          <w:szCs w:val="18"/>
          <w:color w:val="auto"/>
        </w:rPr>
        <w:t>is a Vice President and Principal Accounting Officer of TSLX. Mr. Graf has been TSLX’s Controller since 2013. From 2010 to</w:t>
      </w:r>
      <w:r>
        <w:rPr>
          <w:rFonts w:ascii="Arial" w:cs="Arial" w:eastAsia="Arial" w:hAnsi="Arial"/>
          <w:sz w:val="18"/>
          <w:szCs w:val="18"/>
          <w:b w:val="1"/>
          <w:bCs w:val="1"/>
          <w:color w:val="auto"/>
        </w:rPr>
        <w:t xml:space="preserve"> </w:t>
      </w:r>
      <w:r>
        <w:rPr>
          <w:rFonts w:ascii="Arial" w:cs="Arial" w:eastAsia="Arial" w:hAnsi="Arial"/>
          <w:sz w:val="18"/>
          <w:szCs w:val="18"/>
          <w:color w:val="auto"/>
        </w:rPr>
        <w:t>2013, Mr. Graf was a Vice President in Alternative Investments at U.S. Bancorp Fund Services, LLC. From 2006 to 2010, Mr. Graf was an Accounting Manager at GSC Group, Inc., a private investment firm. Prior to working at GSC Group Inc., Mr. Graf worked in public accounting at KPMG from 2004 to 2006. Mr. Graf holds a B.S. in Finance and Accounting from the Leonard N. Stern School of Business at New York University. He is a Certified Public Accountant.</w:t>
      </w:r>
    </w:p>
    <w:p>
      <w:pPr>
        <w:spacing w:after="0" w:line="183" w:lineRule="exact"/>
        <w:rPr>
          <w:sz w:val="20"/>
          <w:szCs w:val="20"/>
          <w:color w:val="auto"/>
        </w:rPr>
      </w:pPr>
    </w:p>
    <w:p>
      <w:pPr>
        <w:ind w:left="120" w:right="60" w:firstLine="440"/>
        <w:spacing w:after="0" w:line="258" w:lineRule="auto"/>
        <w:rPr>
          <w:sz w:val="20"/>
          <w:szCs w:val="20"/>
          <w:color w:val="auto"/>
        </w:rPr>
      </w:pPr>
      <w:r>
        <w:rPr>
          <w:rFonts w:ascii="Arial" w:cs="Arial" w:eastAsia="Arial" w:hAnsi="Arial"/>
          <w:sz w:val="18"/>
          <w:szCs w:val="18"/>
          <w:b w:val="1"/>
          <w:bCs w:val="1"/>
          <w:color w:val="auto"/>
        </w:rPr>
        <w:t xml:space="preserve">Craig Hamrah </w:t>
      </w:r>
      <w:r>
        <w:rPr>
          <w:rFonts w:ascii="Arial" w:cs="Arial" w:eastAsia="Arial" w:hAnsi="Arial"/>
          <w:sz w:val="18"/>
          <w:szCs w:val="18"/>
          <w:color w:val="auto"/>
        </w:rPr>
        <w:t>is a Vice President of TSLX, Senior Credit Underwriter of the Adviser and Managing Director of Sixth Street. Mr. Hamrah was</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with Silver Point Capital, where he was a senior deal underwriter in the private finance group. From 2004 to 2005, Mr. Hamrah was a Senior Vice President at the Royal Bank of Scotland. From 1997 to 2004, Mr. Hamrah was an Executive Vice President at Emigrant Business Credit Corp, a subsidiary of Emigrant Savings Bank. Mr. Hamrah started his career at The CIT Group in 1990 working in the commercial finance and equipment finance divisions. He holds a B.A. in Business Economics from Brown University.</w:t>
      </w:r>
    </w:p>
    <w:p>
      <w:pPr>
        <w:spacing w:after="0" w:line="183" w:lineRule="exact"/>
        <w:rPr>
          <w:sz w:val="20"/>
          <w:szCs w:val="20"/>
          <w:color w:val="auto"/>
        </w:rPr>
      </w:pPr>
    </w:p>
    <w:p>
      <w:pPr>
        <w:ind w:left="120" w:right="180" w:firstLine="440"/>
        <w:spacing w:after="0" w:line="258" w:lineRule="auto"/>
        <w:rPr>
          <w:sz w:val="20"/>
          <w:szCs w:val="20"/>
          <w:color w:val="auto"/>
        </w:rPr>
      </w:pPr>
      <w:r>
        <w:rPr>
          <w:rFonts w:ascii="Arial" w:cs="Arial" w:eastAsia="Arial" w:hAnsi="Arial"/>
          <w:sz w:val="18"/>
          <w:szCs w:val="18"/>
          <w:b w:val="1"/>
          <w:bCs w:val="1"/>
          <w:color w:val="auto"/>
        </w:rPr>
        <w:t xml:space="preserve">Steven Pluss </w:t>
      </w:r>
      <w:r>
        <w:rPr>
          <w:rFonts w:ascii="Arial" w:cs="Arial" w:eastAsia="Arial" w:hAnsi="Arial"/>
          <w:sz w:val="18"/>
          <w:szCs w:val="18"/>
          <w:color w:val="auto"/>
        </w:rPr>
        <w:t>is a Vice President of TSLX. He is a Co-Founding Partner of Sixth Street and has also been the Chief Risk Officer since 2013, as</w:t>
      </w:r>
      <w:r>
        <w:rPr>
          <w:rFonts w:ascii="Arial" w:cs="Arial" w:eastAsia="Arial" w:hAnsi="Arial"/>
          <w:sz w:val="18"/>
          <w:szCs w:val="18"/>
          <w:b w:val="1"/>
          <w:bCs w:val="1"/>
          <w:color w:val="auto"/>
        </w:rPr>
        <w:t xml:space="preserve"> </w:t>
      </w:r>
      <w:r>
        <w:rPr>
          <w:rFonts w:ascii="Arial" w:cs="Arial" w:eastAsia="Arial" w:hAnsi="Arial"/>
          <w:sz w:val="18"/>
          <w:szCs w:val="18"/>
          <w:color w:val="auto"/>
        </w:rPr>
        <w:t>well as the Chief Financial Officer from 2013 to 2016. Prior to joining Sixth Street, Mr. Pluss was a Managing Director and co-head of the Goldman Sachs Specialty Lending Group at Goldman, Sachs &amp; Co., where he worked from 2004 to 2013. From 1999 to 2004, Mr. Pluss was a Partner, Founder and Managing Member of RTV Ventures, a special situations lending joint venture with Goldman, Sachs &amp; Co. Mr. Pluss holds a B.B.A. from Texas A&amp;M University and an M.B.A. from Southern Methodist University.</w:t>
      </w:r>
    </w:p>
    <w:p>
      <w:pPr>
        <w:spacing w:after="0" w:line="183"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b w:val="1"/>
          <w:bCs w:val="1"/>
          <w:color w:val="auto"/>
        </w:rPr>
        <w:t xml:space="preserve">Ian Simmonds </w:t>
      </w:r>
      <w:r>
        <w:rPr>
          <w:rFonts w:ascii="Arial" w:cs="Arial" w:eastAsia="Arial" w:hAnsi="Arial"/>
          <w:sz w:val="18"/>
          <w:szCs w:val="18"/>
          <w:color w:val="auto"/>
        </w:rPr>
        <w:t>is the Chief Financial Officer of TSLX and a Managing Director of Sixth Street. From 2005 to 2015, Mr. Simmonds was a</w:t>
      </w:r>
      <w:r>
        <w:rPr>
          <w:rFonts w:ascii="Arial" w:cs="Arial" w:eastAsia="Arial" w:hAnsi="Arial"/>
          <w:sz w:val="18"/>
          <w:szCs w:val="18"/>
          <w:b w:val="1"/>
          <w:bCs w:val="1"/>
          <w:color w:val="auto"/>
        </w:rPr>
        <w:t xml:space="preserve"> </w:t>
      </w:r>
      <w:r>
        <w:rPr>
          <w:rFonts w:ascii="Arial" w:cs="Arial" w:eastAsia="Arial" w:hAnsi="Arial"/>
          <w:sz w:val="18"/>
          <w:szCs w:val="18"/>
          <w:color w:val="auto"/>
        </w:rPr>
        <w:t>member of the Financial Institutions Group at Bank of America Merrill Lynch’s Global Investment Bank in New York, most recently as a Managing Director. From 2000 to 2003, Mr. Simmonds was Managing Director at Principal Global Investors, the asset management unit of The Principal Financial Group, based in Singapore. Prior to this role, Mr. Simmonds was a Senior Vice President at Bankers Trust Australia from 1995 to 2000 (acquired by Principal in 1999), and worked in public accounting at KPMG from 1989 to 1995. Mr. Simmonds holds a Bachelor of Commerce from the University of New South Wales, a Master of Applied Finance from Macquarie University, and an M.B.A. from the Wharton School of the University of Pennsylvania. He is a Chartered Accountant.</w:t>
      </w:r>
    </w:p>
    <w:p>
      <w:pPr>
        <w:spacing w:after="0" w:line="189" w:lineRule="exact"/>
        <w:rPr>
          <w:sz w:val="20"/>
          <w:szCs w:val="20"/>
          <w:color w:val="auto"/>
        </w:rPr>
      </w:pPr>
    </w:p>
    <w:p>
      <w:pPr>
        <w:ind w:left="120" w:right="60" w:firstLine="440"/>
        <w:spacing w:after="0" w:line="258" w:lineRule="auto"/>
        <w:rPr>
          <w:sz w:val="20"/>
          <w:szCs w:val="20"/>
          <w:color w:val="auto"/>
        </w:rPr>
      </w:pPr>
      <w:r>
        <w:rPr>
          <w:rFonts w:ascii="Arial" w:cs="Arial" w:eastAsia="Arial" w:hAnsi="Arial"/>
          <w:sz w:val="18"/>
          <w:szCs w:val="18"/>
          <w:b w:val="1"/>
          <w:bCs w:val="1"/>
          <w:color w:val="auto"/>
        </w:rPr>
        <w:t xml:space="preserve">Robert (“Bo”) Stanley </w:t>
      </w:r>
      <w:r>
        <w:rPr>
          <w:rFonts w:ascii="Arial" w:cs="Arial" w:eastAsia="Arial" w:hAnsi="Arial"/>
          <w:sz w:val="18"/>
          <w:szCs w:val="18"/>
          <w:color w:val="auto"/>
        </w:rPr>
        <w:t>is President of TSLX and a Partner of Sixth Street. Mr. Stanley was previously with Wells Fargo Capital Finance, a</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 of specialized senior secured financing to companies throughout the U.S. and Canada, from 2000 to 2011. While at Wells Fargo, Mr. Stanley served in multiple roles in an underwriting and origination capacity. From 2006 to 2011, Mr. Stanley was a Director of Loan Originations where he was responsible for lead development and generation of commercial loans. He holds a B.S. in Business Administration with a concentration in Finance from the University of Maine.</w:t>
      </w:r>
    </w:p>
    <w:p>
      <w:pPr>
        <w:spacing w:after="0" w:line="183" w:lineRule="exact"/>
        <w:rPr>
          <w:sz w:val="20"/>
          <w:szCs w:val="20"/>
          <w:color w:val="auto"/>
        </w:rPr>
      </w:pPr>
    </w:p>
    <w:p>
      <w:pPr>
        <w:ind w:left="120" w:right="40" w:firstLine="440"/>
        <w:spacing w:after="0" w:line="282" w:lineRule="auto"/>
        <w:rPr>
          <w:sz w:val="20"/>
          <w:szCs w:val="20"/>
          <w:color w:val="auto"/>
        </w:rPr>
      </w:pPr>
      <w:r>
        <w:rPr>
          <w:rFonts w:ascii="Arial" w:cs="Arial" w:eastAsia="Arial" w:hAnsi="Arial"/>
          <w:sz w:val="18"/>
          <w:szCs w:val="18"/>
          <w:b w:val="1"/>
          <w:bCs w:val="1"/>
          <w:color w:val="auto"/>
        </w:rPr>
        <w:t xml:space="preserve">Alan Waxman </w:t>
      </w:r>
      <w:r>
        <w:rPr>
          <w:rFonts w:ascii="Arial" w:cs="Arial" w:eastAsia="Arial" w:hAnsi="Arial"/>
          <w:sz w:val="18"/>
          <w:szCs w:val="18"/>
          <w:color w:val="auto"/>
        </w:rPr>
        <w:t>is a Vice President of TSLX. Mr. Waxman is a Co-Founding Partner of Sixth Street. He has served as Managing Partner and Chief</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Officer of Sixth Street and Co-Chief Investment Officer of the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Adviser since inception. Prior to co-founding Sixth Street, Mr. Waxman was a Partner at Goldman, Sachs &amp; Co., where he founded, built and led a variety of credit and credit-related businesses. During his career at Goldman, Sachs &amp; Co., he co-headed the Americas Special Situations Group, which invested that firm’s capital in both the public markets and private transactions. Mr. Waxman began his career at Goldman, Sachs &amp; Co. in 1998. He holds a B.A. in International Relations from the University of Pennsylvania, where he currently serves on their board of the School of Arts and Sciences.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CORPORATE GOVERNANCE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Board of Directors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Pursuant to our certificate of incorporation and our bylaws, our Board consists of nine members. Pursuant to our bylaws, the Board may increase or decrease the number of directors to no fewer than four and no greater than nine. The Board is divided into three classes, with the members of each class each serving staggered, three-year terms. The terms of our Class I directors will expire at the 2021 annual meeting of stockholders; the terms of our Class II directors will expire at the 2022 annual meeting of stockholders; and the terms of our Class III directors will expire at the Meeting.</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Pursuant to our certificate of incorporation, a majority of the Board will at all times consist of directors who are not “interested persons” of us, of the Adviser, or of any of our or its respective affiliates, as defined in the 1940 Act. Under Section 303A.00 of the NYSE Listed Company Manual, a director of a business development company (“BDC”) is considered to be independent if he or she is not an “interested person” of ours, as defined in Section 2(a)(19) of the 1940 Act. We refer to these directors as our “Independent Directors.”</w:t>
      </w:r>
    </w:p>
    <w:p>
      <w:pPr>
        <w:spacing w:after="0" w:line="187"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Consistent with these considerations, after review of all relevant transactions and relationships between each director, or any of his or her family members, and us, the Adviser, or of any of our or its respective affiliates, the Board has determined that Messrs. Doddy, Higginbotham, Ross,</w:t>
      </w:r>
    </w:p>
    <w:p>
      <w:pPr>
        <w:ind w:left="120" w:right="80"/>
        <w:spacing w:after="0" w:line="295" w:lineRule="auto"/>
        <w:rPr>
          <w:sz w:val="20"/>
          <w:szCs w:val="20"/>
          <w:color w:val="auto"/>
        </w:rPr>
      </w:pPr>
      <w:r>
        <w:rPr>
          <w:rFonts w:ascii="Arial" w:cs="Arial" w:eastAsia="Arial" w:hAnsi="Arial"/>
          <w:sz w:val="16"/>
          <w:szCs w:val="16"/>
          <w:color w:val="auto"/>
        </w:rPr>
        <w:t>Ms. Slotkin and Mr. Tanemura qualify as Independent Directors. Each director who serves on the Audit Committee is an independent director under the applicable NYSE listing standards and for purposes of Rule 10A-3 under the Securities Exchange Act of 1934, as amended (the “Exchange Act”). Each director who serves on the Compensation Committee and Nominating and Corporate Governance Committee is an independent director under the applicable NYSE listing standards. A majority of the voting members of the Risk Management Committee are Independent Directors.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Messrs. Easterly, Fishman, Ms. Gordon and Mr. Stiepleman are considered “interested persons” (as defined in the 1940 Act) of the Company since both of them are employed by the Adviser. See “Proposal No. 1 Election of Directors – Biographical Information.”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Meetings and Attendance</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Board met four times in 2019 and acted on various occasions by written consent. Our Board also holds informal periodic telephonic update meetings. No incumbent director attended fewer than 75% of the aggregate of the total number of meetings of the Board (held during the period for which he or she has been a director) and the total number of meetings held by all committees of the Board on which he or she served (during the periods that he or she served).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Board Attendance at the Meeting</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Our policy is to encourage our directors to attend each annual meeting of stockholders; however, attendance is not required. Mr. Easterly attended the 2019 annual meeting of stockholders in person.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Our Board monitors and performs an oversight role with respect to our business and affairs, including with respect to investment practices and performance, compliance with regulatory requirements, cybersecurity and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services, expenses and performance of service providers to us. Among other things, our Board approves the appointment of our Adviser and our officers, reviews and monitors the services and activities performed by our investment adviser and our executive officers.</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Our Board designates a chairman to preside over the meetings of the Board and to perform other duties as may be assigned to him by the Board. We do not have a fixed policy as to whether the chairman of the Board should be an Independent Director and believe that we should maintain the flexibility to select the chairman and reorganize the leadership structure, from time to time, based on the criteria that is in our best interests and the best interests of our stockholders at such times.</w:t>
      </w:r>
    </w:p>
    <w:p>
      <w:pPr>
        <w:spacing w:after="0" w:line="18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Presently, Mr. Easterly serves as the chairman of our Board. We believe that Mr. Easterly’s familiarity with our investment platform and extensive knowledge of the financial services industry qualifies him to serve as the chairman of our Board.</w:t>
      </w:r>
    </w:p>
    <w:p>
      <w:pPr>
        <w:spacing w:after="0" w:line="170"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Our Board does not currently have a designated lead Independent Director. We are aware of the potential conflicts that may arise when a non-Independent Director is chairman of the Board, but believe these potential conflicts are offset by our strong corporate governance practices. Our corporate governance practices include regular meetings of the Independent Directors in executive session without the presence of interested directors and management, as well as the establishment of a Nominating and Corporate Governance Committee, a Compensation Committee and an Audit Committee, each consisting solely of Independent Directors for the purposes of the NYSE corporate governance rules and, in the case of the Audit Committee, Rule 10A-3 under the Exchange Act. During executive sessions, the chairman of the Audit Committee or his designee acts as presiding director. We also have a Risk Management Committee, a majority of the voting members of which are Independent Directors. In addition, our corporate governance practices include the appointment of our Chief Compliance Officer, with whom the Independent Directors meet in executive session without the presence of interested directors and other members of management for administering our compliance policies and procedures. While certain non-management members of our Board currently participate on the boards of directors of other companies, we do not view their participation as excessive or as interfering with their duties on our Board.</w:t>
      </w:r>
    </w:p>
    <w:p>
      <w:pPr>
        <w:spacing w:after="0" w:line="182"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Our Board performs its risk oversight function primarily through its committees and monitoring by our Chief Compliance Officer in accordance with its compliance policies and procedures.</w:t>
      </w:r>
    </w:p>
    <w:p>
      <w:pPr>
        <w:spacing w:after="0" w:line="170"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As described below in more detail under “—Board Committees—Audit Committee,” the Audit Committee assists the Board in fulfilling its risk oversight responsibilities. The Audit Committee’s risk oversight responsibilities include overseeing our accounting and financial reporting processes, our systems of internal controls regarding finance and accounting, and audits of our financial statements. The Audit Committee also discusses with management our major financial risk exposures and the steps management has taken to monitor and control such exposures, including our risk assessment and risk management policies.</w:t>
      </w:r>
    </w:p>
    <w:p>
      <w:pPr>
        <w:spacing w:after="0" w:line="18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addition, as described below under “—Board Committees—Risk Management Committee,” the Risk Management Committee assists the Board in its oversight of our overall risk tolerance and management of capital, liquidity, and funding planning and strategy. In performing its responsibilities, the Risk Management Committee liaises with the Chair of the Audit Committee to assist that committee in its review of our risk assessment and risk management matters.</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Board also performs its risk oversight responsibilities with the assistance of the Chief Compliance Officer. Our Chief Compliance Officer prepares a written report annually discussing the adequacy and effectiveness of our compliance policies and procedures. The Chief Compliance Officer’s report, which is reviewed by the Board, addresses:</w:t>
      </w:r>
    </w:p>
    <w:p>
      <w:pPr>
        <w:spacing w:after="0" w:line="89" w:lineRule="exact"/>
        <w:rPr>
          <w:sz w:val="20"/>
          <w:szCs w:val="20"/>
          <w:color w:val="auto"/>
        </w:rPr>
      </w:pPr>
    </w:p>
    <w:p>
      <w:pPr>
        <w:ind w:left="5540" w:right="1900" w:hanging="4884"/>
        <w:spacing w:after="0" w:line="449" w:lineRule="auto"/>
        <w:tabs>
          <w:tab w:leader="none" w:pos="109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adequacy of our compliance policies and procedures and certain of our service providers since the last report; 13</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material changes to these policies and procedures or recommended changes; and</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compliance matter that has occurred about which the Board would reasonably need to know to oversee our compliance activities and risks.</w:t>
      </w:r>
    </w:p>
    <w:p>
      <w:pPr>
        <w:spacing w:after="0" w:line="170"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In addition, the Chief Compliance Officer meets separately in executive session with the Independent Directors periodically, typically every quarter, but in no event less than once each year.</w:t>
      </w:r>
    </w:p>
    <w:p>
      <w:pPr>
        <w:spacing w:after="0" w:line="170"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We believe that the Board’s role in risk oversight is effective and appropriate given the extensive regulation to which we are already subject as a BDC. Specifically, as a BDC, we must comply with numerous regulatory requirements that control the levels of risk in its business and operations, including limitations under the 1940 Act on the amount of borrowings, debt securities or preferred stock we may incur or issue. In addition, we generally have to invest at least 70% of our total assets in “qualifying assets” and, subject to certain exceptions, we generally are not permitted to invest in any portfolio company in which our affiliates currently has an investment. In addition, we have elected to be treated as a regulated investment company (“RIC”) under Subchapter M of the Internal Revenue Code of 1986, as amended (the “Code”). As a RIC, we must, among other things, meet certain source of income, asset diversification and distribution requirements.</w:t>
      </w:r>
    </w:p>
    <w:p>
      <w:pPr>
        <w:spacing w:after="0" w:line="17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Further, we believe that the Board’s structure and practices enhance its risk oversight because our Independent Directors separately meet in executive sessions with the Chief Compliance Officer and independent registered public accounting firm without any conflict that could be perceived to discourage critical review.</w:t>
      </w:r>
    </w:p>
    <w:p>
      <w:pPr>
        <w:spacing w:after="0" w:line="184"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We believe that the Board’s role in risk oversight must be evaluated on a case-by-case basis and that its existing role in risk oversight is appropriate.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Communications with Directors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Board has established procedures whereby our stockholders and other interested parties may communicate with any member of our Board, the chairman of any of our Board committees or with our non-management directors as a group by mail addressed to the applicable directors or director group, in the care of the Chief Compliance Officer, Ken Burke, TPG Specialty Lending, Inc., 888 7</w:t>
      </w:r>
      <w:r>
        <w:rPr>
          <w:rFonts w:ascii="Arial" w:cs="Arial" w:eastAsia="Arial" w:hAnsi="Arial"/>
          <w:sz w:val="15"/>
          <w:szCs w:val="15"/>
          <w:color w:val="auto"/>
        </w:rPr>
        <w:t>th</w:t>
      </w:r>
      <w:r>
        <w:rPr>
          <w:rFonts w:ascii="Arial" w:cs="Arial" w:eastAsia="Arial" w:hAnsi="Arial"/>
          <w:sz w:val="18"/>
          <w:szCs w:val="18"/>
          <w:color w:val="auto"/>
        </w:rPr>
        <w:t xml:space="preserve"> Avenue, 35</w:t>
      </w:r>
      <w:r>
        <w:rPr>
          <w:rFonts w:ascii="Arial" w:cs="Arial" w:eastAsia="Arial" w:hAnsi="Arial"/>
          <w:sz w:val="15"/>
          <w:szCs w:val="15"/>
          <w:color w:val="auto"/>
        </w:rPr>
        <w:t>th</w:t>
      </w:r>
      <w:r>
        <w:rPr>
          <w:rFonts w:ascii="Arial" w:cs="Arial" w:eastAsia="Arial" w:hAnsi="Arial"/>
          <w:sz w:val="18"/>
          <w:szCs w:val="18"/>
          <w:color w:val="auto"/>
        </w:rPr>
        <w:t xml:space="preserve"> Floor, New York, NY 10106. Such communications should specify the intended recipient or recipients. All such communications, other than unsolicited commercial solicitations, will be forwarded to the appropriate director, or directors, for review.</w:t>
      </w:r>
    </w:p>
    <w:p>
      <w:pPr>
        <w:spacing w:after="0" w:line="188"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color w:val="auto"/>
        </w:rPr>
        <w:t>In addition, information on how to report issues related to financial statement disclosures, accounting, internal accounting controls or auditing matters to our Board or the Independent Directors via email is available on our website at http://www.tpgspecialtylending.com.</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We currently have four standing committees: the Audit Committee, the Nominating and Corporate Governance Committee, the Compensation Committee and the Risk Management Committee.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The Audit Committee operates pursuant to the Audit Committee Charter. The Audit Committee Charter sets forth the responsibilities of the Audit Committee. The primary function of the Audit Committee is to serve as an independent and objective party to assist the Board in fulfilling its responsibilities for our accounting and reporting processes and the audits of its financial statements by overseeing and monitoring:</w:t>
      </w:r>
    </w:p>
    <w:p>
      <w:pPr>
        <w:spacing w:after="0" w:line="71"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quality and integrity of our financial statements;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adequacy of our system of internal controls;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2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financial reporting process, including the valuation of investments, the review of the independence and performance of, as well as communicate openly with, our independent registered public accounting firm;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225"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Our Audit Committee has the sole authority to approve the engagement, and review the performance of, our independent registered public accounting firm.</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Our Board has designated Mr. Ross as an “audit committee financial expert” pursuant to the provisions of Item 407(d)(5) of Regulation S-K, and, pursuant to the Audit Committee Charter, our Audit Committee consists solely of members who are independent directors for the purposes of the applicable NYSE corporate governance rules and Rule 10A-3 under the Exchange Act.</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Messrs. Doddy (elected January 2019), Higginbotham, Ross, Ms. Slotkin (elected September 2019) and Mr. Tanemura are members of the Audit Committee and Mr. Ross serves as Chairman. The Audit Committee held eight meetings in 2019.</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The Nominating and Corporate Governance Committee operates pursuant to the Nominating and Corporate Governance Committee Charter. The Nominating and Corporate Governance Committee Charter sets forth the responsibilities of the Nominating and Corporate Governance Committee. The Nominating and Corporate Governance Committee is responsible for:</w:t>
      </w:r>
    </w:p>
    <w:p>
      <w:pPr>
        <w:spacing w:after="0" w:line="89"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selecting, researching and nominating directors for election by our stockholders;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selecting nominees to fill vacancies on the Board or a committee of the Board;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developing and recommending to the Board a set of corporate governance principles;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overseeing the evaluation of the Board and our management.</w:t>
      </w:r>
    </w:p>
    <w:p>
      <w:pPr>
        <w:spacing w:after="0" w:line="225"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Nominating and Corporate Governance Committee considers nominees to the Board recommended by a stockholder, if that stockholder complies with the advance notice provisions of our bylaws, as described below.</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members of the Nominating and Corporate Governance Committee are Messrs. Doddy (elected February 2020), Higginbotham, Ross,</w:t>
      </w:r>
    </w:p>
    <w:p>
      <w:pPr>
        <w:spacing w:after="0" w:line="23"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Ms. Slotkin (elected February 2020) and Mr. Tanemura, each of whom is independent for purposes of the NYSE corporate governance rules, and each of whom is not an “interested person” of the Company, of the Adviser, or of any of their respective affiliates as defined in Section 2(a)(19) of the 1940 Act. Mr. Higginbotham serves as Chairman. The Nominating and Corporate Governance Committee held two meetings in 2019 and acted on various occasions by written consent.</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Compensation Committee operates pursuant to the Compensation Committee Charter. The Compensation Committee Charter sets forth the responsibilities of the Compensation Committee. The Compensation Committee is responsible for:</w:t>
      </w:r>
    </w:p>
    <w:p>
      <w:pPr>
        <w:spacing w:after="0" w:line="76" w:lineRule="exact"/>
        <w:rPr>
          <w:sz w:val="20"/>
          <w:szCs w:val="20"/>
          <w:color w:val="auto"/>
        </w:rPr>
      </w:pPr>
    </w:p>
    <w:p>
      <w:pPr>
        <w:ind w:left="1080" w:right="220" w:hanging="424"/>
        <w:spacing w:after="0" w:line="311"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reviewing and approving the reimbursement by us of compensation paid by the Adviser or its affiliates pursuant to the terms of the investment advisory agreement entered into by and between the Company and the Adviser, as amended (the “Investment Advisory Agreement”) and the administration agreement entered into between us and the Adviser, as amended (the “Administration Agreement”);</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overseeing and setting compensation for our directors; and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800" w:firstLine="96"/>
        <w:spacing w:after="0" w:line="500" w:lineRule="auto"/>
        <w:tabs>
          <w:tab w:leader="none" w:pos="1092"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along with the Board, approving or renewing the Investment Advisory Agreement and Administration Agreement. See “—Compensation and Insider Participation—Compensation of Executive Officers.”</w:t>
      </w:r>
    </w:p>
    <w:p>
      <w:pPr>
        <w:spacing w:after="0" w:line="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members of the Compensation Committee are Messrs. Doddy (elected January 2019), Higginbotham, Ross, Ms. Slotkin (elected September</w:t>
      </w:r>
    </w:p>
    <w:p>
      <w:pPr>
        <w:spacing w:after="0" w:line="46" w:lineRule="exact"/>
        <w:rPr>
          <w:sz w:val="20"/>
          <w:szCs w:val="20"/>
          <w:color w:val="auto"/>
        </w:rPr>
      </w:pPr>
    </w:p>
    <w:p>
      <w:pPr>
        <w:ind w:left="120" w:right="560"/>
        <w:spacing w:after="0" w:line="260" w:lineRule="auto"/>
        <w:rPr>
          <w:sz w:val="20"/>
          <w:szCs w:val="20"/>
          <w:color w:val="auto"/>
        </w:rPr>
      </w:pPr>
      <w:r>
        <w:rPr>
          <w:rFonts w:ascii="Arial" w:cs="Arial" w:eastAsia="Arial" w:hAnsi="Arial"/>
          <w:sz w:val="18"/>
          <w:szCs w:val="18"/>
          <w:color w:val="auto"/>
        </w:rPr>
        <w:t>2019) and Mr. Tanemura, each of whom is independent for purposes of the NYSE corporate governance rules. Mr. Ross serves as Chairman. The Compensation Committee held one meeting in 2019 and acted on one occasion by written consent.</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Risk Management Committee</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Risk Management Committee operates pursuant to the Risk Management Committee Charter. The Risk Management Committee Charter sets forth the responsibilities of the Risk Management Committee. The Risk Management Committee is responsible for assisting the Board in its oversight of the Company’s overall risk tolerance and management of capital, liquidity, and fund planning and strategy. Risk assessment and risk management are the primary responsibility of the Company’s management. The Risk Management Committee’s responsibility is one of oversight and review, in furtherance of the Board’s oversight role.</w:t>
      </w:r>
    </w:p>
    <w:p>
      <w:pPr>
        <w:spacing w:after="0" w:line="18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voting members of the Risk Management Committee are Messrs. Easterly, Ross and Tanemura, and the non-voting members of the committee are Messrs. Simmonds and Pluss. Messrs. Ross and Tanemura are independent for purposes of the NYSE corporate governance rules. Mr. Easterly serves as Chairman. The Risk Management Committee held one meeting in 2019.</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Committee Charters</w:t>
      </w:r>
    </w:p>
    <w:p>
      <w:pPr>
        <w:spacing w:after="0" w:line="117"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We maintain a corporate governance section on our website, which contains copies of the charters for the committees of our Board. The corporate governance section may be found at http://www.tpgspecialtylending.com in the “Investor Resources” section of our website. The corporate governance section contains the following documents:</w:t>
      </w:r>
    </w:p>
    <w:p>
      <w:pPr>
        <w:spacing w:after="0" w:line="89"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Audit Committee Charter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Nominating and Corporate Governance Committee Charter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Compensation Committee Charter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 Management Committee Charter</w:t>
      </w:r>
    </w:p>
    <w:p>
      <w:pPr>
        <w:spacing w:after="0" w:line="225"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In addition, our SOX Code of Business Conduct and Ethics and our Corporate Governance Guidelines may be found at http://www.tpgspecialtylending.com in the “Investor Resources” section of our website. We intend to disclose any substantive amendments to or waivers of required provisions of the SOX Code of Business Conduct and Ethics on our website or on a current report on Form 8-K.</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Nominations</w:t>
      </w:r>
    </w:p>
    <w:p>
      <w:pPr>
        <w:spacing w:after="0" w:line="121"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Nomination for election as a director may be made by, or at the direction of, the Nominating and Corporate Governance Committee or by stockholders in compliance with the procedures set forth in our bylaws.</w:t>
      </w:r>
    </w:p>
    <w:p>
      <w:pPr>
        <w:spacing w:after="0" w:line="170" w:lineRule="exact"/>
        <w:rPr>
          <w:sz w:val="20"/>
          <w:szCs w:val="20"/>
          <w:color w:val="auto"/>
        </w:rPr>
      </w:pPr>
    </w:p>
    <w:p>
      <w:pPr>
        <w:jc w:val="both"/>
        <w:ind w:left="120" w:right="160" w:firstLine="440"/>
        <w:spacing w:after="0" w:line="279" w:lineRule="auto"/>
        <w:rPr>
          <w:sz w:val="20"/>
          <w:szCs w:val="20"/>
          <w:color w:val="auto"/>
        </w:rPr>
      </w:pPr>
      <w:r>
        <w:rPr>
          <w:rFonts w:ascii="Arial" w:cs="Arial" w:eastAsia="Arial" w:hAnsi="Arial"/>
          <w:sz w:val="17"/>
          <w:szCs w:val="17"/>
          <w:color w:val="auto"/>
        </w:rPr>
        <w:t>Our bylaws provide the procedures to be followed by a stockholder desiring to make a director nomination. For a stockholder to properly bring any item of business before a meeting of stockholders, including nominations to serve as a director, the stockholder must give timely notice thereof in writing to our Secretary in compliance with the requirements of our bylaws. Stockholder notices or nominations for director should be made in writing to the Secretary of the Company, Ken Burke, TPG Specialty Lending, Inc., 2100 McKinney Avenue, Suite 1500,</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Dallas, TX 75201. Please refer to the text of our bylaws (including Article II, paragraph (K)), which are on file with the SEC, and “Bylaw Requirements for Stockholder Submission of Nominations and Proposals” in this proxy statement for additional information.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evaluating director nominees, the Nominating and Corporate Governance Committee considers, among others, the following factors:</w:t>
      </w:r>
    </w:p>
    <w:p>
      <w:pPr>
        <w:spacing w:after="0" w:line="142"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appropriate size and composition of our Board;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or not the person is an “interested person” of TSLX as defined in Section 2(a)(19) of the 1940 Act;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needs of TSLX with respect to the particular talents and experience of its directors;</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knowledge, skills and experience of nominees in light of prevailing business conditions and the knowledge, skills and experience already possessed by other members of the Board;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character and integrity;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familiarity with national and international business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experience with accounting rules and practices;</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desire to balance the considerable benefit of continuity with the periodic injection of the fresh perspective provided by new members;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applicable laws, rules, regulations, and listing standards.</w:t>
      </w:r>
    </w:p>
    <w:p>
      <w:pPr>
        <w:spacing w:after="0" w:line="225"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Nominating and Corporate Governance Committee’s goal is to assemble a board that brings to TSLX a variety of perspectives and skills derived from high-quality business and professional experience.</w:t>
      </w:r>
    </w:p>
    <w:p>
      <w:pPr>
        <w:spacing w:after="0" w:line="170" w:lineRule="exact"/>
        <w:rPr>
          <w:sz w:val="20"/>
          <w:szCs w:val="20"/>
          <w:color w:val="auto"/>
        </w:rPr>
      </w:pPr>
    </w:p>
    <w:p>
      <w:pPr>
        <w:ind w:left="120" w:right="580" w:firstLine="440"/>
        <w:spacing w:after="0" w:line="263" w:lineRule="auto"/>
        <w:rPr>
          <w:sz w:val="20"/>
          <w:szCs w:val="20"/>
          <w:color w:val="auto"/>
        </w:rPr>
      </w:pPr>
      <w:r>
        <w:rPr>
          <w:rFonts w:ascii="Arial" w:cs="Arial" w:eastAsia="Arial" w:hAnsi="Arial"/>
          <w:sz w:val="18"/>
          <w:szCs w:val="18"/>
          <w:color w:val="auto"/>
        </w:rPr>
        <w:t>Other than the foregoing, there are no stated minimum criteria for director nominees, although the Nominating and Corporate Governance Committee may also consider other factors as they may deem are in the best interests of TSLX and its stockholders. The Board also believes it appropriate for certain key members of our management to participate as members of the Board.</w:t>
      </w:r>
    </w:p>
    <w:p>
      <w:pPr>
        <w:spacing w:after="0" w:line="18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Nominating and Corporate Governance Committee identifies nominees by first evaluating the current members of the Board willing to continue in service. Current members of the Board with skills and experience that are relevant to our business and who are willing to continue in service are considered for re-nomination. If any member of the Board does not wish to continue in service or if the Nominating and Corporate Governance Committee decides not to re-nominate a member for re-election, the Nominating and Corporate Governance Committee identifies the desired skills and experience of a new nominee in light of the criteria above. The members of the Board are polled for suggestions as to individuals meeting the aforementioned criteria. Research may also be performed to identify qualified individuals.</w:t>
      </w:r>
    </w:p>
    <w:p>
      <w:pPr>
        <w:spacing w:after="0" w:line="178"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Board has not adopted a formal policy with regard to the consideration of diversity in identifying director nominees. In determining whether to recommend a director nominee, the Nominating and Corporate Governance Committee considers and discusses diversity, among other factors, with a view toward the needs of the Board as a whole. The Board generally conceptualizes diversity expansively to include, without limitation, concepts such as race, gender, national origin, differences of viewpoint, professional experience, education, skill and other qualities that contribute to the Board when identifying and recommending director nominees. The Board believes that the inclusion of diversity as one of many factors considered in selecting director nominees is consistent with the Board’s goal of creating a Board that best serves the needs of TSLX and the interests of our stockholders.</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Code of Ethics</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We have adopted a SOX Code of Business Conduct and Ethics which applies to, among others, our executive officers, including our Principal Executive Officers and Principal Financial Officer, as well as every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80"/>
          </w:cols>
          <w:pgMar w:left="320" w:top="459"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officer, director and employee of the Company. There have been no material changes to our corporate code of ethics or material waivers of the code that apply to our Chief Executive Officers or Chief Financial Officer. Our SOX Code of Business Conduct and Ethics can be accessed on our website at http://www.tpgspecialtylending.com.</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Involvement in Certain Legal Proceedings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Election of Officers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Board elects our officers and our officers serve until their resignation or termination or until their successors are duly elected and qualified.</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and Insider Participation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Compensation of Independent Directors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pay each Independent Director the following amounts for serving as a director:</w:t>
      </w:r>
    </w:p>
    <w:p>
      <w:pPr>
        <w:spacing w:after="0" w:line="131"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$110,000 annual retainer (which was $105,000 prior to 2020);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$2,500 for each meeting of the Board attended;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$1,500 for each monthly telephonic update meeting attended;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$1,000 for each committee meeting of ours attended;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 additional fee of $10,000 per year for the chairman of the Audit Committee and the Nominating and Corporate Governance Committee.</w:t>
      </w:r>
    </w:p>
    <w:p>
      <w:pPr>
        <w:spacing w:after="0" w:line="24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During the year ended December 31, 2019, we also reimbursed directors for certain out-of-pocket expenses each Independent Director incurred in connection with the fulfillment of his duties as an Independent Director.</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following table sets forth information concerning total compensation earned by or paid to each of our Independent Directors during the fiscal year ended December 31, 2019:</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Fees Earned or</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9"/>
              </w:rPr>
              <w:t>Paid in Cash</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Hurley Doddy</w:t>
            </w:r>
            <w:r>
              <w:rPr>
                <w:rFonts w:ascii="Arial" w:cs="Arial" w:eastAsia="Arial" w:hAnsi="Arial"/>
                <w:sz w:val="15"/>
                <w:szCs w:val="15"/>
                <w:color w:val="auto"/>
              </w:rPr>
              <w:t>(1)</w:t>
            </w:r>
          </w:p>
        </w:tc>
        <w:tc>
          <w:tcPr>
            <w:tcW w:w="2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132,500</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132,500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Richard Higginbotham</w:t>
            </w:r>
          </w:p>
        </w:tc>
        <w:tc>
          <w:tcPr>
            <w:tcW w:w="2380" w:type="dxa"/>
            <w:vAlign w:val="bottom"/>
            <w:gridSpan w:val="2"/>
          </w:tcPr>
          <w:p>
            <w:pPr>
              <w:ind w:left="2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146,500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146,500</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John Ross</w:t>
            </w:r>
          </w:p>
        </w:tc>
        <w:tc>
          <w:tcPr>
            <w:tcW w:w="238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146,500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146,500</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Judy Slotkin</w:t>
            </w:r>
            <w:r>
              <w:rPr>
                <w:rFonts w:ascii="Arial" w:cs="Arial" w:eastAsia="Arial" w:hAnsi="Arial"/>
                <w:sz w:val="15"/>
                <w:szCs w:val="15"/>
                <w:color w:val="auto"/>
              </w:rPr>
              <w:t>(2)</w:t>
            </w:r>
          </w:p>
        </w:tc>
        <w:tc>
          <w:tcPr>
            <w:tcW w:w="2380" w:type="dxa"/>
            <w:vAlign w:val="bottom"/>
            <w:gridSpan w:val="2"/>
          </w:tcPr>
          <w:p>
            <w:pPr>
              <w:ind w:left="2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33,250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33,250</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Ronald Tanemura</w:t>
            </w:r>
          </w:p>
        </w:tc>
        <w:tc>
          <w:tcPr>
            <w:tcW w:w="238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136,500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136,500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Doddy was elected a director of TSLX in January 2019.</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Ms. Slotkin was elected a director of TSLX in September 2019.</w:t>
      </w:r>
    </w:p>
    <w:p>
      <w:pPr>
        <w:spacing w:after="0" w:line="318"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Compensation of Executive Officers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do not currently have any employees and do not expect to have any employees. Services necessary for our business are provided by individuals who are employees of the Adviser or its affiliates or by subcontractors, pursuant to the terms of the Investment Advisory Agreement and the Administration Agreement. Each of our executive officers is an employee of the Adviser or its affiliates. Our day-to-day investment operations are managed by the Adviser. Most of the services necessary for the origination and administration of our investment portfolio are provided by investment professionals employed by the Adviser or its affiliates or by subcontractors.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59"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None of our executive officers receives direct compensation from us. We reimburse the Adviser or its affiliates for an allocable portion of the compensation paid by the Adviser or its affiliates to our Chief Compliance Officer, Chief Financial Officer, and other professionals who provide operational and administrative services to us pursuant to the Administration Agreement (based on the percentage of time those individuals devote, on an estimated basis, to our business and affairs). Certain of our executive officers and other members of our Investment Team, through their ownership interest in or management positions with the Adviser or its affiliates, are entitled to a portion of any profits earned by the Adviser, which includes any fees payable to the Adviser under the terms of our Investment Advisory Agreement, less expenses incurred by the Adviser in performing its services under our Investment Advisory Agreement. The Adviser or its affiliates may pay additional salaries, bonuses, and individual performance awards or individual performance bonuses to our executive officers in addition to their ownership interest.</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Policy on Hedging and Speculative Transactions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consider it improper and inappropriate for our directors and officers, as well as employees of the Adviser, to engage in short-term or speculative transactions in our securities. Pursuant to the insider trading policy applicable to our directors and officers and employees of the Adviser, all trades in our securities by such parties must be pre-cleared with Sixth Street Legal and Compliance. The insider trading policy prohibits those directors, officers and employees from engaging in certain transactions that can allow the offset of downside risk associated with investment in our securities. This prohibition applies to short sales and transactions in publicly traded options, such as puts, calls or other derivative securities. We strongly discourage, but do not prohibit, those directors, officers, and employees from engaging in other types of hedging transactions, such as exchange funds. Any such proposed transaction must be approved by Sixth Street Legal and Compliance. Our directors and officers and employees of the Adviser may not hold our securities in a margin account or pledge our securities as collateral for a loan or other transaction. Exceptions may be granted by Sixth Street Legal and Compliance in certain situations, including if our securities are pledged as collateral for a loan and the person clearly demonstrates the financial capacity to repay the loan without resort to the pledged securities.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TSL Advisers, LLC is our external manager. Our Adviser is a Delaware limited liability company. Our Adviser acts as our investment adviser and administrator, and is a registered investment adviser with the SEC under the Investment Advisers Act of 1940, as amended, or the Advisers Act. Our Adviser sources and manages our portfolio through a dedicated team of investment professionals predominately focused on us, which we refer to as our Investment Team.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an investment review committee (the “Investment Review Committee”), which includes senior personnel of our Adviser and Sixth Street. The members of the Investment Review Committee are Joshua Easterly, Michael Fishman, Alan Waxman and David Stiepleman.</w:t>
      </w:r>
    </w:p>
    <w:p>
      <w:pPr>
        <w:spacing w:after="0" w:line="192"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Sixth Street is a global multi-asset class investment business with over $34 billion in assets under management as of December 31, 2019. Sixth Street operates eight diversified, collaborative investment platforms across its growth investing, direct lending, par liquid credit, fundamental public strategies, infrastructure, agriculture, opportunities and adjacencies businesses. Sixth Street’s long-term oriented, highly flexible capital base and “One Team” cultural philosophy allow it to invest thematically across sectors, geographies and asset classes. Founded in 2009, Sixth Street has more than 275 team members including over 140 investment professionals operating from nine locations around the world. As of December 31, 2019, thirty four (34) of these personnel are dedicated to our business, including twenty six (26) investment professionals.</w:t>
      </w:r>
    </w:p>
    <w:p>
      <w:pPr>
        <w:spacing w:after="0" w:line="17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Our Adviser consults with Sixth Street in connection with a substantial number of our investments. The Sixth Street platform provides us with the breadth of large and scalable investment resources. We believe we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Adviser’s address is 2100 McKinney Avenue, Suite 1500, Dallas, TX 75201.</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Transactions with Related Persons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Relationship with Sixth Street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investment activities are managed by our Adviser, which is responsible for sourcing, researching and structuring potential investments,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monitoring our portfolio companies and providing operating, managerial and administrative assistance to us and to our portfolio companies as required.</w:t>
      </w:r>
    </w:p>
    <w:p>
      <w:pPr>
        <w:spacing w:after="0" w:line="234" w:lineRule="exact"/>
        <w:rPr>
          <w:sz w:val="20"/>
          <w:szCs w:val="20"/>
          <w:color w:val="auto"/>
        </w:rPr>
      </w:pPr>
    </w:p>
    <w:p>
      <w:pPr>
        <w:jc w:val="both"/>
        <w:ind w:left="120" w:right="140" w:firstLine="440"/>
        <w:spacing w:after="0" w:line="301" w:lineRule="auto"/>
        <w:rPr>
          <w:sz w:val="20"/>
          <w:szCs w:val="20"/>
          <w:color w:val="auto"/>
        </w:rPr>
      </w:pPr>
      <w:r>
        <w:rPr>
          <w:rFonts w:ascii="Arial" w:cs="Arial" w:eastAsia="Arial" w:hAnsi="Arial"/>
          <w:sz w:val="16"/>
          <w:szCs w:val="16"/>
          <w:color w:val="auto"/>
        </w:rPr>
        <w:t>The Adviser is registered under the Advisers Act and is an affiliate of Sixth Street. Other affiliates of Sixth Street are also registered investment advisers and provide investment advisory services to a number of private investment funds. In addition, Sixth Street and its affiliates engage in a broad range of other investment activities, including pursuing investments for their own account and for the account of associated funds and providing other services to these funds and their portfolio companies. The Adviser held 2,716,977 shares, or 4.1%, of our common stock as of March 30, 2020.</w:t>
      </w:r>
    </w:p>
    <w:p>
      <w:pPr>
        <w:spacing w:after="0" w:line="15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We believe we benefit from the Adviser’s relationships with Sixth Street. The Adviser has access to the contacts and industry knowledge of Sixth Street’s investment professionals, and is also able to consult with Sixth Street investment professionals on specific industry issues, trends and other matters to complement our investment process. However, the Adviser and members of the Investment Review Committee are expected to face a number of actual and potential conflicts of interest involving us, Sixth Street and other private investment funds affiliated with Sixth Street, including conflicts in the allocation of investment opportunities among us and other Sixth Street vehicles, as well as in their time and attention requirements as to these other vehicles. Additionally, various potential and actual conflicts of interest may arise from the overall advisory, investment and other activities of the Adviser, its affiliates, including Sixth Street and its clients.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Allocations of Loan Origination Investment Opportunities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Certain members of the Adviser’s senior management and the Investment Review Committee are and will continue to be active in other investment funds affiliated with Sixth Street that pursue investment opportunities that could overlap with those pursued by us. However, the Adviser and its affiliates intend to allocate investment opportunities in a fair and equitable manner in accordance with their allocation principles. In particular, Sixth Street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determine an appropriate size for our investment.</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Exemptive Order</w:t>
      </w:r>
    </w:p>
    <w:p>
      <w:pPr>
        <w:spacing w:after="0" w:line="11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including our officers, directors, investment adviser, and principal underwriters, and certain of their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affiliates, without the prior approval of the members of our Board who are not interested persons and, in some cases, prior approval by the SEC through an exemptive order (other than in certain limited situations pursuant to current regulatory guidance).</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for us to invest, with affiliates of Sixth Street in middle-market loan origination activities for companies domiciled in the United States and certain “follow-on” investments in companies in which we have already co-invested pursuant to the order and remain invested. On January 16, 2020, we filed a further application for co-investment exemptive relief with the SEC to better align our existing co-investment relief with more recent SEC exemptive orders. There can be no assurance when or if the SEC will grant a further order in response to our application. Until such time a new order is granted, we will continue to operate under the terms of our current exemptive order.</w:t>
      </w:r>
    </w:p>
    <w:p>
      <w:pPr>
        <w:spacing w:after="0" w:line="195"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71"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Further, in accordance with the exemptive order, we have undertaken that, in connection with any commitment to a co-investment or follow-on investment, a “required majority” (as defined in Section 57(o) of the 1940 Act) of Independent Directors must make certain conclusions, including that:</w:t>
      </w:r>
    </w:p>
    <w:p>
      <w:pPr>
        <w:spacing w:after="0" w:line="29" w:lineRule="exact"/>
        <w:rPr>
          <w:sz w:val="20"/>
          <w:szCs w:val="20"/>
          <w:color w:val="auto"/>
        </w:rPr>
      </w:pPr>
    </w:p>
    <w:p>
      <w:pPr>
        <w:ind w:left="1080" w:right="8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of the proposed transaction (including the consideration to be paid) are reasonable and fair to us and our stockholders and do not involve overreaching of us or our stockholders on the part of any person concerned;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transaction is consistent with the interests of our stockholders and our investment strategies and policies;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investment by our affiliate would not disadvantage us, and our participation is not on a basis different from or less advantageous than that of our affiliate;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investment will not benefit any affiliate other than the affiliate participating in the investment, and as otherwise permitted by the order.</w:t>
      </w:r>
    </w:p>
    <w:p>
      <w:pPr>
        <w:spacing w:after="0" w:line="35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Allocation of Non-Loan Origination Investment Opportunities</w:t>
      </w:r>
    </w:p>
    <w:p>
      <w:pPr>
        <w:spacing w:after="0" w:line="117" w:lineRule="exact"/>
        <w:rPr>
          <w:sz w:val="20"/>
          <w:szCs w:val="20"/>
          <w:color w:val="auto"/>
        </w:rPr>
      </w:pPr>
    </w:p>
    <w:p>
      <w:pPr>
        <w:ind w:left="120" w:right="340" w:firstLine="440"/>
        <w:spacing w:after="0" w:line="286" w:lineRule="auto"/>
        <w:rPr>
          <w:sz w:val="20"/>
          <w:szCs w:val="20"/>
          <w:color w:val="auto"/>
        </w:rPr>
      </w:pPr>
      <w:r>
        <w:rPr>
          <w:rFonts w:ascii="Arial" w:cs="Arial" w:eastAsia="Arial" w:hAnsi="Arial"/>
          <w:sz w:val="16"/>
          <w:szCs w:val="16"/>
          <w:color w:val="auto"/>
        </w:rPr>
        <w:t>While we seek to generate current income primarily in U.S.-domiciled middle-market companies through direct originations of senior secured loans, we may also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w:t>
      </w:r>
    </w:p>
    <w:p>
      <w:pPr>
        <w:spacing w:after="0" w:line="1"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$250 million or more, certain high yield bonds and other instruments or assets (including consumer and commercial loans). Many of these opportunities may be required to be offered to, or may be otherwise suitable for, other Sixth Street funds and investment vehicles. In the event that Sixth Street is not required to, and otherwise determines not to, direct these investment opportunities to an affiliated fund, we may be permitted to take them. The decision to allocate an opportunity as between us and other Sixth Street vehicles will take into account various factors that Sixth Street and our Adviser deem appropriate.</w:t>
      </w:r>
    </w:p>
    <w:p>
      <w:pPr>
        <w:spacing w:after="0" w:line="19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Our ability to pursue investment opportunities other than those for middle-market loan originations for companies domiciled in the United States is subject to the allocation decisions by Sixth Street senior professionals. Such non-loan origination opportunities may be required to be offered to, or may be otherwise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suitable for, other Sixth Street funds or investment vehicles. As a result, the Adviser and its affiliates may face conflicts in allocating investment opportunities between us and those other entities. It is possible that we may not be given the opportunity to participate in certain investments made by Sixth Street vehicles that would otherwise be suitable for us. For example, Sixth Street has organized a separate investment vehicle, Sixth Street Specialty Lending Europe (formerly known as TSL Europe), aimed specifically at European middle-market loan originations and may in the future organize vehicles aimed at other loan origination opportunities outside our primary focus.</w:t>
      </w:r>
    </w:p>
    <w:p>
      <w:pPr>
        <w:spacing w:after="0" w:line="176"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If the Adviser were to determine that an investment that is not a middle-market loan origination for a company domiciled in the United States is appropriate both for us and for one or more other Sixth Street vehicles, we would only be able to make the investment in conjunction with another such vehicle to the extent the exemptive order granted to us by the SEC permits us to do so or the investment is otherwise permitted under relevant SEC guidance.</w:t>
      </w:r>
    </w:p>
    <w:p>
      <w:pPr>
        <w:spacing w:after="0" w:line="187"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The Adviser believes this allocation system is fair and equitable, and consistent with its fiduciary duty to us. In particular, we have disclosed to investors that Sixth Street will refer to us all middle-market loan origination activities for companies domiciled in the United States. In addition, we have disclosed how allocation determinations are made among Sixth Street vehicles in connection with other opportunities, including those circumstances in which the Adviser may be required to offer them to these affiliated vehicles.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Administrator</w:t>
      </w:r>
    </w:p>
    <w:p>
      <w:pPr>
        <w:spacing w:after="0" w:line="11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The Adviser also serves as our administrator. The administrator, on behalf of us and at our expense, may retain one or more service providers that may also be affiliates of Sixth Street to serve as sub-administrator, custodian, accounting agent, investor services agent, transfer agent or other service provider for us. Any fees we pay, or indemnification obligations we undertake, in respect of the administrator and those other service providers that are Sixth Street affiliates, will be set at arm’s length and approved by the Independent Directors.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Fees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the course of our investing activities, we pay fees to the Adviser, incur direct expenses and reimburse the Adviser for certain expenses it incurs.</w:t>
      </w:r>
    </w:p>
    <w:p>
      <w:pPr>
        <w:spacing w:after="0" w:line="35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Certain Business Relationships</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Certain of our current directors and officers are directors or officers of the Adviser or its affiliates. See “Proposal No. 1 Election of Directors – Biographical Information.”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Indebtedness of Management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Investment Advisory Agreement; Administration Agreement; License Agreement</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On April 15, 2011, we entered into the Investment Advisory Agreement with our Adviser. The Investment Advisory Agreement was subsequently amended on December 12, 2011.</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the Investment Advisory Agreement, the Adviser:</w:t>
      </w:r>
    </w:p>
    <w:p>
      <w:pPr>
        <w:spacing w:after="0" w:line="131" w:lineRule="exact"/>
        <w:rPr>
          <w:sz w:val="20"/>
          <w:szCs w:val="20"/>
          <w:color w:val="auto"/>
        </w:rPr>
      </w:pPr>
    </w:p>
    <w:p>
      <w:pPr>
        <w:ind w:left="1080" w:right="1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determines the composition of our portfolio, the nature and timing of the changes to our portfolio and the manner of implementing those changes;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80"/>
          </w:cols>
          <w:pgMar w:left="320" w:top="459" w:right="4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determines the assets we will originate, purchase, retain or sell;</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closes, monitors and administers the investments we make, including the exercise of any rights in our capacity as a lender or equity holder; and</w:t>
      </w:r>
    </w:p>
    <w:p>
      <w:pPr>
        <w:spacing w:after="0" w:line="75" w:lineRule="exact"/>
        <w:rPr>
          <w:rFonts w:ascii="Arial" w:cs="Arial" w:eastAsia="Arial" w:hAnsi="Arial"/>
          <w:sz w:val="18"/>
          <w:szCs w:val="18"/>
          <w:color w:val="auto"/>
        </w:rPr>
      </w:pPr>
    </w:p>
    <w:p>
      <w:pPr>
        <w:ind w:left="1080" w:right="20" w:hanging="424"/>
        <w:spacing w:after="0" w:line="308" w:lineRule="auto"/>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46"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Adviser’s services under the Investment Advisory Agreement are not exclusive, and the Adviser is free to furnish similar or other services to others so long as its services to us are not impaired.</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Under the terms of the Investment Advisory Agreement, we pay the Adviser a base management fee, or the “Management Fee,” and may also pay certain incentive fees, or “Incentive Fees”.</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Management Fee is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w:t>
      </w:r>
    </w:p>
    <w:p>
      <w:pPr>
        <w:spacing w:after="0" w:line="184"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For the year ended December 31, 2019, Management Fees were $30.1 million. The Adviser did not waive any Management Fees for the year ended December 31, 2019.</w:t>
      </w:r>
    </w:p>
    <w:p>
      <w:pPr>
        <w:spacing w:after="0" w:line="170"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 As of December 31, 2019, no Management Fees have been waived pursuant to the Leverage Waiver.</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Incentive Fee consists of two parts, as follows:</w:t>
      </w:r>
    </w:p>
    <w:p>
      <w:pPr>
        <w:spacing w:after="0" w:line="131" w:lineRule="exact"/>
        <w:rPr>
          <w:sz w:val="20"/>
          <w:szCs w:val="20"/>
          <w:color w:val="auto"/>
        </w:rPr>
      </w:pPr>
    </w:p>
    <w:p>
      <w:pPr>
        <w:ind w:left="1080" w:right="20" w:hanging="532"/>
        <w:spacing w:after="0" w:line="271" w:lineRule="auto"/>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70" w:lineRule="exact"/>
        <w:rPr>
          <w:rFonts w:ascii="Arial" w:cs="Arial" w:eastAsia="Arial" w:hAnsi="Arial"/>
          <w:sz w:val="17"/>
          <w:szCs w:val="17"/>
          <w:color w:val="auto"/>
        </w:rPr>
      </w:pPr>
    </w:p>
    <w:p>
      <w:pPr>
        <w:ind w:left="1100" w:right="140"/>
        <w:spacing w:after="0" w:line="275" w:lineRule="auto"/>
        <w:rPr>
          <w:rFonts w:ascii="Arial" w:cs="Arial" w:eastAsia="Arial" w:hAnsi="Arial"/>
          <w:sz w:val="17"/>
          <w:szCs w:val="17"/>
          <w:color w:val="auto"/>
        </w:rPr>
      </w:pPr>
      <w:r>
        <w:rPr>
          <w:rFonts w:ascii="Arial" w:cs="Arial" w:eastAsia="Arial" w:hAnsi="Arial"/>
          <w:sz w:val="17"/>
          <w:szCs w:val="17"/>
          <w:color w:val="auto"/>
        </w:rPr>
        <w:t>Pre-Incentive Fee net investment income means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20"/>
        <w:spacing w:after="0" w:line="277" w:lineRule="auto"/>
        <w:rPr>
          <w:sz w:val="20"/>
          <w:szCs w:val="20"/>
          <w:color w:val="auto"/>
        </w:rPr>
      </w:pPr>
      <w:r>
        <w:rPr>
          <w:rFonts w:ascii="Arial" w:cs="Arial" w:eastAsia="Arial" w:hAnsi="Arial"/>
          <w:sz w:val="18"/>
          <w:szCs w:val="18"/>
          <w:color w:val="auto"/>
        </w:rPr>
        <w:t>coupon securities), accrued income that we may not have received in cash. Pre-Incentive Fee net investment income does not include any realized capital gains, realized capital losses or unrealized capital gain or loss.</w:t>
      </w:r>
    </w:p>
    <w:p>
      <w:pPr>
        <w:spacing w:after="0" w:line="76" w:lineRule="exact"/>
        <w:rPr>
          <w:sz w:val="20"/>
          <w:szCs w:val="20"/>
          <w:color w:val="auto"/>
        </w:rPr>
      </w:pPr>
    </w:p>
    <w:p>
      <w:pPr>
        <w:ind w:left="1080" w:hanging="532"/>
        <w:spacing w:after="0" w:line="289"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equaled 15% through March 31, 2014 and, beginning April 1, 2014, equals a weighted percentage of cumulative realized capital gains from our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We accrue, but do not pay, a capital gains Incentive Fee with respect to unrealized capital gains because a capital gains Incentive Fee would be owed to the Adviser if we were to sell the relevant investment and realize a capital gain. The weighted percentage is intended to ensure that for each fiscal year following the completion of the IPO, the portion of our realized capital gains that accrued prior to March 31, 2014, is subject to an Incentive Fee rate of 15% and the portion of our realized capital gains that accrued beginning April 1, 2014 is subject to an Incentive Fee rate of 17.5%.</w:t>
      </w:r>
    </w:p>
    <w:p>
      <w:pPr>
        <w:spacing w:after="0" w:line="166"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146" w:lineRule="exact"/>
        <w:rPr>
          <w:sz w:val="20"/>
          <w:szCs w:val="20"/>
          <w:color w:val="auto"/>
        </w:rPr>
      </w:pPr>
    </w:p>
    <w:p>
      <w:pPr>
        <w:ind w:left="120" w:right="180" w:firstLine="440"/>
        <w:spacing w:after="0" w:line="290" w:lineRule="auto"/>
        <w:rPr>
          <w:sz w:val="20"/>
          <w:szCs w:val="20"/>
          <w:color w:val="auto"/>
        </w:rPr>
      </w:pPr>
      <w:r>
        <w:rPr>
          <w:rFonts w:ascii="Arial" w:cs="Arial" w:eastAsia="Arial" w:hAnsi="Arial"/>
          <w:sz w:val="16"/>
          <w:szCs w:val="16"/>
          <w:color w:val="auto"/>
        </w:rPr>
        <w:t>Pre-Incentive Fee net investment income does not include any realized capital gains, realized capital losses or unrealized capital gains or losses.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6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Section 205(b)(3) of the Advisers Act, as amended, prohibits the Adviser from receiving the payment of fees on unrealized gains until those gains are realized, if ever. There can be no assurance that such unrealized gains will be realized in the future. For the year ended December 31, 2019, Incentive Fees were $27.2 million, all of which was realized and payable to the Adviser.</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Adviser did not waive any Incentive Fees for the year ended December 31, 2019.</w:t>
      </w:r>
    </w:p>
    <w:p>
      <w:pPr>
        <w:spacing w:after="0" w:line="225"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Since our IPO, with the exception of its waiver of Management Fees and certain Incentive Fees attributable to our ownership of certain securities, the Adviser has not waived its right to receive any Management Fees or Incentive Fees payable pursuant to the Investment Advisory Agreement.</w:t>
      </w:r>
    </w:p>
    <w:p>
      <w:pPr>
        <w:spacing w:after="0" w:line="12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November 2019, the Board renewed the Investment Advisory Agreement. Unless earlier terminated as described below, the Investment Advisory Agreement will remain in effect until November 2020, and may be extended subject to required approvals. The Investment Advisory Agreement will automatically terminate in the event of an assignment and may be terminated by either party without penalty on 60 days’ written notice to the other party.</w:t>
      </w:r>
    </w:p>
    <w:p>
      <w:pPr>
        <w:spacing w:after="0" w:line="18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Our Board monitors the mix and performance of our investments over time and seeks to satisfy itself that the Adviser is acting in our interests and that our fee structure appropriately incentivizes the Adviser to do so.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On March 15, 2011, we entered into the Administration Agreement with our Adviser. Under the terms of the Administration Agreement, the Adviser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See “—</w:t>
      </w:r>
      <w:r>
        <w:rPr>
          <w:rFonts w:ascii="Arial" w:cs="Arial" w:eastAsia="Arial" w:hAnsi="Arial"/>
          <w:sz w:val="18"/>
          <w:szCs w:val="18"/>
          <w:i w:val="1"/>
          <w:iCs w:val="1"/>
          <w:color w:val="auto"/>
        </w:rPr>
        <w:t>Payment of Our Expenses</w:t>
      </w:r>
      <w:r>
        <w:rPr>
          <w:rFonts w:ascii="Arial" w:cs="Arial" w:eastAsia="Arial" w:hAnsi="Arial"/>
          <w:sz w:val="18"/>
          <w:szCs w:val="18"/>
          <w:color w:val="auto"/>
        </w:rPr>
        <w:t>” below. In addition, the Adviser is permitted to delegate its duties under the Administration Agreement to affiliates or third parties and we pay or reimburse the Adviser expenses incurred by any such affiliates or third parties for work done on our behalf. For the year ended December 31, 2019, we incurred expenses of $4.2 million for administrative services payable under the terms of the Administration Agreement.</w:t>
      </w:r>
    </w:p>
    <w:p>
      <w:pPr>
        <w:spacing w:after="0" w:line="192"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From time to time, the Adviser may pay amounts owed by us to third-party providers of goods or services, including the Board, and we will subsequently reimburse the Adviser for such amounts paid on our behalf. Amounts payable to the Adviser are settled in the normal course of business without formal payment terms.</w:t>
      </w:r>
    </w:p>
    <w:p>
      <w:pPr>
        <w:spacing w:after="0" w:line="184"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In November 2019, the Board renewed the Administration Agreement. Unless earlier terminated as described below, the Administration Agreement will remain in effect until November 2020, and may be extended subject to required approvals. The Administration Agreement may be terminated by either party without penalty on 60 days’ written notice to the other party.</w:t>
      </w:r>
    </w:p>
    <w:p>
      <w:pPr>
        <w:spacing w:after="0" w:line="184"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No person who is an officer, director or employee of the Adviser or its affiliates and who serves as our director receives any compensation from us for his or her services as a director. However, we reimburse the Adviser or its affiliates for an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Directors who are not affiliated with the Adviser receive compensation for their services and reimbursement of expenses incurred to attend meetings.</w:t>
      </w:r>
    </w:p>
    <w:p>
      <w:pPr>
        <w:spacing w:after="0" w:line="176"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Adviser does not assume any responsibility to us other than to render the services described in, and on the terms of the Investment Advisory Agreement and the Administration Agreement, and is not responsible for any action of our Board in declining to follow the advice or recommendations of the Adviser. Under the terms of the Investment Advisory Agreement and the Administration Agreement,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of the Adviser or any other person or entity affiliated with the Adviser, or is or was a member of the Adviser’s Investment Review Committee, on the same general terms set forth in Article VIII of our certificate of incorporation.</w:t>
      </w:r>
    </w:p>
    <w:p>
      <w:pPr>
        <w:spacing w:after="0" w:line="168"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184"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also have a license agreement with an affiliate of TPG to use the TPG name and logo, royalty free, for an agreed upon period of time. Other than with respect to this limited license, we have no legal right to use the TPG name as a trademark.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Payment of Our Expenses</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costs associated with the Investment Team and staff of the Adviser, when and to the extent engaged in providing us investment advisory and management services are paid for by the Adviser. We bear all other costs and expenses of our operations, administration and transactions, including those relating to:</w:t>
      </w:r>
    </w:p>
    <w:p>
      <w:pPr>
        <w:spacing w:after="0" w:line="89"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calculating individual asset values and our net asset value (including the cost and expenses of any independent valuation firms);</w:t>
      </w:r>
    </w:p>
    <w:p>
      <w:pPr>
        <w:spacing w:after="0" w:line="142"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Adviser’s allocable share of costs incurred in providing significant managerial assistance to those portfolio companies that request it;</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taxes;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30" w:lineRule="exact"/>
        <w:rPr>
          <w:rFonts w:ascii="Arial" w:cs="Arial" w:eastAsia="Arial" w:hAnsi="Arial"/>
          <w:sz w:val="18"/>
          <w:szCs w:val="18"/>
          <w:color w:val="auto"/>
        </w:rPr>
      </w:pPr>
    </w:p>
    <w:p>
      <w:pPr>
        <w:ind w:left="1080" w:right="120" w:hanging="424"/>
        <w:spacing w:after="0" w:line="25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w:t>
      </w:r>
    </w:p>
    <w:p>
      <w:pPr>
        <w:spacing w:after="0" w:line="93"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In addition, from time to time, the Adviser pays amounts owed by us to third-party providers of goods or services, including the Board. We subsequently reimburse the Adviser for those amounts paid on our behalf.</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80"/>
          </w:cols>
          <w:pgMar w:left="320" w:top="459"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Amounts payable to the Adviser are settled in the normal course of business without formal payment terms. We also reimburse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our Chief Compliance Officer, Chief Financial Officer, and other professionals who spend time on those related activities, including individuals who provide “back office” or “middle office” financial, operational, legal and/or compliance services to us. We reimburse the Adviser (or its affiliates) for the allocable portion of the compensation paid by the Adviser (or its affiliates) to such individuals based on the percentage of time such individuals devote, on an estimated basis, to our business and affairs and in acting on behalf of the Company. We may also reimburse the Adviser or its affiliates for the allocable portion of overhead expenses (including rent, office equipment and utilities) attributable thereto.</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Duration and Termination</w:t>
      </w:r>
    </w:p>
    <w:p>
      <w:pPr>
        <w:spacing w:after="0" w:line="11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Unless earlier terminated as described below, both the Investment Advisory Agreement and the Administration Agreement will remain in effect until November 2020, and each may be extended subject to required approvals. Each agreement will remain in effect from year to year thereafter if approved annually by our Board or by the affirmative vote of the holders of a majority of our outstanding voting securities, and, in either case, if also approved by a majority of our Independent Directors. The Investment Advisory Agreement automatically terminates in the event of its assignment, as defined in the 1940 Act, by the Adviser. Each agreement may be terminated by either party without penalty on 60 days’ written notice to the other party. The holders of a majority of our outstanding voting securities may also terminate each agreement without penalty on 60 days’ written notice.</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Indemnification</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certificate of incorporation.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Board Approval of the Investment Advisory Agreement</w:t>
      </w:r>
    </w:p>
    <w:p>
      <w:pPr>
        <w:spacing w:after="0" w:line="117" w:lineRule="exact"/>
        <w:rPr>
          <w:sz w:val="20"/>
          <w:szCs w:val="20"/>
          <w:color w:val="auto"/>
        </w:rPr>
      </w:pPr>
    </w:p>
    <w:p>
      <w:pPr>
        <w:ind w:left="120" w:right="500" w:firstLine="440"/>
        <w:spacing w:after="0" w:line="263" w:lineRule="auto"/>
        <w:rPr>
          <w:sz w:val="20"/>
          <w:szCs w:val="20"/>
          <w:color w:val="auto"/>
        </w:rPr>
      </w:pPr>
      <w:r>
        <w:rPr>
          <w:rFonts w:ascii="Arial" w:cs="Arial" w:eastAsia="Arial" w:hAnsi="Arial"/>
          <w:sz w:val="18"/>
          <w:szCs w:val="18"/>
          <w:color w:val="auto"/>
        </w:rPr>
        <w:t>Our Board, including our Independent Directors, and holders of a majority of our outstanding securities, approved our Investment Advisory Agreement in December 2011. Our Board, including a majority of the Independent Directors, renewed the Investment Advisory Agreement in November 2019. A discussion regarding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basis for our Board’s approval and renewal of the Investment Advisory Agreement is available in our Annual Report on Form 10-K for the fiscal year ended December 31, 2019.</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Review, Approval or Ratification of Transactions with Related Persons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Audit Committee is required to review and approve any transactions with related persons (as such term is defined in Item 404 of Regulation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S-K).</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0"/>
          </w:cols>
          <w:pgMar w:left="320" w:top="459" w:right="6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NO. 2</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21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Audit Committee has selected KPMG LLP to serve as our independent registered public accounting firm to audit our consolidated financial statements for the year ending December 31, 2020. While the Audit Committee is responsible for the appointment, compensation, retention, termination and oversight of the independent auditor, we are requesting, as a matter of good corporate governance, that the stockholders ratify the appointment of KPMG LLP as the Company’s independent registered public accounting firm. If the stockholders fail to ratify the selection, the Audit Committee will reconsider whether to retain KPMG LLP and may retain that firm or another without re-submitting the matter to our stockholders. Even if the appointment is ratified, the Audit Committee may, in its discretion, direct the appointment of a different independent registered public accounting firm at any time during the year.</w:t>
      </w:r>
    </w:p>
    <w:p>
      <w:pPr>
        <w:spacing w:after="0" w:line="19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KPMG LLP’s representatives are expected to be available telephonically for the Meeting and will have an opportunity to make a statement, if they so desire, as well as to respond to appropriate questions asked by our stockholders.</w:t>
      </w:r>
    </w:p>
    <w:p>
      <w:pPr>
        <w:spacing w:after="0" w:line="166" w:lineRule="exact"/>
        <w:rPr>
          <w:sz w:val="20"/>
          <w:szCs w:val="20"/>
          <w:color w:val="auto"/>
        </w:rPr>
      </w:pPr>
    </w:p>
    <w:p>
      <w:pPr>
        <w:ind w:left="120" w:right="20"/>
        <w:spacing w:after="0" w:line="282" w:lineRule="auto"/>
        <w:rPr>
          <w:sz w:val="20"/>
          <w:szCs w:val="20"/>
          <w:color w:val="auto"/>
        </w:rPr>
      </w:pPr>
      <w:r>
        <w:rPr>
          <w:rFonts w:ascii="Arial" w:cs="Arial" w:eastAsia="Arial" w:hAnsi="Arial"/>
          <w:sz w:val="18"/>
          <w:szCs w:val="18"/>
          <w:b w:val="1"/>
          <w:bCs w:val="1"/>
          <w:color w:val="auto"/>
        </w:rPr>
        <w:t>The Board recommends that our stockholders vote “FOR” ratification of the selection of KPMG LLP as the Company’s independent registered public accounting firm for the fiscal year ending December 31, 2020.</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Paid to KPMG LLP</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Audit Fees</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For the year ended December 31, 2019, the aggregate fees billed by KPMG LLP for the audit of our consolidated financial statements, review of our interim financial statements and other professional services related to SEC registration statements were $777,000. In addition, we reimbursed KPMG LLP $33,082 for out-of-pocket expenses incurred in the performance of audit services.</w:t>
      </w:r>
    </w:p>
    <w:p>
      <w:pPr>
        <w:spacing w:after="0" w:line="18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For the year ended December 31, 2018, the aggregate fees billed by KPMG LLP for the audit of our consolidated financial statements, review of our interim financial statements and other professional services related to SEC registration statements were $777,000. In addition, we reimbursed KPMG LLP $31,350 for out-of-pocket expenses incurred in the performance of audit services.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Audit-Related Fees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For the year ended December 31, 2019, the aggregate fees billed by KPMG LLP for audit-related services, which consist of assurance and related services that are reasonably related to the performance of the audit or review of our consolidated financial statements, but which are not reportable as Audit Fees, were $135,000.</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For the year ended December 31, 2018, the aggregate fees billed by KPMG LLP for audit-related services, which consist of assurance and related services that are reasonably related to the performance of the audit or review of our consolidated financial statements, but which are not reportable as Audit Fees, were $233,404.</w:t>
      </w:r>
    </w:p>
    <w:p>
      <w:pPr>
        <w:spacing w:after="0" w:line="184"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Audit-related services are assurance and related services that are reasonably related to the performance of the audit or review of our financial statements and that are traditionally performed by the independent auditor.</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Tax Fees</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For the year ended December 31, 2019, the aggregate fees billed by KPMG LLP for tax compliance, tax advice and tax planning services were $153,775.</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For the year ended December 31, 2018, the aggregate fees billed by KPMG LLP for tax compliance, tax advice and tax planning services were $190,000.</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Tax services include tax compliance, tax planning and tax advice.</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All Other Fees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For each of the years ended December 31, 2019 and 2018, there were no fees billed for services rendered by KPMG LLP not reportable as Audit Fees, Audit-Related Fees or Tax Fees.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services provided by KPMG LLP described in “Audit-Related Fees,” “Tax Fees” and “All Other Fees” above, were approved by the Audit Committee according to applicable SEC rules. The Audit Committee has determined the rendering of the above-mentioned non-audit services by KPMG LLP was compatible with maintaining our independent registered public accounting firm’s independence.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Auditor Independence</w:t>
      </w:r>
    </w:p>
    <w:p>
      <w:pPr>
        <w:spacing w:after="0" w:line="121"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Audit Committee has considered whether the provision of the above-noted services is compatible with maintaining the independence of the independent registered public accounting firm and has determined that the provision of such services has not adversely affected KPMG LLP’s independence.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Audit Committee of our Board operates under a written charter adopted by the Board. The Audit Committee is currently composed of Messrs.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Ross, Doddy, Higginbotham, Ms. Slotkin and Mr. Tanemura.</w:t>
      </w:r>
    </w:p>
    <w:p>
      <w:pPr>
        <w:spacing w:after="0" w:line="21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Management is responsible for the Company’s internal controls and the financial reporting process. The Company’s independent registered public accounting firm is responsible for performing an independent audit of the Company’s financial statements in accordance with the standards of the Public Company Accounting Oversight Board (US) and expressing an opinion on the conformity of those audited financial statements in accordance with accounting principles generally accepted in the United States and for auditing and reporting on the effectiveness of the Company’s internal control over financial reporting. The Audit Committee’s responsibility is to monitor and oversee these processes. The Audit Committee is also directly responsible for the appointment, compensation and oversight of the Company’s independent registered public accounting firm.</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Pre-Approval Policy</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Audit Committee has established a pre-approval policy that describes the permitted audit, audit-related, tax and other services to be provided by KPMG LLP, the Company’s independent registered public accounting firm. The policy requires that the Audit Committee pre-approve the audit and non-audit services performed by the independent auditor in order to assure that the provision of such service does not impair the auditor’s independence.</w:t>
      </w:r>
    </w:p>
    <w:p>
      <w:pPr>
        <w:spacing w:after="0" w:line="149"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Any requests for audit, audit-related, tax and other services that have not received general pre-approval must be submitted to the Audit Committee for specific pre-approval, irrespective of the amount, and cannot commence until such approval has been granted. Normally, pre-approval is provided at regularly scheduled meetings of the Audit Committee. The Audit Committee does not delegate its responsibilities to pre-approve services performed by the independent registered public accounting firm to management.</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Review with Management</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Audit Committee has reviewed the audited financial statements, along with management’s assessment of the effectiveness of the Company’s internal control over financial reporting, and met and held discussions with management regarding the audited financial statements and its assessment of the effectiveness of the Company’s internal control over financial reporting. Management has represented to the Audit Committee that the Company’s financial statements were prepared in accordance with accounting principles generally accepted in the United States. The Audit Committee also reviewed the Company’s procedures and internal control processes designed to ensure full, fair and adequate financial reporting and disclosures, including procedures for certifications by the Company’s Chief Executive Officer and Chief Financial Officer that are required in periodic reports filed by the Company with the SEC. The Audit Committee is satisfied that the Company’s internal control system is adequate and that the Company employs appropriate accounting and auditing procedures.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Review and Discussion with Independent Registered Public Accounting Firm</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Audit Committee has reviewed and discussed the Company’s audited financial statements, along with management’s assessment of the effectiveness of the Company’s internal control over financial reporting and KPMG LLP’s evaluation of the Company’s internal control over financial reporting, with management and KPMG LLP, the Company’s independent registered public accounting firm, with and without management present. The Audit Committee included in its review the results of KPMG’s examinations, the Company’s internal controls and the quality of the Company’s financial reporting.</w:t>
      </w:r>
    </w:p>
    <w:p>
      <w:pPr>
        <w:spacing w:after="0" w:line="188"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Audit Committee also has discussed with KPMG matters relating to KPMG’s judgments about the quality, as well as the acceptability, of the Company’s accounting principles as applied in its financial reporting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 xml:space="preserve">as required by Public Company Accounting Oversight Board Auditing Standard No. 16, </w:t>
      </w:r>
      <w:r>
        <w:rPr>
          <w:rFonts w:ascii="Arial" w:cs="Arial" w:eastAsia="Arial" w:hAnsi="Arial"/>
          <w:sz w:val="17"/>
          <w:szCs w:val="17"/>
          <w:i w:val="1"/>
          <w:iCs w:val="1"/>
          <w:color w:val="auto"/>
        </w:rPr>
        <w:t>Communications with Audit Committees</w:t>
      </w:r>
      <w:r>
        <w:rPr>
          <w:rFonts w:ascii="Arial" w:cs="Arial" w:eastAsia="Arial" w:hAnsi="Arial"/>
          <w:sz w:val="17"/>
          <w:szCs w:val="17"/>
          <w:color w:val="auto"/>
        </w:rPr>
        <w:t xml:space="preserve">. In addition, the Audit Committee has discussed with KPMG their independence from management and the Company, as well as the matters in the written disclosures received from KPMG and required by Public Company Accounting Oversight Board Rule 3526, </w:t>
      </w:r>
      <w:r>
        <w:rPr>
          <w:rFonts w:ascii="Arial" w:cs="Arial" w:eastAsia="Arial" w:hAnsi="Arial"/>
          <w:sz w:val="17"/>
          <w:szCs w:val="17"/>
          <w:i w:val="1"/>
          <w:iCs w:val="1"/>
          <w:color w:val="auto"/>
        </w:rPr>
        <w:t>Communication with Audit Committees Concerning</w:t>
      </w:r>
      <w:r>
        <w:rPr>
          <w:rFonts w:ascii="Arial" w:cs="Arial" w:eastAsia="Arial" w:hAnsi="Arial"/>
          <w:sz w:val="17"/>
          <w:szCs w:val="17"/>
          <w:color w:val="auto"/>
        </w:rPr>
        <w:t xml:space="preserve"> </w:t>
      </w:r>
      <w:r>
        <w:rPr>
          <w:rFonts w:ascii="Arial" w:cs="Arial" w:eastAsia="Arial" w:hAnsi="Arial"/>
          <w:sz w:val="17"/>
          <w:szCs w:val="17"/>
          <w:i w:val="1"/>
          <w:iCs w:val="1"/>
          <w:color w:val="auto"/>
        </w:rPr>
        <w:t>Independence</w:t>
      </w:r>
      <w:r>
        <w:rPr>
          <w:rFonts w:ascii="Arial" w:cs="Arial" w:eastAsia="Arial" w:hAnsi="Arial"/>
          <w:sz w:val="17"/>
          <w:szCs w:val="17"/>
          <w:color w:val="auto"/>
        </w:rPr>
        <w:t>. The Audit Committee received a written communication from KPMG confirming their independence and discussed it with them. The</w:t>
      </w:r>
      <w:r>
        <w:rPr>
          <w:rFonts w:ascii="Arial" w:cs="Arial" w:eastAsia="Arial" w:hAnsi="Arial"/>
          <w:sz w:val="17"/>
          <w:szCs w:val="17"/>
          <w:i w:val="1"/>
          <w:iCs w:val="1"/>
          <w:color w:val="auto"/>
        </w:rPr>
        <w:t xml:space="preserve"> </w:t>
      </w:r>
      <w:r>
        <w:rPr>
          <w:rFonts w:ascii="Arial" w:cs="Arial" w:eastAsia="Arial" w:hAnsi="Arial"/>
          <w:sz w:val="17"/>
          <w:szCs w:val="17"/>
          <w:color w:val="auto"/>
        </w:rPr>
        <w:t>Audit Committee discussed and reviewed with KPMG the Company’s critical accounting policies and practices, other material written communications to management, and the scope of KPMG’s audits and all fees paid to KPMG during the fiscal year. The Audit Committee has adopted guidelines requiring review and pre-approval by the Audit Committee of audit and non-audit services performed by KPMG for the Company. The Audit Committee has reviewed and considered the compatibility of KPMG’s performance of non-audit services with the maintenance of KPMG’s independence as the Company’s independent registered public accounting firm.</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Conclusion</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Based on the Audit Committee’s discussion with management and the independent registered public accounting firm, the Audit Committee’s review of the audited financial statements, the representations of management and the report of the independent registered public accounting firm to the Audit Committee, the Audit Committee recommended that the Board include the audited financial statements in the Company’s Annual Report on Form 10-K for the year ended December 31, 2019 for filing with the Securities and Exchange Commission. The Audit Committee also recommended the selection of KPMG LLP to serve as the independent registered public accounting firm for the year ending December 31, 2020.</w:t>
      </w:r>
    </w:p>
    <w:p>
      <w:pPr>
        <w:spacing w:after="0" w:line="280"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Respectfully Submitted,</w:t>
      </w:r>
    </w:p>
    <w:p>
      <w:pPr>
        <w:spacing w:after="0" w:line="22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The Audit Committee:</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8"/>
          <w:szCs w:val="18"/>
          <w:i w:val="1"/>
          <w:iCs w:val="1"/>
          <w:color w:val="auto"/>
        </w:rPr>
        <w:t>John Ross, Chairman</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i w:val="1"/>
          <w:iCs w:val="1"/>
          <w:color w:val="auto"/>
        </w:rPr>
        <w:t>Hurley Doddy</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i w:val="1"/>
          <w:iCs w:val="1"/>
          <w:color w:val="auto"/>
        </w:rPr>
        <w:t>Richard Higginbotham</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i w:val="1"/>
          <w:iCs w:val="1"/>
          <w:color w:val="auto"/>
        </w:rPr>
        <w:t>Judy Slotkin</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i w:val="1"/>
          <w:iCs w:val="1"/>
          <w:color w:val="auto"/>
        </w:rPr>
        <w:t>Ronald Tanemura</w:t>
      </w:r>
    </w:p>
    <w:p>
      <w:pPr>
        <w:spacing w:after="0" w:line="207" w:lineRule="exact"/>
        <w:rPr>
          <w:sz w:val="20"/>
          <w:szCs w:val="20"/>
          <w:color w:val="auto"/>
        </w:rPr>
      </w:pPr>
    </w:p>
    <w:p>
      <w:pPr>
        <w:ind w:left="120" w:right="500"/>
        <w:spacing w:after="0" w:line="347" w:lineRule="auto"/>
        <w:rPr>
          <w:sz w:val="20"/>
          <w:szCs w:val="20"/>
          <w:color w:val="auto"/>
        </w:rPr>
      </w:pPr>
      <w:r>
        <w:rPr>
          <w:rFonts w:ascii="Arial" w:cs="Arial" w:eastAsia="Arial" w:hAnsi="Arial"/>
          <w:sz w:val="16"/>
          <w:szCs w:val="16"/>
          <w:b w:val="1"/>
          <w:bCs w:val="1"/>
          <w:color w:val="auto"/>
        </w:rPr>
        <w:t>Unless marked to the contrary, the shares represented by the enclosed proxy card will be voted “FOR” ratification of the appointment of KPMG LLP as the Company’s independent registered public accounting firm for the fiscal year ending December 31, 2020.</w:t>
      </w:r>
    </w:p>
    <w:p>
      <w:pPr>
        <w:spacing w:after="0" w:line="116" w:lineRule="exact"/>
        <w:rPr>
          <w:sz w:val="20"/>
          <w:szCs w:val="20"/>
          <w:color w:val="auto"/>
        </w:rPr>
      </w:pPr>
    </w:p>
    <w:p>
      <w:pPr>
        <w:ind w:left="120" w:right="80"/>
        <w:spacing w:after="0" w:line="266" w:lineRule="auto"/>
        <w:rPr>
          <w:sz w:val="20"/>
          <w:szCs w:val="20"/>
          <w:color w:val="auto"/>
        </w:rPr>
      </w:pPr>
      <w:r>
        <w:rPr>
          <w:rFonts w:ascii="Arial" w:cs="Arial" w:eastAsia="Arial" w:hAnsi="Arial"/>
          <w:sz w:val="18"/>
          <w:szCs w:val="18"/>
          <w:b w:val="1"/>
          <w:bCs w:val="1"/>
          <w:color w:val="auto"/>
        </w:rPr>
        <w:t>The material contained in the foregoing Audit Committee Report is not “soliciting material,” is not deemed “filed” with the SEC, and is not to be incorporated by reference into any filing of the Company under the Exchange Act, whether made before or after the date hereof and irrespective of any general incorporation language in any such filing.</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80"/>
          </w:cols>
          <w:pgMar w:left="320" w:top="459" w:right="4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OTHER BUSINESS</w:t>
      </w:r>
    </w:p>
    <w:p>
      <w:pPr>
        <w:spacing w:after="0" w:line="229"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The Board is not aware of any other matter to be submitted at the Meeting. If any other matter properly comes before the Meeting, the persons named in this proxy generally will have discretionary authority to vote the shares thereby represented in accordance with their judgment.</w:t>
      </w:r>
    </w:p>
    <w:p>
      <w:pPr>
        <w:spacing w:after="0" w:line="33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STOCK REPURCHASES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accordance with Section 23(c)(1) under the 1940 Act, the Company hereby advises you that it may repurchase shares of its common stock from time to time.</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STOCKHOLDER PROPOSALS AND NOMINATIONS FOR THE 2021 ANNUAL MEETING OF</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STOCKHOLDERS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Inclusion of Proposals in Our Proxy Statement and Proxy Card Under the SEC’s Rules</w:t>
      </w:r>
    </w:p>
    <w:p>
      <w:pPr>
        <w:spacing w:after="0" w:line="121"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Any proposal of a stockholder intended to be included in our proxy statement and form of proxy/voting instruction card for the 2021 annual meeting of stockholders pursuant to Rule 14a-8 of the SEC’s rules must be received by us at our principal executive offices no later than December 18, 2020. Such proposals must also comply with the requirements as to form and substance established by the SEC if such proposals are to be included in the proxy statement and form of proxy. All proposals should be sent to our principal executive offices addressed to the Secretary of the Company, Ken Burke, TPG Specialty Lending, Inc., 2100 McKinney Avenue, Suite 1500, Dallas, TX 75201.</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Bylaw Requirements for Stockholder Submission of Nominations and Proposals</w:t>
      </w:r>
    </w:p>
    <w:p>
      <w:pPr>
        <w:spacing w:after="0" w:line="121" w:lineRule="exact"/>
        <w:rPr>
          <w:sz w:val="20"/>
          <w:szCs w:val="20"/>
          <w:color w:val="auto"/>
        </w:rPr>
      </w:pPr>
    </w:p>
    <w:p>
      <w:pPr>
        <w:jc w:val="both"/>
        <w:ind w:left="120" w:right="80" w:firstLine="440"/>
        <w:spacing w:after="0" w:line="257" w:lineRule="auto"/>
        <w:rPr>
          <w:sz w:val="20"/>
          <w:szCs w:val="20"/>
          <w:color w:val="auto"/>
        </w:rPr>
      </w:pPr>
      <w:r>
        <w:rPr>
          <w:rFonts w:ascii="Arial" w:cs="Arial" w:eastAsia="Arial" w:hAnsi="Arial"/>
          <w:sz w:val="18"/>
          <w:szCs w:val="18"/>
          <w:color w:val="auto"/>
        </w:rPr>
        <w:t>A stockholder recommendation for nomination of a person for election to our Board or a proposal for consideration at our 2021 annual meeting, other than stockholder proposals submitted pursuant to the SEC’s Rule 14a-8, must be submitted in accordance with the advance notice procedures and other requirements set forth in our Bylaws. These requirements are separate from the requirements discussed above to have the stockholder nomination or other proposal included in our proxy statement and form of proxy/voting instruction card pursuant to the SEC’s rules. The item to be brought before the meeting must be a proper subject for stockholder action.</w:t>
      </w:r>
    </w:p>
    <w:p>
      <w:pPr>
        <w:spacing w:after="0" w:line="188"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Our Bylaws require that the proposal or recommendation for nomination must be received by our Secretary at our principal executive offices at the above address no later than February 27, 2021, unless the date of our 2021 annual meeting is more than 30 days before or more than 60 days after May 28, 2021, the anniversary of our 2020 annual meeting, in which case notice by the stockholder to be timely must be so received not later than the later of the close of business 90 days prior to such annual meeting or the 10th day following the day on which such notice of the date of the annual meeting was mailed or such public disclosure of the date of the annual meeting was made.</w:t>
      </w:r>
    </w:p>
    <w:p>
      <w:pPr>
        <w:spacing w:after="0" w:line="38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ANNUAL REPORT</w:t>
      </w:r>
    </w:p>
    <w:p>
      <w:pPr>
        <w:spacing w:after="0" w:line="22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 copy of our Annual Report on Form 10-K for the fiscal year ended December 31, 2019, which includes financial statements, is being furnished with this proxy statement.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80"/>
          </w:cols>
          <w:pgMar w:left="320" w:top="459" w:right="4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SEC has adopted rules that permit companies and intermediaries (e.g., brokers) to satisfy the delivery requirements for the Notice of Internet Availability of Proxy Materials with respect to two or more stockholders sharing the same address by delivering a single Notice of Internet Availability of Proxy Materials addressed to those stockholders. This process, which is commonly referred to as “householding,” potentially means extra convenience for stockholders and cost savings for companies.</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This year a number of brokers with account holders who are the Company’s stockholders will be “householding” the Company’s proxy materials. A single Notice of Internet Availability of Proxy Materials will be delivered to multiple stockholders sharing an address unless contrary instructions have been received from the affected stockholders.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by mail at TPG Specialty Lending, Inc., 888 7th Avenue, 35th Floor, New York, NY 10106, Attention: TSLX Investor Relations, by email at IRTSL@tssp.com or by phone at 212-601-4753. If, at any time, you no longer wish to participate in “householding” and would prefer to receive a separate proxy statement, annual report and/or Notice of Internet Availability of Proxy Materials, please notify your broker. Stockholders who currently receive multiple copies of the proxy statement, annual report and/or Notice of Internet Availability of Proxy Materials at their addresses and would like to request “householding” of their communications should contact their brokers.</w:t>
      </w:r>
    </w:p>
    <w:p>
      <w:pPr>
        <w:spacing w:after="0" w:line="181" w:lineRule="exact"/>
        <w:rPr>
          <w:sz w:val="20"/>
          <w:szCs w:val="20"/>
          <w:color w:val="auto"/>
        </w:rPr>
      </w:pPr>
    </w:p>
    <w:p>
      <w:pPr>
        <w:ind w:left="120" w:right="100" w:firstLine="440"/>
        <w:spacing w:after="0" w:line="266" w:lineRule="auto"/>
        <w:rPr>
          <w:sz w:val="20"/>
          <w:szCs w:val="20"/>
          <w:color w:val="auto"/>
        </w:rPr>
      </w:pPr>
      <w:r>
        <w:rPr>
          <w:rFonts w:ascii="Arial" w:cs="Arial" w:eastAsia="Arial" w:hAnsi="Arial"/>
          <w:sz w:val="18"/>
          <w:szCs w:val="18"/>
          <w:b w:val="1"/>
          <w:bCs w:val="1"/>
          <w:color w:val="auto"/>
        </w:rPr>
        <w:t>WHETHER OR NOT YOU PLAN TO ATTEND THE MEETING, WE URGE YOU TO VOTE OVER THE INTERNET, BY PHONE, OR BY MARKING, SIGNING AND RETURNING YOUR PROXY OR VOTING INSTRUCTION CARD AS SOON AS POSSIBLE. NO POSTAGE IS NECESSARY IF MAILED IN THE UNITED STATES.</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 Ken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27857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Ken Burke</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7"/>
          <w:szCs w:val="17"/>
          <w:i w:val="1"/>
          <w:iCs w:val="1"/>
          <w:color w:val="auto"/>
        </w:rPr>
        <w:t>Chief Compliance Officer, Vice President and Secretary</w:t>
      </w:r>
    </w:p>
    <w:p>
      <w:pPr>
        <w:spacing w:after="0" w:line="15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40"/>
          </w:cols>
          <w:pgMar w:left="320" w:top="459" w:right="5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PRIVACY PRINCIPLES</w:t>
      </w:r>
    </w:p>
    <w:p>
      <w:pPr>
        <w:spacing w:after="0" w:line="229"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Company is committed to maintaining the confidentiality, integrity and security of nonpublic personal information relating to investors. The following information is provided to help you understand what personal information the Company collects, how it protects that information and why, in certain cases, it may share information with select other parties.</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Company may collect nonpublic personal information regarding investors from sources such as subscription agreements, investor questionnaires and other forms; individual investors’ account histories; and correspondence between the Company and individual investors. The Company may share information that it collects regarding an investor with its affiliates and the employees of such affiliates for legitimate business purposes, for example, in order to service the investor’s accounts or provide the investor with information about other products and services offered by the Company or its affiliates that may be of interest to the investor. In addition, the Company may disclose information that it collects regarding investors to third parties who are not affiliated with the Company (i) as authorized by investors in investor subscription agreements or the Company’s organizational documents, (ii) as required by law or in connection with regulatory or law enforcement inquiries, or (iii) as otherwise permitted by law to the extent necessary to effect, administer or enforce investor or Company transactions.</w:t>
      </w:r>
    </w:p>
    <w:p>
      <w:pPr>
        <w:spacing w:after="0" w:line="178"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Any party that receives nonpublic personal information relating to investors from the Company is permitted to use the information only for legitimate business purposes or as otherwise required or permitted by applicable law or regulation. In this regard, for officers, employees and agents of the Company and its affiliates, access to such information is restricted to those who need such access to provide services to the Company and investors. The Company maintains physical, electronic and procedural safeguards to seek to guard investor nonpublic personal information. Third parties that handle this information shall agree to follow the standards the Company has established. All safeguards apply to nonpublic personal information of current, former and prospective investors.</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80"/>
          </w:cols>
          <w:pgMar w:left="320" w:top="459"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TPG SPECIALTY LENDING</w:t>
      </w:r>
    </w:p>
    <w:p>
      <w:pPr>
        <w:spacing w:after="0" w:line="225" w:lineRule="exact"/>
        <w:rPr>
          <w:sz w:val="20"/>
          <w:szCs w:val="20"/>
          <w:color w:val="auto"/>
        </w:rPr>
      </w:pPr>
    </w:p>
    <w:p>
      <w:pPr>
        <w:ind w:left="120" w:right="200"/>
        <w:spacing w:after="0" w:line="282"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The Notice and Proxy Statement and Annual Report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10-K are available at www.proxyvote.com.</w:t>
      </w:r>
    </w:p>
    <w:p>
      <w:pPr>
        <w:spacing w:after="0" w:line="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D13377-Z76898</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Annual Meeting of Stockholders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May 28, 2020 9:00 AM EDT</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29"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The stockholders hereby appoint Ian Simmonds and Ken Burke, or either of them, as proxies, each with the power to appoint his substitute, and hereby authorize them to represent and to vote, as designated on the reverse side of this ballot, all of the shares of common stock of TPG SPECIALTY LENDING, INC. that the stockholders are entitled to vote at the Annual Meeting of Stockholders to be held at 9:00 AM EDT on May 28, 2020 at the offices of Cleary Gottlieb Steen &amp; Hamilton LLP, 450 Park Avenue, 28th Floor, New York, NY 10022 and any adjournment or postponement thereof.</w:t>
      </w:r>
    </w:p>
    <w:p>
      <w:pPr>
        <w:spacing w:after="0" w:line="153" w:lineRule="exact"/>
        <w:rPr>
          <w:sz w:val="20"/>
          <w:szCs w:val="20"/>
          <w:color w:val="auto"/>
        </w:rPr>
      </w:pPr>
    </w:p>
    <w:p>
      <w:pPr>
        <w:ind w:left="120" w:right="600"/>
        <w:spacing w:after="0" w:line="282"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Continued and to be signed on reverse side</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BY INTERNET – www.proxyvote.com</w:t>
      </w:r>
    </w:p>
    <w:p>
      <w:pPr>
        <w:spacing w:after="0" w:line="12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Use the Internet to transmit your voting instructions and for electronic delivery of information up until 11:59 p.m. Eastern Time on May 27, 2020. Have your proxy card in hand when you access the web site and follow the instructions to obtain your records and to create an electronic voting instruction form.</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DELIVERY OF FUTURE PROXY MATERIALS</w:t>
      </w:r>
    </w:p>
    <w:p>
      <w:pPr>
        <w:spacing w:after="0" w:line="121" w:lineRule="exact"/>
        <w:rPr>
          <w:sz w:val="20"/>
          <w:szCs w:val="20"/>
          <w:color w:val="auto"/>
        </w:rPr>
      </w:pPr>
    </w:p>
    <w:p>
      <w:pPr>
        <w:ind w:left="120" w:right="260"/>
        <w:spacing w:after="0" w:line="311" w:lineRule="auto"/>
        <w:rPr>
          <w:sz w:val="20"/>
          <w:szCs w:val="20"/>
          <w:color w:val="auto"/>
        </w:rPr>
      </w:pPr>
      <w:r>
        <w:rPr>
          <w:rFonts w:ascii="Arial" w:cs="Arial" w:eastAsia="Arial" w:hAnsi="Arial"/>
          <w:sz w:val="16"/>
          <w:szCs w:val="16"/>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BY PHONE – 1-800-690-6903</w:t>
      </w:r>
    </w:p>
    <w:p>
      <w:pPr>
        <w:spacing w:after="0" w:line="121"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Use any touch-tone telephone to transmit your voting instructions up until 11:59 p.m. Eastern Time on May 27, 2020. Have your proxy card in hand when you call and then follow the instructions.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BY MAIL</w:t>
      </w:r>
    </w:p>
    <w:p>
      <w:pPr>
        <w:spacing w:after="0" w:line="121"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Mark, sign and date your proxy card and return it in the postage-paid envelope we have provided or return it to Vote Processing, c/o Broadridge, 51 Mercedes Way, Edgewood, NY 11717.</w:t>
      </w:r>
    </w:p>
    <w:p>
      <w:pPr>
        <w:spacing w:after="0" w:line="165" w:lineRule="exact"/>
        <w:rPr>
          <w:sz w:val="20"/>
          <w:szCs w:val="20"/>
          <w:color w:val="auto"/>
        </w:rPr>
      </w:pPr>
    </w:p>
    <w:p>
      <w:pPr>
        <w:ind w:left="1000"/>
        <w:spacing w:after="0" w:line="207" w:lineRule="exact"/>
        <w:rPr>
          <w:sz w:val="20"/>
          <w:szCs w:val="20"/>
          <w:color w:val="auto"/>
        </w:rPr>
      </w:pPr>
      <w:r>
        <w:rPr>
          <w:rFonts w:ascii="Arial" w:cs="Arial" w:eastAsia="Arial" w:hAnsi="Arial"/>
          <w:sz w:val="18"/>
          <w:szCs w:val="18"/>
          <w:b w:val="1"/>
          <w:bCs w:val="1"/>
          <w:color w:val="auto"/>
        </w:rPr>
        <w:t xml:space="preserve">To Vote, Mark Blocks Below in Blue or Black Ink As Follows: </w:t>
      </w:r>
      <w:r>
        <w:rPr>
          <w:rFonts w:ascii="MS PGothic" w:cs="MS PGothic" w:eastAsia="MS PGothic" w:hAnsi="MS PGothic"/>
          <w:sz w:val="18"/>
          <w:szCs w:val="18"/>
          <w:color w:val="auto"/>
        </w:rPr>
        <w:t>☒</w:t>
      </w:r>
    </w:p>
    <w:p>
      <w:pPr>
        <w:spacing w:after="0" w:line="298" w:lineRule="exact"/>
        <w:rPr>
          <w:sz w:val="20"/>
          <w:szCs w:val="20"/>
          <w:color w:val="auto"/>
        </w:rPr>
      </w:pPr>
    </w:p>
    <w:p>
      <w:pPr>
        <w:ind w:left="6800"/>
        <w:spacing w:after="0"/>
        <w:tabs>
          <w:tab w:leader="none" w:pos="8480" w:val="left"/>
        </w:tabs>
        <w:rPr>
          <w:sz w:val="20"/>
          <w:szCs w:val="20"/>
          <w:color w:val="auto"/>
        </w:rPr>
      </w:pPr>
      <w:r>
        <w:rPr>
          <w:rFonts w:ascii="Arial" w:cs="Arial" w:eastAsia="Arial" w:hAnsi="Arial"/>
          <w:sz w:val="18"/>
          <w:szCs w:val="18"/>
          <w:color w:val="auto"/>
        </w:rPr>
        <w:t>D13377-Z76898</w:t>
      </w:r>
      <w:r>
        <w:rPr>
          <w:sz w:val="20"/>
          <w:szCs w:val="20"/>
          <w:color w:val="auto"/>
        </w:rPr>
        <w:tab/>
      </w:r>
      <w:r>
        <w:rPr>
          <w:rFonts w:ascii="Arial" w:cs="Arial" w:eastAsia="Arial" w:hAnsi="Arial"/>
          <w:sz w:val="16"/>
          <w:szCs w:val="16"/>
          <w:color w:val="auto"/>
        </w:rPr>
        <w:t>Keep This Portion For Your Records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Detach and Return This Portion Only</w:t>
      </w:r>
    </w:p>
    <w:p>
      <w:pPr>
        <w:spacing w:after="0" w:line="200" w:lineRule="exact"/>
        <w:rPr>
          <w:sz w:val="20"/>
          <w:szCs w:val="20"/>
          <w:color w:val="auto"/>
        </w:rPr>
      </w:pPr>
    </w:p>
    <w:p>
      <w:pPr>
        <w:spacing w:after="0" w:line="236"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THIS PROXY CARD IS VALID ONLY WHEN SIGNED AND DATED.</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 recommends you vote FOR the following:</w:t>
      </w:r>
    </w:p>
    <w:p>
      <w:pPr>
        <w:sectPr>
          <w:pgSz w:w="11900" w:h="16838" w:orient="portrait"/>
          <w:cols w:equalWidth="0" w:num="1">
            <w:col w:w="11140"/>
          </w:cols>
          <w:pgMar w:left="320" w:top="459" w:right="439" w:bottom="1440" w:gutter="0" w:footer="0" w:header="0"/>
        </w:sectPr>
      </w:pPr>
    </w:p>
    <w:p>
      <w:pPr>
        <w:spacing w:after="0" w:line="131" w:lineRule="exact"/>
        <w:rPr>
          <w:sz w:val="20"/>
          <w:szCs w:val="20"/>
          <w:color w:val="auto"/>
        </w:rPr>
      </w:pPr>
    </w:p>
    <w:p>
      <w:pPr>
        <w:ind w:left="380" w:right="1620" w:hanging="264"/>
        <w:spacing w:after="0" w:line="308" w:lineRule="auto"/>
        <w:tabs>
          <w:tab w:leader="none" w:pos="3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Election of Directors Nominees:</w:t>
      </w:r>
    </w:p>
    <w:p>
      <w:pPr>
        <w:ind w:left="380"/>
        <w:spacing w:after="0"/>
        <w:rPr>
          <w:rFonts w:ascii="Arial" w:cs="Arial" w:eastAsia="Arial" w:hAnsi="Arial"/>
          <w:sz w:val="16"/>
          <w:szCs w:val="16"/>
          <w:color w:val="auto"/>
        </w:rPr>
      </w:pPr>
      <w:r>
        <w:rPr>
          <w:rFonts w:ascii="Arial" w:cs="Arial" w:eastAsia="Arial" w:hAnsi="Arial"/>
          <w:sz w:val="18"/>
          <w:szCs w:val="18"/>
          <w:color w:val="auto"/>
        </w:rPr>
        <w:t>01 Hurley Doddy</w:t>
      </w:r>
    </w:p>
    <w:p>
      <w:pPr>
        <w:spacing w:after="0" w:line="23"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7"/>
          <w:szCs w:val="17"/>
          <w:color w:val="auto"/>
        </w:rPr>
        <w:t>02 Joshua Easterly</w:t>
      </w:r>
    </w:p>
    <w:p>
      <w:pPr>
        <w:spacing w:after="0" w:line="20"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6"/>
          <w:szCs w:val="16"/>
          <w:color w:val="auto"/>
        </w:rPr>
        <w:t>03 Michael Fishman</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rPr>
              <w:t>For All</w:t>
            </w:r>
          </w:p>
        </w:tc>
        <w:tc>
          <w:tcPr>
            <w:tcW w:w="1140" w:type="dxa"/>
            <w:vAlign w:val="bottom"/>
          </w:tcPr>
          <w:p>
            <w:pPr>
              <w:ind w:left="60"/>
              <w:spacing w:after="0"/>
              <w:rPr>
                <w:sz w:val="20"/>
                <w:szCs w:val="20"/>
                <w:color w:val="auto"/>
              </w:rPr>
            </w:pPr>
            <w:r>
              <w:rPr>
                <w:rFonts w:ascii="Arial" w:cs="Arial" w:eastAsia="Arial" w:hAnsi="Arial"/>
                <w:sz w:val="18"/>
                <w:szCs w:val="18"/>
                <w:color w:val="auto"/>
              </w:rPr>
              <w:t>Withhold All</w:t>
            </w:r>
          </w:p>
        </w:tc>
        <w:tc>
          <w:tcPr>
            <w:tcW w:w="1440" w:type="dxa"/>
            <w:vAlign w:val="bottom"/>
          </w:tcPr>
          <w:p>
            <w:pPr>
              <w:ind w:left="120"/>
              <w:spacing w:after="0"/>
              <w:rPr>
                <w:sz w:val="20"/>
                <w:szCs w:val="20"/>
                <w:color w:val="auto"/>
              </w:rPr>
            </w:pPr>
            <w:r>
              <w:rPr>
                <w:rFonts w:ascii="Arial" w:cs="Arial" w:eastAsia="Arial" w:hAnsi="Arial"/>
                <w:sz w:val="18"/>
                <w:szCs w:val="18"/>
                <w:color w:val="auto"/>
              </w:rPr>
              <w:t>For All Except</w:t>
            </w:r>
          </w:p>
        </w:tc>
        <w:tc>
          <w:tcPr>
            <w:tcW w:w="3740" w:type="dxa"/>
            <w:vAlign w:val="bottom"/>
          </w:tcPr>
          <w:p>
            <w:pPr>
              <w:spacing w:after="0"/>
              <w:rPr>
                <w:sz w:val="20"/>
                <w:szCs w:val="20"/>
                <w:color w:val="auto"/>
              </w:rPr>
            </w:pPr>
            <w:r>
              <w:rPr>
                <w:rFonts w:ascii="Arial" w:cs="Arial" w:eastAsia="Arial" w:hAnsi="Arial"/>
                <w:sz w:val="18"/>
                <w:szCs w:val="18"/>
                <w:color w:val="auto"/>
              </w:rPr>
              <w:t>To withhold authority to vote for any individual</w:t>
            </w:r>
          </w:p>
        </w:tc>
      </w:tr>
      <w:tr>
        <w:trPr>
          <w:trHeight w:val="249"/>
        </w:trPr>
        <w:tc>
          <w:tcPr>
            <w:tcW w:w="5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1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14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3740" w:type="dxa"/>
            <w:vAlign w:val="bottom"/>
          </w:tcPr>
          <w:p>
            <w:pPr>
              <w:spacing w:after="0"/>
              <w:rPr>
                <w:sz w:val="20"/>
                <w:szCs w:val="20"/>
                <w:color w:val="auto"/>
              </w:rPr>
            </w:pPr>
            <w:r>
              <w:rPr>
                <w:rFonts w:ascii="Arial" w:cs="Arial" w:eastAsia="Arial" w:hAnsi="Arial"/>
                <w:sz w:val="18"/>
                <w:szCs w:val="18"/>
                <w:color w:val="auto"/>
                <w:w w:val="98"/>
              </w:rPr>
              <w:t>nominee(s), mark “For All Except” and write the</w:t>
            </w:r>
          </w:p>
        </w:tc>
      </w:tr>
      <w:tr>
        <w:trPr>
          <w:trHeight w:val="230"/>
        </w:trPr>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w w:val="99"/>
              </w:rPr>
              <w:t>number(s) of the nominee(s) on the line below.</w:t>
            </w:r>
          </w:p>
        </w:tc>
      </w:tr>
      <w:tr>
        <w:trPr>
          <w:trHeight w:val="216"/>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740" w:type="dxa"/>
            <w:vAlign w:val="bottom"/>
            <w:tcBorders>
              <w:bottom w:val="single" w:sz="8" w:color="auto"/>
            </w:tcBorders>
          </w:tcPr>
          <w:p>
            <w:pPr>
              <w:spacing w:after="0"/>
              <w:rPr>
                <w:sz w:val="18"/>
                <w:szCs w:val="18"/>
                <w:color w:val="auto"/>
              </w:rPr>
            </w:pPr>
          </w:p>
        </w:tc>
      </w:tr>
    </w:tbl>
    <w:p>
      <w:pPr>
        <w:spacing w:after="0" w:line="410" w:lineRule="exact"/>
        <w:rPr>
          <w:sz w:val="20"/>
          <w:szCs w:val="20"/>
          <w:color w:val="auto"/>
        </w:rPr>
      </w:pPr>
    </w:p>
    <w:p>
      <w:pPr>
        <w:sectPr>
          <w:pgSz w:w="11900" w:h="16838" w:orient="portrait"/>
          <w:cols w:equalWidth="0" w:num="2">
            <w:col w:w="3520" w:space="720"/>
            <w:col w:w="6900"/>
          </w:cols>
          <w:pgMar w:left="320" w:top="459" w:right="439" w:bottom="1440" w:gutter="0" w:footer="0" w:header="0"/>
          <w:type w:val="continuous"/>
        </w:sectPr>
      </w:pPr>
    </w:p>
    <w:p>
      <w:pPr>
        <w:spacing w:after="0" w:line="4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 recommends you vote FOR the following proposal:</w:t>
      </w:r>
    </w:p>
    <w:p>
      <w:pPr>
        <w:spacing w:after="0" w:line="144" w:lineRule="exact"/>
        <w:rPr>
          <w:sz w:val="20"/>
          <w:szCs w:val="20"/>
          <w:color w:val="auto"/>
        </w:rPr>
      </w:pPr>
    </w:p>
    <w:p>
      <w:pPr>
        <w:ind w:left="120"/>
        <w:spacing w:after="0"/>
        <w:tabs>
          <w:tab w:leader="none" w:pos="4220" w:val="left"/>
          <w:tab w:leader="none" w:pos="4860" w:val="left"/>
          <w:tab w:leader="none" w:pos="6060" w:val="left"/>
        </w:tabs>
        <w:rPr>
          <w:sz w:val="20"/>
          <w:szCs w:val="20"/>
          <w:color w:val="auto"/>
        </w:rPr>
      </w:pPr>
      <w:r>
        <w:rPr>
          <w:rFonts w:ascii="Arial" w:cs="Arial" w:eastAsia="Arial" w:hAnsi="Arial"/>
          <w:sz w:val="18"/>
          <w:szCs w:val="18"/>
          <w:color w:val="auto"/>
        </w:rPr>
        <w:t>2.  To ratify the selection of KPMG LLP as</w:t>
      </w:r>
      <w:r>
        <w:rPr>
          <w:sz w:val="20"/>
          <w:szCs w:val="20"/>
          <w:color w:val="auto"/>
        </w:rPr>
        <w:tab/>
      </w: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Against</w:t>
      </w:r>
      <w:r>
        <w:rPr>
          <w:sz w:val="20"/>
          <w:szCs w:val="20"/>
          <w:color w:val="auto"/>
        </w:rPr>
        <w:tab/>
      </w:r>
      <w:r>
        <w:rPr>
          <w:rFonts w:ascii="Arial" w:cs="Arial" w:eastAsia="Arial" w:hAnsi="Arial"/>
          <w:sz w:val="16"/>
          <w:szCs w:val="16"/>
          <w:color w:val="auto"/>
        </w:rPr>
        <w:t>Abstain</w:t>
      </w:r>
    </w:p>
    <w:p>
      <w:pPr>
        <w:spacing w:after="0" w:line="18" w:lineRule="exact"/>
        <w:rPr>
          <w:sz w:val="20"/>
          <w:szCs w:val="20"/>
          <w:color w:val="auto"/>
        </w:rPr>
      </w:pPr>
    </w:p>
    <w:p>
      <w:pPr>
        <w:ind w:left="380"/>
        <w:spacing w:after="0" w:line="207" w:lineRule="exact"/>
        <w:tabs>
          <w:tab w:leader="none" w:pos="4220" w:val="left"/>
          <w:tab w:leader="none" w:pos="4860" w:val="left"/>
          <w:tab w:leader="none" w:pos="6060" w:val="left"/>
        </w:tabs>
        <w:rPr>
          <w:sz w:val="20"/>
          <w:szCs w:val="20"/>
          <w:color w:val="auto"/>
        </w:rPr>
      </w:pPr>
      <w:r>
        <w:rPr>
          <w:rFonts w:ascii="Arial" w:cs="Arial" w:eastAsia="Arial" w:hAnsi="Arial"/>
          <w:sz w:val="18"/>
          <w:szCs w:val="18"/>
          <w:color w:val="auto"/>
        </w:rPr>
        <w:t>the Company’s independent registered public</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accounting firm for the fiscal year ending</w:t>
      </w:r>
    </w:p>
    <w:p>
      <w:pPr>
        <w:spacing w:after="0" w:line="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December 31, 2020.</w:t>
      </w:r>
    </w:p>
    <w:p>
      <w:pPr>
        <w:spacing w:after="0" w:line="207" w:lineRule="exact"/>
        <w:rPr>
          <w:sz w:val="20"/>
          <w:szCs w:val="20"/>
          <w:color w:val="auto"/>
        </w:rPr>
      </w:pPr>
    </w:p>
    <w:p>
      <w:pPr>
        <w:ind w:left="120" w:right="20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The named proxies are also authorized to transact such other business as may properly come before the 2020 Annual Meeting of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or any postponement or adjournment thereof.</w:t>
      </w:r>
    </w:p>
    <w:p>
      <w:pPr>
        <w:sectPr>
          <w:pgSz w:w="11900" w:h="16838" w:orient="portrait"/>
          <w:cols w:equalWidth="0" w:num="1">
            <w:col w:w="11140"/>
          </w:cols>
          <w:pgMar w:left="320" w:top="459" w:right="4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41" w:lineRule="exact"/>
        <w:rPr>
          <w:sz w:val="20"/>
          <w:szCs w:val="20"/>
          <w:color w:val="auto"/>
        </w:rPr>
      </w:pPr>
    </w:p>
    <w:tbl>
      <w:tblPr>
        <w:tblLayout w:type="fixed"/>
        <w:tblInd w:w="1000" w:type="dxa"/>
        <w:tblCellMar>
          <w:top w:w="0" w:type="dxa"/>
          <w:left w:w="0" w:type="dxa"/>
          <w:bottom w:w="0" w:type="dxa"/>
          <w:right w:w="0" w:type="dxa"/>
        </w:tblCellMar>
      </w:tblPr>
      <w:tr>
        <w:trPr>
          <w:trHeight w:val="20"/>
        </w:trPr>
        <w:tc>
          <w:tcPr>
            <w:tcW w:w="3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r>
      <w:tr>
        <w:trPr>
          <w:trHeight w:val="205"/>
        </w:trPr>
        <w:tc>
          <w:tcPr>
            <w:tcW w:w="3760" w:type="dxa"/>
            <w:vAlign w:val="bottom"/>
          </w:tcPr>
          <w:p>
            <w:pPr>
              <w:spacing w:after="0" w:line="205" w:lineRule="exact"/>
              <w:rPr>
                <w:sz w:val="20"/>
                <w:szCs w:val="20"/>
                <w:color w:val="auto"/>
              </w:rPr>
            </w:pPr>
            <w:r>
              <w:rPr>
                <w:rFonts w:ascii="Arial" w:cs="Arial" w:eastAsia="Arial" w:hAnsi="Arial"/>
                <w:sz w:val="18"/>
                <w:szCs w:val="18"/>
                <w:b w:val="1"/>
                <w:bCs w:val="1"/>
                <w:color w:val="auto"/>
              </w:rPr>
              <w:t>Signature [PLEASE SIGN WITHIN BOX]</w:t>
            </w:r>
          </w:p>
        </w:tc>
        <w:tc>
          <w:tcPr>
            <w:tcW w:w="100" w:type="dxa"/>
            <w:vAlign w:val="bottom"/>
          </w:tcPr>
          <w:p>
            <w:pPr>
              <w:spacing w:after="0"/>
              <w:rPr>
                <w:sz w:val="17"/>
                <w:szCs w:val="17"/>
                <w:color w:val="auto"/>
              </w:rPr>
            </w:pPr>
          </w:p>
        </w:tc>
        <w:tc>
          <w:tcPr>
            <w:tcW w:w="1840" w:type="dxa"/>
            <w:vAlign w:val="bottom"/>
          </w:tcPr>
          <w:p>
            <w:pPr>
              <w:spacing w:after="0" w:line="205" w:lineRule="exact"/>
              <w:rPr>
                <w:sz w:val="20"/>
                <w:szCs w:val="20"/>
                <w:color w:val="auto"/>
              </w:rPr>
            </w:pPr>
            <w:r>
              <w:rPr>
                <w:rFonts w:ascii="Arial" w:cs="Arial" w:eastAsia="Arial" w:hAnsi="Arial"/>
                <w:sz w:val="18"/>
                <w:szCs w:val="18"/>
                <w:b w:val="1"/>
                <w:bCs w:val="1"/>
                <w:color w:val="auto"/>
              </w:rPr>
              <w:t>Date</w:t>
            </w:r>
          </w:p>
        </w:tc>
        <w:tc>
          <w:tcPr>
            <w:tcW w:w="1920" w:type="dxa"/>
            <w:vAlign w:val="bottom"/>
            <w:gridSpan w:val="2"/>
          </w:tcPr>
          <w:p>
            <w:pPr>
              <w:ind w:left="100"/>
              <w:spacing w:after="0" w:line="205" w:lineRule="exact"/>
              <w:rPr>
                <w:sz w:val="20"/>
                <w:szCs w:val="20"/>
                <w:color w:val="auto"/>
              </w:rPr>
            </w:pPr>
            <w:r>
              <w:rPr>
                <w:rFonts w:ascii="Arial" w:cs="Arial" w:eastAsia="Arial" w:hAnsi="Arial"/>
                <w:sz w:val="18"/>
                <w:szCs w:val="18"/>
                <w:b w:val="1"/>
                <w:bCs w:val="1"/>
                <w:color w:val="auto"/>
              </w:rPr>
              <w:t>Signature</w:t>
            </w:r>
          </w:p>
        </w:tc>
        <w:tc>
          <w:tcPr>
            <w:tcW w:w="1920" w:type="dxa"/>
            <w:vAlign w:val="bottom"/>
            <w:gridSpan w:val="2"/>
          </w:tcPr>
          <w:p>
            <w:pPr>
              <w:ind w:left="100"/>
              <w:spacing w:after="0" w:line="205" w:lineRule="exact"/>
              <w:rPr>
                <w:sz w:val="20"/>
                <w:szCs w:val="20"/>
                <w:color w:val="auto"/>
              </w:rPr>
            </w:pPr>
            <w:r>
              <w:rPr>
                <w:rFonts w:ascii="Arial" w:cs="Arial" w:eastAsia="Arial" w:hAnsi="Arial"/>
                <w:sz w:val="18"/>
                <w:szCs w:val="18"/>
                <w:b w:val="1"/>
                <w:bCs w:val="1"/>
                <w:color w:val="auto"/>
              </w:rPr>
              <w:t>Date</w:t>
            </w:r>
          </w:p>
        </w:tc>
      </w:tr>
      <w:tr>
        <w:trPr>
          <w:trHeight w:val="234"/>
        </w:trPr>
        <w:tc>
          <w:tcPr>
            <w:tcW w:w="3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Arial" w:cs="Arial" w:eastAsia="Arial" w:hAnsi="Arial"/>
                <w:sz w:val="18"/>
                <w:szCs w:val="18"/>
                <w:b w:val="1"/>
                <w:bCs w:val="1"/>
                <w:color w:val="auto"/>
              </w:rPr>
              <w:t>(Joint Owners)</w:t>
            </w: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060"/>
      </w:cols>
      <w:pgMar w:left="320" w:top="459"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lvl w:ilvl="1">
      <w:lvlJc w:val="left"/>
      <w:lvlText w:val="(%2)"/>
      <w:numFmt w:val="decimal"/>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1)"/>
      <w:numFmt w:val="decimal"/>
      <w:start w:val="2"/>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lowerRoman"/>
      <w:start w:val="1"/>
    </w:lvl>
  </w:abstractNum>
  <w:abstractNum w:abstractNumId="27">
    <w:nsid w:val="2901D82"/>
    <w:multiLevelType w:val="hybridMultilevel"/>
    <w:lvl w:ilvl="0">
      <w:lvlJc w:val="left"/>
      <w:lvlText w:val="(%1)"/>
      <w:numFmt w:val="lowerRoman"/>
      <w:start w:val="2"/>
    </w:lvl>
  </w:abstractNum>
  <w:abstractNum w:abstractNumId="28">
    <w:nsid w:val="3A95F874"/>
    <w:multiLevelType w:val="hybridMultilevel"/>
    <w:lvl w:ilvl="0">
      <w:lvlJc w:val="left"/>
      <w:lvlText w:val="•"/>
      <w:numFmt w:val="bullet"/>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2020-04-17T15:04:02Z</dcterms:created>
  <dcterms:modified xsi:type="dcterms:W3CDTF">2020-04-17T15:04:02Z</dcterms:modified>
</cp:coreProperties>
</file>