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As confidentially submitted to the Securities and Exchange Commission on January 30, 2014</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8"/>
          <w:szCs w:val="18"/>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4080" w:type="dxa"/>
        <w:tblCellMar>
          <w:top w:w="0" w:type="dxa"/>
          <w:left w:w="0" w:type="dxa"/>
          <w:bottom w:w="0" w:type="dxa"/>
          <w:right w:w="0" w:type="dxa"/>
        </w:tblCellMar>
      </w:tblPr>
      <w:tr>
        <w:trPr>
          <w:trHeight w:val="225"/>
        </w:trPr>
        <w:tc>
          <w:tcPr>
            <w:tcW w:w="5140" w:type="dxa"/>
            <w:vAlign w:val="bottom"/>
          </w:tcPr>
          <w:p>
            <w:pPr>
              <w:ind w:left="1260"/>
              <w:spacing w:after="0" w:line="225" w:lineRule="exact"/>
              <w:rPr>
                <w:sz w:val="20"/>
                <w:szCs w:val="20"/>
                <w:color w:val="auto"/>
              </w:rPr>
            </w:pPr>
            <w:r>
              <w:rPr>
                <w:rFonts w:ascii="Arial" w:cs="Arial" w:eastAsia="Arial" w:hAnsi="Arial"/>
                <w:sz w:val="22"/>
                <w:szCs w:val="22"/>
                <w:b w:val="1"/>
                <w:bCs w:val="1"/>
                <w:i w:val="1"/>
                <w:iCs w:val="1"/>
                <w:color w:val="auto"/>
              </w:rPr>
              <w:t>UNDER</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tcPr>
          <w:p>
            <w:pPr>
              <w:jc w:val="center"/>
              <w:ind w:right="1952"/>
              <w:spacing w:after="0" w:line="237" w:lineRule="exact"/>
              <w:rPr>
                <w:sz w:val="20"/>
                <w:szCs w:val="20"/>
                <w:color w:val="auto"/>
              </w:rPr>
            </w:pPr>
            <w:r>
              <w:rPr>
                <w:rFonts w:ascii="Arial" w:cs="Arial" w:eastAsia="Arial" w:hAnsi="Arial"/>
                <w:sz w:val="22"/>
                <w:szCs w:val="22"/>
                <w:b w:val="1"/>
                <w:bCs w:val="1"/>
                <w:i w:val="1"/>
                <w:iCs w:val="1"/>
                <w:color w:val="auto"/>
                <w:w w:val="94"/>
              </w:rPr>
              <w:t>THE SECURITIES ACT OF 1933</w:t>
            </w:r>
          </w:p>
        </w:tc>
        <w:tc>
          <w:tcPr>
            <w:tcW w:w="2200" w:type="dxa"/>
            <w:vAlign w:val="bottom"/>
            <w:vMerge w:val="restart"/>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0"/>
        </w:trPr>
        <w:tc>
          <w:tcPr>
            <w:tcW w:w="5140" w:type="dxa"/>
            <w:vAlign w:val="bottom"/>
          </w:tcPr>
          <w:p>
            <w:pPr>
              <w:jc w:val="center"/>
              <w:ind w:right="1952"/>
              <w:spacing w:after="0" w:line="229" w:lineRule="exact"/>
              <w:rPr>
                <w:sz w:val="20"/>
                <w:szCs w:val="20"/>
                <w:color w:val="auto"/>
              </w:rPr>
            </w:pPr>
            <w:r>
              <w:rPr>
                <w:rFonts w:ascii="Arial" w:cs="Arial" w:eastAsia="Arial" w:hAnsi="Arial"/>
                <w:sz w:val="22"/>
                <w:szCs w:val="22"/>
                <w:b w:val="1"/>
                <w:bCs w:val="1"/>
                <w:color w:val="auto"/>
                <w:w w:val="89"/>
              </w:rPr>
              <w:t>Pre-Effective Amendment No. 1</w:t>
            </w: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5140" w:type="dxa"/>
            <w:vAlign w:val="bottom"/>
          </w:tcPr>
          <w:p>
            <w:pPr>
              <w:jc w:val="center"/>
              <w:ind w:right="1952"/>
              <w:spacing w:after="0"/>
              <w:rPr>
                <w:sz w:val="20"/>
                <w:szCs w:val="20"/>
                <w:color w:val="auto"/>
              </w:rPr>
            </w:pPr>
            <w:r>
              <w:rPr>
                <w:rFonts w:ascii="Arial" w:cs="Arial" w:eastAsia="Arial" w:hAnsi="Arial"/>
                <w:sz w:val="22"/>
                <w:szCs w:val="22"/>
                <w:b w:val="1"/>
                <w:bCs w:val="1"/>
                <w:color w:val="auto"/>
                <w:w w:val="88"/>
              </w:rPr>
              <w:t>Post-Effective Amendment No.</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(817) 871-4000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22"/>
        </w:trPr>
        <w:tc>
          <w:tcPr>
            <w:tcW w:w="3280" w:type="dxa"/>
            <w:vAlign w:val="bottom"/>
          </w:tcPr>
          <w:p>
            <w:pPr>
              <w:spacing w:after="0"/>
              <w:rPr>
                <w:sz w:val="19"/>
                <w:szCs w:val="19"/>
                <w:color w:val="auto"/>
              </w:rPr>
            </w:pPr>
          </w:p>
        </w:tc>
        <w:tc>
          <w:tcPr>
            <w:tcW w:w="57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85"/>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Michael A. Gerstenzang,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9"/>
              </w:rPr>
              <w:t>Stuart H. Gelfond, Esq.</w:t>
            </w:r>
          </w:p>
        </w:tc>
      </w:tr>
      <w:tr>
        <w:trPr>
          <w:trHeight w:val="228"/>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Adam E. Fleisher,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9"/>
              </w:rPr>
              <w:t>Paul D. Tropp, Esq.</w:t>
            </w:r>
          </w:p>
        </w:tc>
      </w:tr>
      <w:tr>
        <w:trPr>
          <w:trHeight w:val="217"/>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Helena K. Grannis,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1"/>
              </w:rPr>
              <w:t>Fried, Frank, Harris, Shriver &amp; Jacobson LLP</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92"/>
              </w:rPr>
              <w:t>Cleary Gottlieb Steen &amp; Hamilton LLP</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0"/>
              </w:rPr>
              <w:t>One New York Plaza</w:t>
            </w:r>
          </w:p>
        </w:tc>
      </w:tr>
      <w:tr>
        <w:trPr>
          <w:trHeight w:val="216"/>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91"/>
              </w:rPr>
              <w:t>One Liberty Plaza</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0"/>
              </w:rPr>
              <w:t>New York, NY 10004</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90"/>
              </w:rPr>
              <w:t>New York, NY 10006</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7"/>
              </w:rPr>
              <w:t>Telephone: (212) 859-8000</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Telephone: (212) 225-2000</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8"/>
              </w:rPr>
              <w:t>Facsimile: (212) 859-4000</w:t>
            </w:r>
          </w:p>
        </w:tc>
      </w:tr>
      <w:tr>
        <w:trPr>
          <w:trHeight w:val="228"/>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Facsimile: (212) 225-3999</w:t>
            </w:r>
          </w:p>
        </w:tc>
        <w:tc>
          <w:tcPr>
            <w:tcW w:w="5780" w:type="dxa"/>
            <w:vAlign w:val="bottom"/>
          </w:tcPr>
          <w:p>
            <w:pPr>
              <w:spacing w:after="0"/>
              <w:rPr>
                <w:sz w:val="19"/>
                <w:szCs w:val="19"/>
                <w:color w:val="auto"/>
              </w:rPr>
            </w:pPr>
          </w:p>
        </w:tc>
      </w:tr>
    </w:tbl>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96" w:lineRule="exact"/>
        <w:rPr>
          <w:sz w:val="24"/>
          <w:szCs w:val="24"/>
          <w:color w:val="auto"/>
        </w:rPr>
      </w:pPr>
    </w:p>
    <w:p>
      <w:pPr>
        <w:ind w:right="20"/>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8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3"/>
              </w:rPr>
              <w:t>Proposed</w:t>
            </w: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7"/>
              </w:rPr>
              <w:t>Amount Being</w:t>
            </w:r>
          </w:p>
        </w:tc>
        <w:tc>
          <w:tcPr>
            <w:tcW w:w="18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78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Amount of</w:t>
            </w:r>
          </w:p>
        </w:tc>
      </w:tr>
      <w:tr>
        <w:trPr>
          <w:trHeight w:val="175"/>
        </w:trPr>
        <w:tc>
          <w:tcPr>
            <w:tcW w:w="20" w:type="dxa"/>
            <w:vAlign w:val="bottom"/>
          </w:tcPr>
          <w:p>
            <w:pPr>
              <w:spacing w:after="0"/>
              <w:rPr>
                <w:sz w:val="15"/>
                <w:szCs w:val="15"/>
                <w:color w:val="auto"/>
              </w:rPr>
            </w:pPr>
          </w:p>
        </w:tc>
        <w:tc>
          <w:tcPr>
            <w:tcW w:w="412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4"/>
                <w:szCs w:val="14"/>
                <w:b w:val="1"/>
                <w:bCs w:val="1"/>
                <w:color w:val="auto"/>
              </w:rPr>
              <w:t>Title of Securities Being Registered</w:t>
            </w:r>
          </w:p>
        </w:tc>
        <w:tc>
          <w:tcPr>
            <w:tcW w:w="184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87"/>
              </w:rPr>
              <w:t>Registered(1)</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9"/>
              </w:rPr>
              <w:t>Per Unit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 Price(1)</w:t>
            </w:r>
          </w:p>
        </w:tc>
        <w:tc>
          <w:tcPr>
            <w:tcW w:w="17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Registration Fee(2)</w:t>
            </w:r>
          </w:p>
        </w:tc>
      </w:tr>
      <w:tr>
        <w:trPr>
          <w:trHeight w:val="210"/>
        </w:trPr>
        <w:tc>
          <w:tcPr>
            <w:tcW w:w="2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$0.01 par value per share</w:t>
            </w:r>
          </w:p>
        </w:tc>
        <w:tc>
          <w:tcPr>
            <w:tcW w:w="1840" w:type="dxa"/>
            <w:vAlign w:val="bottom"/>
            <w:tcBorders>
              <w:bottom w:val="single" w:sz="8" w:color="auto"/>
              <w:right w:val="single" w:sz="8" w:color="auto"/>
            </w:tcBorders>
          </w:tcPr>
          <w:p>
            <w:pPr>
              <w:jc w:val="right"/>
              <w:ind w:right="1026"/>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right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underwriters’ option to purchase additional shares of our common stock to cover over-allotments.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under the Securities Act of 1933 solely for the purpose of determining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right="2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DE1A1E"/>
        </w:rPr>
        <w:t>Subject to completion, dated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TPG Specialty Lending, Inc.</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24"/>
          <w:szCs w:val="24"/>
          <w:b w:val="1"/>
          <w:bCs w:val="1"/>
          <w:color w:val="auto"/>
        </w:rPr>
        <w:t>Shares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5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September 30, 2013, our investment portfolio consisted of 29 investments in 25 portfolio companies with an aggregate fair value of $889.3 million. Following this offering, we intend to continue to pursue an investment strategy focused on direct origination of loans to middle-market companies principally domiciled in the United States.</w:t>
      </w:r>
    </w:p>
    <w:p>
      <w:pPr>
        <w:spacing w:after="0" w:line="5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$6 billion of assets under management as of September 30, 2013. TPG Special Situations Partners is the special situations and credit platform of TPG, a leading global private investment firm founded in 1992 with over $55 billion of assets under management as of September 30, 2013.</w:t>
      </w:r>
    </w:p>
    <w:p>
      <w:pPr>
        <w:spacing w:after="0" w:line="6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Our exposure to below investment grade instruments involves certain risks, including speculation with respect to the borrower’s capacity to pay interest and repay principal.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is our initial public offering of our shares of common stock. All of the shares of common stock offered by this prospectus are being sold by us.</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are an “emerging growth company,” as defined in Section 2(a) of the U.S. Securities Act of 1933, and will be subject to reduced public company reporting requirements.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Our shares of common stock have no history of public trading. </w:t>
      </w:r>
      <w:r>
        <w:rPr>
          <w:rFonts w:ascii="Arial" w:cs="Arial" w:eastAsia="Arial" w:hAnsi="Arial"/>
          <w:sz w:val="15"/>
          <w:szCs w:val="15"/>
          <w:color w:val="auto"/>
        </w:rPr>
        <w:t>We currently expect that the initial public offering price per share of our common stock</w:t>
      </w:r>
    </w:p>
    <w:p>
      <w:pPr>
        <w:spacing w:after="0" w:line="56" w:lineRule="exact"/>
        <w:rPr>
          <w:sz w:val="20"/>
          <w:szCs w:val="20"/>
          <w:color w:val="auto"/>
        </w:rPr>
      </w:pPr>
    </w:p>
    <w:p>
      <w:pPr>
        <w:spacing w:after="0"/>
        <w:tabs>
          <w:tab w:leader="none" w:pos="1800" w:val="left"/>
          <w:tab w:leader="none" w:pos="2580" w:val="left"/>
        </w:tabs>
        <w:rPr>
          <w:sz w:val="20"/>
          <w:szCs w:val="20"/>
          <w:color w:val="auto"/>
        </w:rPr>
      </w:pPr>
      <w:r>
        <w:rPr>
          <w:rFonts w:ascii="Arial" w:cs="Arial" w:eastAsia="Arial" w:hAnsi="Arial"/>
          <w:sz w:val="18"/>
          <w:szCs w:val="18"/>
          <w:color w:val="auto"/>
        </w:rPr>
        <w:t>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We intend to apply to have our common stock listed on the New York Stock Exchange under the symbol “TSLX.”</w:t>
      </w:r>
    </w:p>
    <w:p>
      <w:pPr>
        <w:sectPr>
          <w:pgSz w:w="11900" w:h="16838" w:orient="portrait"/>
          <w:cols w:equalWidth="0" w:num="1">
            <w:col w:w="11420"/>
          </w:cols>
          <w:pgMar w:left="240" w:top="459" w:right="239" w:bottom="483" w:gutter="0" w:footer="0" w:header="0"/>
        </w:sectPr>
      </w:pP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Assuming an initial public offering price of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per share, purchasers in this offering will experience dilution of approximately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per share. See</w:t>
      </w:r>
    </w:p>
    <w:p>
      <w:pPr>
        <w:spacing w:after="0" w:line="60" w:lineRule="exact"/>
        <w:rPr>
          <w:sz w:val="20"/>
          <w:szCs w:val="20"/>
          <w:color w:val="auto"/>
        </w:rPr>
      </w:pPr>
    </w:p>
    <w:p>
      <w:pPr>
        <w:sectPr>
          <w:pgSz w:w="11900" w:h="16838" w:orient="portrait"/>
          <w:cols w:equalWidth="0" w:num="3">
            <w:col w:w="3640" w:space="400"/>
            <w:col w:w="5660" w:space="560"/>
            <w:col w:w="1160"/>
          </w:cols>
          <w:pgMar w:left="240" w:top="459" w:right="239" w:bottom="483" w:gutter="0" w:footer="0" w:header="0"/>
          <w:type w:val="continuous"/>
        </w:sectPr>
      </w:pPr>
    </w:p>
    <w:p>
      <w:pPr>
        <w:spacing w:after="0"/>
        <w:rPr>
          <w:sz w:val="20"/>
          <w:szCs w:val="20"/>
          <w:color w:val="auto"/>
        </w:rPr>
      </w:pPr>
      <w:r>
        <w:rPr>
          <w:rFonts w:ascii="Arial" w:cs="Arial" w:eastAsia="Arial" w:hAnsi="Arial"/>
          <w:sz w:val="16"/>
          <w:szCs w:val="16"/>
          <w:color w:val="auto"/>
        </w:rPr>
        <w:t>“Dilution” for more information.</w:t>
      </w:r>
    </w:p>
    <w:p>
      <w:pPr>
        <w:sectPr>
          <w:pgSz w:w="11900" w:h="16838" w:orient="portrait"/>
          <w:cols w:equalWidth="0" w:num="1">
            <w:col w:w="11420"/>
          </w:cols>
          <w:pgMar w:left="240" w:top="459" w:right="239" w:bottom="483" w:gutter="0" w:footer="0" w:header="0"/>
          <w:type w:val="continuous"/>
        </w:sectPr>
      </w:pPr>
    </w:p>
    <w:p>
      <w:pPr>
        <w:spacing w:after="0" w:line="101" w:lineRule="exact"/>
        <w:rPr>
          <w:sz w:val="20"/>
          <w:szCs w:val="20"/>
          <w:color w:val="auto"/>
        </w:rPr>
      </w:pPr>
    </w:p>
    <w:p>
      <w:pPr>
        <w:ind w:right="40" w:firstLine="456"/>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Shares of closed-end investment companies, including business development companies, frequently trade at a discount to their net asset values. If our shares trade at a discount to our net asset value, purchasers in this offering will face increased risk of loss. In addition, the companies in which we invest are subject to special risks. Before buying any shares, you should read the discussion of the material risks of investing in our common stock, including the risk of leverage, in “</w:t>
      </w:r>
      <w:hyperlink w:anchor="page2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21 of this prospectus.</w:t>
      </w:r>
    </w:p>
    <w:p>
      <w:pPr>
        <w:spacing w:after="0" w:line="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contains important information you should know before investing in our common stock. Information required to be included in a Statement of Additional Information may be found in this prospectus. Please read it before you invest and keep it for future reference.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The Securities and Exchange Commission also maintains a website at http://www.sec.gov that contains this information.</w:t>
      </w:r>
    </w:p>
    <w:p>
      <w:pPr>
        <w:spacing w:after="0" w:line="33"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has not approved or disapproved these securities or determined if this prospectus is truthful or complete. Any representation to the contrary is a criminal offense.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jc w:val="right"/>
              <w:ind w:right="149"/>
              <w:spacing w:after="0"/>
              <w:rPr>
                <w:sz w:val="20"/>
                <w:szCs w:val="20"/>
                <w:color w:val="auto"/>
              </w:rPr>
            </w:pPr>
            <w:r>
              <w:rPr>
                <w:rFonts w:ascii="Arial" w:cs="Arial" w:eastAsia="Arial" w:hAnsi="Arial"/>
                <w:sz w:val="14"/>
                <w:szCs w:val="14"/>
                <w:b w:val="1"/>
                <w:bCs w:val="1"/>
                <w:color w:val="auto"/>
              </w:rPr>
              <w:t>Per</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b w:val="1"/>
                <w:bCs w:val="1"/>
                <w:color w:val="auto"/>
              </w:rPr>
              <w:t>Share</w:t>
            </w:r>
          </w:p>
        </w:tc>
        <w:tc>
          <w:tcPr>
            <w:tcW w:w="520" w:type="dxa"/>
            <w:vAlign w:val="bottom"/>
          </w:tcPr>
          <w:p>
            <w:pPr>
              <w:spacing w:after="0"/>
              <w:rPr>
                <w:sz w:val="14"/>
                <w:szCs w:val="14"/>
                <w:color w:val="auto"/>
              </w:rPr>
            </w:pPr>
          </w:p>
        </w:tc>
        <w:tc>
          <w:tcPr>
            <w:tcW w:w="156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7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2"/>
              </w:rPr>
              <w:t>Sales load (underwriting discounts and commissions)</w:t>
            </w: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46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expenses(1)</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4180" w:type="dxa"/>
            <w:vAlign w:val="bottom"/>
            <w:gridSpan w:val="2"/>
          </w:tcPr>
          <w:p>
            <w:pPr>
              <w:spacing w:after="0"/>
              <w:rPr>
                <w:sz w:val="9"/>
                <w:szCs w:val="9"/>
                <w:color w:val="auto"/>
              </w:rPr>
            </w:pPr>
          </w:p>
        </w:tc>
        <w:tc>
          <w:tcPr>
            <w:tcW w:w="2320" w:type="dxa"/>
            <w:vAlign w:val="bottom"/>
            <w:gridSpan w:val="2"/>
          </w:tcPr>
          <w:p>
            <w:pPr>
              <w:spacing w:after="0"/>
              <w:rPr>
                <w:sz w:val="9"/>
                <w:szCs w:val="9"/>
                <w:color w:val="auto"/>
              </w:rPr>
            </w:pPr>
          </w:p>
        </w:tc>
        <w:tc>
          <w:tcPr>
            <w:tcW w:w="3240" w:type="dxa"/>
            <w:vAlign w:val="bottom"/>
            <w:gridSpan w:val="6"/>
          </w:tcPr>
          <w:p>
            <w:pPr>
              <w:spacing w:after="0"/>
              <w:rPr>
                <w:sz w:val="9"/>
                <w:szCs w:val="9"/>
                <w:color w:val="auto"/>
              </w:rPr>
            </w:pPr>
          </w:p>
        </w:tc>
      </w:tr>
      <w:tr>
        <w:trPr>
          <w:trHeight w:val="235"/>
        </w:trPr>
        <w:tc>
          <w:tcPr>
            <w:tcW w:w="5340" w:type="dxa"/>
            <w:vAlign w:val="bottom"/>
            <w:gridSpan w:val="3"/>
          </w:tcPr>
          <w:p>
            <w:pPr>
              <w:spacing w:after="0"/>
              <w:rPr>
                <w:sz w:val="20"/>
                <w:szCs w:val="20"/>
                <w:color w:val="auto"/>
              </w:rPr>
            </w:pPr>
            <w:r>
              <w:rPr>
                <w:rFonts w:ascii="Arial" w:cs="Arial" w:eastAsia="Arial" w:hAnsi="Arial"/>
                <w:sz w:val="18"/>
                <w:szCs w:val="18"/>
                <w:color w:val="auto"/>
                <w:w w:val="93"/>
              </w:rPr>
              <w:t>(1)  We estimate that we will incur offering expenses of approximately $</w:t>
            </w:r>
          </w:p>
        </w:tc>
        <w:tc>
          <w:tcPr>
            <w:tcW w:w="2320" w:type="dxa"/>
            <w:vAlign w:val="bottom"/>
            <w:gridSpan w:val="2"/>
          </w:tcPr>
          <w:p>
            <w:pPr>
              <w:ind w:left="200"/>
              <w:spacing w:after="0"/>
              <w:rPr>
                <w:sz w:val="20"/>
                <w:szCs w:val="20"/>
                <w:color w:val="auto"/>
              </w:rPr>
            </w:pPr>
            <w:r>
              <w:rPr>
                <w:rFonts w:ascii="Arial" w:cs="Arial" w:eastAsia="Arial" w:hAnsi="Arial"/>
                <w:sz w:val="18"/>
                <w:szCs w:val="18"/>
                <w:color w:val="auto"/>
              </w:rPr>
              <w:t>million, or approximately $</w:t>
            </w:r>
          </w:p>
        </w:tc>
        <w:tc>
          <w:tcPr>
            <w:tcW w:w="3240" w:type="dxa"/>
            <w:vAlign w:val="bottom"/>
            <w:gridSpan w:val="6"/>
          </w:tcPr>
          <w:p>
            <w:pPr>
              <w:ind w:left="200"/>
              <w:spacing w:after="0"/>
              <w:rPr>
                <w:sz w:val="20"/>
                <w:szCs w:val="20"/>
                <w:color w:val="auto"/>
              </w:rPr>
            </w:pPr>
            <w:r>
              <w:rPr>
                <w:rFonts w:ascii="Arial" w:cs="Arial" w:eastAsia="Arial" w:hAnsi="Arial"/>
                <w:sz w:val="18"/>
                <w:szCs w:val="18"/>
                <w:color w:val="auto"/>
                <w:w w:val="90"/>
              </w:rPr>
              <w:t>per share, in connection with this offering.</w:t>
            </w:r>
          </w:p>
        </w:tc>
      </w:tr>
      <w:tr>
        <w:trPr>
          <w:trHeight w:val="297"/>
        </w:trPr>
        <w:tc>
          <w:tcPr>
            <w:tcW w:w="7100" w:type="dxa"/>
            <w:vAlign w:val="bottom"/>
            <w:gridSpan w:val="4"/>
          </w:tcPr>
          <w:p>
            <w:pPr>
              <w:ind w:left="460"/>
              <w:spacing w:after="0"/>
              <w:rPr>
                <w:sz w:val="20"/>
                <w:szCs w:val="20"/>
                <w:color w:val="auto"/>
              </w:rPr>
            </w:pPr>
            <w:r>
              <w:rPr>
                <w:rFonts w:ascii="Arial" w:cs="Arial" w:eastAsia="Arial" w:hAnsi="Arial"/>
                <w:sz w:val="18"/>
                <w:szCs w:val="18"/>
                <w:color w:val="auto"/>
                <w:w w:val="91"/>
              </w:rPr>
              <w:t>We have granted the underwriters an over-allotment option to purchase up to an additional</w:t>
            </w:r>
          </w:p>
        </w:tc>
        <w:tc>
          <w:tcPr>
            <w:tcW w:w="3800" w:type="dxa"/>
            <w:vAlign w:val="bottom"/>
            <w:gridSpan w:val="7"/>
          </w:tcPr>
          <w:p>
            <w:pPr>
              <w:ind w:left="280"/>
              <w:spacing w:after="0"/>
              <w:rPr>
                <w:sz w:val="20"/>
                <w:szCs w:val="20"/>
                <w:color w:val="auto"/>
              </w:rPr>
            </w:pPr>
            <w:r>
              <w:rPr>
                <w:rFonts w:ascii="Arial" w:cs="Arial" w:eastAsia="Arial" w:hAnsi="Arial"/>
                <w:sz w:val="18"/>
                <w:szCs w:val="18"/>
                <w:color w:val="auto"/>
                <w:w w:val="87"/>
              </w:rPr>
              <w:t>shares of our common stock from us, at the public</w:t>
            </w:r>
          </w:p>
        </w:tc>
      </w:tr>
    </w:tbl>
    <w:p>
      <w:pPr>
        <w:spacing w:after="0"/>
        <w:rPr>
          <w:sz w:val="20"/>
          <w:szCs w:val="20"/>
          <w:color w:val="auto"/>
        </w:rPr>
      </w:pPr>
      <w:r>
        <w:rPr>
          <w:rFonts w:ascii="Arial" w:cs="Arial" w:eastAsia="Arial" w:hAnsi="Arial"/>
          <w:sz w:val="16"/>
          <w:szCs w:val="16"/>
          <w:color w:val="auto"/>
        </w:rPr>
        <w:t>offering price, less the sales load payable by us, within 30 days from the date of this prospectus. If the underwriters exercise their over-allotment option in full, the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total sales load will be $</w:t>
            </w:r>
          </w:p>
        </w:tc>
        <w:tc>
          <w:tcPr>
            <w:tcW w:w="4900" w:type="dxa"/>
            <w:vAlign w:val="bottom"/>
            <w:gridSpan w:val="2"/>
          </w:tcPr>
          <w:p>
            <w:pPr>
              <w:ind w:left="280"/>
              <w:spacing w:after="0"/>
              <w:rPr>
                <w:sz w:val="20"/>
                <w:szCs w:val="20"/>
                <w:color w:val="auto"/>
              </w:rPr>
            </w:pPr>
            <w:r>
              <w:rPr>
                <w:rFonts w:ascii="Arial" w:cs="Arial" w:eastAsia="Arial" w:hAnsi="Arial"/>
                <w:sz w:val="18"/>
                <w:szCs w:val="18"/>
                <w:color w:val="auto"/>
                <w:w w:val="98"/>
              </w:rPr>
              <w:t>million and total proceeds to us, before expenses, will be $</w:t>
            </w:r>
          </w:p>
        </w:tc>
        <w:tc>
          <w:tcPr>
            <w:tcW w:w="1280" w:type="dxa"/>
            <w:vAlign w:val="bottom"/>
          </w:tcPr>
          <w:p>
            <w:pPr>
              <w:jc w:val="right"/>
              <w:ind w:right="572"/>
              <w:spacing w:after="0"/>
              <w:rPr>
                <w:sz w:val="20"/>
                <w:szCs w:val="20"/>
                <w:color w:val="auto"/>
              </w:rPr>
            </w:pPr>
            <w:r>
              <w:rPr>
                <w:rFonts w:ascii="Arial" w:cs="Arial" w:eastAsia="Arial" w:hAnsi="Arial"/>
                <w:sz w:val="18"/>
                <w:szCs w:val="18"/>
                <w:color w:val="auto"/>
              </w:rPr>
              <w:t>million.</w:t>
            </w:r>
          </w:p>
        </w:tc>
        <w:tc>
          <w:tcPr>
            <w:tcW w:w="3240" w:type="dxa"/>
            <w:vAlign w:val="bottom"/>
          </w:tcPr>
          <w:p>
            <w:pPr>
              <w:spacing w:after="0"/>
              <w:rPr>
                <w:sz w:val="19"/>
                <w:szCs w:val="19"/>
                <w:color w:val="auto"/>
              </w:rPr>
            </w:pPr>
          </w:p>
        </w:tc>
      </w:tr>
      <w:tr>
        <w:trPr>
          <w:trHeight w:val="158"/>
        </w:trPr>
        <w:tc>
          <w:tcPr>
            <w:tcW w:w="20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240" w:type="dxa"/>
            <w:vAlign w:val="bottom"/>
          </w:tcPr>
          <w:p>
            <w:pPr>
              <w:spacing w:after="0"/>
              <w:rPr>
                <w:sz w:val="13"/>
                <w:szCs w:val="13"/>
                <w:color w:val="auto"/>
              </w:rPr>
            </w:pPr>
          </w:p>
        </w:tc>
      </w:tr>
      <w:tr>
        <w:trPr>
          <w:trHeight w:val="289"/>
        </w:trPr>
        <w:tc>
          <w:tcPr>
            <w:tcW w:w="2000" w:type="dxa"/>
            <w:vAlign w:val="bottom"/>
          </w:tcPr>
          <w:p>
            <w:pPr>
              <w:spacing w:after="0"/>
              <w:rPr>
                <w:sz w:val="24"/>
                <w:szCs w:val="24"/>
                <w:color w:val="auto"/>
              </w:rPr>
            </w:pPr>
          </w:p>
        </w:tc>
        <w:tc>
          <w:tcPr>
            <w:tcW w:w="6180" w:type="dxa"/>
            <w:vAlign w:val="bottom"/>
            <w:gridSpan w:val="3"/>
          </w:tcPr>
          <w:p>
            <w:pPr>
              <w:jc w:val="center"/>
              <w:ind w:left="187"/>
              <w:spacing w:after="0"/>
              <w:rPr>
                <w:sz w:val="20"/>
                <w:szCs w:val="20"/>
                <w:color w:val="auto"/>
              </w:rPr>
            </w:pPr>
            <w:r>
              <w:rPr>
                <w:rFonts w:ascii="Arial" w:cs="Arial" w:eastAsia="Arial" w:hAnsi="Arial"/>
                <w:sz w:val="18"/>
                <w:szCs w:val="18"/>
                <w:color w:val="auto"/>
                <w:w w:val="89"/>
              </w:rPr>
              <w:t>The shares of our common stock will be ready for delivery on or about</w:t>
            </w:r>
          </w:p>
        </w:tc>
        <w:tc>
          <w:tcPr>
            <w:tcW w:w="3240" w:type="dxa"/>
            <w:vAlign w:val="bottom"/>
          </w:tcPr>
          <w:p>
            <w:pPr>
              <w:jc w:val="right"/>
              <w:ind w:right="2634"/>
              <w:spacing w:after="0"/>
              <w:rPr>
                <w:sz w:val="20"/>
                <w:szCs w:val="20"/>
                <w:color w:val="auto"/>
              </w:rPr>
            </w:pPr>
            <w:r>
              <w:rPr>
                <w:rFonts w:ascii="Arial" w:cs="Arial" w:eastAsia="Arial" w:hAnsi="Arial"/>
                <w:sz w:val="18"/>
                <w:szCs w:val="18"/>
                <w:color w:val="auto"/>
              </w:rPr>
              <w:t>.</w:t>
            </w:r>
          </w:p>
        </w:tc>
      </w:tr>
      <w:tr>
        <w:trPr>
          <w:trHeight w:val="297"/>
        </w:trPr>
        <w:tc>
          <w:tcPr>
            <w:tcW w:w="20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8"/>
                <w:szCs w:val="18"/>
                <w:i w:val="1"/>
                <w:iCs w:val="1"/>
                <w:color w:val="auto"/>
                <w:w w:val="89"/>
              </w:rPr>
              <w:t>Joint Book-Running Managers</w:t>
            </w:r>
          </w:p>
        </w:tc>
        <w:tc>
          <w:tcPr>
            <w:tcW w:w="12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07"/>
        </w:trPr>
        <w:tc>
          <w:tcPr>
            <w:tcW w:w="2000" w:type="dxa"/>
            <w:vAlign w:val="bottom"/>
          </w:tcPr>
          <w:p>
            <w:pPr>
              <w:spacing w:after="0"/>
              <w:rPr>
                <w:sz w:val="20"/>
                <w:szCs w:val="20"/>
                <w:color w:val="auto"/>
              </w:rPr>
            </w:pPr>
            <w:r>
              <w:rPr>
                <w:rFonts w:ascii="Arial" w:cs="Arial" w:eastAsia="Arial" w:hAnsi="Arial"/>
                <w:sz w:val="24"/>
                <w:szCs w:val="24"/>
                <w:b w:val="1"/>
                <w:bCs w:val="1"/>
                <w:color w:val="auto"/>
              </w:rPr>
              <w:t>J.P. Morgan</w:t>
            </w:r>
          </w:p>
        </w:tc>
        <w:tc>
          <w:tcPr>
            <w:tcW w:w="2540" w:type="dxa"/>
            <w:vAlign w:val="bottom"/>
          </w:tcPr>
          <w:p>
            <w:pPr>
              <w:spacing w:after="0"/>
              <w:rPr>
                <w:sz w:val="24"/>
                <w:szCs w:val="24"/>
                <w:color w:val="auto"/>
              </w:rPr>
            </w:pPr>
          </w:p>
        </w:tc>
        <w:tc>
          <w:tcPr>
            <w:tcW w:w="3640" w:type="dxa"/>
            <w:vAlign w:val="bottom"/>
            <w:gridSpan w:val="2"/>
          </w:tcPr>
          <w:p>
            <w:pPr>
              <w:jc w:val="right"/>
              <w:ind w:right="772"/>
              <w:spacing w:after="0"/>
              <w:rPr>
                <w:sz w:val="20"/>
                <w:szCs w:val="20"/>
                <w:color w:val="auto"/>
              </w:rPr>
            </w:pPr>
            <w:r>
              <w:rPr>
                <w:rFonts w:ascii="Arial" w:cs="Arial" w:eastAsia="Arial" w:hAnsi="Arial"/>
                <w:sz w:val="24"/>
                <w:szCs w:val="24"/>
                <w:b w:val="1"/>
                <w:bCs w:val="1"/>
                <w:color w:val="auto"/>
              </w:rPr>
              <w:t>BofA Merrill Lynch</w:t>
            </w:r>
          </w:p>
        </w:tc>
        <w:tc>
          <w:tcPr>
            <w:tcW w:w="3240" w:type="dxa"/>
            <w:vAlign w:val="bottom"/>
          </w:tcPr>
          <w:p>
            <w:pPr>
              <w:jc w:val="right"/>
              <w:spacing w:after="0"/>
              <w:rPr>
                <w:sz w:val="20"/>
                <w:szCs w:val="20"/>
                <w:color w:val="auto"/>
              </w:rPr>
            </w:pPr>
            <w:r>
              <w:rPr>
                <w:rFonts w:ascii="Arial" w:cs="Arial" w:eastAsia="Arial" w:hAnsi="Arial"/>
                <w:sz w:val="24"/>
                <w:szCs w:val="24"/>
                <w:b w:val="1"/>
                <w:bCs w:val="1"/>
                <w:color w:val="auto"/>
              </w:rPr>
              <w:t>Goldman, Sachs &amp; Co.</w:t>
            </w:r>
          </w:p>
        </w:tc>
      </w:tr>
      <w:tr>
        <w:trPr>
          <w:trHeight w:val="281"/>
        </w:trPr>
        <w:tc>
          <w:tcPr>
            <w:tcW w:w="2000" w:type="dxa"/>
            <w:vAlign w:val="bottom"/>
          </w:tcPr>
          <w:p>
            <w:pPr>
              <w:ind w:left="440"/>
              <w:spacing w:after="0"/>
              <w:rPr>
                <w:sz w:val="20"/>
                <w:szCs w:val="20"/>
                <w:color w:val="auto"/>
              </w:rPr>
            </w:pPr>
            <w:r>
              <w:rPr>
                <w:rFonts w:ascii="Arial" w:cs="Arial" w:eastAsia="Arial" w:hAnsi="Arial"/>
                <w:sz w:val="22"/>
                <w:szCs w:val="22"/>
                <w:b w:val="1"/>
                <w:bCs w:val="1"/>
                <w:color w:val="auto"/>
              </w:rPr>
              <w:t>Citigroup</w:t>
            </w:r>
          </w:p>
        </w:tc>
        <w:tc>
          <w:tcPr>
            <w:tcW w:w="4900" w:type="dxa"/>
            <w:vAlign w:val="bottom"/>
            <w:gridSpan w:val="2"/>
          </w:tcPr>
          <w:p>
            <w:pPr>
              <w:ind w:left="2060"/>
              <w:spacing w:after="0"/>
              <w:rPr>
                <w:sz w:val="20"/>
                <w:szCs w:val="20"/>
                <w:color w:val="auto"/>
              </w:rPr>
            </w:pPr>
            <w:r>
              <w:rPr>
                <w:rFonts w:ascii="Arial" w:cs="Arial" w:eastAsia="Arial" w:hAnsi="Arial"/>
                <w:sz w:val="22"/>
                <w:szCs w:val="22"/>
                <w:b w:val="1"/>
                <w:bCs w:val="1"/>
                <w:color w:val="auto"/>
              </w:rPr>
              <w:t>Wells Fargo Securities</w:t>
            </w:r>
          </w:p>
        </w:tc>
        <w:tc>
          <w:tcPr>
            <w:tcW w:w="1280" w:type="dxa"/>
            <w:vAlign w:val="bottom"/>
          </w:tcPr>
          <w:p>
            <w:pPr>
              <w:spacing w:after="0"/>
              <w:rPr>
                <w:sz w:val="24"/>
                <w:szCs w:val="24"/>
                <w:color w:val="auto"/>
              </w:rPr>
            </w:pPr>
          </w:p>
        </w:tc>
        <w:tc>
          <w:tcPr>
            <w:tcW w:w="3240" w:type="dxa"/>
            <w:vAlign w:val="bottom"/>
          </w:tcPr>
          <w:p>
            <w:pPr>
              <w:jc w:val="right"/>
              <w:ind w:right="434"/>
              <w:spacing w:after="0"/>
              <w:rPr>
                <w:sz w:val="20"/>
                <w:szCs w:val="20"/>
                <w:color w:val="auto"/>
              </w:rPr>
            </w:pPr>
            <w:r>
              <w:rPr>
                <w:rFonts w:ascii="Arial" w:cs="Arial" w:eastAsia="Arial" w:hAnsi="Arial"/>
                <w:sz w:val="22"/>
                <w:szCs w:val="22"/>
                <w:b w:val="1"/>
                <w:bCs w:val="1"/>
                <w:color w:val="auto"/>
              </w:rPr>
              <w:t>Barclays</w:t>
            </w:r>
          </w:p>
        </w:tc>
      </w:tr>
      <w:tr>
        <w:trPr>
          <w:trHeight w:val="231"/>
        </w:trPr>
        <w:tc>
          <w:tcPr>
            <w:tcW w:w="2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8"/>
                <w:szCs w:val="18"/>
                <w:i w:val="1"/>
                <w:iCs w:val="1"/>
                <w:color w:val="auto"/>
                <w:w w:val="89"/>
              </w:rPr>
              <w:t>Co-Managers</w:t>
            </w:r>
          </w:p>
        </w:tc>
        <w:tc>
          <w:tcPr>
            <w:tcW w:w="128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97"/>
        </w:trPr>
        <w:tc>
          <w:tcPr>
            <w:tcW w:w="2000" w:type="dxa"/>
            <w:vAlign w:val="bottom"/>
          </w:tcPr>
          <w:p>
            <w:pPr>
              <w:spacing w:after="0"/>
              <w:rPr>
                <w:sz w:val="24"/>
                <w:szCs w:val="24"/>
                <w:color w:val="auto"/>
              </w:rPr>
            </w:pPr>
          </w:p>
        </w:tc>
        <w:tc>
          <w:tcPr>
            <w:tcW w:w="4900" w:type="dxa"/>
            <w:vAlign w:val="bottom"/>
            <w:gridSpan w:val="2"/>
          </w:tcPr>
          <w:p>
            <w:pPr>
              <w:jc w:val="center"/>
              <w:ind w:left="1507"/>
              <w:spacing w:after="0"/>
              <w:rPr>
                <w:sz w:val="20"/>
                <w:szCs w:val="20"/>
                <w:color w:val="auto"/>
              </w:rPr>
            </w:pPr>
            <w:r>
              <w:rPr>
                <w:rFonts w:ascii="Arial" w:cs="Arial" w:eastAsia="Arial" w:hAnsi="Arial"/>
                <w:sz w:val="18"/>
                <w:szCs w:val="18"/>
                <w:color w:val="auto"/>
                <w:w w:val="87"/>
              </w:rPr>
              <w:t>The date of this prospectus is</w:t>
            </w:r>
          </w:p>
        </w:tc>
        <w:tc>
          <w:tcPr>
            <w:tcW w:w="128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3240" w:type="dxa"/>
            <w:vAlign w:val="bottom"/>
          </w:tcPr>
          <w:p>
            <w:pPr>
              <w:spacing w:after="0"/>
              <w:rPr>
                <w:sz w:val="24"/>
                <w:szCs w:val="24"/>
                <w:color w:val="auto"/>
              </w:rPr>
            </w:pPr>
          </w:p>
        </w:tc>
      </w:tr>
    </w:tbl>
    <w:p>
      <w:pPr>
        <w:sectPr>
          <w:pgSz w:w="11900" w:h="16838" w:orient="portrait"/>
          <w:cols w:equalWidth="0" w:num="1">
            <w:col w:w="11420"/>
          </w:cols>
          <w:pgMar w:left="240" w:top="459" w:right="239" w:bottom="483"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and the underwriters have not, authorized anyone to give you any information other than in this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20" w:type="dxa"/>
            <w:vAlign w:val="bottom"/>
            <w:gridSpan w:val="5"/>
          </w:tcPr>
          <w:p>
            <w:pPr>
              <w:ind w:left="60"/>
              <w:spacing w:after="0"/>
              <w:rPr>
                <w:sz w:val="20"/>
                <w:szCs w:val="20"/>
                <w:color w:val="auto"/>
              </w:rPr>
            </w:pPr>
            <w:r>
              <w:rPr>
                <w:rFonts w:ascii="Arial" w:cs="Arial" w:eastAsia="Arial" w:hAnsi="Arial"/>
                <w:sz w:val="18"/>
                <w:szCs w:val="18"/>
                <w:color w:val="auto"/>
              </w:rPr>
              <w:t>TABLE OF CONTENTS</w:t>
            </w:r>
          </w:p>
        </w:tc>
        <w:tc>
          <w:tcPr>
            <w:tcW w:w="1440" w:type="dxa"/>
            <w:vAlign w:val="bottom"/>
          </w:tcPr>
          <w:p>
            <w:pPr>
              <w:spacing w:after="0"/>
              <w:rPr>
                <w:sz w:val="19"/>
                <w:szCs w:val="19"/>
                <w:color w:val="auto"/>
              </w:rPr>
            </w:pPr>
          </w:p>
        </w:tc>
      </w:tr>
      <w:tr>
        <w:trPr>
          <w:trHeight w:val="380"/>
        </w:trPr>
        <w:tc>
          <w:tcPr>
            <w:tcW w:w="9880" w:type="dxa"/>
            <w:vAlign w:val="bottom"/>
            <w:gridSpan w:val="3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THE OFFERING SUMMARY</w:t>
              </w:r>
            </w:hyperlink>
          </w:p>
        </w:tc>
        <w:tc>
          <w:tcPr>
            <w:tcW w:w="7680" w:type="dxa"/>
            <w:vAlign w:val="bottom"/>
            <w:gridSpan w:val="1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FEES AND EXPENSES</w:t>
              </w:r>
            </w:hyperlink>
          </w:p>
        </w:tc>
        <w:tc>
          <w:tcPr>
            <w:tcW w:w="8120" w:type="dxa"/>
            <w:vAlign w:val="bottom"/>
            <w:gridSpan w:val="1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50">
              <w:r>
                <w:rPr>
                  <w:rFonts w:ascii="Arial" w:cs="Arial" w:eastAsia="Arial" w:hAnsi="Arial"/>
                  <w:sz w:val="18"/>
                  <w:szCs w:val="18"/>
                  <w:color w:val="0000EE"/>
                  <w:w w:val="93"/>
                </w:rPr>
                <w:t>SPECIAL NOTE REGARDING FORWARD-LOOKING STATEMENTS</w:t>
              </w:r>
            </w:hyperlink>
          </w:p>
        </w:tc>
        <w:tc>
          <w:tcPr>
            <w:tcW w:w="466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52">
              <w:r>
                <w:rPr>
                  <w:rFonts w:ascii="Arial" w:cs="Arial" w:eastAsia="Arial" w:hAnsi="Arial"/>
                  <w:sz w:val="18"/>
                  <w:szCs w:val="18"/>
                  <w:color w:val="0000EE"/>
                  <w:w w:val="94"/>
                </w:rPr>
                <w:t>DISTRIBUTIONS</w:t>
              </w:r>
            </w:hyperlink>
          </w:p>
        </w:tc>
        <w:tc>
          <w:tcPr>
            <w:tcW w:w="200" w:type="dxa"/>
            <w:vAlign w:val="bottom"/>
            <w:tcBorders>
              <w:top w:val="single" w:sz="8" w:color="0000EE"/>
            </w:tcBorders>
            <w:gridSpan w:val="4"/>
          </w:tcPr>
          <w:p>
            <w:pPr>
              <w:spacing w:after="0"/>
              <w:rPr>
                <w:sz w:val="17"/>
                <w:szCs w:val="17"/>
                <w:color w:val="auto"/>
              </w:rPr>
            </w:pPr>
          </w:p>
        </w:tc>
        <w:tc>
          <w:tcPr>
            <w:tcW w:w="8340" w:type="dxa"/>
            <w:vAlign w:val="bottom"/>
            <w:gridSpan w:val="2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CAPITALIZATION</w:t>
              </w:r>
            </w:hyperlink>
          </w:p>
        </w:tc>
        <w:tc>
          <w:tcPr>
            <w:tcW w:w="8440" w:type="dxa"/>
            <w:vAlign w:val="bottom"/>
            <w:gridSpan w:val="2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DILUTION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SELECTED FINANCIAL DATA AND OTHER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SENIOR SECURITIES</w:t>
              </w:r>
            </w:hyperlink>
          </w:p>
        </w:tc>
        <w:tc>
          <w:tcPr>
            <w:tcW w:w="1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THE COMPANY</w:t>
              </w:r>
            </w:hyperlink>
          </w:p>
        </w:tc>
        <w:tc>
          <w:tcPr>
            <w:tcW w:w="420" w:type="dxa"/>
            <w:vAlign w:val="bottom"/>
            <w:tcBorders>
              <w:top w:val="single" w:sz="8" w:color="0000EE"/>
            </w:tcBorders>
            <w:gridSpan w:val="7"/>
          </w:tcPr>
          <w:p>
            <w:pPr>
              <w:spacing w:after="0"/>
              <w:rPr>
                <w:sz w:val="17"/>
                <w:szCs w:val="17"/>
                <w:color w:val="auto"/>
              </w:rPr>
            </w:pPr>
          </w:p>
        </w:tc>
        <w:tc>
          <w:tcPr>
            <w:tcW w:w="8200" w:type="dxa"/>
            <w:vAlign w:val="bottom"/>
            <w:gridSpan w:val="2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PORTFOLIO COMPANIES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MANAGEMENT</w:t>
              </w:r>
            </w:hyperlink>
          </w:p>
        </w:tc>
        <w:tc>
          <w:tcPr>
            <w:tcW w:w="760" w:type="dxa"/>
            <w:vAlign w:val="bottom"/>
            <w:tcBorders>
              <w:top w:val="single" w:sz="8" w:color="0000EE"/>
            </w:tcBorders>
            <w:gridSpan w:val="8"/>
          </w:tcPr>
          <w:p>
            <w:pPr>
              <w:spacing w:after="0"/>
              <w:rPr>
                <w:sz w:val="17"/>
                <w:szCs w:val="17"/>
                <w:color w:val="auto"/>
              </w:rPr>
            </w:pPr>
          </w:p>
        </w:tc>
        <w:tc>
          <w:tcPr>
            <w:tcW w:w="7840" w:type="dxa"/>
            <w:vAlign w:val="bottom"/>
            <w:gridSpan w:val="1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356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111">
              <w:r>
                <w:rPr>
                  <w:rFonts w:ascii="Arial" w:cs="Arial" w:eastAsia="Arial" w:hAnsi="Arial"/>
                  <w:sz w:val="18"/>
                  <w:szCs w:val="18"/>
                  <w:color w:val="0000EE"/>
                  <w:w w:val="95"/>
                </w:rPr>
                <w:t>MANAGEMENT AND OTHER AGREEMENTS</w:t>
              </w:r>
            </w:hyperlink>
          </w:p>
        </w:tc>
        <w:tc>
          <w:tcPr>
            <w:tcW w:w="6320" w:type="dxa"/>
            <w:vAlign w:val="bottom"/>
            <w:gridSpan w:val="1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RELATED-PARTY TRANSACTIONS AND CERTAIN RELATIONSHIPS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44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CONTROL PERSONS AND PRINCIPAL STOCKHOLDERS</w:t>
              </w:r>
            </w:hyperlink>
          </w:p>
        </w:tc>
        <w:tc>
          <w:tcPr>
            <w:tcW w:w="920" w:type="dxa"/>
            <w:vAlign w:val="bottom"/>
            <w:tcBorders>
              <w:top w:val="single" w:sz="8" w:color="0000EE"/>
            </w:tcBorders>
            <w:gridSpan w:val="5"/>
          </w:tcPr>
          <w:p>
            <w:pPr>
              <w:spacing w:after="0"/>
              <w:rPr>
                <w:sz w:val="17"/>
                <w:szCs w:val="17"/>
                <w:color w:val="auto"/>
              </w:rPr>
            </w:pPr>
          </w:p>
        </w:tc>
        <w:tc>
          <w:tcPr>
            <w:tcW w:w="452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33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28">
              <w:r>
                <w:rPr>
                  <w:rFonts w:ascii="Arial" w:cs="Arial" w:eastAsia="Arial" w:hAnsi="Arial"/>
                  <w:sz w:val="18"/>
                  <w:szCs w:val="18"/>
                  <w:color w:val="0000EE"/>
                  <w:w w:val="94"/>
                </w:rPr>
                <w:t>DETERMINATION OF NET ASSET VALUE</w:t>
              </w:r>
            </w:hyperlink>
          </w:p>
        </w:tc>
        <w:tc>
          <w:tcPr>
            <w:tcW w:w="6580" w:type="dxa"/>
            <w:vAlign w:val="bottom"/>
            <w:gridSpan w:val="1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27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29">
              <w:r>
                <w:rPr>
                  <w:rFonts w:ascii="Arial" w:cs="Arial" w:eastAsia="Arial" w:hAnsi="Arial"/>
                  <w:sz w:val="18"/>
                  <w:szCs w:val="18"/>
                  <w:color w:val="0000EE"/>
                  <w:w w:val="96"/>
                </w:rPr>
                <w:t>DIVIDEND REINVESTMENT PLAN</w:t>
              </w:r>
            </w:hyperlink>
          </w:p>
        </w:tc>
        <w:tc>
          <w:tcPr>
            <w:tcW w:w="7120" w:type="dxa"/>
            <w:vAlign w:val="bottom"/>
            <w:gridSpan w:val="1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196"/>
        </w:trPr>
        <w:tc>
          <w:tcPr>
            <w:tcW w:w="476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w:anchor="page131">
              <w:r>
                <w:rPr>
                  <w:rFonts w:ascii="Arial" w:cs="Arial" w:eastAsia="Arial" w:hAnsi="Arial"/>
                  <w:sz w:val="18"/>
                  <w:szCs w:val="18"/>
                  <w:color w:val="0000EE"/>
                  <w:w w:val="94"/>
                </w:rPr>
                <w:t>MATERIAL U.S. FEDERAL INCOME TAX CONSIDERATIONS</w:t>
              </w:r>
            </w:hyperlink>
          </w:p>
        </w:tc>
        <w:tc>
          <w:tcPr>
            <w:tcW w:w="5120" w:type="dxa"/>
            <w:vAlign w:val="bottom"/>
            <w:gridSpan w:val="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32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39">
              <w:r>
                <w:rPr>
                  <w:rFonts w:ascii="Arial" w:cs="Arial" w:eastAsia="Arial" w:hAnsi="Arial"/>
                  <w:sz w:val="18"/>
                  <w:szCs w:val="18"/>
                  <w:color w:val="0000EE"/>
                  <w:w w:val="92"/>
                </w:rPr>
                <w:t>DESCRIPTION OF OUR CAPITAL STOCK</w:t>
              </w:r>
            </w:hyperlink>
          </w:p>
        </w:tc>
        <w:tc>
          <w:tcPr>
            <w:tcW w:w="6660" w:type="dxa"/>
            <w:vAlign w:val="bottom"/>
            <w:gridSpan w:val="1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45">
              <w:r>
                <w:rPr>
                  <w:rFonts w:ascii="Arial" w:cs="Arial" w:eastAsia="Arial" w:hAnsi="Arial"/>
                  <w:sz w:val="18"/>
                  <w:szCs w:val="18"/>
                  <w:color w:val="0000EE"/>
                  <w:w w:val="93"/>
                </w:rPr>
                <w:t>REGULATION</w:t>
              </w:r>
            </w:hyperlink>
          </w:p>
        </w:tc>
        <w:tc>
          <w:tcPr>
            <w:tcW w:w="8760" w:type="dxa"/>
            <w:vAlign w:val="bottom"/>
            <w:gridSpan w:val="2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SHARES ELIGIBLE FOR FUTURE SALE</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3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UNDERWRITING</w:t>
              </w:r>
            </w:hyperlink>
          </w:p>
        </w:tc>
        <w:tc>
          <w:tcPr>
            <w:tcW w:w="6780" w:type="dxa"/>
            <w:vAlign w:val="bottom"/>
            <w:gridSpan w:val="1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CUSTODIAN, TRANSFER AND DIVIDEND PAYING AGENT AND REGISTRAR</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42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BROKERAGE ALLOCATION AND OTHER PRACTICES</w:t>
              </w:r>
            </w:hyperlink>
          </w:p>
        </w:tc>
        <w:tc>
          <w:tcPr>
            <w:tcW w:w="1800" w:type="dxa"/>
            <w:vAlign w:val="bottom"/>
            <w:tcBorders>
              <w:top w:val="single" w:sz="8" w:color="0000EE"/>
            </w:tcBorders>
            <w:gridSpan w:val="7"/>
          </w:tcPr>
          <w:p>
            <w:pPr>
              <w:spacing w:after="0"/>
              <w:rPr>
                <w:sz w:val="17"/>
                <w:szCs w:val="17"/>
                <w:color w:val="auto"/>
              </w:rPr>
            </w:pPr>
          </w:p>
        </w:tc>
        <w:tc>
          <w:tcPr>
            <w:tcW w:w="380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LEGAL MATTERS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EXPERTS</w:t>
              </w:r>
            </w:hyperlink>
          </w:p>
        </w:tc>
        <w:tc>
          <w:tcPr>
            <w:tcW w:w="660" w:type="dxa"/>
            <w:vAlign w:val="bottom"/>
            <w:tcBorders>
              <w:top w:val="single" w:sz="8" w:color="0000EE"/>
            </w:tcBorders>
            <w:gridSpan w:val="8"/>
          </w:tcPr>
          <w:p>
            <w:pPr>
              <w:spacing w:after="0"/>
              <w:rPr>
                <w:sz w:val="17"/>
                <w:szCs w:val="17"/>
                <w:color w:val="auto"/>
              </w:rPr>
            </w:pPr>
          </w:p>
        </w:tc>
        <w:tc>
          <w:tcPr>
            <w:tcW w:w="8460" w:type="dxa"/>
            <w:vAlign w:val="bottom"/>
            <w:gridSpan w:val="2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AVAILABLE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20"/>
        </w:trPr>
        <w:tc>
          <w:tcPr>
            <w:tcW w:w="2220" w:type="dxa"/>
            <w:vAlign w:val="bottom"/>
            <w:gridSpan w:val="16"/>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63">
              <w:r>
                <w:rPr>
                  <w:rFonts w:ascii="Arial" w:cs="Arial" w:eastAsia="Arial" w:hAnsi="Arial"/>
                  <w:sz w:val="18"/>
                  <w:szCs w:val="18"/>
                  <w:color w:val="0000EE"/>
                  <w:w w:val="95"/>
                </w:rPr>
                <w:t>INDEX TO FINANCIAL STATEMENTS</w:t>
              </w:r>
            </w:hyperlink>
          </w:p>
        </w:tc>
        <w:tc>
          <w:tcPr>
            <w:tcW w:w="6900" w:type="dxa"/>
            <w:vAlign w:val="bottom"/>
            <w:gridSpan w:val="1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44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APPENDIX A – DESCRIPTION OF SECURITIES RATINGS</w:t>
              </w:r>
            </w:hyperlink>
          </w:p>
        </w:tc>
        <w:tc>
          <w:tcPr>
            <w:tcW w:w="542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86" w:lineRule="exact"/>
        <w:rPr>
          <w:sz w:val="20"/>
          <w:szCs w:val="20"/>
          <w:color w:val="auto"/>
        </w:rPr>
      </w:pPr>
    </w:p>
    <w:p>
      <w:pPr>
        <w:ind w:left="200" w:right="200" w:firstLine="443"/>
        <w:spacing w:after="0" w:line="256" w:lineRule="auto"/>
        <w:rPr>
          <w:sz w:val="20"/>
          <w:szCs w:val="20"/>
          <w:color w:val="auto"/>
        </w:rPr>
      </w:pPr>
      <w:r>
        <w:rPr>
          <w:rFonts w:ascii="Arial" w:cs="Arial" w:eastAsia="Arial" w:hAnsi="Arial"/>
          <w:sz w:val="18"/>
          <w:szCs w:val="18"/>
          <w:i w:val="1"/>
          <w:iCs w:val="1"/>
          <w:color w:val="auto"/>
        </w:rPr>
        <w:t>As used in this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The term “TPG” refers to TPG Global, LLC and its affiliates.</w:t>
      </w:r>
    </w:p>
    <w:p>
      <w:pPr>
        <w:spacing w:after="0" w:line="89"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w:t>
      </w:r>
    </w:p>
    <w:p>
      <w:pPr>
        <w:spacing w:after="0" w:line="77"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assumes no exercise of the underwriters’ option to purchase additional shares of our common stock to cover over-allotments; and</w:t>
      </w:r>
    </w:p>
    <w:p>
      <w:pPr>
        <w:spacing w:after="0" w:line="99" w:lineRule="exact"/>
        <w:rPr>
          <w:rFonts w:ascii="Arial" w:cs="Arial" w:eastAsia="Arial" w:hAnsi="Arial"/>
          <w:sz w:val="16"/>
          <w:szCs w:val="16"/>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gives effect to our stock split in the form of a stock dividend on December 5, 2013, as described under “—Stock Split.”</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96" w:lineRule="exact"/>
        <w:rPr>
          <w:sz w:val="20"/>
          <w:szCs w:val="20"/>
          <w:color w:val="auto"/>
        </w:rPr>
      </w:pPr>
    </w:p>
    <w:p>
      <w:pPr>
        <w:ind w:left="200" w:right="120" w:firstLine="443"/>
        <w:spacing w:after="0" w:line="290"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$2.0 billion aggregate principal amount of investments and retained more than $1.3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18" w:lineRule="exact"/>
        <w:rPr>
          <w:sz w:val="20"/>
          <w:szCs w:val="20"/>
          <w:color w:val="auto"/>
        </w:rPr>
      </w:pPr>
    </w:p>
    <w:p>
      <w:pPr>
        <w:ind w:left="200" w:firstLine="443"/>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administration fees.</w:t>
      </w:r>
    </w:p>
    <w:p>
      <w:pPr>
        <w:spacing w:after="0" w:line="85"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initial public offering.</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96" w:lineRule="exact"/>
        <w:rPr>
          <w:sz w:val="20"/>
          <w:szCs w:val="20"/>
          <w:color w:val="auto"/>
        </w:rPr>
      </w:pPr>
    </w:p>
    <w:p>
      <w:pPr>
        <w:ind w:left="200" w:right="220" w:firstLine="443"/>
        <w:spacing w:after="0" w:line="29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60"/>
        <w:spacing w:after="0" w:line="298" w:lineRule="auto"/>
        <w:rPr>
          <w:sz w:val="20"/>
          <w:szCs w:val="20"/>
          <w:color w:val="auto"/>
        </w:rPr>
      </w:pPr>
      <w:r>
        <w:rPr>
          <w:rFonts w:ascii="Arial" w:cs="Arial" w:eastAsia="Arial" w:hAnsi="Arial"/>
          <w:sz w:val="16"/>
          <w:szCs w:val="16"/>
          <w:color w:val="auto"/>
        </w:rPr>
        <w:t>corporate bonds with similar features to these categories of first-lien loans. Our second-lien debt may include secured loans, and, to a lesser extent, secured corporate bonds, with a secondary priority behind first-lien debt. Based on fair value as of September 30, 2013, our portfolio consisted of 90.4% first-lien debt, 9.4% second-lien debt and 0.2% equity securities. Approximately 98.5% of our investments based on fair value as of September 30, 2013 are floating rate in nature, which we believe helps act as a portfolio-wide hedge against inflation.</w:t>
      </w:r>
    </w:p>
    <w:p>
      <w:pPr>
        <w:spacing w:after="0" w:line="113"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color w:val="auto"/>
        </w:rPr>
        <w:t>As of September 30, 2013, our porfolio was invested across 15 different industries. The largest industries in our portfolio based on fair value as of September 30, 2013 were healthcare and pharmaceuticals, which represented 15.5% of our portfolio, and business services, which represented 14.2% of our portfolio. We expect that no single investment will represent more than 15% of our total investment portfolio, based on fair value. See “Portfolio Companies” for more information on our portfolio as of September 30, 2013.</w:t>
      </w:r>
    </w:p>
    <w:p>
      <w:pPr>
        <w:spacing w:after="0" w:line="14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As of September 30, 2013, we had 29 investments in 25 portfolio companies with an aggregate fair value of $889.3 million. During the nine months ended September 30, 2013, we invested $352.6 million aggregate principal amount in eleven new portfolio companies and invested $53.1 million aggregate principal amount in ten existing portfolio companies. During this period, we had $160.4 million aggregate principal amount in exits and repayments resulting in net portfolio growth of $245.3 million aggregate principal amount.</w:t>
      </w:r>
    </w:p>
    <w:p>
      <w:pPr>
        <w:spacing w:after="0" w:line="143" w:lineRule="exact"/>
        <w:rPr>
          <w:sz w:val="20"/>
          <w:szCs w:val="20"/>
          <w:color w:val="auto"/>
        </w:rPr>
      </w:pPr>
    </w:p>
    <w:p>
      <w:pPr>
        <w:ind w:left="200" w:right="140" w:firstLine="443"/>
        <w:spacing w:after="0" w:line="256" w:lineRule="auto"/>
        <w:rPr>
          <w:sz w:val="20"/>
          <w:szCs w:val="20"/>
          <w:color w:val="auto"/>
        </w:rPr>
      </w:pPr>
      <w:r>
        <w:rPr>
          <w:rFonts w:ascii="Arial" w:cs="Arial" w:eastAsia="Arial" w:hAnsi="Arial"/>
          <w:sz w:val="18"/>
          <w:szCs w:val="18"/>
          <w:color w:val="auto"/>
        </w:rPr>
        <w:t>As of December 31, 2012, we had investments in 21 portfolio companies with an aggregate fair value of $653.9 million. For the year ended December 31, 2012, we invested $553.6 million aggregate principal amount in 19 new portfolio companies and invested $127.0 million aggregate principal amount in 13 existing portfolio companies. During this period, we had $200.7 million aggregate principal amount in exits and repayments resulting in net portfolio growth of $479.9 million aggregate principal amount.</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Since we began investing in 2011 through September 30, 2013, our exited investments have resulted in an aggregate cash flow realized gross internal rate of return to us of approximately 17.5% (based on cash invested of approximately $329 million and total proceeds from these exited investments of approximately $373 million). Approximately 79%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96" w:lineRule="exact"/>
        <w:rPr>
          <w:sz w:val="20"/>
          <w:szCs w:val="20"/>
          <w:color w:val="auto"/>
        </w:rPr>
      </w:pPr>
    </w:p>
    <w:p>
      <w:pPr>
        <w:ind w:left="200" w:right="800" w:firstLine="443"/>
        <w:spacing w:after="0" w:line="268"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We make our investments either directly or through our wholly owned subsidiaries.</w:t>
      </w:r>
    </w:p>
    <w:p>
      <w:pPr>
        <w:spacing w:after="0" w:line="132"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 on these requirements.</w:t>
      </w:r>
    </w:p>
    <w:p>
      <w:pPr>
        <w:spacing w:after="0" w:line="140"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certain registration requirements of the U.S. Securities Act of 1933, as amended, or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143"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On January 31, 2013, we reached a $1.5 billion cap on private offering commitments with our investors, which includes a $100 million capital commitment by the Adviser. We have drawn $517 million of these capital</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00"/>
        <w:spacing w:after="0" w:line="335" w:lineRule="auto"/>
        <w:rPr>
          <w:sz w:val="20"/>
          <w:szCs w:val="20"/>
          <w:color w:val="auto"/>
        </w:rPr>
      </w:pPr>
      <w:r>
        <w:rPr>
          <w:rFonts w:ascii="Arial" w:cs="Arial" w:eastAsia="Arial" w:hAnsi="Arial"/>
          <w:sz w:val="15"/>
          <w:szCs w:val="15"/>
          <w:color w:val="auto"/>
        </w:rPr>
        <w:t>commitments as of September 30, 2013, which has been further augmented by reinvestments under our dividend reinvestment plan. Our existing investors’ obligations to purchase additional shares from the undrawn portion of their capital commitments will terminate upon the completion of this initial public offering, or IPO. We have no obligation under the subscription agreements to sell common stock to existing stockholders in connection with the IPO.</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chart depicts our ownership structure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96" w:lineRule="exact"/>
        <w:rPr>
          <w:sz w:val="20"/>
          <w:szCs w:val="20"/>
          <w:color w:val="auto"/>
        </w:rPr>
      </w:pPr>
    </w:p>
    <w:p>
      <w:pPr>
        <w:ind w:left="200" w:right="360" w:firstLine="443"/>
        <w:spacing w:after="0" w:line="332"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Securities and Exchange Commission, or the SEC, under the Investment Advisers Act of 1940, as amended, or the Advisers Act.</w:t>
      </w:r>
    </w:p>
    <w:p>
      <w:pPr>
        <w:spacing w:after="0" w:line="85"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43"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special situations and credit platform. TSSP had over $6 billion of assets under management as of September 30, 2013. TSSP has extensive experience with highly complex, global public and private investments executed through primary originations, secondary market purchases and restructurings, and has a team of 81 investment and operating professionals. Eighteen of these personnel are dedicated to our business, including 14 investment professionals. The TSSP members of the Investment Review Committee are Joshua Easterly, Michael Fishman, Alan Waxman and David Stiepleman.</w:t>
      </w:r>
    </w:p>
    <w:p>
      <w:pPr>
        <w:spacing w:after="0" w:line="116"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TPG is a leading global private investment firm founded in 1992 with over $55 billion of assets under management as of September 30, 2013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w:t>
      </w: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4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September 30, 2013, our Adviser owned 6.4% of our common stock and had committed $100 million in equity capital under a subscription agreement like those entered into with our existing investors. See “Management,” “Related-Party Transactions and Certain Relationships” and “Control Persons and Principal Stockholders.”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40" w:firstLine="443"/>
        <w:spacing w:after="0" w:line="332" w:lineRule="auto"/>
        <w:rPr>
          <w:sz w:val="20"/>
          <w:szCs w:val="20"/>
          <w:color w:val="auto"/>
        </w:rPr>
      </w:pPr>
      <w:r>
        <w:rPr>
          <w:rFonts w:ascii="Arial" w:cs="Arial" w:eastAsia="Arial" w:hAnsi="Arial"/>
          <w:sz w:val="16"/>
          <w:szCs w:val="16"/>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85" w:lineRule="exact"/>
        <w:rPr>
          <w:sz w:val="20"/>
          <w:szCs w:val="20"/>
          <w:color w:val="auto"/>
        </w:rPr>
      </w:pPr>
    </w:p>
    <w:p>
      <w:pPr>
        <w:ind w:left="200" w:right="40" w:firstLine="443"/>
        <w:spacing w:after="0" w:line="288" w:lineRule="auto"/>
        <w:rPr>
          <w:sz w:val="20"/>
          <w:szCs w:val="20"/>
          <w:color w:val="auto"/>
        </w:rPr>
      </w:pPr>
      <w:r>
        <w:rPr>
          <w:rFonts w:ascii="Arial" w:cs="Arial" w:eastAsia="Arial" w:hAnsi="Arial"/>
          <w:sz w:val="16"/>
          <w:szCs w:val="16"/>
          <w:i w:val="1"/>
          <w:iCs w:val="1"/>
          <w:color w:val="auto"/>
        </w:rPr>
        <w:t>Limited availability of capital for middle-market companies</w:t>
      </w:r>
      <w:r>
        <w:rPr>
          <w:rFonts w:ascii="Arial" w:cs="Arial" w:eastAsia="Arial" w:hAnsi="Arial"/>
          <w:sz w:val="16"/>
          <w:szCs w:val="16"/>
          <w:color w:val="auto"/>
        </w:rPr>
        <w:t>. We believe that certain structural changes in the market have reduced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20" w:lineRule="exact"/>
        <w:rPr>
          <w:sz w:val="20"/>
          <w:szCs w:val="20"/>
          <w:color w:val="auto"/>
        </w:rPr>
      </w:pPr>
    </w:p>
    <w:p>
      <w:pPr>
        <w:ind w:left="200" w:right="40" w:firstLine="443"/>
        <w:spacing w:after="0" w:line="323" w:lineRule="auto"/>
        <w:rPr>
          <w:sz w:val="20"/>
          <w:szCs w:val="20"/>
          <w:color w:val="auto"/>
        </w:rPr>
      </w:pPr>
      <w:r>
        <w:rPr>
          <w:rFonts w:ascii="Arial" w:cs="Arial" w:eastAsia="Arial" w:hAnsi="Arial"/>
          <w:sz w:val="15"/>
          <w:szCs w:val="15"/>
          <w:i w:val="1"/>
          <w:iCs w:val="1"/>
          <w:color w:val="auto"/>
        </w:rPr>
        <w:t>Strong demand for debt capital</w:t>
      </w:r>
      <w:r>
        <w:rPr>
          <w:rFonts w:ascii="Arial" w:cs="Arial" w:eastAsia="Arial" w:hAnsi="Arial"/>
          <w:sz w:val="15"/>
          <w:szCs w:val="15"/>
          <w:color w:val="auto"/>
        </w:rPr>
        <w:t>. We believe middle-market companies will continue to require access to debt capital to refinance existing debt, support</w:t>
      </w:r>
      <w:r>
        <w:rPr>
          <w:rFonts w:ascii="Arial" w:cs="Arial" w:eastAsia="Arial" w:hAnsi="Arial"/>
          <w:sz w:val="15"/>
          <w:szCs w:val="15"/>
          <w:i w:val="1"/>
          <w:iCs w:val="1"/>
          <w:color w:val="auto"/>
        </w:rPr>
        <w:t xml:space="preserve"> </w:t>
      </w:r>
      <w:r>
        <w:rPr>
          <w:rFonts w:ascii="Arial" w:cs="Arial" w:eastAsia="Arial" w:hAnsi="Arial"/>
          <w:sz w:val="15"/>
          <w:szCs w:val="15"/>
          <w:color w:val="auto"/>
        </w:rPr>
        <w:t>growth and finance acquisitions. In addition, we believe the large amount of uninvested capital held by funds of private equity firms, estimated by Preqin Ltd., an alternative assets industry data and research company, at $389 billion as of October 2013, will continue to drive deal activity. We expect that private equity firms will continue to pursue acquisitions and to seek to leverage their equity investments with secured loans provided by companies such as ours.</w:t>
      </w:r>
    </w:p>
    <w:p>
      <w:pPr>
        <w:spacing w:after="0" w:line="98" w:lineRule="exact"/>
        <w:rPr>
          <w:sz w:val="20"/>
          <w:szCs w:val="20"/>
          <w:color w:val="auto"/>
        </w:rPr>
      </w:pPr>
    </w:p>
    <w:p>
      <w:pPr>
        <w:ind w:left="200" w:right="80" w:firstLine="443"/>
        <w:spacing w:after="0" w:line="298"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spacing w:after="0" w:line="370" w:lineRule="auto"/>
        <w:rPr>
          <w:sz w:val="20"/>
          <w:szCs w:val="20"/>
          <w:color w:val="auto"/>
        </w:rPr>
      </w:pPr>
      <w:r>
        <w:rPr>
          <w:rFonts w:ascii="Arial" w:cs="Arial" w:eastAsia="Arial" w:hAnsi="Arial"/>
          <w:sz w:val="15"/>
          <w:szCs w:val="15"/>
          <w:color w:val="auto"/>
        </w:rPr>
        <w:t>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62"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43"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left="200" w:right="180" w:firstLine="443"/>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i w:val="1"/>
          <w:iCs w:val="1"/>
          <w:color w:val="auto"/>
        </w:rPr>
        <w:t>Leading platform and access to proprietary deal flow</w:t>
      </w:r>
      <w:r>
        <w:rPr>
          <w:rFonts w:ascii="Arial" w:cs="Arial" w:eastAsia="Arial" w:hAnsi="Arial"/>
          <w:sz w:val="16"/>
          <w:szCs w:val="16"/>
          <w:color w:val="auto"/>
        </w:rPr>
        <w:t>. The substantial majority of our investments are not intermediated and are originated without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of investment banks or other traditional Wall Street sources. Our Adviser has a dedicated team of 14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a collective 140 years of experience as commercial dealmakers and executing direct calling campaigns on companies based on the Adviser’s sector and macroeconomic views.</w:t>
      </w:r>
    </w:p>
    <w:p>
      <w:pPr>
        <w:spacing w:after="0" w:line="116" w:lineRule="exact"/>
        <w:rPr>
          <w:sz w:val="20"/>
          <w:szCs w:val="20"/>
          <w:color w:val="auto"/>
        </w:rPr>
      </w:pPr>
    </w:p>
    <w:p>
      <w:pPr>
        <w:ind w:left="200" w:right="220" w:firstLine="443"/>
        <w:spacing w:after="0" w:line="256" w:lineRule="auto"/>
        <w:rPr>
          <w:sz w:val="20"/>
          <w:szCs w:val="20"/>
          <w:color w:val="auto"/>
        </w:rPr>
      </w:pPr>
      <w:r>
        <w:rPr>
          <w:rFonts w:ascii="Arial" w:cs="Arial" w:eastAsia="Arial" w:hAnsi="Arial"/>
          <w:sz w:val="18"/>
          <w:szCs w:val="18"/>
          <w:color w:val="auto"/>
        </w:rPr>
        <w:t>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43"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40" w:lineRule="exact"/>
        <w:rPr>
          <w:sz w:val="20"/>
          <w:szCs w:val="20"/>
          <w:color w:val="auto"/>
        </w:rPr>
      </w:pPr>
    </w:p>
    <w:p>
      <w:pPr>
        <w:ind w:left="200" w:right="200" w:firstLine="443"/>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26" w:lineRule="exact"/>
        <w:rPr>
          <w:sz w:val="20"/>
          <w:szCs w:val="20"/>
          <w:color w:val="auto"/>
        </w:rPr>
      </w:pPr>
    </w:p>
    <w:p>
      <w:pPr>
        <w:ind w:left="1060" w:right="24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40" w:hanging="323"/>
        <w:spacing w:after="0" w:line="25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1" w:lineRule="exact"/>
        <w:rPr>
          <w:rFonts w:ascii="Arial" w:cs="Arial" w:eastAsia="Arial" w:hAnsi="Arial"/>
          <w:sz w:val="18"/>
          <w:szCs w:val="18"/>
          <w:color w:val="auto"/>
        </w:rPr>
      </w:pPr>
    </w:p>
    <w:p>
      <w:pPr>
        <w:ind w:left="1060" w:right="22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90" w:lineRule="exact"/>
        <w:rPr>
          <w:rFonts w:ascii="Arial" w:cs="Arial" w:eastAsia="Arial" w:hAnsi="Arial"/>
          <w:sz w:val="18"/>
          <w:szCs w:val="18"/>
          <w:color w:val="auto"/>
        </w:rPr>
      </w:pPr>
    </w:p>
    <w:p>
      <w:pPr>
        <w:ind w:left="1060" w:right="44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left="200" w:right="820"/>
        <w:spacing w:after="0" w:line="268"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the more than 2,400 investment opportunities our Investment Team reviewed from our inception through December 6, 2013.</w:t>
      </w:r>
    </w:p>
    <w:p>
      <w:pPr>
        <w:spacing w:after="0" w:line="132"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invested more than $1.3 billion. As of September 30, 2013, we had a portfolio of investments in 25 portfolio companies totaling $889.3 million that we believe exhibits strong credit quality and broad industry composition. As of September 30, 2013, approximately 98.5% of the fair value of our portfolio was invested in secured loans with floating rates of interest, and 90.4% of the fair value of our portfolio was invested in first-lien loans. We believe this portfolio will allow us to generate meaningful investment income, and consequently dividend income, for our stockholders.</w:t>
      </w:r>
    </w:p>
    <w:p>
      <w:pPr>
        <w:spacing w:after="0" w:line="11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seven managing directors of TSSP on the Adviser’s team have deep experience identifying and executing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jc w:val="both"/>
        <w:ind w:left="200" w:right="120" w:firstLine="443"/>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52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2527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20" w:firstLine="443"/>
        <w:spacing w:after="0" w:line="33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90" w:lineRule="exact"/>
        <w:rPr>
          <w:sz w:val="20"/>
          <w:szCs w:val="20"/>
          <w:color w:val="auto"/>
        </w:rPr>
      </w:pPr>
    </w:p>
    <w:p>
      <w:pPr>
        <w:ind w:left="1060" w:hanging="323"/>
        <w:spacing w:after="0" w:line="25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we are currently only allowed to borrow amounts, including by issuing debt securities, or issue preferred stock where our asset coverage, as defined in the 1940 Act, equals at least 200% after the borrowing. See “Regulation.” The asset coverage rule may change over time. For example, recent legislation introduced in the U.S. House of Representatives, if passed, would modify this section of the 1940 Act and increase the amount of debt that BDCs may incur.</w:t>
      </w:r>
    </w:p>
    <w:p>
      <w:pPr>
        <w:spacing w:after="0" w:line="61" w:lineRule="exact"/>
        <w:rPr>
          <w:rFonts w:ascii="Arial" w:cs="Arial" w:eastAsia="Arial" w:hAnsi="Arial"/>
          <w:sz w:val="18"/>
          <w:szCs w:val="18"/>
          <w:color w:val="auto"/>
        </w:rPr>
      </w:pPr>
    </w:p>
    <w:p>
      <w:pPr>
        <w:ind w:left="1060" w:right="40" w:hanging="323"/>
        <w:spacing w:after="0" w:line="25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 prohibited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investing in assets other than qualifying assets unless, at the time of the investment and after giving effect to it, at least 70% of our total assets are qualifying assets. Qualifying assets generally include securities of “eligible portfolio companies,” cash, cash equivalents, U.S. government securities and high-quality debt instruments maturing in one year or less from the time of investment. Under the rules of the 1940 Act, “eligible portfolio companies” include:</w:t>
      </w:r>
    </w:p>
    <w:p>
      <w:pPr>
        <w:spacing w:after="0" w:line="61" w:lineRule="exact"/>
        <w:rPr>
          <w:rFonts w:ascii="Arial" w:cs="Arial" w:eastAsia="Arial" w:hAnsi="Arial"/>
          <w:sz w:val="18"/>
          <w:szCs w:val="18"/>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90" w:lineRule="exact"/>
        <w:rPr>
          <w:rFonts w:ascii="Arial" w:cs="Arial" w:eastAsia="Arial" w:hAnsi="Arial"/>
          <w:sz w:val="18"/>
          <w:szCs w:val="18"/>
          <w:color w:val="auto"/>
        </w:rPr>
      </w:pPr>
    </w:p>
    <w:p>
      <w:pPr>
        <w:ind w:left="1620" w:right="220" w:hanging="437"/>
        <w:spacing w:after="0" w:line="259"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New York Stock Exchange, NYSE Amex Equities and The NASDAQ Global Market) or registered under the U.S. Securities Exchange Act of 1934, as amended, or the Exchange Act; and</w:t>
      </w:r>
    </w:p>
    <w:p>
      <w:pPr>
        <w:spacing w:after="0" w:line="59" w:lineRule="exact"/>
        <w:rPr>
          <w:rFonts w:ascii="Arial" w:cs="Arial" w:eastAsia="Arial" w:hAnsi="Arial"/>
          <w:sz w:val="18"/>
          <w:szCs w:val="18"/>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Public domestic operating companies whose securities are quoted on the over-the-counter bulletin board and through OTC Markets Group, Inc.</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are not listed on a national securities exchange and, as a result, are eligible portfolio companies.</w:t>
      </w:r>
    </w:p>
    <w:p>
      <w:pPr>
        <w:spacing w:after="0" w:line="205" w:lineRule="exact"/>
        <w:rPr>
          <w:sz w:val="20"/>
          <w:szCs w:val="20"/>
          <w:color w:val="auto"/>
        </w:rPr>
      </w:pPr>
    </w:p>
    <w:p>
      <w:pPr>
        <w:ind w:left="1060" w:right="20" w:hanging="323"/>
        <w:spacing w:after="0" w:line="25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subject to corporate-level U.S. federal income taxation, we must satisfy certain source of income, asset diversification and distribution requirements. See “Material U.S. Federal Income Tax Considerations.”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additional information regarding qualifying as an emerging growth company, see “—Implications of Being an Emerging Growth Company.”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common stock.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96" w:lineRule="exact"/>
        <w:rPr>
          <w:sz w:val="20"/>
          <w:szCs w:val="20"/>
          <w:color w:val="auto"/>
        </w:rPr>
      </w:pPr>
    </w:p>
    <w:p>
      <w:pPr>
        <w:ind w:left="200" w:right="120" w:firstLine="443"/>
        <w:spacing w:after="0" w:line="288" w:lineRule="auto"/>
        <w:rPr>
          <w:sz w:val="20"/>
          <w:szCs w:val="20"/>
          <w:color w:val="auto"/>
        </w:rPr>
      </w:pPr>
      <w:r>
        <w:rPr>
          <w:rFonts w:ascii="Arial" w:cs="Arial" w:eastAsia="Arial" w:hAnsi="Arial"/>
          <w:sz w:val="16"/>
          <w:szCs w:val="16"/>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20"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 Application</w:t>
      </w:r>
    </w:p>
    <w:p>
      <w:pPr>
        <w:spacing w:after="0" w:line="96"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0" w:firstLine="443"/>
        <w:spacing w:after="0" w:line="291" w:lineRule="auto"/>
        <w:rPr>
          <w:sz w:val="20"/>
          <w:szCs w:val="20"/>
          <w:color w:val="auto"/>
        </w:rPr>
      </w:pPr>
      <w:r>
        <w:rPr>
          <w:rFonts w:ascii="Arial" w:cs="Arial" w:eastAsia="Arial" w:hAnsi="Arial"/>
          <w:sz w:val="16"/>
          <w:szCs w:val="16"/>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6" w:lineRule="exact"/>
        <w:rPr>
          <w:sz w:val="20"/>
          <w:szCs w:val="20"/>
          <w:color w:val="auto"/>
        </w:rPr>
      </w:pPr>
    </w:p>
    <w:p>
      <w:pPr>
        <w:jc w:val="both"/>
        <w:ind w:left="200" w:right="200" w:firstLine="443"/>
        <w:spacing w:after="0" w:line="259" w:lineRule="auto"/>
        <w:rPr>
          <w:sz w:val="20"/>
          <w:szCs w:val="20"/>
          <w:color w:val="auto"/>
        </w:rPr>
      </w:pPr>
      <w:r>
        <w:rPr>
          <w:rFonts w:ascii="Arial" w:cs="Arial" w:eastAsia="Arial" w:hAnsi="Arial"/>
          <w:sz w:val="18"/>
          <w:szCs w:val="18"/>
          <w:color w:val="auto"/>
        </w:rPr>
        <w:t>We qualify as an emerging growth company, as that term is used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59" w:lineRule="exact"/>
        <w:rPr>
          <w:sz w:val="20"/>
          <w:szCs w:val="20"/>
          <w:color w:val="auto"/>
        </w:rPr>
      </w:pPr>
    </w:p>
    <w:p>
      <w:pPr>
        <w:ind w:left="1060" w:right="50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 of 2002, or the Sarbanes-Oxley Act;</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1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1060" w:right="160" w:hanging="323"/>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Split</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On December 3, 2013, our Board approved a stock split in the form of a stock dividend, which we refer to as the stock split,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5, 2013, our issued and outstanding shares total 37,026,023, as adjusted for the stock split.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96" w:lineRule="exact"/>
        <w:rPr>
          <w:sz w:val="20"/>
          <w:szCs w:val="20"/>
          <w:color w:val="auto"/>
        </w:rPr>
      </w:pPr>
    </w:p>
    <w:p>
      <w:pPr>
        <w:jc w:val="both"/>
        <w:ind w:left="200" w:right="240" w:firstLine="443"/>
        <w:spacing w:after="0" w:line="306"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common stock, including that:</w:t>
      </w:r>
    </w:p>
    <w:p>
      <w:pPr>
        <w:spacing w:after="0" w:line="26"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90" w:lineRule="exact"/>
        <w:rPr>
          <w:rFonts w:ascii="Arial" w:cs="Arial" w:eastAsia="Arial" w:hAnsi="Arial"/>
          <w:sz w:val="18"/>
          <w:szCs w:val="18"/>
          <w:color w:val="auto"/>
        </w:rPr>
      </w:pPr>
    </w:p>
    <w:p>
      <w:pPr>
        <w:ind w:left="1060" w:right="46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50" w:lineRule="exact"/>
        <w:rPr>
          <w:rFonts w:ascii="Arial" w:cs="Arial" w:eastAsia="Arial" w:hAnsi="Arial"/>
          <w:sz w:val="18"/>
          <w:szCs w:val="18"/>
          <w:color w:val="auto"/>
        </w:rPr>
      </w:pPr>
    </w:p>
    <w:p>
      <w:pPr>
        <w:ind w:left="1060" w:right="54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50" w:lineRule="exact"/>
        <w:rPr>
          <w:rFonts w:ascii="Arial" w:cs="Arial" w:eastAsia="Arial" w:hAnsi="Arial"/>
          <w:sz w:val="18"/>
          <w:szCs w:val="18"/>
          <w:color w:val="auto"/>
        </w:rPr>
      </w:pPr>
    </w:p>
    <w:p>
      <w:pPr>
        <w:ind w:left="1060" w:right="16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5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90" w:lineRule="exact"/>
        <w:rPr>
          <w:rFonts w:ascii="Arial" w:cs="Arial" w:eastAsia="Arial" w:hAnsi="Arial"/>
          <w:sz w:val="18"/>
          <w:szCs w:val="18"/>
          <w:color w:val="auto"/>
        </w:rPr>
      </w:pPr>
    </w:p>
    <w:p>
      <w:pPr>
        <w:ind w:left="1060" w:right="4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benefits from our relationship with TSSP and TPG;</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our incorporation, the Adviser and its management had no prior experience managing a BDC or a RIC;</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incur significant costs as a result of being a publicly traded company;</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008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43008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line="25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90" w:lineRule="exact"/>
        <w:rPr>
          <w:rFonts w:ascii="Arial" w:cs="Arial" w:eastAsia="Arial" w:hAnsi="Arial"/>
          <w:sz w:val="18"/>
          <w:szCs w:val="18"/>
          <w:color w:val="auto"/>
        </w:rPr>
      </w:pPr>
    </w:p>
    <w:p>
      <w:pPr>
        <w:ind w:left="1060" w:right="20" w:hanging="323"/>
        <w:spacing w:after="0" w:line="25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90" w:lineRule="exact"/>
        <w:rPr>
          <w:rFonts w:ascii="Arial" w:cs="Arial" w:eastAsia="Arial" w:hAnsi="Arial"/>
          <w:sz w:val="18"/>
          <w:szCs w:val="18"/>
          <w:color w:val="auto"/>
        </w:rPr>
      </w:pPr>
    </w:p>
    <w:p>
      <w:pPr>
        <w:ind w:left="1060" w:right="18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50" w:lineRule="exact"/>
        <w:rPr>
          <w:rFonts w:ascii="Arial" w:cs="Arial" w:eastAsia="Arial" w:hAnsi="Arial"/>
          <w:sz w:val="18"/>
          <w:szCs w:val="18"/>
          <w:color w:val="auto"/>
        </w:rPr>
      </w:pPr>
    </w:p>
    <w:p>
      <w:pPr>
        <w:ind w:left="1060" w:right="26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90" w:lineRule="exact"/>
        <w:rPr>
          <w:rFonts w:ascii="Arial" w:cs="Arial" w:eastAsia="Arial" w:hAnsi="Arial"/>
          <w:sz w:val="18"/>
          <w:szCs w:val="18"/>
          <w:color w:val="auto"/>
        </w:rPr>
      </w:pPr>
    </w:p>
    <w:p>
      <w:pPr>
        <w:ind w:left="1060" w:right="6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Congress renews certain exemptions that expired for taxable years commencing after December 31, 2013, certain dividend distributions we make to certain non-U.S. stockholders will be subject to U.S. withholding tax;</w:t>
      </w:r>
    </w:p>
    <w:p>
      <w:pPr>
        <w:spacing w:after="0" w:line="50" w:lineRule="exact"/>
        <w:rPr>
          <w:rFonts w:ascii="Arial" w:cs="Arial" w:eastAsia="Arial" w:hAnsi="Arial"/>
          <w:sz w:val="18"/>
          <w:szCs w:val="18"/>
          <w:color w:val="auto"/>
        </w:rPr>
      </w:pPr>
    </w:p>
    <w:p>
      <w:pPr>
        <w:ind w:left="1060" w:hanging="323"/>
        <w:spacing w:after="0" w:line="335" w:lineRule="auto"/>
        <w:tabs>
          <w:tab w:leader="none" w:pos="10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7" w:lineRule="exact"/>
        <w:rPr>
          <w:rFonts w:ascii="Arial" w:cs="Arial" w:eastAsia="Arial" w:hAnsi="Arial"/>
          <w:sz w:val="15"/>
          <w:szCs w:val="15"/>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is a risk that you may not receive dividends or that our dividends may not grow over time;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871-4000.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corporate website is located at http://www.tpgspecialtylending.com. Information on our website is not incorporated into or a part of this prospectus.</w:t>
      </w: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 SUMMARY</w:t>
      </w:r>
    </w:p>
    <w:p>
      <w:pPr>
        <w:sectPr>
          <w:pgSz w:w="11900" w:h="16838" w:orient="portrait"/>
          <w:cols w:equalWidth="0" w:num="1">
            <w:col w:w="11220"/>
          </w:cols>
          <w:pgMar w:left="240" w:top="459" w:right="43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80" w:firstLine="527"/>
        <w:spacing w:after="0" w:line="268" w:lineRule="auto"/>
        <w:rPr>
          <w:sz w:val="20"/>
          <w:szCs w:val="20"/>
          <w:color w:val="auto"/>
        </w:rPr>
      </w:pPr>
      <w:r>
        <w:rPr>
          <w:rFonts w:ascii="Arial" w:cs="Arial" w:eastAsia="Arial" w:hAnsi="Arial"/>
          <w:sz w:val="18"/>
          <w:szCs w:val="18"/>
          <w:color w:val="auto"/>
        </w:rPr>
        <w:t>shares (or shares if the underwriters exercise their option to purchase additional shares of our common stock to cover over-allotments in full).</w:t>
      </w:r>
    </w:p>
    <w:p>
      <w:pPr>
        <w:spacing w:after="0" w:line="17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ind w:right="200" w:firstLine="527"/>
        <w:spacing w:after="0" w:line="268" w:lineRule="auto"/>
        <w:rPr>
          <w:sz w:val="20"/>
          <w:szCs w:val="20"/>
          <w:color w:val="auto"/>
        </w:rPr>
      </w:pPr>
      <w:r>
        <w:rPr>
          <w:rFonts w:ascii="Arial" w:cs="Arial" w:eastAsia="Arial" w:hAnsi="Arial"/>
          <w:sz w:val="18"/>
          <w:szCs w:val="18"/>
          <w:color w:val="auto"/>
        </w:rPr>
        <w:t>shares, or shares if the underwriters exercise their option to purchase additional shares of our common stock to cover over-allotments in full.</w:t>
      </w:r>
    </w:p>
    <w:p>
      <w:pPr>
        <w:spacing w:after="0" w:line="172" w:lineRule="exact"/>
        <w:rPr>
          <w:sz w:val="20"/>
          <w:szCs w:val="20"/>
          <w:color w:val="auto"/>
        </w:rPr>
      </w:pPr>
    </w:p>
    <w:p>
      <w:pPr>
        <w:sectPr>
          <w:pgSz w:w="11900" w:h="16838" w:orient="portrait"/>
          <w:cols w:equalWidth="0" w:num="2">
            <w:col w:w="3900" w:space="50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tabs>
          <w:tab w:leader="none" w:pos="4580" w:val="left"/>
        </w:tabs>
        <w:rPr>
          <w:sz w:val="20"/>
          <w:szCs w:val="20"/>
          <w:color w:val="auto"/>
        </w:rPr>
      </w:pPr>
      <w:r>
        <w:rPr>
          <w:rFonts w:ascii="Arial" w:cs="Arial" w:eastAsia="Arial" w:hAnsi="Arial"/>
          <w:sz w:val="18"/>
          <w:szCs w:val="18"/>
          <w:color w:val="auto"/>
        </w:rPr>
        <w:t>Our net proceeds from this offering will be approximately $</w:t>
      </w:r>
      <w:r>
        <w:rPr>
          <w:sz w:val="20"/>
          <w:szCs w:val="20"/>
          <w:color w:val="auto"/>
        </w:rPr>
        <w:tab/>
      </w:r>
      <w:r>
        <w:rPr>
          <w:rFonts w:ascii="Arial" w:cs="Arial" w:eastAsia="Arial" w:hAnsi="Arial"/>
          <w:sz w:val="16"/>
          <w:szCs w:val="16"/>
          <w:color w:val="auto"/>
        </w:rPr>
        <w:t>million, or approximately</w:t>
      </w:r>
    </w:p>
    <w:p>
      <w:pPr>
        <w:spacing w:after="0" w:line="15"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400" w:right="460" w:hanging="3"/>
        <w:spacing w:after="0" w:line="261" w:lineRule="auto"/>
        <w:tabs>
          <w:tab w:leader="none" w:pos="48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million if the underwriters exercise their option to purchase additional shares of our common stock to cover over-allotments in full.</w:t>
      </w:r>
    </w:p>
    <w:p>
      <w:pPr>
        <w:spacing w:after="0" w:line="178"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We intend to use 100% of the net proceeds of this offering, together with our cash and cash</w:t>
      </w:r>
    </w:p>
    <w:p>
      <w:pPr>
        <w:spacing w:after="0" w:line="38" w:lineRule="exact"/>
        <w:rPr>
          <w:sz w:val="20"/>
          <w:szCs w:val="20"/>
          <w:color w:val="auto"/>
        </w:rPr>
      </w:pPr>
    </w:p>
    <w:p>
      <w:pPr>
        <w:ind w:left="4400"/>
        <w:spacing w:after="0" w:line="281" w:lineRule="auto"/>
        <w:rPr>
          <w:sz w:val="20"/>
          <w:szCs w:val="20"/>
          <w:color w:val="auto"/>
        </w:rPr>
      </w:pPr>
      <w:r>
        <w:rPr>
          <w:rFonts w:ascii="Arial" w:cs="Arial" w:eastAsia="Arial" w:hAnsi="Arial"/>
          <w:sz w:val="16"/>
          <w:szCs w:val="16"/>
          <w:color w:val="auto"/>
        </w:rPr>
        <w:t>equivalents, to pay down $ million (or $ million if the underwriters exercise their option to purchase additional shares of our common stock to cover over-allotments in full) of outstanding indebtedness incurred under a Senior Secured Revolving Credit Agreement between us and SunTrust, as amended, which we refer to as the Revolving Credit Facility (SunTrust), on or about the date of this offering. After giving effect to the use of proceeds to pay down a portion</w:t>
      </w:r>
    </w:p>
    <w:p>
      <w:pPr>
        <w:spacing w:after="0" w:line="3" w:lineRule="exact"/>
        <w:rPr>
          <w:sz w:val="20"/>
          <w:szCs w:val="20"/>
          <w:color w:val="auto"/>
        </w:rPr>
      </w:pPr>
    </w:p>
    <w:p>
      <w:pPr>
        <w:ind w:left="4400"/>
        <w:spacing w:after="0"/>
        <w:tabs>
          <w:tab w:leader="none" w:pos="10140" w:val="left"/>
        </w:tabs>
        <w:rPr>
          <w:sz w:val="20"/>
          <w:szCs w:val="20"/>
          <w:color w:val="auto"/>
        </w:rPr>
      </w:pPr>
      <w:r>
        <w:rPr>
          <w:rFonts w:ascii="Arial" w:cs="Arial" w:eastAsia="Arial" w:hAnsi="Arial"/>
          <w:sz w:val="18"/>
          <w:szCs w:val="18"/>
          <w:color w:val="auto"/>
        </w:rPr>
        <w:t>of the outstanding balance under the Revolving Credit Facility (SunTrust), $</w:t>
      </w:r>
      <w:r>
        <w:rPr>
          <w:sz w:val="20"/>
          <w:szCs w:val="20"/>
          <w:color w:val="auto"/>
        </w:rPr>
        <w:tab/>
      </w:r>
      <w:r>
        <w:rPr>
          <w:rFonts w:ascii="Arial" w:cs="Arial" w:eastAsia="Arial" w:hAnsi="Arial"/>
          <w:sz w:val="16"/>
          <w:szCs w:val="16"/>
          <w:color w:val="auto"/>
        </w:rPr>
        <w:t>million (or</w:t>
      </w:r>
    </w:p>
    <w:p>
      <w:pPr>
        <w:spacing w:after="0" w:line="9" w:lineRule="exact"/>
        <w:rPr>
          <w:sz w:val="20"/>
          <w:szCs w:val="20"/>
          <w:color w:val="auto"/>
        </w:rPr>
      </w:pPr>
    </w:p>
    <w:p>
      <w:pPr>
        <w:ind w:left="4400" w:right="40" w:hanging="3"/>
        <w:spacing w:after="0" w:line="252" w:lineRule="auto"/>
        <w:tabs>
          <w:tab w:leader="none" w:pos="48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million if the underwriters exercise their option to purchase additional shares of our common stock to cover over-allotments in full) will remain outstanding under the facility. We do not intend to terminate the facility and may reborrow the amount we repay, subject to certain conditions. As of September 30, 2013, amounts outstanding under our Revolving Credit Facility (SunTrust) bore interest at a rate of LIBOR plus 225 basis points. The facility matures on July 2, 2018.</w:t>
      </w:r>
    </w:p>
    <w:p>
      <w:pPr>
        <w:spacing w:after="0" w:line="18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See “Use of Proceeds.”</w:t>
      </w:r>
    </w:p>
    <w:p>
      <w:pPr>
        <w:sectPr>
          <w:pgSz w:w="11900" w:h="16838" w:orient="portrait"/>
          <w:cols w:equalWidth="0" w:num="1">
            <w:col w:w="11220"/>
          </w:cols>
          <w:pgMar w:left="240" w:top="459" w:right="439" w:bottom="1440" w:gutter="0" w:footer="0" w:header="0"/>
          <w:type w:val="continuous"/>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Proposed Symbol on the New York Stock Exchange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“TSLX”</w:t>
      </w:r>
    </w:p>
    <w:p>
      <w:pPr>
        <w:spacing w:after="0" w:line="200" w:lineRule="exact"/>
        <w:rPr>
          <w:sz w:val="20"/>
          <w:szCs w:val="20"/>
          <w:color w:val="auto"/>
        </w:rPr>
      </w:pPr>
    </w:p>
    <w:p>
      <w:pPr>
        <w:sectPr>
          <w:pgSz w:w="11900" w:h="16838" w:orient="portrait"/>
          <w:cols w:equalWidth="0" w:num="2">
            <w:col w:w="3860" w:space="540"/>
            <w:col w:w="6820"/>
          </w:cols>
          <w:pgMar w:left="240" w:top="459" w:right="439" w:bottom="1440" w:gutter="0" w:footer="0" w:header="0"/>
          <w:type w:val="continuous"/>
        </w:sectPr>
      </w:pP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Distributions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To the extent we have earnings available for distribution, we expect to continue distributing quarterly dividends to our stockholders.</w:t>
      </w:r>
    </w:p>
    <w:p>
      <w:pPr>
        <w:spacing w:after="0" w:line="17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400"/>
        <w:spacing w:after="0"/>
        <w:tabs>
          <w:tab w:leader="none" w:pos="7900" w:val="left"/>
        </w:tabs>
        <w:rPr>
          <w:sz w:val="20"/>
          <w:szCs w:val="20"/>
          <w:color w:val="auto"/>
        </w:rPr>
      </w:pPr>
      <w:r>
        <w:rPr>
          <w:rFonts w:ascii="Arial" w:cs="Arial" w:eastAsia="Arial" w:hAnsi="Arial"/>
          <w:sz w:val="18"/>
          <w:szCs w:val="18"/>
          <w:color w:val="auto"/>
        </w:rPr>
        <w:t>Our Board intends to declare a dividend of $</w:t>
      </w:r>
      <w:r>
        <w:rPr>
          <w:sz w:val="20"/>
          <w:szCs w:val="20"/>
          <w:color w:val="auto"/>
        </w:rPr>
        <w:tab/>
      </w:r>
      <w:r>
        <w:rPr>
          <w:rFonts w:ascii="Arial" w:cs="Arial" w:eastAsia="Arial" w:hAnsi="Arial"/>
          <w:sz w:val="15"/>
          <w:szCs w:val="15"/>
          <w:color w:val="auto"/>
        </w:rPr>
        <w:t>per share for the quarter ending</w:t>
      </w:r>
    </w:p>
    <w:p>
      <w:pPr>
        <w:sectPr>
          <w:pgSz w:w="11900" w:h="16838" w:orient="portrait"/>
          <w:cols w:equalWidth="0" w:num="1">
            <w:col w:w="11220"/>
          </w:cols>
          <w:pgMar w:left="240" w:top="459" w:right="439" w:bottom="1440" w:gutter="0" w:footer="0" w:header="0"/>
          <w:type w:val="continuous"/>
        </w:sectPr>
      </w:pPr>
    </w:p>
    <w:p>
      <w:pPr>
        <w:spacing w:after="0" w:line="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Shares offered in this prospectus will be entitled to receive this dividend</w:t>
      </w:r>
    </w:p>
    <w:p>
      <w:pPr>
        <w:spacing w:after="0" w:line="3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payment.</w:t>
      </w:r>
    </w:p>
    <w:p>
      <w:pPr>
        <w:spacing w:after="0" w:line="205" w:lineRule="exact"/>
        <w:rPr>
          <w:sz w:val="20"/>
          <w:szCs w:val="20"/>
          <w:color w:val="auto"/>
        </w:rPr>
      </w:pPr>
    </w:p>
    <w:p>
      <w:pPr>
        <w:ind w:left="4400" w:right="60"/>
        <w:spacing w:after="0" w:line="268" w:lineRule="auto"/>
        <w:rPr>
          <w:sz w:val="20"/>
          <w:szCs w:val="20"/>
          <w:color w:val="auto"/>
        </w:rPr>
      </w:pPr>
      <w:r>
        <w:rPr>
          <w:rFonts w:ascii="Arial" w:cs="Arial" w:eastAsia="Arial" w:hAnsi="Arial"/>
          <w:sz w:val="18"/>
          <w:szCs w:val="18"/>
          <w:color w:val="auto"/>
        </w:rPr>
        <w:t>We anticipate that this dividend will be paid from income generated primarily by interest earned on our investment portfolio.</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620" w:type="dxa"/>
            <w:vAlign w:val="bottom"/>
            <w:tcBorders>
              <w:top w:val="single" w:sz="8" w:color="auto"/>
              <w:left w:val="single" w:sz="8" w:color="auto"/>
            </w:tcBorders>
          </w:tcPr>
          <w:p>
            <w:pPr>
              <w:spacing w:after="0"/>
              <w:rPr>
                <w:sz w:val="24"/>
                <w:szCs w:val="24"/>
                <w:color w:val="auto"/>
              </w:rPr>
            </w:pPr>
          </w:p>
        </w:tc>
        <w:tc>
          <w:tcPr>
            <w:tcW w:w="884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color w:val="auto"/>
                <w:w w:val="92"/>
              </w:rPr>
              <w:t>The specific tax characteristics of our distributions will be reported to stockholders after the end</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of the calendar year. Future quarterly dividends, if any, will be determined by our Board.</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See “Distributions.”</w:t>
            </w:r>
          </w:p>
        </w:tc>
      </w:tr>
      <w:tr>
        <w:trPr>
          <w:trHeight w:val="412"/>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Federal Income Tax Considerations —Regulated Investment Company Classification.”</w:t>
            </w:r>
          </w:p>
        </w:tc>
      </w:tr>
      <w:tr>
        <w:trPr>
          <w:trHeight w:val="412"/>
        </w:trPr>
        <w:tc>
          <w:tcPr>
            <w:tcW w:w="2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89"/>
              </w:rPr>
              <w:t>We have elected to be treated as a RIC for U.S. federal income tax purposes. Our status as a RIC</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will enable us to deduct qualifying distributions to our stockholders, so that we will be subject to</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1"/>
              </w:rPr>
              <w:t>corporate-level U.S. federal income taxation only in respect of earnings that we retain and do not</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distribute.</w:t>
            </w:r>
          </w:p>
        </w:tc>
      </w:tr>
      <w:tr>
        <w:trPr>
          <w:trHeight w:val="412"/>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0"/>
              </w:rPr>
              <w:t>To maintain our status as a RIC and to avoid being subject to corporate-level U.S. federal income</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taxation on our earnings, we must, among other things:</w:t>
            </w:r>
          </w:p>
        </w:tc>
      </w:tr>
      <w:tr>
        <w:trPr>
          <w:trHeight w:val="297"/>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291"/>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1"/>
              </w:rPr>
              <w:t>• derive in each taxable year at least 90% of our gross income from dividends, interest, gains</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4"/>
              </w:rPr>
              <w:t>from the sale or other disposition of stock or securities and other specified categories of</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investment income; and</w:t>
            </w:r>
          </w:p>
        </w:tc>
      </w:tr>
      <w:tr>
        <w:trPr>
          <w:trHeight w:val="297"/>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 maintain diversified holdings.</w:t>
            </w:r>
          </w:p>
        </w:tc>
      </w:tr>
      <w:tr>
        <w:trPr>
          <w:trHeight w:val="412"/>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 for</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89"/>
              </w:rPr>
              <w:t>tax purposes equal to at least 90% of our investment company taxable income and net tax-exempt</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income for that taxable year.</w:t>
            </w:r>
          </w:p>
        </w:tc>
      </w:tr>
      <w:tr>
        <w:trPr>
          <w:trHeight w:val="412"/>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7"/>
              </w:rPr>
              <w:t>As a RIC, we generally will not be subject to corporate-level U.S. federal income tax on our</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3"/>
              </w:rPr>
              <w:t>investment company taxable income and net capital gains that we distribute to stockholders. If</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6"/>
              </w:rPr>
              <w:t>we fail to distribute our investment company taxable income or net capital gains on a timely</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1"/>
              </w:rPr>
              <w:t>basis, we will be subject to a nondeductible 4% U.S. federal excise tax. We may choose to carry</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forward investment company taxable income in excess of current year distributions into the next</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1"/>
              </w:rPr>
              <w:t>tax year and pay a 4% excise tax on such income. We elected to retain a small portion of income</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0"/>
              </w:rPr>
              <w:t>and capital gains for the calendar year ended December 31, 2012 and recorded a net expense of</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1"/>
              </w:rPr>
              <w:t>$0.1 million for U.S. federal excise tax as a result. Any carryover of investment company taxable</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income or net capital gains must be timely declared and distributed as a dividend in the taxable</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5"/>
              </w:rPr>
              <w:t>year following the taxable year in which the income or gains were earned. See “Distributions”</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and “Material U.S. Federal Income Tax Considerations.”</w:t>
            </w:r>
          </w:p>
        </w:tc>
      </w:tr>
      <w:tr>
        <w:trPr>
          <w:trHeight w:val="412"/>
        </w:trPr>
        <w:tc>
          <w:tcPr>
            <w:tcW w:w="2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finance a portion of our investments. As a result, we are exposed to the risks of leverage, which</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may be considered a speculative investment technique.</w:t>
            </w:r>
          </w:p>
        </w:tc>
      </w:tr>
      <w:tr>
        <w:trPr>
          <w:trHeight w:val="161"/>
        </w:trPr>
        <w:tc>
          <w:tcPr>
            <w:tcW w:w="2620" w:type="dxa"/>
            <w:vAlign w:val="bottom"/>
            <w:tcBorders>
              <w:left w:val="single" w:sz="8" w:color="auto"/>
              <w:bottom w:val="single" w:sz="8" w:color="auto"/>
            </w:tcBorders>
          </w:tcPr>
          <w:p>
            <w:pPr>
              <w:spacing w:after="0"/>
              <w:rPr>
                <w:sz w:val="13"/>
                <w:szCs w:val="13"/>
                <w:color w:val="auto"/>
              </w:rPr>
            </w:pPr>
          </w:p>
        </w:tc>
        <w:tc>
          <w:tcPr>
            <w:tcW w:w="8840" w:type="dxa"/>
            <w:vAlign w:val="bottom"/>
            <w:tcBorders>
              <w:bottom w:val="single" w:sz="8" w:color="auto"/>
              <w:right w:val="single" w:sz="8" w:color="auto"/>
            </w:tcBorders>
          </w:tcPr>
          <w:p>
            <w:pPr>
              <w:spacing w:after="0"/>
              <w:rPr>
                <w:sz w:val="13"/>
                <w:szCs w:val="13"/>
                <w:color w:val="auto"/>
              </w:rPr>
            </w:pPr>
          </w:p>
        </w:tc>
      </w:tr>
      <w:tr>
        <w:trPr>
          <w:trHeight w:val="359"/>
        </w:trPr>
        <w:tc>
          <w:tcPr>
            <w:tcW w:w="2620" w:type="dxa"/>
            <w:vAlign w:val="bottom"/>
          </w:tcPr>
          <w:p>
            <w:pPr>
              <w:spacing w:after="0"/>
              <w:rPr>
                <w:sz w:val="24"/>
                <w:szCs w:val="24"/>
                <w:color w:val="auto"/>
              </w:rPr>
            </w:pPr>
          </w:p>
        </w:tc>
        <w:tc>
          <w:tcPr>
            <w:tcW w:w="8840" w:type="dxa"/>
            <w:vAlign w:val="bottom"/>
          </w:tcPr>
          <w:p>
            <w:pPr>
              <w:ind w:left="300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400"/>
        <w:spacing w:after="0" w:line="302" w:lineRule="auto"/>
        <w:rPr>
          <w:sz w:val="20"/>
          <w:szCs w:val="20"/>
          <w:color w:val="auto"/>
        </w:rPr>
      </w:pPr>
      <w:r>
        <w:rPr>
          <w:rFonts w:ascii="Arial" w:cs="Arial" w:eastAsia="Arial" w:hAnsi="Arial"/>
          <w:sz w:val="15"/>
          <w:szCs w:val="15"/>
          <w:color w:val="auto"/>
        </w:rPr>
        <w:t>Leverage increases the potential for gain and loss on amounts invested and, as a result, increases the risks associated with investing in our securities. With certain limited exceptions, we currently are only allowed to borrow amounts, including by issuing debt securities, or issue preferred stock where our asset coverage, as defined in the 1940 Act, equals at least 200% after the borrowing.</w:t>
      </w:r>
    </w:p>
    <w:p>
      <w:pPr>
        <w:spacing w:after="0" w:line="3" w:lineRule="exact"/>
        <w:rPr>
          <w:sz w:val="20"/>
          <w:szCs w:val="20"/>
          <w:color w:val="auto"/>
        </w:rPr>
      </w:pPr>
    </w:p>
    <w:p>
      <w:pPr>
        <w:ind w:left="4400" w:right="460"/>
        <w:spacing w:after="0" w:line="261" w:lineRule="auto"/>
        <w:rPr>
          <w:sz w:val="20"/>
          <w:szCs w:val="20"/>
          <w:color w:val="auto"/>
        </w:rPr>
      </w:pPr>
      <w:r>
        <w:rPr>
          <w:rFonts w:ascii="Arial" w:cs="Arial" w:eastAsia="Arial" w:hAnsi="Arial"/>
          <w:sz w:val="18"/>
          <w:szCs w:val="18"/>
          <w:color w:val="auto"/>
        </w:rPr>
        <w:t>The costs associated with our borrowings, including any increase in the fees payable to the Adviser, are borne by our stockholders. See “Regulation.”</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7"/>
              </w:rPr>
              <w:t>As of September 30, 2013 and December 31, 2012, our asset coverage was 265.9% and 244.6%,</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respectively. Following this IPO and the repayment of indebtedness as contemplated under “Use</w:t>
            </w:r>
          </w:p>
        </w:tc>
      </w:tr>
      <w:tr>
        <w:trPr>
          <w:trHeight w:val="216"/>
        </w:trPr>
        <w:tc>
          <w:tcPr>
            <w:tcW w:w="3100" w:type="dxa"/>
            <w:vAlign w:val="bottom"/>
          </w:tcPr>
          <w:p>
            <w:pPr>
              <w:spacing w:after="0"/>
              <w:rPr>
                <w:sz w:val="18"/>
                <w:szCs w:val="18"/>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w w:val="97"/>
              </w:rPr>
              <w:t>of Proceeds,” and based on the value of our total assets as of</w:t>
            </w:r>
          </w:p>
        </w:tc>
        <w:tc>
          <w:tcPr>
            <w:tcW w:w="2040" w:type="dxa"/>
            <w:vAlign w:val="bottom"/>
          </w:tcPr>
          <w:p>
            <w:pPr>
              <w:ind w:left="540"/>
              <w:spacing w:after="0"/>
              <w:rPr>
                <w:sz w:val="20"/>
                <w:szCs w:val="20"/>
                <w:color w:val="auto"/>
              </w:rPr>
            </w:pPr>
            <w:r>
              <w:rPr>
                <w:rFonts w:ascii="Arial" w:cs="Arial" w:eastAsia="Arial" w:hAnsi="Arial"/>
                <w:sz w:val="18"/>
                <w:szCs w:val="18"/>
                <w:color w:val="auto"/>
                <w:w w:val="86"/>
              </w:rPr>
              <w:t>, we expect our asset</w:t>
            </w:r>
          </w:p>
        </w:tc>
      </w:tr>
      <w:tr>
        <w:trPr>
          <w:trHeight w:val="222"/>
        </w:trPr>
        <w:tc>
          <w:tcPr>
            <w:tcW w:w="3100" w:type="dxa"/>
            <w:vAlign w:val="bottom"/>
          </w:tcPr>
          <w:p>
            <w:pPr>
              <w:spacing w:after="0"/>
              <w:rPr>
                <w:sz w:val="19"/>
                <w:szCs w:val="19"/>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rPr>
              <w:t>coverage ratio to be approximately   %.</w:t>
            </w:r>
          </w:p>
        </w:tc>
        <w:tc>
          <w:tcPr>
            <w:tcW w:w="2040" w:type="dxa"/>
            <w:vAlign w:val="bottom"/>
          </w:tcPr>
          <w:p>
            <w:pPr>
              <w:spacing w:after="0"/>
              <w:rPr>
                <w:sz w:val="19"/>
                <w:szCs w:val="19"/>
                <w:color w:val="auto"/>
              </w:rPr>
            </w:pPr>
          </w:p>
        </w:tc>
      </w:tr>
      <w:tr>
        <w:trPr>
          <w:trHeight w:val="412"/>
        </w:trPr>
        <w:tc>
          <w:tcPr>
            <w:tcW w:w="3100" w:type="dxa"/>
            <w:vAlign w:val="bottom"/>
          </w:tcPr>
          <w:p>
            <w:pPr>
              <w:spacing w:after="0"/>
              <w:rPr>
                <w:sz w:val="20"/>
                <w:szCs w:val="20"/>
                <w:color w:val="auto"/>
              </w:rPr>
            </w:pPr>
            <w:r>
              <w:rPr>
                <w:rFonts w:ascii="Arial" w:cs="Arial" w:eastAsia="Arial" w:hAnsi="Arial"/>
                <w:sz w:val="18"/>
                <w:szCs w:val="18"/>
                <w:color w:val="auto"/>
              </w:rPr>
              <w:t>Dividend Reinvestment Plan</w:t>
            </w: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6"/>
              </w:rPr>
              <w:t>We have adopted a dividend reinvestment plan for our stockholders, which is an “opt out”</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0"/>
              </w:rPr>
              <w:t>dividend reinvestment plan. Under this plan, if we declare a cash dividend or other distribution,</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1"/>
              </w:rPr>
              <w:t>our stockholders who have not elected to “opt out” of our dividend reinvestment plan will have</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0"/>
              </w:rPr>
              <w:t>their cash distribution automatically reinvested in additional shares of our common stock, rather</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4"/>
              </w:rPr>
              <w:t>than receiving the cash distribution. If a stockholder elects to “opt out”, that stockholder will</w:t>
            </w:r>
          </w:p>
        </w:tc>
      </w:tr>
      <w:tr>
        <w:trPr>
          <w:trHeight w:val="222"/>
        </w:trPr>
        <w:tc>
          <w:tcPr>
            <w:tcW w:w="3100" w:type="dxa"/>
            <w:vAlign w:val="bottom"/>
          </w:tcPr>
          <w:p>
            <w:pPr>
              <w:spacing w:after="0"/>
              <w:rPr>
                <w:sz w:val="19"/>
                <w:szCs w:val="19"/>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rPr>
              <w:t>receive cash dividends or other distributions.</w:t>
            </w:r>
          </w:p>
        </w:tc>
        <w:tc>
          <w:tcPr>
            <w:tcW w:w="2040" w:type="dxa"/>
            <w:vAlign w:val="bottom"/>
          </w:tcPr>
          <w:p>
            <w:pPr>
              <w:spacing w:after="0"/>
              <w:rPr>
                <w:sz w:val="19"/>
                <w:szCs w:val="19"/>
                <w:color w:val="auto"/>
              </w:rPr>
            </w:pPr>
          </w:p>
        </w:tc>
      </w:tr>
      <w:tr>
        <w:trPr>
          <w:trHeight w:val="412"/>
        </w:trPr>
        <w:tc>
          <w:tcPr>
            <w:tcW w:w="3100" w:type="dxa"/>
            <w:vAlign w:val="bottom"/>
          </w:tcPr>
          <w:p>
            <w:pPr>
              <w:spacing w:after="0"/>
              <w:rPr>
                <w:sz w:val="24"/>
                <w:szCs w:val="24"/>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6"/>
              </w:rPr>
              <w:t>We will determine the number of shares to be issued to a stockholder under the dividend</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9"/>
              </w:rPr>
              <w:t>reinvestment plan by dividing the total dollar amount of the dividend payable to such stockholder</w:t>
            </w:r>
          </w:p>
        </w:tc>
      </w:tr>
      <w:tr>
        <w:trPr>
          <w:trHeight w:val="222"/>
        </w:trPr>
        <w:tc>
          <w:tcPr>
            <w:tcW w:w="3100" w:type="dxa"/>
            <w:vAlign w:val="bottom"/>
          </w:tcPr>
          <w:p>
            <w:pPr>
              <w:spacing w:after="0"/>
              <w:rPr>
                <w:sz w:val="19"/>
                <w:szCs w:val="19"/>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rPr>
              <w:t>by the market price of our common stock.</w:t>
            </w:r>
          </w:p>
        </w:tc>
        <w:tc>
          <w:tcPr>
            <w:tcW w:w="2040" w:type="dxa"/>
            <w:vAlign w:val="bottom"/>
          </w:tcPr>
          <w:p>
            <w:pPr>
              <w:spacing w:after="0"/>
              <w:rPr>
                <w:sz w:val="19"/>
                <w:szCs w:val="19"/>
                <w:color w:val="auto"/>
              </w:rPr>
            </w:pPr>
          </w:p>
        </w:tc>
      </w:tr>
      <w:tr>
        <w:trPr>
          <w:trHeight w:val="412"/>
        </w:trPr>
        <w:tc>
          <w:tcPr>
            <w:tcW w:w="3100" w:type="dxa"/>
            <w:vAlign w:val="bottom"/>
          </w:tcPr>
          <w:p>
            <w:pPr>
              <w:spacing w:after="0"/>
              <w:rPr>
                <w:sz w:val="24"/>
                <w:szCs w:val="24"/>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3"/>
              </w:rPr>
              <w:t>Stockholders who receive dividends and other distributions in the form of shares of common</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stock generally are subject to the same U.S. federal tax consequences as stockholders who elect</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to receive their distributions in cash; however, since their cash dividends will be reinvested, those</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8"/>
              </w:rPr>
              <w:t>stockholders will not receive cash with which to pay any applicable taxes on reinvested</w:t>
            </w:r>
          </w:p>
        </w:tc>
      </w:tr>
      <w:tr>
        <w:trPr>
          <w:trHeight w:val="222"/>
        </w:trPr>
        <w:tc>
          <w:tcPr>
            <w:tcW w:w="3100" w:type="dxa"/>
            <w:vAlign w:val="bottom"/>
          </w:tcPr>
          <w:p>
            <w:pPr>
              <w:spacing w:after="0"/>
              <w:rPr>
                <w:sz w:val="19"/>
                <w:szCs w:val="19"/>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rPr>
              <w:t>dividends. See “Dividend Reinvestment Plan.”</w:t>
            </w:r>
          </w:p>
        </w:tc>
        <w:tc>
          <w:tcPr>
            <w:tcW w:w="2040" w:type="dxa"/>
            <w:vAlign w:val="bottom"/>
          </w:tcPr>
          <w:p>
            <w:pPr>
              <w:spacing w:after="0"/>
              <w:rPr>
                <w:sz w:val="19"/>
                <w:szCs w:val="19"/>
                <w:color w:val="auto"/>
              </w:rPr>
            </w:pPr>
          </w:p>
        </w:tc>
      </w:tr>
      <w:tr>
        <w:trPr>
          <w:trHeight w:val="412"/>
        </w:trPr>
        <w:tc>
          <w:tcPr>
            <w:tcW w:w="3100" w:type="dxa"/>
            <w:vAlign w:val="bottom"/>
          </w:tcPr>
          <w:p>
            <w:pPr>
              <w:spacing w:after="0"/>
              <w:rPr>
                <w:sz w:val="20"/>
                <w:szCs w:val="20"/>
                <w:color w:val="auto"/>
              </w:rPr>
            </w:pPr>
            <w:r>
              <w:rPr>
                <w:rFonts w:ascii="Arial" w:cs="Arial" w:eastAsia="Arial" w:hAnsi="Arial"/>
                <w:sz w:val="18"/>
                <w:szCs w:val="18"/>
                <w:color w:val="auto"/>
              </w:rPr>
              <w:t>Investment Advisory Fees</w:t>
            </w: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9"/>
              </w:rPr>
              <w:t>We pay the Adviser a fee for its services under an advisory agreement, which we refer to as the</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Investment Advisory Agreement, consisting of two components—a base management fee, which</w:t>
            </w:r>
          </w:p>
        </w:tc>
      </w:tr>
      <w:tr>
        <w:trPr>
          <w:trHeight w:val="222"/>
        </w:trPr>
        <w:tc>
          <w:tcPr>
            <w:tcW w:w="3100" w:type="dxa"/>
            <w:vAlign w:val="bottom"/>
          </w:tcPr>
          <w:p>
            <w:pPr>
              <w:spacing w:after="0"/>
              <w:rPr>
                <w:sz w:val="19"/>
                <w:szCs w:val="19"/>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we refer to as the Management Fee, and an incentive fee, which we refer to as the Incentive Fee.</w:t>
            </w:r>
          </w:p>
        </w:tc>
      </w:tr>
    </w:tbl>
    <w:p>
      <w:pPr>
        <w:spacing w:after="0" w:line="196" w:lineRule="exact"/>
        <w:rPr>
          <w:sz w:val="20"/>
          <w:szCs w:val="20"/>
          <w:color w:val="auto"/>
        </w:rPr>
      </w:pPr>
    </w:p>
    <w:p>
      <w:pPr>
        <w:ind w:left="4400"/>
        <w:spacing w:after="0" w:line="290" w:lineRule="auto"/>
        <w:rPr>
          <w:sz w:val="20"/>
          <w:szCs w:val="20"/>
          <w:color w:val="auto"/>
        </w:rPr>
      </w:pPr>
      <w:r>
        <w:rPr>
          <w:rFonts w:ascii="Arial" w:cs="Arial" w:eastAsia="Arial" w:hAnsi="Arial"/>
          <w:sz w:val="16"/>
          <w:szCs w:val="16"/>
          <w:color w:val="auto"/>
        </w:rPr>
        <w:t>The Management Fee paid to the Adviser, payable at the end of each quarter in arrears, is calculated at an annual rate of 1.5% of our gross assets, or total assets before deduction of any liabilities under generally accepted accounting principles in the United States, which we refer to as U.S. GAAP. Because the Management Fee is payable based on our gross assets, which includes cash and assets acquired through the use of leverage, our Adviser may have an incentive to use leverage to make additional investments. The amount of leverage that we employ will depend on our Adviser’s and our Board’s assessment</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400" w:right="300"/>
        <w:spacing w:after="0" w:line="259" w:lineRule="auto"/>
        <w:rPr>
          <w:sz w:val="20"/>
          <w:szCs w:val="20"/>
          <w:color w:val="auto"/>
        </w:rPr>
      </w:pPr>
      <w:r>
        <w:rPr>
          <w:rFonts w:ascii="Arial" w:cs="Arial" w:eastAsia="Arial" w:hAnsi="Arial"/>
          <w:sz w:val="18"/>
          <w:szCs w:val="18"/>
          <w:color w:val="auto"/>
        </w:rPr>
        <w:t>of market and other factors at the time of any proposed borrowing. See “Risk Factors—Risks Related to Our Business and Structure—We borrow money, which magnifies the potential for gain or loss and increases the risk of investing in us.”</w:t>
      </w:r>
    </w:p>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Incentive Fee consists of two parts.</w:t>
      </w:r>
    </w:p>
    <w:p>
      <w:pPr>
        <w:spacing w:after="0" w:line="90" w:lineRule="exact"/>
        <w:rPr>
          <w:sz w:val="20"/>
          <w:szCs w:val="20"/>
          <w:color w:val="auto"/>
        </w:rPr>
      </w:pPr>
    </w:p>
    <w:p>
      <w:pPr>
        <w:ind w:left="4820" w:hanging="160"/>
        <w:spacing w:after="0" w:line="285" w:lineRule="auto"/>
        <w:tabs>
          <w:tab w:leader="none" w:pos="4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 The 100% “catch-up” provision for pre-Incentive Fee net investment income in excess of the 1.5% “hurdle rate” (6.0%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Pre-Incentive Fee net investment income may include income that we have not received in cash.</w:t>
      </w:r>
    </w:p>
    <w:p>
      <w:pPr>
        <w:spacing w:after="0" w:line="166" w:lineRule="exact"/>
        <w:rPr>
          <w:rFonts w:ascii="Arial" w:cs="Arial" w:eastAsia="Arial" w:hAnsi="Arial"/>
          <w:sz w:val="16"/>
          <w:szCs w:val="16"/>
          <w:color w:val="auto"/>
        </w:rPr>
      </w:pPr>
    </w:p>
    <w:p>
      <w:pPr>
        <w:ind w:left="4820" w:right="80"/>
        <w:spacing w:after="0" w:line="287" w:lineRule="auto"/>
        <w:rPr>
          <w:rFonts w:ascii="Arial" w:cs="Arial" w:eastAsia="Arial" w:hAnsi="Arial"/>
          <w:sz w:val="16"/>
          <w:szCs w:val="16"/>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 our net assets as of the end of the calendar quarter immediately preceding the day; plus the aggregate amount of capital drawn from investors (or reinvested pursuant to our dividend reinvestment plan) from the beginning of the current quarter to the day; minus 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63" w:lineRule="exact"/>
        <w:rPr>
          <w:rFonts w:ascii="Arial" w:cs="Arial" w:eastAsia="Arial" w:hAnsi="Arial"/>
          <w:sz w:val="16"/>
          <w:szCs w:val="16"/>
          <w:color w:val="auto"/>
        </w:rPr>
      </w:pPr>
    </w:p>
    <w:p>
      <w:pPr>
        <w:ind w:left="4820" w:right="40"/>
        <w:spacing w:after="0" w:line="256" w:lineRule="auto"/>
        <w:rPr>
          <w:rFonts w:ascii="Arial" w:cs="Arial" w:eastAsia="Arial" w:hAnsi="Arial"/>
          <w:sz w:val="16"/>
          <w:szCs w:val="16"/>
          <w:color w:val="auto"/>
        </w:rPr>
      </w:pPr>
      <w:r>
        <w:rPr>
          <w:rFonts w:ascii="Arial" w:cs="Arial" w:eastAsia="Arial" w:hAnsi="Arial"/>
          <w:sz w:val="18"/>
          <w:szCs w:val="18"/>
          <w:color w:val="auto"/>
        </w:rPr>
        <w:t>Following this IPO,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62" w:lineRule="exact"/>
        <w:rPr>
          <w:rFonts w:ascii="Arial" w:cs="Arial" w:eastAsia="Arial" w:hAnsi="Arial"/>
          <w:sz w:val="16"/>
          <w:szCs w:val="16"/>
          <w:color w:val="auto"/>
        </w:rPr>
      </w:pPr>
    </w:p>
    <w:p>
      <w:pPr>
        <w:ind w:left="4820" w:right="120" w:hanging="160"/>
        <w:spacing w:after="0" w:line="268" w:lineRule="auto"/>
        <w:tabs>
          <w:tab w:leader="none" w:pos="4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second component, referred to as the Capital Gains Fee, is determined and payable in arrears as of the end of each calendar</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4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w w:val="91"/>
              </w:rPr>
              <w:t>year in an amount equal to a weighted percentage of our realized capital gains, if any, on a</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5"/>
              </w:rPr>
              <w:t>cumulative basis as between our inception to the end of the quarter in which this IPO is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completed at 15% and thereafter at 17.5%, less cumulative realized capital losses,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5"/>
              </w:rPr>
              <w:t>unrealized capital depreciation and net of the aggregate amount of any previously paid</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capital gain Incentive Fee for prior periods.</w:t>
            </w:r>
          </w:p>
        </w:tc>
      </w:tr>
      <w:tr>
        <w:trPr>
          <w:trHeight w:val="291"/>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Because of the structure of the Incentive Fee, it is possible that we may pay an Incentive Fee in a</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quarter in which we incur a loss.</w:t>
            </w:r>
          </w:p>
        </w:tc>
      </w:tr>
      <w:tr>
        <w:trPr>
          <w:trHeight w:val="291"/>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See “Management and Other Agreements—Investment Advisory Agreement; Administration</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Agreement; License Agreement.”</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Administration Agreement</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We reimburse the Adviser under an administration agreement, which we refer to as the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Administration Agreement, for certain administrative services to us.</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8"/>
              </w:rPr>
              <w:t>These services include providing office space, equipment and office services, maintaining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financial records, preparing reports to stockholders and reports filed with the SEC, and managing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the payment of expenses and the performance of administrative and professional services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rendered by others. In addition, the Adviser may delegate its duties under the Administration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8"/>
              </w:rPr>
              <w:t>Agreement to affiliates or third parties and we will pay or reimburse the Adviser expenses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incurred by any of those affiliates or third parties for work done on our behalf. See “Management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and Other Agreements—Investment Advisory Agreement; Administration Agreement; License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Agreement.”</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We have entered into a license agreement with an affiliate of TPG, under which the affiliate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granted us a non-exclusive license to use the TPG name and logo, for a nominal fee, for so long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as the Adviser or one of its affiliates remains our investment adviser. Other than with respect to</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this limited license, we have no legal right to the “TPG” name or logo.</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 at a Discount</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89"/>
              </w:rPr>
              <w:t>below our net asset value per share unless we have stockholder approval. The risk that our shares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may trade at a discount to our net asset value is separate and distinct from the risk that our net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asset value per share may decline. We cannot predict whether our shares will trade above, at or</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below net asset value. See “Risk Factors.”</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Custodian, Transfer and Dividend Paying Agent and</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State Street Bank and Trust Company serves as our custodian and will serve as our transfer and</w:t>
            </w:r>
          </w:p>
        </w:tc>
      </w:tr>
      <w:tr>
        <w:trPr>
          <w:trHeight w:val="216"/>
        </w:trPr>
        <w:tc>
          <w:tcPr>
            <w:tcW w:w="414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Registrar</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dividend paying agent and registrar. See “Custodian, Transfer and Dividend Paying Agent and</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Registrar.”</w:t>
            </w:r>
          </w:p>
        </w:tc>
      </w:tr>
      <w:tr>
        <w:trPr>
          <w:trHeight w:val="161"/>
        </w:trPr>
        <w:tc>
          <w:tcPr>
            <w:tcW w:w="4140" w:type="dxa"/>
            <w:vAlign w:val="bottom"/>
            <w:tcBorders>
              <w:left w:val="single" w:sz="8" w:color="auto"/>
              <w:bottom w:val="single" w:sz="8" w:color="auto"/>
            </w:tcBorders>
          </w:tcPr>
          <w:p>
            <w:pPr>
              <w:spacing w:after="0"/>
              <w:rPr>
                <w:sz w:val="13"/>
                <w:szCs w:val="13"/>
                <w:color w:val="auto"/>
              </w:rPr>
            </w:pPr>
          </w:p>
        </w:tc>
        <w:tc>
          <w:tcPr>
            <w:tcW w:w="7320" w:type="dxa"/>
            <w:vAlign w:val="bottom"/>
            <w:tcBorders>
              <w:bottom w:val="single" w:sz="8" w:color="auto"/>
              <w:right w:val="single" w:sz="8" w:color="auto"/>
            </w:tcBorders>
          </w:tcPr>
          <w:p>
            <w:pPr>
              <w:spacing w:after="0"/>
              <w:rPr>
                <w:sz w:val="13"/>
                <w:szCs w:val="13"/>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8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0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Available Information</w:t>
            </w:r>
          </w:p>
        </w:tc>
        <w:tc>
          <w:tcPr>
            <w:tcW w:w="838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part, under the Securities Act. This registration statement contains additional information about</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0"/>
              </w:rPr>
              <w:t>us and the shares of our common stock being offered by this prospectus. We are also required to</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file periodic reports, current reports, proxy statements and other information with the SEC. This</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information is available at the SEC’s public reference room at 100 F Street, N.E., Washington,</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1"/>
              </w:rPr>
              <w:t>D.C. 20549 and on the SEC’s website at http://www.sec.gov</w:t>
            </w:r>
            <w:r>
              <w:rPr>
                <w:rFonts w:ascii="Arial" w:cs="Arial" w:eastAsia="Arial" w:hAnsi="Arial"/>
                <w:sz w:val="18"/>
                <w:szCs w:val="18"/>
                <w:i w:val="1"/>
                <w:iCs w:val="1"/>
                <w:color w:val="auto"/>
                <w:w w:val="91"/>
              </w:rPr>
              <w:t>.</w:t>
            </w:r>
            <w:r>
              <w:rPr>
                <w:rFonts w:ascii="Arial" w:cs="Arial" w:eastAsia="Arial" w:hAnsi="Arial"/>
                <w:sz w:val="18"/>
                <w:szCs w:val="18"/>
                <w:color w:val="auto"/>
                <w:w w:val="91"/>
              </w:rPr>
              <w:t xml:space="preserve"> Information on the operation of the</w:t>
            </w:r>
          </w:p>
        </w:tc>
      </w:tr>
      <w:tr>
        <w:trPr>
          <w:trHeight w:val="222"/>
        </w:trPr>
        <w:tc>
          <w:tcPr>
            <w:tcW w:w="3080" w:type="dxa"/>
            <w:vAlign w:val="bottom"/>
            <w:tcBorders>
              <w:left w:val="single" w:sz="8" w:color="auto"/>
            </w:tcBorders>
          </w:tcPr>
          <w:p>
            <w:pPr>
              <w:spacing w:after="0"/>
              <w:rPr>
                <w:sz w:val="19"/>
                <w:szCs w:val="19"/>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SEC’s public reference room may be obtained by calling the SEC at 1 (800) SEC-0330.</w:t>
            </w:r>
          </w:p>
        </w:tc>
      </w:tr>
      <w:tr>
        <w:trPr>
          <w:trHeight w:val="412"/>
        </w:trPr>
        <w:tc>
          <w:tcPr>
            <w:tcW w:w="3080" w:type="dxa"/>
            <w:vAlign w:val="bottom"/>
            <w:tcBorders>
              <w:left w:val="single" w:sz="8" w:color="auto"/>
            </w:tcBorders>
          </w:tcPr>
          <w:p>
            <w:pPr>
              <w:spacing w:after="0"/>
              <w:rPr>
                <w:sz w:val="24"/>
                <w:szCs w:val="24"/>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We maintain a website at http://www.tpgspecialtylending.com and make all of our periodic and</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current reports, proxy statements and other information available, free of charge, on or through</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our website. Information on our website is not incorporated into or part of this prospectus. You</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may also obtain such information free of charge by contacting us in writing at 345 California</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2"/>
              </w:rPr>
              <w:t>Street, Suite 3300, San Francisco, CA 94104, Attention: Investor Relations, or by emailing us at</w:t>
            </w:r>
          </w:p>
        </w:tc>
      </w:tr>
      <w:tr>
        <w:trPr>
          <w:trHeight w:val="222"/>
        </w:trPr>
        <w:tc>
          <w:tcPr>
            <w:tcW w:w="3080" w:type="dxa"/>
            <w:vAlign w:val="bottom"/>
            <w:tcBorders>
              <w:left w:val="single" w:sz="8" w:color="auto"/>
            </w:tcBorders>
          </w:tcPr>
          <w:p>
            <w:pPr>
              <w:spacing w:after="0"/>
              <w:rPr>
                <w:sz w:val="19"/>
                <w:szCs w:val="19"/>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i w:val="1"/>
                <w:iCs w:val="1"/>
                <w:color w:val="auto"/>
              </w:rPr>
              <w:t>IRTSL   tpg.com</w:t>
            </w:r>
            <w:r>
              <w:rPr>
                <w:rFonts w:ascii="Arial" w:cs="Arial" w:eastAsia="Arial" w:hAnsi="Arial"/>
                <w:sz w:val="18"/>
                <w:szCs w:val="18"/>
                <w:color w:val="auto"/>
              </w:rPr>
              <w:t>.</w:t>
            </w:r>
          </w:p>
        </w:tc>
      </w:tr>
      <w:tr>
        <w:trPr>
          <w:trHeight w:val="161"/>
        </w:trPr>
        <w:tc>
          <w:tcPr>
            <w:tcW w:w="3080" w:type="dxa"/>
            <w:vAlign w:val="bottom"/>
            <w:tcBorders>
              <w:left w:val="single" w:sz="8" w:color="auto"/>
              <w:bottom w:val="single" w:sz="8" w:color="auto"/>
            </w:tcBorders>
          </w:tcPr>
          <w:p>
            <w:pPr>
              <w:spacing w:after="0"/>
              <w:rPr>
                <w:sz w:val="13"/>
                <w:szCs w:val="13"/>
                <w:color w:val="auto"/>
              </w:rPr>
            </w:pPr>
          </w:p>
        </w:tc>
        <w:tc>
          <w:tcPr>
            <w:tcW w:w="8380" w:type="dxa"/>
            <w:vAlign w:val="bottom"/>
            <w:tcBorders>
              <w:bottom w:val="single" w:sz="8" w:color="auto"/>
              <w:right w:val="single" w:sz="8" w:color="auto"/>
            </w:tcBorders>
          </w:tcPr>
          <w:p>
            <w:pPr>
              <w:spacing w:after="0"/>
              <w:rPr>
                <w:sz w:val="13"/>
                <w:szCs w:val="13"/>
                <w:color w:val="auto"/>
              </w:rPr>
            </w:pPr>
          </w:p>
        </w:tc>
      </w:tr>
      <w:tr>
        <w:trPr>
          <w:trHeight w:val="359"/>
        </w:trPr>
        <w:tc>
          <w:tcPr>
            <w:tcW w:w="3080" w:type="dxa"/>
            <w:vAlign w:val="bottom"/>
          </w:tcPr>
          <w:p>
            <w:pPr>
              <w:spacing w:after="0"/>
              <w:rPr>
                <w:sz w:val="24"/>
                <w:szCs w:val="24"/>
                <w:color w:val="auto"/>
              </w:rPr>
            </w:pPr>
          </w:p>
        </w:tc>
        <w:tc>
          <w:tcPr>
            <w:tcW w:w="8380" w:type="dxa"/>
            <w:vAlign w:val="bottom"/>
          </w:tcPr>
          <w:p>
            <w:pPr>
              <w:ind w:left="2540"/>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-452755</wp:posOffset>
            </wp:positionV>
            <wp:extent cx="77470" cy="774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8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9385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left="200" w:firstLine="443"/>
        <w:spacing w:after="0" w:line="303" w:lineRule="auto"/>
        <w:rPr>
          <w:sz w:val="20"/>
          <w:szCs w:val="20"/>
          <w:color w:val="auto"/>
        </w:rPr>
      </w:pPr>
      <w:r>
        <w:rPr>
          <w:rFonts w:ascii="Arial" w:cs="Arial" w:eastAsia="Arial" w:hAnsi="Arial"/>
          <w:sz w:val="15"/>
          <w:szCs w:val="15"/>
          <w:color w:val="auto"/>
        </w:rPr>
        <w:t>The following table is intended to assist you in understanding the costs and expenses that you will bear directly or indirectly.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w:t>
      </w:r>
    </w:p>
    <w:p>
      <w:pPr>
        <w:spacing w:after="0" w:line="1" w:lineRule="exact"/>
        <w:rPr>
          <w:sz w:val="20"/>
          <w:szCs w:val="20"/>
          <w:color w:val="auto"/>
        </w:rPr>
      </w:pPr>
    </w:p>
    <w:p>
      <w:pPr>
        <w:ind w:left="200"/>
        <w:spacing w:after="0"/>
        <w:tabs>
          <w:tab w:leader="none" w:pos="5040" w:val="left"/>
        </w:tabs>
        <w:rPr>
          <w:sz w:val="20"/>
          <w:szCs w:val="20"/>
          <w:color w:val="auto"/>
        </w:rPr>
      </w:pPr>
      <w:r>
        <w:rPr>
          <w:rFonts w:ascii="Arial" w:cs="Arial" w:eastAsia="Arial" w:hAnsi="Arial"/>
          <w:sz w:val="18"/>
          <w:szCs w:val="18"/>
          <w:color w:val="auto"/>
        </w:rPr>
        <w:t>amounts for our current fiscal year and assume that we issue</w:t>
      </w:r>
      <w:r>
        <w:rPr>
          <w:sz w:val="20"/>
          <w:szCs w:val="20"/>
          <w:color w:val="auto"/>
        </w:rPr>
        <w:tab/>
      </w:r>
      <w:r>
        <w:rPr>
          <w:rFonts w:ascii="Arial" w:cs="Arial" w:eastAsia="Arial" w:hAnsi="Arial"/>
          <w:sz w:val="15"/>
          <w:szCs w:val="15"/>
          <w:color w:val="auto"/>
        </w:rPr>
        <w:t>shares of common stock in this offering and the underwriters do not exercise their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option to purchase any additional shares to cover over-allotments. If we issue fewer shares, all other things being equal, these expenses would increase as a</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percentage of our net assets attributable to common stock. In addition, the expenses in the table are based on the assumption that we will have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borrowings outstanding under our credit facilities, after giving effect to this offering and the expected repayment of indebtedness as discussed in more detail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 “Use of Proceeds.” Our leverage may vary periodically depending on market conditions, our portfolio composition and our Adviser’s assessment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risks and returns. However, our total borrowings are limited so that our asset coverage ratio cannot fall below 200%, as defined in the 1940 Act. Except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where the context suggests otherwise, whenever this prospectus contains a reference to fees or expenses paid by “us,” “the Company” or “TPG Specialty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Lending,” or that “we” will pay fees or expenses, you will indirectly bear these fees or expenses as an investor in TPG Specialty Lending.</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Sales load (as a percentage of offering price)</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9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Dividend reinvestment plan expenses</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 %</w:t>
            </w:r>
            <w:r>
              <w:rPr>
                <w:rFonts w:ascii="Arial" w:cs="Arial" w:eastAsia="Arial" w:hAnsi="Arial"/>
                <w:sz w:val="11"/>
                <w:szCs w:val="11"/>
                <w:color w:val="auto"/>
              </w:rPr>
              <w:t>(3)</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(4)</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 (17.5% of investment income and capital gain)</w:t>
            </w:r>
          </w:p>
        </w:tc>
        <w:tc>
          <w:tcPr>
            <w:tcW w:w="9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(5)</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Interest payments on borrowed funds</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(6)</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400" w:type="dxa"/>
            <w:vAlign w:val="bottom"/>
            <w:tcBorders>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w:t>
            </w:r>
            <w:r>
              <w:rPr>
                <w:rFonts w:ascii="Arial" w:cs="Arial" w:eastAsia="Arial" w:hAnsi="Arial"/>
                <w:sz w:val="11"/>
                <w:szCs w:val="11"/>
                <w:color w:val="auto"/>
                <w:w w:val="93"/>
              </w:rPr>
              <w:t>(7)(8)</w:t>
            </w:r>
          </w:p>
        </w:tc>
      </w:tr>
      <w:tr>
        <w:trPr>
          <w:trHeight w:val="222"/>
        </w:trPr>
        <w:tc>
          <w:tcPr>
            <w:tcW w:w="10120" w:type="dxa"/>
            <w:vAlign w:val="bottom"/>
            <w:gridSpan w:val="2"/>
          </w:tcPr>
          <w:p>
            <w:pPr>
              <w:spacing w:after="0"/>
              <w:rPr>
                <w:sz w:val="20"/>
                <w:szCs w:val="20"/>
                <w:color w:val="auto"/>
              </w:rPr>
            </w:pPr>
            <w:r>
              <w:rPr>
                <w:rFonts w:ascii="Arial" w:cs="Arial" w:eastAsia="Arial" w:hAnsi="Arial"/>
                <w:sz w:val="18"/>
                <w:szCs w:val="18"/>
                <w:color w:val="auto"/>
              </w:rPr>
              <w:t>Total annual expenses</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(8)</w:t>
            </w:r>
          </w:p>
        </w:tc>
      </w:tr>
      <w:tr>
        <w:trPr>
          <w:trHeight w:val="20"/>
        </w:trPr>
        <w:tc>
          <w:tcPr>
            <w:tcW w:w="110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03"/>
        </w:trPr>
        <w:tc>
          <w:tcPr>
            <w:tcW w:w="110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r>
    </w:tbl>
    <w:p>
      <w:pPr>
        <w:spacing w:after="0" w:line="19" w:lineRule="exact"/>
        <w:rPr>
          <w:sz w:val="20"/>
          <w:szCs w:val="20"/>
          <w:color w:val="auto"/>
        </w:rPr>
      </w:pPr>
    </w:p>
    <w:p>
      <w:pPr>
        <w:ind w:left="620" w:right="620" w:hanging="423"/>
        <w:spacing w:after="0" w:line="26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sales load (underwriting discount) with respect to the shares of our common stock sold in this offering, which is a one-time fee paid to the underwriters, is the only sales load paid in connection with this offering.</w:t>
      </w:r>
    </w:p>
    <w:p>
      <w:pPr>
        <w:spacing w:after="0" w:line="51" w:lineRule="exact"/>
        <w:rPr>
          <w:sz w:val="20"/>
          <w:szCs w:val="20"/>
          <w:color w:val="auto"/>
        </w:rPr>
      </w:pPr>
    </w:p>
    <w:p>
      <w:pPr>
        <w:ind w:left="200"/>
        <w:spacing w:after="0"/>
        <w:tabs>
          <w:tab w:leader="none" w:pos="600" w:val="left"/>
          <w:tab w:leader="none" w:pos="5820" w:val="left"/>
        </w:tabs>
        <w:rPr>
          <w:sz w:val="20"/>
          <w:szCs w:val="20"/>
          <w:color w:val="auto"/>
        </w:rPr>
      </w:pPr>
      <w:r>
        <w:rPr>
          <w:rFonts w:ascii="Arial" w:cs="Arial" w:eastAsia="Arial" w:hAnsi="Arial"/>
          <w:sz w:val="18"/>
          <w:szCs w:val="18"/>
          <w:color w:val="auto"/>
        </w:rPr>
        <w:t>(2)</w:t>
        <w:tab/>
        <w:t>Amount reflects estimated offering expenses of approximately $</w:t>
      </w:r>
      <w:r>
        <w:rPr>
          <w:sz w:val="20"/>
          <w:szCs w:val="20"/>
          <w:color w:val="auto"/>
        </w:rPr>
        <w:tab/>
      </w:r>
      <w:r>
        <w:rPr>
          <w:rFonts w:ascii="Arial" w:cs="Arial" w:eastAsia="Arial" w:hAnsi="Arial"/>
          <w:sz w:val="18"/>
          <w:szCs w:val="18"/>
          <w:color w:val="auto"/>
        </w:rPr>
        <w:t>.</w:t>
      </w:r>
    </w:p>
    <w:p>
      <w:pPr>
        <w:spacing w:after="0" w:line="90" w:lineRule="exact"/>
        <w:rPr>
          <w:sz w:val="20"/>
          <w:szCs w:val="20"/>
          <w:color w:val="auto"/>
        </w:rPr>
      </w:pPr>
    </w:p>
    <w:p>
      <w:pPr>
        <w:ind w:left="620" w:right="620" w:hanging="423"/>
        <w:spacing w:after="0" w:line="268"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spacing w:after="0" w:line="50" w:lineRule="exact"/>
        <w:rPr>
          <w:rFonts w:ascii="Arial" w:cs="Arial" w:eastAsia="Arial" w:hAnsi="Arial"/>
          <w:sz w:val="18"/>
          <w:szCs w:val="18"/>
          <w:color w:val="auto"/>
        </w:rPr>
      </w:pPr>
    </w:p>
    <w:p>
      <w:pPr>
        <w:ind w:left="620" w:right="240" w:hanging="423"/>
        <w:spacing w:after="0" w:line="256"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Management Fee is 1.5% of our gross assets (including cash and cash equivalents and assets purchased with borrowed amounts). We may from time to time decide it is appropriate to change the terms of the agreement. Under the 1940 Act, any material change to our Investment Advisory Agreement must be submitted to stockholders for approval. See “Management and Other Agreements—Investment Advisory Agreement; Administration Agreement; License Agreement.”</w:t>
      </w:r>
    </w:p>
    <w:p>
      <w:pPr>
        <w:spacing w:after="0" w:line="62" w:lineRule="exact"/>
        <w:rPr>
          <w:sz w:val="20"/>
          <w:szCs w:val="20"/>
          <w:color w:val="auto"/>
        </w:rPr>
      </w:pPr>
    </w:p>
    <w:p>
      <w:pPr>
        <w:ind w:left="620" w:right="120"/>
        <w:spacing w:after="0" w:line="305" w:lineRule="auto"/>
        <w:rPr>
          <w:sz w:val="20"/>
          <w:szCs w:val="20"/>
          <w:color w:val="auto"/>
        </w:rPr>
      </w:pPr>
      <w:r>
        <w:rPr>
          <w:rFonts w:ascii="Arial" w:cs="Arial" w:eastAsia="Arial" w:hAnsi="Arial"/>
          <w:sz w:val="15"/>
          <w:szCs w:val="15"/>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w:t>
      </w:r>
    </w:p>
    <w:p>
      <w:pPr>
        <w:ind w:left="620" w:right="20"/>
        <w:spacing w:after="0" w:line="261" w:lineRule="auto"/>
        <w:rPr>
          <w:sz w:val="20"/>
          <w:szCs w:val="20"/>
          <w:color w:val="auto"/>
        </w:rPr>
      </w:pPr>
      <w:r>
        <w:rPr>
          <w:rFonts w:ascii="Arial" w:cs="Arial" w:eastAsia="Arial" w:hAnsi="Arial"/>
          <w:sz w:val="18"/>
          <w:szCs w:val="18"/>
          <w:color w:val="auto"/>
        </w:rPr>
        <w:t>and cash equivalents and assets purchased with borrowed money) and net assets pro forma as of after giving effect to this offering and the expected repayment of indebtedness, as discussed in more detail under “Use of Proceeds.”</w:t>
      </w:r>
    </w:p>
    <w:p>
      <w:pPr>
        <w:spacing w:after="0" w:line="57" w:lineRule="exact"/>
        <w:rPr>
          <w:sz w:val="20"/>
          <w:szCs w:val="20"/>
          <w:color w:val="auto"/>
        </w:rPr>
      </w:pPr>
    </w:p>
    <w:p>
      <w:pPr>
        <w:ind w:left="620" w:right="140" w:hanging="423"/>
        <w:spacing w:after="0" w:line="268"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first year after completion of this offering. The Incentive Fee payable in the example below is</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0" w:right="100"/>
        <w:spacing w:after="0" w:line="259" w:lineRule="auto"/>
        <w:rPr>
          <w:sz w:val="20"/>
          <w:szCs w:val="20"/>
          <w:color w:val="auto"/>
        </w:rPr>
      </w:pPr>
      <w:r>
        <w:rPr>
          <w:rFonts w:ascii="Arial" w:cs="Arial" w:eastAsia="Arial" w:hAnsi="Arial"/>
          <w:sz w:val="18"/>
          <w:szCs w:val="18"/>
          <w:color w:val="auto"/>
        </w:rPr>
        <w:t>based upon our actual results for the year ended December 31, 2013 as if they had occurred following the IPO, and assumes that the Incentive Fee is 17.5% for all relevant periods. However, the Incentive Fee payable to the Adviser is based on our performance and will not be paid unless we achieve certain goals.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Incentive Fee consists of two parts:</w:t>
      </w:r>
    </w:p>
    <w:p>
      <w:pPr>
        <w:spacing w:after="0" w:line="90" w:lineRule="exact"/>
        <w:rPr>
          <w:sz w:val="20"/>
          <w:szCs w:val="20"/>
          <w:color w:val="auto"/>
        </w:rPr>
      </w:pPr>
    </w:p>
    <w:p>
      <w:pPr>
        <w:ind w:left="620" w:right="180"/>
        <w:spacing w:after="0" w:line="255" w:lineRule="auto"/>
        <w:rPr>
          <w:sz w:val="20"/>
          <w:szCs w:val="20"/>
          <w:color w:val="auto"/>
        </w:rPr>
      </w:pPr>
      <w:r>
        <w:rPr>
          <w:rFonts w:ascii="Arial" w:cs="Arial" w:eastAsia="Arial" w:hAnsi="Arial"/>
          <w:sz w:val="18"/>
          <w:szCs w:val="18"/>
          <w:color w:val="auto"/>
        </w:rPr>
        <w:t>The first component, payable at the end of each quarter in arrears, equals 100% of the pre- Incentive Fee net investment income in excess of a 1.5% quarterly “hurdle rate”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w:t>
      </w:r>
    </w:p>
    <w:p>
      <w:pPr>
        <w:spacing w:after="0" w:line="62" w:lineRule="exact"/>
        <w:rPr>
          <w:sz w:val="20"/>
          <w:szCs w:val="20"/>
          <w:color w:val="auto"/>
        </w:rPr>
      </w:pPr>
    </w:p>
    <w:p>
      <w:pPr>
        <w:ind w:left="620" w:right="200"/>
        <w:spacing w:after="0" w:line="256" w:lineRule="auto"/>
        <w:rPr>
          <w:sz w:val="20"/>
          <w:szCs w:val="20"/>
          <w:color w:val="auto"/>
        </w:rPr>
      </w:pPr>
      <w:r>
        <w:rPr>
          <w:rFonts w:ascii="Arial" w:cs="Arial" w:eastAsia="Arial" w:hAnsi="Arial"/>
          <w:sz w:val="18"/>
          <w:szCs w:val="18"/>
          <w:color w:val="auto"/>
        </w:rPr>
        <w:t>The second part is determined and payable in arrears as of the end of each calendar year in an amount equal to a weighted percentage of our realized capital gains, if any, on a cumulative basis as between our inception to the end of the quarter in which this IPO is completed at 15% and thereafter at 17.5%, less cumulative realized capital losses, unrealized capital depreciation and net of the aggregate amount of any previously paid capital gain Incentive Fee for prior periods.</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“Management and Other Agreements—Investment Advisory Agreement; Administration Agreement; License Agreement”</w:t>
      </w:r>
    </w:p>
    <w:p>
      <w:pPr>
        <w:spacing w:after="0" w:line="90" w:lineRule="exact"/>
        <w:rPr>
          <w:sz w:val="20"/>
          <w:szCs w:val="20"/>
          <w:color w:val="auto"/>
        </w:rPr>
      </w:pPr>
    </w:p>
    <w:p>
      <w:pPr>
        <w:ind w:left="620" w:right="40" w:hanging="423"/>
        <w:spacing w:after="0" w:line="298"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Interest payments on borrowed funds represents an estimate of our annualized interest expenses under our credit facilities based on the amounts expected to be outstanding after this offering and the repayment of certain credit facility indebtedness described in “Use of Proceeds.”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31" w:lineRule="exact"/>
        <w:rPr>
          <w:rFonts w:ascii="Arial" w:cs="Arial" w:eastAsia="Arial" w:hAnsi="Arial"/>
          <w:sz w:val="16"/>
          <w:szCs w:val="16"/>
          <w:color w:val="auto"/>
        </w:rPr>
      </w:pPr>
    </w:p>
    <w:p>
      <w:pPr>
        <w:ind w:left="620" w:right="120" w:hanging="423"/>
        <w:spacing w:after="0" w:line="259"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our overhead expenses, such as payments under the Administration Agreement for certain expenses incurred by the Adviser. See “Management and Other Agreements— Investment Advisory Agreement; Administration Agreement; License Agreement.” We based these expenses on estimated amounts for the current fiscal year.</w:t>
      </w:r>
    </w:p>
    <w:p>
      <w:pPr>
        <w:spacing w:after="0" w:line="59" w:lineRule="exact"/>
        <w:rPr>
          <w:rFonts w:ascii="Arial" w:cs="Arial" w:eastAsia="Arial" w:hAnsi="Arial"/>
          <w:sz w:val="18"/>
          <w:szCs w:val="18"/>
          <w:color w:val="auto"/>
        </w:rPr>
      </w:pPr>
    </w:p>
    <w:p>
      <w:pPr>
        <w:ind w:left="620" w:hanging="42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Estimated.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(taking into account the repayment of certain credit facility indebtedness as described in “Use of Proceeds”) and that our annual operating expenses would remain at the levels set forth in the table above. The Incentive Fee payable in the example below assumes that the Incentive Fee is 17.5% for all relevant periods. Transaction expenses are included in the following example.</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1 year</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3 years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9"/>
              </w:rPr>
              <w:t>10 years</w:t>
            </w:r>
          </w:p>
        </w:tc>
      </w:tr>
      <w:tr>
        <w:trPr>
          <w:trHeight w:val="188"/>
        </w:trPr>
        <w:tc>
          <w:tcPr>
            <w:tcW w:w="79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2"/>
              </w:rPr>
              <w:t>You would pay the following expenses on a $1,000 investment, assuming a 5% annual return from realized</w:t>
            </w:r>
          </w:p>
        </w:tc>
        <w:tc>
          <w:tcPr>
            <w:tcW w:w="4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gains</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bl>
    <w:p>
      <w:pPr>
        <w:spacing w:after="0" w:line="154" w:lineRule="exact"/>
        <w:rPr>
          <w:sz w:val="20"/>
          <w:szCs w:val="20"/>
          <w:color w:val="auto"/>
        </w:rPr>
      </w:pPr>
    </w:p>
    <w:p>
      <w:pPr>
        <w:ind w:left="200" w:right="80" w:firstLine="443"/>
        <w:spacing w:after="0" w:line="298"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847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18478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2" w:lineRule="auto"/>
        <w:rPr>
          <w:sz w:val="20"/>
          <w:szCs w:val="20"/>
          <w:color w:val="auto"/>
        </w:rPr>
      </w:pPr>
      <w:r>
        <w:rPr>
          <w:rFonts w:ascii="Arial" w:cs="Arial" w:eastAsia="Arial" w:hAnsi="Arial"/>
          <w:sz w:val="18"/>
          <w:szCs w:val="18"/>
          <w:color w:val="auto"/>
        </w:rPr>
        <w:t>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“Dividend Reinvestment Plan” for additional information regarding our dividend reinvestment plan.</w:t>
      </w:r>
    </w:p>
    <w:p>
      <w:pPr>
        <w:spacing w:after="0" w:line="151"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Investing in our common stock involves a number of significant risks. Before you invest in our common stock, you should be aware of various risks associated with the investment, including those described below. You should carefully consider these risk factors, together with all of the other information included in this prospectus, before you decide whether to make an investment in our common stock.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recently formed company with relatively little operating history.</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upon at least 60 days’ written notice to the other party. The holders of a majority of our outstanding voting securities may also terminate the Investment Advisory Agreement without penalty upon not less than 60 days’ written notice.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we do not anticipate issuing preferred stock during the 12 months following this offering, 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and the investors who acquire shares in the offering may thereafter experience the same type of dilution from subsequent offerings at a discount.</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“—We may enter into collateralized loan obligations or their equivalents, which may subject us to certain structured financing risks.”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part of our business strategy, we borrow from and may in the future issue senior debt securities to banks, insurance companies and other lenders. Holders of these loans or senior securities would have fixed-dollar claims on our assets that are superior to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credit facilities also impose financial and operating covenants that restrict our business activities, remedies on default and similar matters. As of November 30, 2013,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November 30, 2013, we had approximately $372 million of outstanding indebtedness, which would have an annualized interest cost of 2.55% under the terms of our credit facilities, excluding fees (such as fees on undrawn amounts and amortization of upfront fees), to the extent the amount remains outstanding. For us to cover these annualized interest payments on indebtedness (exclusive of other fees we owe), we must achieve annual returns on our investments of at least 1.01%. Since we generally pay interest at a floating rate on our credit facilities, an increase in interest rates will generally increase our borrowing costs.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89"/>
              </w:rPr>
              <w:t>Assumed Return on Our Portfolio</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(net of expenses)</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13"/>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w:t>
            </w:r>
          </w:p>
        </w:tc>
        <w:tc>
          <w:tcPr>
            <w:tcW w:w="3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0%</w:t>
            </w:r>
          </w:p>
        </w:tc>
        <w:tc>
          <w:tcPr>
            <w:tcW w:w="500" w:type="dxa"/>
            <w:vAlign w:val="bottom"/>
          </w:tcPr>
          <w:p>
            <w:pPr>
              <w:spacing w:after="0"/>
              <w:rPr>
                <w:sz w:val="24"/>
                <w:szCs w:val="24"/>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10%</w:t>
            </w:r>
          </w:p>
        </w:tc>
        <w:tc>
          <w:tcPr>
            <w:tcW w:w="200" w:type="dxa"/>
            <w:vAlign w:val="bottom"/>
          </w:tcPr>
          <w:p>
            <w:pPr>
              <w:spacing w:after="0"/>
              <w:rPr>
                <w:sz w:val="24"/>
                <w:szCs w:val="24"/>
                <w:color w:val="auto"/>
              </w:rPr>
            </w:pPr>
          </w:p>
        </w:tc>
      </w:tr>
      <w:tr>
        <w:trPr>
          <w:trHeight w:val="210"/>
        </w:trPr>
        <w:tc>
          <w:tcPr>
            <w:tcW w:w="37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Corresponding return to stockholder</w:t>
            </w:r>
          </w:p>
        </w:tc>
        <w:tc>
          <w:tcPr>
            <w:tcW w:w="1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auto"/>
                <w:w w:val="74"/>
              </w:rPr>
              <w:t>%</w:t>
            </w: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108"/>
        </w:trPr>
        <w:tc>
          <w:tcPr>
            <w:tcW w:w="11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8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1520" w:type="dxa"/>
            <w:vAlign w:val="bottom"/>
            <w:gridSpan w:val="4"/>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8"/>
        </w:trPr>
        <w:tc>
          <w:tcPr>
            <w:tcW w:w="1620" w:type="dxa"/>
            <w:vAlign w:val="bottom"/>
            <w:gridSpan w:val="2"/>
          </w:tcPr>
          <w:p>
            <w:pPr>
              <w:spacing w:after="0"/>
              <w:rPr>
                <w:sz w:val="20"/>
                <w:szCs w:val="20"/>
                <w:color w:val="auto"/>
              </w:rPr>
            </w:pPr>
            <w:r>
              <w:rPr>
                <w:rFonts w:ascii="Arial" w:cs="Arial" w:eastAsia="Arial" w:hAnsi="Arial"/>
                <w:sz w:val="18"/>
                <w:szCs w:val="18"/>
                <w:color w:val="auto"/>
              </w:rPr>
              <w:t>(1)   Assumes (i) $</w:t>
            </w:r>
          </w:p>
        </w:tc>
        <w:tc>
          <w:tcPr>
            <w:tcW w:w="2100" w:type="dxa"/>
            <w:vAlign w:val="bottom"/>
          </w:tcPr>
          <w:p>
            <w:pPr>
              <w:ind w:left="200"/>
              <w:spacing w:after="0"/>
              <w:rPr>
                <w:sz w:val="20"/>
                <w:szCs w:val="20"/>
                <w:color w:val="auto"/>
              </w:rPr>
            </w:pPr>
            <w:r>
              <w:rPr>
                <w:rFonts w:ascii="Arial" w:cs="Arial" w:eastAsia="Arial" w:hAnsi="Arial"/>
                <w:sz w:val="18"/>
                <w:szCs w:val="18"/>
                <w:color w:val="auto"/>
                <w:w w:val="98"/>
              </w:rPr>
              <w:t>million in investments at</w:t>
            </w:r>
          </w:p>
        </w:tc>
        <w:tc>
          <w:tcPr>
            <w:tcW w:w="1220" w:type="dxa"/>
            <w:vAlign w:val="bottom"/>
          </w:tcPr>
          <w:p>
            <w:pPr>
              <w:ind w:left="600"/>
              <w:spacing w:after="0"/>
              <w:rPr>
                <w:sz w:val="20"/>
                <w:szCs w:val="20"/>
                <w:color w:val="auto"/>
              </w:rPr>
            </w:pPr>
            <w:r>
              <w:rPr>
                <w:rFonts w:ascii="Arial" w:cs="Arial" w:eastAsia="Arial" w:hAnsi="Arial"/>
                <w:sz w:val="18"/>
                <w:szCs w:val="18"/>
                <w:color w:val="auto"/>
              </w:rPr>
              <w:t>, (ii) $</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w w:val="95"/>
              </w:rPr>
              <w:t>million in outstanding indebtedness at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 (iii) $</w:t>
            </w:r>
          </w:p>
        </w:tc>
        <w:tc>
          <w:tcPr>
            <w:tcW w:w="1520" w:type="dxa"/>
            <w:vAlign w:val="bottom"/>
            <w:gridSpan w:val="4"/>
          </w:tcPr>
          <w:p>
            <w:pPr>
              <w:ind w:left="120"/>
              <w:spacing w:after="0"/>
              <w:rPr>
                <w:sz w:val="20"/>
                <w:szCs w:val="20"/>
                <w:color w:val="auto"/>
              </w:rPr>
            </w:pPr>
            <w:r>
              <w:rPr>
                <w:rFonts w:ascii="Arial" w:cs="Arial" w:eastAsia="Arial" w:hAnsi="Arial"/>
                <w:sz w:val="18"/>
                <w:szCs w:val="18"/>
                <w:color w:val="auto"/>
                <w:w w:val="87"/>
              </w:rPr>
              <w:t>million in net assets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2"/>
        </w:trPr>
        <w:tc>
          <w:tcPr>
            <w:tcW w:w="1160" w:type="dxa"/>
            <w:vAlign w:val="bottom"/>
          </w:tcPr>
          <w:p>
            <w:pPr>
              <w:ind w:left="460"/>
              <w:spacing w:after="0"/>
              <w:rPr>
                <w:sz w:val="20"/>
                <w:szCs w:val="20"/>
                <w:color w:val="auto"/>
              </w:rPr>
            </w:pPr>
            <w:r>
              <w:rPr>
                <w:rFonts w:ascii="Arial" w:cs="Arial" w:eastAsia="Arial" w:hAnsi="Arial"/>
                <w:sz w:val="18"/>
                <w:szCs w:val="18"/>
                <w:color w:val="auto"/>
              </w:rPr>
              <w:t>at</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w w:val="92"/>
              </w:rPr>
              <w:t>and (iv) average cost of funds of</w:t>
            </w:r>
          </w:p>
        </w:tc>
        <w:tc>
          <w:tcPr>
            <w:tcW w:w="4660" w:type="dxa"/>
            <w:vAlign w:val="bottom"/>
            <w:gridSpan w:val="6"/>
          </w:tcPr>
          <w:p>
            <w:pPr>
              <w:jc w:val="right"/>
              <w:ind w:right="20"/>
              <w:spacing w:after="0"/>
              <w:rPr>
                <w:sz w:val="20"/>
                <w:szCs w:val="20"/>
                <w:color w:val="auto"/>
              </w:rPr>
            </w:pPr>
            <w:r>
              <w:rPr>
                <w:rFonts w:ascii="Arial" w:cs="Arial" w:eastAsia="Arial" w:hAnsi="Arial"/>
                <w:sz w:val="18"/>
                <w:szCs w:val="18"/>
                <w:color w:val="auto"/>
                <w:w w:val="91"/>
              </w:rPr>
              <w:t>%, which is the estimated borrowing cost on our credit facilities.</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under the 1940 Act we generally will not be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no longer have the ability to call capital from our existing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16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in later years even if we later incur losses.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3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90"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2" w:lineRule="exact"/>
        <w:rPr>
          <w:sz w:val="20"/>
          <w:szCs w:val="20"/>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50" w:lineRule="exact"/>
        <w:rPr>
          <w:rFonts w:ascii="Arial" w:cs="Arial" w:eastAsia="Arial" w:hAnsi="Arial"/>
          <w:sz w:val="18"/>
          <w:szCs w:val="18"/>
          <w:color w:val="auto"/>
        </w:rPr>
      </w:pPr>
    </w:p>
    <w:p>
      <w:pPr>
        <w:ind w:left="900" w:right="260" w:hanging="325"/>
        <w:spacing w:after="0" w:line="335"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elect to retain some income and capital gains in excess of what is permissible for excise tax purposes and such amounts will be subject to 4%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excise tax.</w:t>
      </w:r>
    </w:p>
    <w:p>
      <w:pPr>
        <w:spacing w:after="0" w:line="8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calendar year ended December 31, 2012, we retained $2.8 million of income and capital gains in order to provide us with additional liquidity and recorded a net expense of $0.1 million for U.S. federal excise tax as a result. We may decide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relating to middle-market loan originations for companies domiciled in the United States and certain follow-on investments in companies in which we have already invested, but we cannot assure you when or whether the order will be obtained. See “Related-Party Transactions and Certain Relationships.”</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Adviser has the right, under the Investment Advisory Agreement and the Administration Agreement, to resign at any time upon not less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13"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5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Although we expect to become a large accelerated filer at some point following this IPO, we currently are a “non-accelerated filer” under the Exchange Act, which has exempted us from compliance with these auditor attestation requirements. We cannot predict if investors will find shares of our common stock less attractive because we will rely on these exemptions. If some investors find our shares of common stock less attractive as a result, there may be a less active trading market for our shares and our share price may be more volatile.</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choosing not to take advantage of the extended transition period for complying with new or revised accounting standards, which may make it more difficult for investors and securities analysts to compare our financial statements to companies that comply with private company effective dates.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in which our annual gross revenue exceeds $1 billion;</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as a result of being a publicly traded company.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publicly traded company, we will incur legal, accounting, investor relations and other expenses, including costs associated with corporate governance requirements, such as those under the Sarbanes-Oxley Act, and other rules implemented by the SEC and the listing standards of the New York Stock Exchange, or NYSE. Upon ceasing to qualify as an emerging growth company under the JOBS Act, our independent registered public accounting firm will be required to attest to the effectiveness of our internal controls over financial reporting pursuant to Section 404 of the Sarbanes-Oxley Act, which will increase the costs associated with our periodic reporting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 and default rates on our investments. As a result of these and other possible factors, results for any period should not be relied upon as being indicative of performance in future periods.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Our bylaws further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2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3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 attacks.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“—Unless Congress renews certain exemptions that expired for taxable years commencing after December 31, 2013, certain dividend distributions we make to certain non-U.S. stockholders will be subject to U.S. withholding tax.”</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3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Uncertainty about the financial stability of the United States and of several countries in the European Union (EU) could have a significant adverse effect on our business, results of operations and financial condition.</w:t>
      </w:r>
    </w:p>
    <w:p>
      <w:pPr>
        <w:spacing w:after="0" w:line="51"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Due to federal budget deficit concerns, S&amp;P downgraded the federal government’s credit rating from AAA to AA+ for the first time in history on August 5, 2011. Further, Moody’s and Fitch have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2010, a financial crisis emerged in Europe, triggered by high budget deficits and rising direct and contingent sovereign debt in Greece, Ireland, Italy, Portugal and Spain, which created concerns about the ability of these nations to continue to service their sovereign debt obligations. Risks and ongoing concerns resulting from the debt crisis in Europe could have a detrimental impact on the global economic recovery, sovereign and non-sovereign debt in these countries and the financial condition of European financial institutions. Market and economic disruptions have affected, and may continue to affect, consumer confidence levels and spending, personal bankruptcy rates, levels of incurrence and default on consumer debt and home prices, among other factors. We cannot assure you that the market disruptions in Europe, including the increased cost of funding for certain governments and financial institutions, will not spread, and we cannot assure you that future assistance packages will be available, or if available, sufficient to stabilize the affected countries and markets in Europe or elsewhere. To the extent uncertainty regarding any economic recovery in Europe continues to negatively impact consumer confidence and consumer credit factors, our business and results of operations could be significantly and adversely affected.</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85"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along with the European sovereign debt crisis, could cause interest rates and borrowing costs to rise, which may negatively impact our ability to access the debt markets on favorable terms.</w:t>
      </w:r>
    </w:p>
    <w:p>
      <w:pPr>
        <w:spacing w:after="0" w:line="16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failure or the perceived risk of a failure to raise the statutory debt limit of the United States, or a shutdown of the United States federal government, could have a material adverse effect on our business, financial condition and results of operations.</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widely reported, the federal government may not be able to meet its debt payments in the relatively near future unless the federal debt ceiling is raised. If legislation increasing the debt ceiling is not enacted and the debt ceiling is reached, the federal government may stop or delay making payments on its obligations. A failure by Congress to raise the debt limit would increase the risk of default by the United States on its obligations, as well as the risk of other economic dislocations.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U.S. government fails to complete its budget process or to provide for a continuing resolution before the expiration of the current continuing resolution, a federal government shutdown may result. Such a failure or the perceived risk of such a failure consequently could have a material adverse effect on the financial markets and economic conditions in the United States and throughout the world. It could also limit our ability and the ability of our portfolio companies to obtain financing, and it could have a material adverse effect on the valuation of our portfolio companies. Consequently, the continued uncertainty in the general economic environment, including the recent government shutdown and potential debt ceiling implications, as well in specific economies of several individual geographic markets in which our portfolio companies operate, could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primarily invest in first-lien debt, second-lien debt, mezzanine debt or equity securities issued by middle-market companies. The companies in which we intend to invest will typically be highly leveraged, and, in most cases, our investments in these companies will not be rated by any rating agency. If these instruments were rated, we believe that they would likely receive a rating of below investment grade (that is, below BBB- or Baa3). Exposure to below investment grade instruments involves certain risks, including speculation with respect to the borrower’s capacity to pay interest and repay principal.</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First-Lien Debt</w:t>
      </w:r>
      <w:r>
        <w:rPr>
          <w:rFonts w:ascii="Arial" w:cs="Arial" w:eastAsia="Arial" w:hAnsi="Arial"/>
          <w:sz w:val="16"/>
          <w:szCs w:val="16"/>
          <w:color w:val="auto"/>
        </w:rPr>
        <w:t>. When we make a first-lien loan, we generally take a security interest in the available assets of the portfolio company, including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be subordinated to those of other lenders in the loan under certain circumstances. This may result in greater risk and loss of principal on these loans.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i w:val="1"/>
          <w:iCs w:val="1"/>
          <w:color w:val="auto"/>
        </w:rPr>
        <w:t>Second-Lien and Mezzanine Debt</w:t>
      </w:r>
      <w:r>
        <w:rPr>
          <w:rFonts w:ascii="Arial" w:cs="Arial" w:eastAsia="Arial" w:hAnsi="Arial"/>
          <w:sz w:val="15"/>
          <w:szCs w:val="15"/>
          <w:color w:val="auto"/>
        </w:rPr>
        <w:t>. Our investments in second-lien and mezzanine debt generally are subordinated to senior loans and will either have junior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security interests or be unsecured. As such, other creditors may rank senior to us in the event of insolvency. This may result in greater risk and loss of principal.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When we invest in first-lien debt, second-lien debt or mezzanine debt, we may acquire equity securities, such as warrants,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involve a number of significant risks, including:</w:t>
      </w:r>
    </w:p>
    <w:p>
      <w:pPr>
        <w:spacing w:after="0" w:line="90" w:lineRule="exact"/>
        <w:rPr>
          <w:sz w:val="20"/>
          <w:szCs w:val="20"/>
          <w:color w:val="auto"/>
        </w:rPr>
      </w:pPr>
    </w:p>
    <w:p>
      <w:pPr>
        <w:ind w:left="900" w:right="1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4" w:lineRule="exact"/>
        <w:rPr>
          <w:rFonts w:ascii="Arial" w:cs="Arial" w:eastAsia="Arial" w:hAnsi="Arial"/>
          <w:sz w:val="16"/>
          <w:szCs w:val="16"/>
          <w:color w:val="auto"/>
        </w:rPr>
      </w:pPr>
    </w:p>
    <w:p>
      <w:pPr>
        <w:jc w:val="both"/>
        <w:ind w:left="900" w:right="1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59"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4"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90" w:lineRule="exact"/>
        <w:rPr>
          <w:sz w:val="20"/>
          <w:szCs w:val="20"/>
          <w:color w:val="auto"/>
        </w:rPr>
      </w:pPr>
    </w:p>
    <w:p>
      <w:pPr>
        <w:ind w:left="900" w:right="36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will be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19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with Natixis Bank, to form a CLO or other securitization vehicle in the future.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be exposed to many of the same risks as described above with respect to our wholly owned subsidiary that supports our Revolving Credit Facility (Natixis). However, in the event we formed a CLO or other securitization vehicle, many of the risks described above would be heightened because we may incur a higher degree of leverage under a CLO or other securitization vehicle than we are permitted to incur under our Revolving Credit Facility (Natixis).</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b w:val="1"/>
          <w:bCs w:val="1"/>
          <w:i w:val="1"/>
          <w:iCs w:val="1"/>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ind w:firstLine="456"/>
        <w:spacing w:after="0" w:line="291" w:lineRule="auto"/>
        <w:rPr>
          <w:sz w:val="20"/>
          <w:szCs w:val="20"/>
          <w:color w:val="auto"/>
        </w:rPr>
      </w:pPr>
      <w:r>
        <w:rPr>
          <w:rFonts w:ascii="Arial" w:cs="Arial" w:eastAsia="Arial" w:hAnsi="Arial"/>
          <w:sz w:val="16"/>
          <w:szCs w:val="16"/>
          <w:color w:val="auto"/>
        </w:rPr>
        <w:t>We are a lender, and loans (and any equity investments we make)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assets. The debt of companies in financial reorganization will, in most cases, not pay current interest, may not accrue interest during reorganization and may be adversely affected by an erosion of the issuer’s fundamental value.</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13"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include counter-party credit risk. To the extent we have non-U.S. investments, particularly investments denominated in non-U.S. currencies, our hedging costs will increase.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also have the ability to borrow in certain foreign currencies under the Revolving Credit Facility (SunTrust). Instead of entering into a foreign exchange forward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(SunTrust), we may seek to utilize interest rate derivatives to hedge our exposure to changes in the associated rate.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firstLine="456"/>
        <w:spacing w:after="0" w:line="294" w:lineRule="auto"/>
        <w:rPr>
          <w:sz w:val="20"/>
          <w:szCs w:val="20"/>
          <w:color w:val="auto"/>
        </w:rPr>
      </w:pPr>
      <w:r>
        <w:rPr>
          <w:rFonts w:ascii="Arial" w:cs="Arial" w:eastAsia="Arial" w:hAnsi="Arial"/>
          <w:sz w:val="16"/>
          <w:szCs w:val="16"/>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success of our hedging strategy will depend on our ability to correctly identify appropriate exposures for hedging. To date, we have entered into such transactions to seek to reduce currency exchange rate risk.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variety of reasons, we may not seek to (or be able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1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Adviser intends to claim relief available under a no-action letter, known as Letter 12-40, issued by the staff of the Commodity Futures Trading Commission, or CFTC. Letter 12-40 would relieve our Adviser from registering with the CFTC as the commodity pool operator, or CPO of us, so long as we:</w:t>
      </w:r>
    </w:p>
    <w:p>
      <w:pPr>
        <w:spacing w:after="0" w:line="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were not to satisfy the conditions of Letter 12-40,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4.13(a)(3), which is not available for advisers of companies whose stock is marketed to the public.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Investments in below-investment grade debt instruments and certain equity securities may present special tax issues for us. U.S. federal income tax rules are not entirely clear about issues, including when we may cease to accrue interest, original issue discount or market discount, when and to what extent certain deductions may 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1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2013, certain dividend distributions we make to certain non-U.S. stockholders will be subject to U.S. withholding tax.</w:t>
      </w:r>
    </w:p>
    <w:p>
      <w:pPr>
        <w:spacing w:after="0" w:line="51" w:lineRule="exact"/>
        <w:rPr>
          <w:sz w:val="20"/>
          <w:szCs w:val="20"/>
          <w:color w:val="auto"/>
        </w:rPr>
      </w:pPr>
    </w:p>
    <w:p>
      <w:pPr>
        <w:ind w:right="180" w:firstLine="456"/>
        <w:spacing w:after="0" w:line="310" w:lineRule="auto"/>
        <w:rPr>
          <w:sz w:val="20"/>
          <w:szCs w:val="20"/>
          <w:color w:val="auto"/>
        </w:rPr>
      </w:pPr>
      <w:r>
        <w:rPr>
          <w:rFonts w:ascii="Arial" w:cs="Arial" w:eastAsia="Arial" w:hAnsi="Arial"/>
          <w:sz w:val="15"/>
          <w:szCs w:val="15"/>
          <w:color w:val="auto"/>
        </w:rPr>
        <w:t>In recent years, Congress has renewed the rules under which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2013. Further legislation will be required to make the exemption available with respect to such taxable years. We cannot assure you that Congress will extend the pass-through rules for taxable years commencing after December 31, 2013,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189"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our investment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Considerations—Potential Limitation with respect to Certain U.S. Stockholders on Deductions for Certain Fees and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PIK.</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through contractual payment-in-kind, or PIK, interest (meaning interest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paid in the form of additional principal amount of the loan instead of in cash), or in certain other circumstances.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accounting purposes, any cash distributions to shareholders representing OID income are not treated as coming from paid-in capital, even though the cash to pay them comes from the offering proceeds.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dividends or that our dividends may not grow over time.</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4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“—There are certain risks associated with holding debt obligations that have original issue discount or PIK.”</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2013. See “Material U.S. Federal Income Tax Considerations—Regulated Investment Company Classification.”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That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investment adviser, the amount of accrued income written off in any period will reduce the income in the period in which the write-off is taken and thereby reduce that period’s Incentive Fee payment, if any.</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 high degree of risk.</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market price and liquidity of the market for shares of our common stock that will prevail in the market after this offering may be higher or lower than the price you pay and may be significantly affected by numerous factors, some of which are beyond our control and may not be directly related to our operating performance. These factors include:</w:t>
      </w:r>
    </w:p>
    <w:p>
      <w:pPr>
        <w:spacing w:after="0" w:line="59" w:lineRule="exact"/>
        <w:rPr>
          <w:sz w:val="20"/>
          <w:szCs w:val="20"/>
          <w:color w:val="auto"/>
        </w:rPr>
      </w:pPr>
    </w:p>
    <w:p>
      <w:pPr>
        <w:ind w:left="900" w:right="1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intend to apply to list our common stock on the NYSE. We cannot assure you that a trading market will develop for our common stock after this offering or, if one develops, that the trading market can be sustained. In addition, we cannot predict the prices at which our common stock will trade. The IPO price for our common stock will be determined through our negotiations with the underwriters and may not bear any relationship to the market price at which it may trade after our IPO. Shares of companies offered in an IPO often trade at a discount to the initial offering price due to underwriting discounts and commissions and related offering expenses. Also,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The risk of loss associated with this characteristic of closed-end management investment companies may be greater for investors expecting to sell shares of common stock purchased in the offering soon after the offering.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Upon completion of this offering, we will have shares of common stock outstanding (or shares of common stock if the underwriters’ over-allotment option is fully exercised). The shares of common stock sold in this offering will be freely tradable without restriction or limitation under the Securities Act. Any shares purchased in this offering or currently owned by our affiliates, as defined in the Securities Act, will be subject to the public information, manner of sale and volume limitations of Rule 144 under the Securities Act. The remaining shares of our common stock that will be outstanding upon the completion of this offering will be “restricted securities” under the meaning of Rule 144 promulgated under the Securities Act and may only be sold if such sale is registered under the Securities Act or exempt from registration, including the exemption under Rule 144. See “Shares Eligible for Future Sale.” Following this offering and the expiration of applicable lock-up periods, subject to applicable securities laws, sales of substantial amounts of our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adopted a dividend reinvestment plan, pursuant to which we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“Distributions” and “Dividend Reinvestment Plan” for a description of our dividend policy and obligations.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the number of shares issued pursuant to the dividend reinvestment plan will be determined based on the market price of shares of our common stock, which may be below the net asset value per share. Accordingly, participants in the dividend reinvestment plan may receive a greater number shares of our common stock than the number of shares associated with our net asset value per share, resulting in dilution for other stockholders. Stockholders that opt out of our dividend reinvestment plan will experience dilution in their ownership percentage of our common stock over time.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51" w:lineRule="exact"/>
        <w:rPr>
          <w:sz w:val="20"/>
          <w:szCs w:val="20"/>
          <w:color w:val="auto"/>
        </w:rPr>
      </w:pPr>
    </w:p>
    <w:p>
      <w:pPr>
        <w:ind w:left="900" w:right="4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Sections 27A(b)(2)(B) and (D) of the Securities Act and Section 21E(b)(2)(B) and (D) of the Exchange Act, the “safe harbor” provisions of the Private Securities Litigation Reform Act of 1995 do not apply to statements made in connection with any offering of securities pursuant to this prospectus.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estimate that the net proceeds we will receive from the sale of shares of our common stock in this offering will be approximately $ million (or approximately $ million if the underwriters exercise their option to purchase additional shares of our common stock to cover over-allotments in full), after deducting the underwriting discounts and commissions and estimated offering expenses of approximately $ million payable by us.</w:t>
      </w:r>
    </w:p>
    <w:p>
      <w:pPr>
        <w:spacing w:after="0" w:line="107" w:lineRule="exact"/>
        <w:rPr>
          <w:sz w:val="20"/>
          <w:szCs w:val="20"/>
          <w:color w:val="auto"/>
        </w:rPr>
      </w:pPr>
    </w:p>
    <w:p>
      <w:pPr>
        <w:ind w:left="460"/>
        <w:spacing w:after="0"/>
        <w:tabs>
          <w:tab w:leader="none" w:pos="9160" w:val="left"/>
          <w:tab w:leader="none" w:pos="10460" w:val="left"/>
        </w:tabs>
        <w:rPr>
          <w:sz w:val="20"/>
          <w:szCs w:val="20"/>
          <w:color w:val="auto"/>
        </w:rPr>
      </w:pPr>
      <w:r>
        <w:rPr>
          <w:rFonts w:ascii="Arial" w:cs="Arial" w:eastAsia="Arial" w:hAnsi="Arial"/>
          <w:sz w:val="18"/>
          <w:szCs w:val="18"/>
          <w:color w:val="auto"/>
        </w:rPr>
        <w:t>We intend to use 100% of the net proceeds of this offering, together with our cash and cash equivalents, to pay down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million if the</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underwriters exercise their option to purchase additional shares of our common stock to cover over-allotments in full) of outstanding indebtedness under the Revolving Credit Facility (SunTrust), which matures on July 2, 2018, on or about the date of this offering. After giving effect to the use of proceeds to pay down a</w:t>
      </w:r>
    </w:p>
    <w:p>
      <w:pPr>
        <w:spacing w:after="0" w:line="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portion of the outstanding balance under the Revolving Credit Facility (SunTrust), $ million (or $ million if the underwriters exercise their option to purchase additional shares of our common stock to cover over-allotments in full) will remain outstanding under the facility. We do not intend to terminate the facility and may reborrow the amount we repay, subject to certain conditions. As of September 30, 2013, amounts outstanding under our Revolving Credit Facility (SunTrust) bore interest at a rate of LIBOR plus 225 basis points.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Board intends to declare a dividend of $ per share for the quarter ending . Shares offered by this prospectus will be entitled to receive this dividend payment. We anticipate that this dividend will be paid from income generated primarily by interest earned on our investment portfolio.</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3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one-year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 ended December 31, 2012 for purposes of additional liquidity and recorded a net expense of $0.1 million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you. If this happens, you will be treated for U.S. federal income tax purposes as if you had received an actual distribution of the net capital gains that we retain and you reinvested the net after-tax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Unless you elect to receive your dividends in cash, we intend to make such distributions in additional shares of our common stock under our dividend reinvestment plan. Any fractional shares will be paid in cash. Investors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Declared</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5, 2013, our issued and outstanding shares total 37,026,023, as adjusted for the stock split.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dividends declared during the nine months ended September 30, 2013, and the years ended December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8"/>
              </w:rPr>
              <w:t>Nine Months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center"/>
              <w:ind w:right="900"/>
              <w:spacing w:after="0"/>
              <w:rPr>
                <w:sz w:val="20"/>
                <w:szCs w:val="20"/>
                <w:color w:val="auto"/>
              </w:rPr>
            </w:pPr>
            <w:r>
              <w:rPr>
                <w:rFonts w:ascii="Arial" w:cs="Arial" w:eastAsia="Arial" w:hAnsi="Arial"/>
                <w:sz w:val="14"/>
                <w:szCs w:val="14"/>
                <w:b w:val="1"/>
                <w:bCs w:val="1"/>
                <w:color w:val="auto"/>
                <w:w w:val="85"/>
              </w:rPr>
              <w:t>September 30, 2013</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continue"/>
          </w:tcPr>
          <w:p>
            <w:pPr>
              <w:spacing w:after="0"/>
              <w:rPr>
                <w:sz w:val="14"/>
                <w:szCs w:val="14"/>
                <w:color w:val="auto"/>
              </w:rPr>
            </w:pP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4"/>
                <w:szCs w:val="1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31, 2013</w:t>
            </w:r>
          </w:p>
        </w:tc>
        <w:tc>
          <w:tcPr>
            <w:tcW w:w="5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June 30, 2013</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June 30, 2013</w:t>
            </w:r>
          </w:p>
        </w:tc>
        <w:tc>
          <w:tcPr>
            <w:tcW w:w="46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July 31, 2013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September 30, 2013</w:t>
            </w:r>
          </w:p>
        </w:tc>
        <w:tc>
          <w:tcPr>
            <w:tcW w:w="4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31, 2013</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gridSpan w:val="3"/>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gridSpan w:val="3"/>
            <w:vMerge w:val="restart"/>
          </w:tcPr>
          <w:p>
            <w:pPr>
              <w:jc w:val="center"/>
              <w:ind w:right="90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center"/>
              <w:ind w:right="900"/>
              <w:spacing w:after="0"/>
              <w:rPr>
                <w:sz w:val="20"/>
                <w:szCs w:val="20"/>
                <w:color w:val="auto"/>
              </w:rPr>
            </w:pPr>
            <w:r>
              <w:rPr>
                <w:rFonts w:ascii="Arial" w:cs="Arial" w:eastAsia="Arial" w:hAnsi="Arial"/>
                <w:sz w:val="14"/>
                <w:szCs w:val="14"/>
                <w:b w:val="1"/>
                <w:bCs w:val="1"/>
                <w:color w:val="auto"/>
                <w:w w:val="85"/>
              </w:rPr>
              <w:t>December 31, 2012</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continue"/>
          </w:tcPr>
          <w:p>
            <w:pPr>
              <w:spacing w:after="0"/>
              <w:rPr>
                <w:sz w:val="14"/>
                <w:szCs w:val="14"/>
                <w:color w:val="auto"/>
              </w:rPr>
            </w:pP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4"/>
                <w:szCs w:val="1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20, 2012</w:t>
            </w:r>
          </w:p>
        </w:tc>
        <w:tc>
          <w:tcPr>
            <w:tcW w:w="5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7, 2012</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May 9, 2012</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June 30, 2012</w:t>
            </w:r>
          </w:p>
        </w:tc>
        <w:tc>
          <w:tcPr>
            <w:tcW w:w="46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September 30, 2012</w:t>
            </w:r>
          </w:p>
        </w:tc>
        <w:tc>
          <w:tcPr>
            <w:tcW w:w="4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30, 2012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December 31, 2012</w:t>
            </w:r>
          </w:p>
        </w:tc>
        <w:tc>
          <w:tcPr>
            <w:tcW w:w="460" w:type="dxa"/>
            <w:vAlign w:val="bottom"/>
          </w:tcPr>
          <w:p>
            <w:pPr>
              <w:spacing w:after="0"/>
              <w:rPr>
                <w:sz w:val="19"/>
                <w:szCs w:val="19"/>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31, 2013</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Date Declared</w:t>
            </w: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w w:val="88"/>
              </w:rPr>
              <w:t>Dividend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60" w:type="dxa"/>
            <w:vAlign w:val="bottom"/>
            <w:gridSpan w:val="2"/>
            <w:vMerge w:val="continue"/>
          </w:tcPr>
          <w:p>
            <w:pPr>
              <w:spacing w:after="0"/>
              <w:rPr>
                <w:sz w:val="19"/>
                <w:szCs w:val="19"/>
                <w:color w:val="auto"/>
              </w:rPr>
            </w:pPr>
          </w:p>
        </w:tc>
        <w:tc>
          <w:tcPr>
            <w:tcW w:w="1740" w:type="dxa"/>
            <w:vAlign w:val="bottom"/>
            <w:gridSpan w:val="2"/>
          </w:tcPr>
          <w:p>
            <w:pPr>
              <w:ind w:left="260"/>
              <w:spacing w:after="0"/>
              <w:rPr>
                <w:sz w:val="20"/>
                <w:szCs w:val="20"/>
                <w:color w:val="auto"/>
              </w:rPr>
            </w:pPr>
            <w:r>
              <w:rPr>
                <w:rFonts w:ascii="Arial" w:cs="Arial" w:eastAsia="Arial" w:hAnsi="Arial"/>
                <w:sz w:val="18"/>
                <w:szCs w:val="18"/>
                <w:b w:val="1"/>
                <w:bCs w:val="1"/>
                <w:color w:val="auto"/>
              </w:rPr>
              <w:t>Record Date</w:t>
            </w:r>
          </w:p>
        </w:tc>
        <w:tc>
          <w:tcPr>
            <w:tcW w:w="420" w:type="dxa"/>
            <w:vAlign w:val="bottom"/>
          </w:tcPr>
          <w:p>
            <w:pPr>
              <w:spacing w:after="0"/>
              <w:rPr>
                <w:sz w:val="19"/>
                <w:szCs w:val="19"/>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Payment Date</w:t>
            </w:r>
          </w:p>
        </w:tc>
        <w:tc>
          <w:tcPr>
            <w:tcW w:w="18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11"/>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6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December 31, 2011</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January 30, 2012</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dividends declared during the year ended December 31, 2012, were derived from net investment income and long-term capital gains, determined on a tax basis. The dividends declared during the year ended December 31, 2011 and during the nine months ended September 30, 2013 were derived from net investment income determined on a tax basis.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actual consolidated capitalization of TPG Specialty Lending, Inc. at September 30, 2013; and</w:t>
      </w:r>
    </w:p>
    <w:p>
      <w:pPr>
        <w:sectPr>
          <w:pgSz w:w="11900" w:h="16838" w:orient="portrait"/>
          <w:cols w:equalWidth="0" w:num="1">
            <w:col w:w="11160"/>
          </w:cols>
          <w:pgMar w:left="240" w:top="459" w:right="499" w:bottom="1440" w:gutter="0" w:footer="0" w:header="0"/>
        </w:sectPr>
      </w:pP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consolidated capitalization of TPG Specialty Lending, Inc. at , as adjusted to reflect the assumed sale of shares of our common stock in this offering at the initial public offering price of $ per share (the mid-point of the range on the front cover of this prospectus) after deducting the underwriting discounts and commissions and estimated offering expenses of approximately $ million payable by us and application of the net proceeds as discussed in more detail under “Use of Proceeds.”</w:t>
      </w:r>
    </w:p>
    <w:p>
      <w:pPr>
        <w:spacing w:after="0" w:line="143" w:lineRule="exact"/>
        <w:rPr>
          <w:sz w:val="20"/>
          <w:szCs w:val="20"/>
          <w:color w:val="auto"/>
        </w:rPr>
      </w:pPr>
    </w:p>
    <w:p>
      <w:pPr>
        <w:sectPr>
          <w:pgSz w:w="11900" w:h="16838" w:orient="portrait"/>
          <w:cols w:equalWidth="0" w:num="2">
            <w:col w:w="640" w:space="260"/>
            <w:col w:w="10260"/>
          </w:cols>
          <w:pgMar w:left="240" w:top="459" w:right="499" w:bottom="1440" w:gutter="0" w:footer="0" w:header="0"/>
          <w:type w:val="continuous"/>
        </w:sectPr>
      </w:pPr>
    </w:p>
    <w:p>
      <w:pPr>
        <w:ind w:right="20" w:firstLine="456"/>
        <w:spacing w:after="0" w:line="268" w:lineRule="auto"/>
        <w:rPr>
          <w:sz w:val="20"/>
          <w:szCs w:val="20"/>
          <w:color w:val="auto"/>
        </w:rPr>
      </w:pPr>
      <w:r>
        <w:rPr>
          <w:rFonts w:ascii="Arial" w:cs="Arial" w:eastAsia="Arial" w:hAnsi="Arial"/>
          <w:sz w:val="18"/>
          <w:szCs w:val="18"/>
          <w:color w:val="auto"/>
        </w:rPr>
        <w:t>You should read this table together with “Use of Proceeds” and the consolidated financial statements and the related notes thereto included elsewhere in this prospectus.</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5"/>
              </w:rPr>
              <w:t>Actual</w:t>
            </w:r>
            <w:r>
              <w:rPr>
                <w:rFonts w:ascii="Arial" w:cs="Arial" w:eastAsia="Arial" w:hAnsi="Arial"/>
                <w:sz w:val="22"/>
                <w:szCs w:val="22"/>
                <w:b w:val="1"/>
                <w:bCs w:val="1"/>
                <w:color w:val="auto"/>
                <w:w w:val="95"/>
                <w:vertAlign w:val="superscript"/>
              </w:rPr>
              <w:t>(1)</w:t>
            </w:r>
          </w:p>
        </w:tc>
        <w:tc>
          <w:tcPr>
            <w:tcW w:w="240" w:type="dxa"/>
            <w:vAlign w:val="bottom"/>
          </w:tcPr>
          <w:p>
            <w:pPr>
              <w:spacing w:after="0"/>
              <w:rPr>
                <w:sz w:val="14"/>
                <w:szCs w:val="14"/>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00" w:type="dxa"/>
            <w:vAlign w:val="bottom"/>
            <w:gridSpan w:val="3"/>
          </w:tcPr>
          <w:p>
            <w:pPr>
              <w:ind w:left="240"/>
              <w:spacing w:after="0" w:line="176" w:lineRule="exact"/>
              <w:rPr>
                <w:sz w:val="20"/>
                <w:szCs w:val="20"/>
                <w:color w:val="auto"/>
              </w:rPr>
            </w:pPr>
            <w:r>
              <w:rPr>
                <w:rFonts w:ascii="Arial" w:cs="Arial" w:eastAsia="Arial" w:hAnsi="Arial"/>
                <w:sz w:val="13"/>
                <w:szCs w:val="13"/>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Investments at fair value</w:t>
            </w:r>
          </w:p>
        </w:tc>
        <w:tc>
          <w:tcPr>
            <w:tcW w:w="39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$889,330</w:t>
            </w:r>
          </w:p>
        </w:tc>
        <w:tc>
          <w:tcPr>
            <w:tcW w:w="30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Cash and cash equivalents</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9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926,154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8"/>
                <w:szCs w:val="18"/>
                <w:color w:val="auto"/>
              </w:rPr>
              <w:t>:</w:t>
            </w: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vMerge w:val="continue"/>
          </w:tcPr>
          <w:p>
            <w:pPr>
              <w:spacing w:after="0"/>
              <w:rPr>
                <w:sz w:val="18"/>
                <w:szCs w:val="18"/>
                <w:color w:val="auto"/>
              </w:rPr>
            </w:pP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facilities</w:t>
            </w:r>
          </w:p>
        </w:tc>
        <w:tc>
          <w:tcPr>
            <w:tcW w:w="39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$338,267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ind w:left="440"/>
              <w:spacing w:after="0"/>
              <w:rPr>
                <w:sz w:val="20"/>
                <w:szCs w:val="20"/>
                <w:color w:val="auto"/>
              </w:rPr>
            </w:pPr>
            <w:r>
              <w:rPr>
                <w:rFonts w:ascii="Arial" w:cs="Arial" w:eastAsia="Arial" w:hAnsi="Arial"/>
                <w:sz w:val="18"/>
                <w:szCs w:val="18"/>
                <w:color w:val="auto"/>
              </w:rPr>
              <w:t>Management fee payable to affiliate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Incentive fee payable to affiliate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Dividends payable</w:t>
            </w: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39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365,065</w:t>
            </w:r>
          </w:p>
        </w:tc>
        <w:tc>
          <w:tcPr>
            <w:tcW w:w="300" w:type="dxa"/>
            <w:vAlign w:val="bottom"/>
          </w:tcPr>
          <w:p>
            <w:pPr>
              <w:spacing w:after="0"/>
              <w:rPr>
                <w:sz w:val="19"/>
                <w:szCs w:val="19"/>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r>
              <w:rPr>
                <w:rFonts w:ascii="Arial" w:cs="Arial" w:eastAsia="Arial" w:hAnsi="Arial"/>
                <w:sz w:val="18"/>
                <w:szCs w:val="18"/>
                <w:color w:val="auto"/>
              </w:rPr>
              <w:t>:</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20" w:type="dxa"/>
            <w:vAlign w:val="bottom"/>
            <w:gridSpan w:val="2"/>
          </w:tcPr>
          <w:p>
            <w:pPr>
              <w:ind w:left="440"/>
              <w:spacing w:after="0"/>
              <w:rPr>
                <w:sz w:val="20"/>
                <w:szCs w:val="20"/>
                <w:color w:val="auto"/>
              </w:rPr>
            </w:pPr>
            <w:r>
              <w:rPr>
                <w:rFonts w:ascii="Arial" w:cs="Arial" w:eastAsia="Arial" w:hAnsi="Arial"/>
                <w:sz w:val="18"/>
                <w:szCs w:val="18"/>
                <w:color w:val="auto"/>
                <w:w w:val="90"/>
              </w:rPr>
              <w:t>Preferred stock, $0.01 par value; 100,000,000 shares authorized; no shares issued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640"/>
              <w:spacing w:after="0"/>
              <w:rPr>
                <w:sz w:val="20"/>
                <w:szCs w:val="20"/>
                <w:color w:val="auto"/>
              </w:rPr>
            </w:pPr>
            <w:r>
              <w:rPr>
                <w:rFonts w:ascii="Arial" w:cs="Arial" w:eastAsia="Arial" w:hAnsi="Arial"/>
                <w:sz w:val="18"/>
                <w:szCs w:val="18"/>
                <w:color w:val="auto"/>
              </w:rPr>
              <w:t>and outstanding</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Common stock, par value $0.01 per share; 100,000,000 shares authorized;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36,547,515 shares issued and 36,546,516 shares outstanding, actual;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5"/>
              </w:rPr>
              <w:t>shares issued and</w:t>
            </w: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 as adjusted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545,283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999 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ind w:left="440"/>
              <w:spacing w:after="0"/>
              <w:rPr>
                <w:sz w:val="20"/>
                <w:szCs w:val="20"/>
                <w:color w:val="auto"/>
              </w:rPr>
            </w:pPr>
            <w:r>
              <w:rPr>
                <w:rFonts w:ascii="Arial" w:cs="Arial" w:eastAsia="Arial" w:hAnsi="Arial"/>
                <w:sz w:val="18"/>
                <w:szCs w:val="18"/>
                <w:color w:val="auto"/>
              </w:rPr>
              <w:t>Undistributed net investment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gains</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ind w:left="440"/>
              <w:spacing w:after="0"/>
              <w:rPr>
                <w:sz w:val="20"/>
                <w:szCs w:val="20"/>
                <w:color w:val="auto"/>
              </w:rPr>
            </w:pPr>
            <w:r>
              <w:rPr>
                <w:rFonts w:ascii="Arial" w:cs="Arial" w:eastAsia="Arial" w:hAnsi="Arial"/>
                <w:sz w:val="18"/>
                <w:szCs w:val="18"/>
                <w:color w:val="auto"/>
              </w:rPr>
              <w:t>Undistributed net unrealized gains on investments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Net Assets</w:t>
            </w:r>
          </w:p>
        </w:tc>
        <w:tc>
          <w:tcPr>
            <w:tcW w:w="39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$561,089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Liabilities and Net Assets</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926,154</w:t>
            </w:r>
          </w:p>
        </w:tc>
        <w:tc>
          <w:tcPr>
            <w:tcW w:w="30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Asset Value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Common stock and additional paid-in capital as of September 30, 2013 have been adjusted to reflect the stock split. Amounts in this table do not include the shares issued under our dividend reinvestment plan on November 5, 2013.</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60"/>
          </w:cols>
          <w:pgMar w:left="240" w:top="459" w:right="49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initial public offering price per share of our common stock and the pro forma net asset value per share of our common stock immediately after the completion of this offering. The net asset value per share is determined by dividing the value of (a) total assets minus liabilities by (b) the total number of shares outstanding.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net asset value as of September 30, 2013 was approximately $561.1 million. After giving effect to the sale of shares to be sold in this offering at the</w:t>
      </w:r>
    </w:p>
    <w:p>
      <w:pPr>
        <w:spacing w:after="0" w:line="38"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initial public offering price of $ per share, the deduction of discounts and estimated expenses of this offering payable by us, and the application of the net proceeds as discussed in more detail under “Use of Proceeds,” our net asset value would have been approximately $ million, or $ per share. That net asset value represents an immediate dilution of $ per share, or %, to new investors who purchase our common stock in the offering at the initial public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offering price. The foregoing assumes no exercise of the underwriters’ option to purchase additional shares to cover over-allotments. If the underwriters’ option to</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320" w:type="dxa"/>
            <w:vAlign w:val="bottom"/>
            <w:gridSpan w:val="2"/>
          </w:tcPr>
          <w:p>
            <w:pPr>
              <w:spacing w:after="0"/>
              <w:rPr>
                <w:sz w:val="20"/>
                <w:szCs w:val="20"/>
                <w:color w:val="auto"/>
              </w:rPr>
            </w:pPr>
            <w:r>
              <w:rPr>
                <w:rFonts w:ascii="Arial" w:cs="Arial" w:eastAsia="Arial" w:hAnsi="Arial"/>
                <w:sz w:val="18"/>
                <w:szCs w:val="18"/>
                <w:color w:val="auto"/>
                <w:w w:val="90"/>
              </w:rPr>
              <w:t>purchase additional shares to cover over-allotments is exercised in full, the immediate dilution to shares sold in this offering would instead be $</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300" w:type="dxa"/>
            <w:vAlign w:val="bottom"/>
          </w:tcPr>
          <w:p>
            <w:pPr>
              <w:jc w:val="right"/>
              <w:ind w:right="4412"/>
              <w:spacing w:after="0"/>
              <w:rPr>
                <w:sz w:val="20"/>
                <w:szCs w:val="20"/>
                <w:color w:val="auto"/>
              </w:rPr>
            </w:pPr>
            <w:r>
              <w:rPr>
                <w:rFonts w:ascii="Arial" w:cs="Arial" w:eastAsia="Arial" w:hAnsi="Arial"/>
                <w:sz w:val="18"/>
                <w:szCs w:val="18"/>
                <w:color w:val="auto"/>
                <w:w w:val="95"/>
              </w:rPr>
              <w:t>The following table illustrates the dilution to the shares on a per share basis: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Net asset value per share immediately prior to this offering</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asset value per share immediately after this offering</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0"/>
              </w:rPr>
              <w:t>Dilution per share to new stockholders (without exercise of the underwriters’ option to purchase additional shares of our common stock to cover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00" w:type="dxa"/>
            <w:vAlign w:val="bottom"/>
          </w:tcPr>
          <w:p>
            <w:pPr>
              <w:jc w:val="right"/>
              <w:ind w:right="8852"/>
              <w:spacing w:after="0"/>
              <w:rPr>
                <w:sz w:val="20"/>
                <w:szCs w:val="20"/>
                <w:color w:val="auto"/>
              </w:rPr>
            </w:pPr>
            <w:r>
              <w:rPr>
                <w:rFonts w:ascii="Arial" w:cs="Arial" w:eastAsia="Arial" w:hAnsi="Arial"/>
                <w:sz w:val="18"/>
                <w:szCs w:val="18"/>
                <w:color w:val="auto"/>
              </w:rPr>
              <w:t>over-allotments)</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0320" w:type="dxa"/>
            <w:vAlign w:val="bottom"/>
            <w:gridSpan w:val="2"/>
          </w:tcPr>
          <w:p>
            <w:pPr>
              <w:jc w:val="right"/>
              <w:ind w:right="4432"/>
              <w:spacing w:after="0"/>
              <w:rPr>
                <w:sz w:val="20"/>
                <w:szCs w:val="20"/>
                <w:color w:val="auto"/>
              </w:rPr>
            </w:pPr>
            <w:r>
              <w:rPr>
                <w:rFonts w:ascii="Arial" w:cs="Arial" w:eastAsia="Arial" w:hAnsi="Arial"/>
                <w:sz w:val="18"/>
                <w:szCs w:val="18"/>
                <w:color w:val="auto"/>
              </w:rPr>
              <w:t>52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The selected financial data in this section is not intended to replace the consolidated financial statements and is qualified in its entirety by the consolidated financial statements and related notes included in this prospectus.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derived the selected consolidated financial data for the years ended December 31, 2012 and 2011 from our audited consolidated financial statements and related notes, which are included elsewhere in this prospectus, and have been adjusted to reflect the stock split. We derived the selected consolidated financial data for the nine months ended September 30, 2013 and 2012 from our consolidated financial statements and related notes, which are included elsewhere in this prospectus and have been adjusted to reflect the stock split. In the opinion of management, the unaudited consolidated financial statements presented include all adjustments (consisting only of normal recurring adjustments and adjustments to reflect the stock split) necessary to present fairly the information set forth therein.</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ind w:left="58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w w:val="87"/>
              </w:rPr>
              <w:t>Consolidated Statement of Operations Data:</w:t>
            </w:r>
          </w:p>
        </w:tc>
        <w:tc>
          <w:tcPr>
            <w:tcW w:w="1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tcBorders>
              <w:bottom w:val="single" w:sz="8" w:color="auto"/>
            </w:tcBorders>
            <w:vMerge w:val="continue"/>
          </w:tcPr>
          <w:p>
            <w:pPr>
              <w:spacing w:after="0"/>
              <w:rPr>
                <w:sz w:val="10"/>
                <w:szCs w:val="10"/>
                <w:color w:val="auto"/>
              </w:rPr>
            </w:pPr>
          </w:p>
        </w:tc>
        <w:tc>
          <w:tcPr>
            <w:tcW w:w="1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95"/>
              <w:spacing w:after="0" w:line="114" w:lineRule="exact"/>
              <w:rPr>
                <w:sz w:val="20"/>
                <w:szCs w:val="20"/>
                <w:color w:val="auto"/>
              </w:rPr>
            </w:pPr>
            <w:r>
              <w:rPr>
                <w:rFonts w:ascii="Arial" w:cs="Arial" w:eastAsia="Arial" w:hAnsi="Arial"/>
                <w:sz w:val="12"/>
                <w:szCs w:val="12"/>
                <w:b w:val="1"/>
                <w:bCs w:val="1"/>
                <w:color w:val="auto"/>
              </w:rPr>
              <w:t>2013</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94"/>
              <w:spacing w:after="0" w:line="114" w:lineRule="exact"/>
              <w:rPr>
                <w:sz w:val="20"/>
                <w:szCs w:val="20"/>
                <w:color w:val="auto"/>
              </w:rPr>
            </w:pPr>
            <w:r>
              <w:rPr>
                <w:rFonts w:ascii="Arial" w:cs="Arial" w:eastAsia="Arial" w:hAnsi="Arial"/>
                <w:sz w:val="12"/>
                <w:szCs w:val="12"/>
                <w:b w:val="1"/>
                <w:bCs w:val="1"/>
                <w:color w:val="auto"/>
              </w:rPr>
              <w:t>2012</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175"/>
              <w:spacing w:after="0" w:line="114" w:lineRule="exact"/>
              <w:rPr>
                <w:sz w:val="20"/>
                <w:szCs w:val="20"/>
                <w:color w:val="auto"/>
              </w:rPr>
            </w:pPr>
            <w:r>
              <w:rPr>
                <w:rFonts w:ascii="Arial" w:cs="Arial" w:eastAsia="Arial" w:hAnsi="Arial"/>
                <w:sz w:val="12"/>
                <w:szCs w:val="12"/>
                <w:b w:val="1"/>
                <w:bCs w:val="1"/>
                <w:color w:val="auto"/>
              </w:rPr>
              <w:t>2012</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194"/>
              <w:spacing w:after="0" w:line="114" w:lineRule="exact"/>
              <w:rPr>
                <w:sz w:val="20"/>
                <w:szCs w:val="20"/>
                <w:color w:val="auto"/>
              </w:rPr>
            </w:pPr>
            <w:r>
              <w:rPr>
                <w:rFonts w:ascii="Arial" w:cs="Arial" w:eastAsia="Arial" w:hAnsi="Arial"/>
                <w:sz w:val="12"/>
                <w:szCs w:val="12"/>
                <w:b w:val="1"/>
                <w:bCs w:val="1"/>
                <w:color w:val="auto"/>
              </w:rPr>
              <w:t>2011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64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from investments</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63.3</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49.1</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Management fees (net of waivers)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fees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Total net change in unrealized gains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realized gains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w w:val="98"/>
              </w:rPr>
              <w:t>Increase in Net Assets Resulting from Operations</w:t>
            </w: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vMerge w:val="continue"/>
          </w:tcPr>
          <w:p>
            <w:pPr>
              <w:spacing w:after="0"/>
              <w:rPr>
                <w:sz w:val="19"/>
                <w:szCs w:val="19"/>
                <w:color w:val="auto"/>
              </w:rPr>
            </w:pP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45.9</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27.1</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39.6</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Share—basic and diluted</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vMerge w:val="restart"/>
          </w:tcPr>
          <w:p>
            <w:pPr>
              <w:ind w:left="520"/>
              <w:spacing w:after="0"/>
              <w:rPr>
                <w:sz w:val="20"/>
                <w:szCs w:val="20"/>
                <w:color w:val="auto"/>
              </w:rPr>
            </w:pPr>
            <w:r>
              <w:rPr>
                <w:rFonts w:ascii="Arial" w:cs="Arial" w:eastAsia="Arial" w:hAnsi="Arial"/>
                <w:sz w:val="18"/>
                <w:szCs w:val="18"/>
                <w:color w:val="auto"/>
              </w:rPr>
              <w:t>53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8"/>
              </w:rPr>
              <w:t>Nine Months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w w:val="85"/>
              </w:rPr>
              <w:t>Consolidated Balance Sheet Data</w:t>
            </w:r>
          </w:p>
        </w:tc>
        <w:tc>
          <w:tcPr>
            <w:tcW w:w="4040" w:type="dxa"/>
            <w:vAlign w:val="bottom"/>
            <w:vMerge w:val="restart"/>
          </w:tcPr>
          <w:p>
            <w:pPr>
              <w:jc w:val="right"/>
              <w:ind w:right="3962"/>
              <w:spacing w:after="0"/>
              <w:rPr>
                <w:sz w:val="20"/>
                <w:szCs w:val="20"/>
                <w:color w:val="auto"/>
              </w:rPr>
            </w:pPr>
            <w:r>
              <w:rPr>
                <w:rFonts w:ascii="Arial" w:cs="Arial" w:eastAsia="Arial" w:hAnsi="Arial"/>
                <w:sz w:val="8"/>
                <w:szCs w:val="8"/>
                <w:b w:val="1"/>
                <w:bCs w:val="1"/>
                <w:color w:val="auto"/>
                <w:w w:val="73"/>
              </w:rPr>
              <w:t>:</w:t>
            </w:r>
          </w:p>
        </w:tc>
        <w:tc>
          <w:tcPr>
            <w:tcW w:w="40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940" w:type="dxa"/>
            <w:vAlign w:val="bottom"/>
          </w:tcPr>
          <w:p>
            <w:pPr>
              <w:spacing w:after="0"/>
              <w:rPr>
                <w:sz w:val="11"/>
                <w:szCs w:val="11"/>
                <w:color w:val="auto"/>
              </w:rPr>
            </w:pPr>
          </w:p>
        </w:tc>
        <w:tc>
          <w:tcPr>
            <w:tcW w:w="1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Borders>
              <w:bottom w:val="single" w:sz="8" w:color="auto"/>
            </w:tcBorders>
            <w:vMerge w:val="continue"/>
          </w:tcPr>
          <w:p>
            <w:pPr>
              <w:spacing w:after="0"/>
              <w:rPr>
                <w:sz w:val="10"/>
                <w:szCs w:val="10"/>
                <w:color w:val="auto"/>
              </w:rPr>
            </w:pPr>
          </w:p>
        </w:tc>
        <w:tc>
          <w:tcPr>
            <w:tcW w:w="40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75"/>
              <w:spacing w:after="0" w:line="114" w:lineRule="exact"/>
              <w:rPr>
                <w:sz w:val="20"/>
                <w:szCs w:val="20"/>
                <w:color w:val="auto"/>
              </w:rPr>
            </w:pPr>
            <w:r>
              <w:rPr>
                <w:rFonts w:ascii="Arial" w:cs="Arial" w:eastAsia="Arial" w:hAnsi="Arial"/>
                <w:sz w:val="12"/>
                <w:szCs w:val="12"/>
                <w:b w:val="1"/>
                <w:bCs w:val="1"/>
                <w:color w:val="auto"/>
                <w:w w:val="97"/>
              </w:rPr>
              <w:t>2013</w:t>
            </w: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jc w:val="right"/>
              <w:ind w:right="1055"/>
              <w:spacing w:after="0" w:line="114" w:lineRule="exact"/>
              <w:rPr>
                <w:sz w:val="20"/>
                <w:szCs w:val="20"/>
                <w:color w:val="auto"/>
              </w:rPr>
            </w:pPr>
            <w:r>
              <w:rPr>
                <w:rFonts w:ascii="Arial" w:cs="Arial" w:eastAsia="Arial" w:hAnsi="Arial"/>
                <w:sz w:val="12"/>
                <w:szCs w:val="12"/>
                <w:b w:val="1"/>
                <w:bCs w:val="1"/>
                <w:color w:val="auto"/>
              </w:rPr>
              <w:t>2012</w:t>
            </w:r>
          </w:p>
        </w:tc>
        <w:tc>
          <w:tcPr>
            <w:tcW w:w="240" w:type="dxa"/>
            <w:vAlign w:val="bottom"/>
          </w:tcPr>
          <w:p>
            <w:pPr>
              <w:spacing w:after="0"/>
              <w:rPr>
                <w:sz w:val="10"/>
                <w:szCs w:val="10"/>
                <w:color w:val="auto"/>
              </w:rPr>
            </w:pPr>
          </w:p>
        </w:tc>
        <w:tc>
          <w:tcPr>
            <w:tcW w:w="620" w:type="dxa"/>
            <w:vAlign w:val="bottom"/>
          </w:tcPr>
          <w:p>
            <w:pPr>
              <w:jc w:val="right"/>
              <w:ind w:right="174"/>
              <w:spacing w:after="0" w:line="114" w:lineRule="exact"/>
              <w:rPr>
                <w:sz w:val="20"/>
                <w:szCs w:val="20"/>
                <w:color w:val="auto"/>
              </w:rPr>
            </w:pPr>
            <w:r>
              <w:rPr>
                <w:rFonts w:ascii="Arial" w:cs="Arial" w:eastAsia="Arial" w:hAnsi="Arial"/>
                <w:sz w:val="12"/>
                <w:szCs w:val="12"/>
                <w:b w:val="1"/>
                <w:bCs w:val="1"/>
                <w:color w:val="auto"/>
              </w:rPr>
              <w:t>2011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5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161.8</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653.9</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926.2</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833.1</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331.8</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365.1</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353.3</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479.8</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Net Asset Value Per Share</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15.35</w:t>
            </w:r>
          </w:p>
        </w:tc>
        <w:tc>
          <w:tcPr>
            <w:tcW w:w="9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15.19</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4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Number of Portfolio Companies at Period End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Investments Funded during the Period</w:t>
            </w:r>
            <w:r>
              <w:rPr>
                <w:rFonts w:ascii="Arial" w:cs="Arial" w:eastAsia="Arial" w:hAnsi="Arial"/>
                <w:sz w:val="11"/>
                <w:szCs w:val="11"/>
                <w:color w:val="auto"/>
              </w:rPr>
              <w:t>(1)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760.7</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Average Total Investment in New Portfolio Companies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28.2</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34.5</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500" w:type="dxa"/>
            <w:vAlign w:val="bottom"/>
          </w:tcPr>
          <w:p>
            <w:pPr>
              <w:jc w:val="right"/>
              <w:ind w:right="635"/>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Yield of Debt and Income Producing Securities at Fair Value</w:t>
            </w:r>
            <w:r>
              <w:rPr>
                <w:rFonts w:ascii="Arial" w:cs="Arial" w:eastAsia="Arial" w:hAnsi="Arial"/>
                <w:sz w:val="11"/>
                <w:szCs w:val="11"/>
                <w:color w:val="auto"/>
              </w:rPr>
              <w:t>(3)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w w:val="94"/>
              </w:rPr>
              <w:t>Weighted Average Yield of Debt and Income Producing Securities at Amortized Cost</w:t>
            </w:r>
            <w:r>
              <w:rPr>
                <w:rFonts w:ascii="Arial" w:cs="Arial" w:eastAsia="Arial" w:hAnsi="Arial"/>
                <w:sz w:val="11"/>
                <w:szCs w:val="11"/>
                <w:color w:val="auto"/>
                <w:w w:val="94"/>
              </w:rPr>
              <w:t>(3)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500" w:type="dxa"/>
            <w:vAlign w:val="bottom"/>
          </w:tcPr>
          <w:p>
            <w:pPr>
              <w:jc w:val="right"/>
              <w:ind w:right="635"/>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Fair Value of Debt Investments as a percentage of Principal</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98.9%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Weighted Average Fair Value of Debt Investments as a percentage of Call Price</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9"/>
                <w:szCs w:val="19"/>
                <w:color w:val="auto"/>
              </w:rPr>
            </w:pPr>
          </w:p>
        </w:tc>
        <w:tc>
          <w:tcPr>
            <w:tcW w:w="1500" w:type="dxa"/>
            <w:vAlign w:val="bottom"/>
          </w:tcPr>
          <w:p>
            <w:pPr>
              <w:jc w:val="right"/>
              <w:ind w:right="635"/>
              <w:spacing w:after="0"/>
              <w:rPr>
                <w:sz w:val="20"/>
                <w:szCs w:val="20"/>
                <w:color w:val="auto"/>
              </w:rPr>
            </w:pPr>
            <w:r>
              <w:rPr>
                <w:rFonts w:ascii="Arial" w:cs="Arial" w:eastAsia="Arial" w:hAnsi="Arial"/>
                <w:sz w:val="18"/>
                <w:szCs w:val="18"/>
                <w:color w:val="auto"/>
              </w:rPr>
              <w:t>93.9%</w:t>
            </w:r>
          </w:p>
        </w:tc>
        <w:tc>
          <w:tcPr>
            <w:tcW w:w="2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of investments funded includes amounts funded on term loans and revolving credit facilities, but not amounts subsequently repaid by borrowers during the period.</w:t>
      </w:r>
    </w:p>
    <w:p>
      <w:pPr>
        <w:spacing w:after="0" w:line="5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$0.01 per share) and accordingly the information is not meaningful. Excluding the effect of the initial seed funding, total return for the period July 1, 2011 through December 31, 2011 would be (1.58%). Our total return set forth in the table above reflects the Adviser’s waiver of its right to receive a portion of the Management Fee prior to this IPO. Following this IPO, the Adviser does not intend to waive its right to receive the full Management Fee. The Management Fee, excluding the effects of the waiver, would have been $9.7 million, $8.9 million and $1.6 million for the nine months ended September 30, 2013 and the years ended December 31, 2012 and December 31, 2011, respectively.</w:t>
      </w:r>
    </w:p>
    <w:p>
      <w:pPr>
        <w:spacing w:after="0" w:line="37" w:lineRule="exact"/>
        <w:rPr>
          <w:rFonts w:ascii="Arial" w:cs="Arial" w:eastAsia="Arial" w:hAnsi="Arial"/>
          <w:sz w:val="16"/>
          <w:szCs w:val="16"/>
          <w:color w:val="auto"/>
        </w:rPr>
      </w:pPr>
    </w:p>
    <w:p>
      <w:pPr>
        <w:ind w:left="460" w:right="240" w:hanging="452"/>
        <w:spacing w:after="0" w:line="284"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Weighted average yield on debt and income-producing securities at fair value is computed as (a) the annual stated interest rate or yield earned plus additional interest, if any, as a result of arrangements for each period between us and other lenders in any syndication plus the net annual amortization of original issue discount and market discount earned on accruing debt and income-producing securities for investments made in the period, divided by</w:t>
      </w:r>
    </w:p>
    <w:p>
      <w:pPr>
        <w:spacing w:after="0" w:line="1" w:lineRule="exact"/>
        <w:rPr>
          <w:rFonts w:ascii="Arial" w:cs="Arial" w:eastAsia="Arial" w:hAnsi="Arial"/>
          <w:sz w:val="16"/>
          <w:szCs w:val="16"/>
          <w:color w:val="auto"/>
        </w:rPr>
      </w:pPr>
    </w:p>
    <w:p>
      <w:pPr>
        <w:ind w:left="460" w:right="60" w:hanging="6"/>
        <w:spacing w:after="0" w:line="300" w:lineRule="auto"/>
        <w:tabs>
          <w:tab w:leader="none" w:pos="709" w:val="left"/>
        </w:tabs>
        <w:numPr>
          <w:ilvl w:val="1"/>
          <w:numId w:val="35"/>
        </w:numPr>
        <w:rPr>
          <w:rFonts w:ascii="Arial" w:cs="Arial" w:eastAsia="Arial" w:hAnsi="Arial"/>
          <w:sz w:val="15"/>
          <w:szCs w:val="15"/>
          <w:color w:val="auto"/>
        </w:rPr>
      </w:pPr>
      <w:r>
        <w:rPr>
          <w:rFonts w:ascii="Arial" w:cs="Arial" w:eastAsia="Arial" w:hAnsi="Arial"/>
          <w:sz w:val="15"/>
          <w:szCs w:val="15"/>
          <w:color w:val="auto"/>
        </w:rPr>
        <w:t>total debt and income-producing securities at fair value. Weighted average yield on debt and income-producing securities at amortized cost is computed as (a)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w:t>
      </w:r>
    </w:p>
    <w:p>
      <w:pPr>
        <w:spacing w:after="0" w:line="1" w:lineRule="exact"/>
        <w:rPr>
          <w:rFonts w:ascii="Arial" w:cs="Arial" w:eastAsia="Arial" w:hAnsi="Arial"/>
          <w:sz w:val="15"/>
          <w:szCs w:val="15"/>
          <w:color w:val="auto"/>
        </w:rPr>
      </w:pPr>
    </w:p>
    <w:p>
      <w:pPr>
        <w:ind w:left="700" w:hanging="24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total debt and income-producing securities at amortized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two wholly owned subsidiaries, TC Lending, LLC, a Delaware limited liability company, which holds a California finance lender and broker license, and TPG SL SPV, LLC, a Delaware limited liability company, in which we hold assets to support our asset-backed credit facility. We make our investments either directly or through our wholly owned subsidiaries. Our results reflect our ramp-up of initial investments, which is now complete, as well as the ongoing measured growth of our portfolio of investments.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we have originated more than $2.0 billion aggregate principal amount of investments and retained more than $1.3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September 30, 2013, our borrowers had a weighted average annual revenue of $194 million and weighted average annual EBITDA based on fair value of $35 million.</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our average investment based on fair value in each of our portfolio companies was $36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expect that no single investment will represent more than 15% of our total investment portfolio, based on fair value. The debt in which we invest typically is not rated by any rating agency, but if these instruments were rated, they would likely receive a rating of below investment grade (that is, below BBB- or Baa3).</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our Adviser, we consider potential investments utilizing a four-tiered investment framework and against our existing portfolio as a whole:</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no industry represented more than 16% of our portfolio based on fair value.</w:t>
      </w:r>
    </w:p>
    <w:p>
      <w:pPr>
        <w:spacing w:after="0" w:line="17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As of September 30, 2013,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99.8% of the fair value of our portfolio was invested in secured debt, including 90.4% in first-lien debt. We carefully diligence and structure investments to include strong investor covenants. As a result, we structure investments with a view to creating opportunities for early intervention in the event of non-performance or stress. As of September 30, 2013, the credit agreements underlying our debt investments had a weighted average of 3.2 financial covenants per asset. In addition, we seek to retain effective voting control in investments over the loans or particular class of securities in which we invest through maintaining affirmative voting positions or negotiating consent rights that allow us to retain a blocking position. As of September 30, 2013, we had effective voting control in 94% of the debt investments in our portfolio by fair value, and we held an agency or lead position in 60% of our portfolio investments by fair value. We also aim for our loans to mature on a medium term, between two to six years after origination. For the nine months ended September 30, 2013, the weighted average term on new investment commitments was 4.7 years.</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 transaction.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2013, a substantial majority of our portfolio investments were sourced through our direct or proprietary relationships.</w:t>
      </w:r>
    </w:p>
    <w:p>
      <w:pPr>
        <w:spacing w:after="0" w:line="8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Based on fair value as of September 30, 2013, we had call protection on 94.0% of our portfolio, with weighted average call prices of 106.8% for one year, 103.6% for two years and 101.4% for the third year, in each case from the date of the initial investment. Based on fair value as of September 30, 2013, 98.7% of our debt investments bore interest at floating rates, which we believe helps act as a portfolio-wide hedge against inflation.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generate income from dividends on direct equity investments, capital gains on the sales of loans and debt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equity securities and various loan origination and administration fees. Our debt investments typically have a term of two to six years, and, based on fair value as of September 30, 2013, 98.7% currently bear interest at a floating rate. Interest on debt securities is generally payable quarterly or semiannually. Some of our investments provide for deferred interest payments or PIK interest.</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prepayment or due diligence fees, fees for providing managerial assistance and consulting fees.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5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Revolving Credit and Security Agreement between our wholly owned subsidiary, TPG SL SPV, LLC and Natixis, which we refer to as the Revolving Credit Facility (Natixis).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23" w:lineRule="auto"/>
        <w:rPr>
          <w:sz w:val="20"/>
          <w:szCs w:val="20"/>
          <w:color w:val="auto"/>
        </w:rPr>
      </w:pPr>
      <w:r>
        <w:rPr>
          <w:rFonts w:ascii="Arial" w:cs="Arial" w:eastAsia="Arial" w:hAnsi="Arial"/>
          <w:sz w:val="15"/>
          <w:szCs w:val="15"/>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fair value as of September 30, 2013, our portfolio consisted of 90.4% first-lien debt, 9.4% second-lien debt and 0.2% equity securities.</w:t>
      </w:r>
    </w:p>
    <w:p>
      <w:pPr>
        <w:spacing w:after="0" w:line="19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Based on fair value as of December 31, 2012, our portfolio consisted of 89.0% first-lien debt, 10.7% second-lien debt and 0.3% equity securities. As of September 30, 2013 and December 31, 2012, our income-producing assets had a weighted average interest rate (which excludes income resulting from amortization of fees and discounts) of 10.1% and 10.0%, respectively, and a weighted average interest yield at amortized cost, (which includes interest income and amortization of fees and discounts) of 10.6% and 10.7%, respectively.</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 of September 30, 2013 and December 31, 2012, we had investments in 25 and 21 portfolio companies, respectively, with an aggregate fair value of $889.3 million and $653.9 million, respectively. During the nine months ended September 30, 2013, we invested $352.6 million aggregate principal amount in eleven new portfolio companies and invested $53.1 million aggregate principal amount in ten existing portfolio companies. During this period, we had $160.4 million aggregate principal amount in exits and repayments resulting in net portfolio growth of $245.3 million aggregate principal amount.</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year ended December 31, 2012, we invested $553.6 million aggregate principal amount in 19 new portfolio companies and invested $127.0 million aggregate principal amount in 13 existing portfolio companies. During this period, we had $200.7 million in aggregate principal amount in exits and repayments resulting in net portfolio growth of $479.9 million aggregate principal amount. For the year ended December 31, 2011, we invested $191.1 million aggregate principal amount in seven new portfolio companies and had no repayments.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Our investment activity for the nine months ended September 30, 2013 and for the years ended December 31, 2012 and 2011 is presented below (information presented herein is at amortized cost unless otherwise indicated).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Nine Months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2013</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investment commitments: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Gross originations</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634.6</w:t>
            </w:r>
          </w:p>
        </w:tc>
        <w:tc>
          <w:tcPr>
            <w:tcW w:w="5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1,073.5</w:t>
            </w:r>
          </w:p>
        </w:tc>
        <w:tc>
          <w:tcPr>
            <w:tcW w:w="8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syndications/sell downs</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880"/>
              <w:spacing w:after="0"/>
              <w:rPr>
                <w:sz w:val="20"/>
                <w:szCs w:val="20"/>
                <w:color w:val="auto"/>
              </w:rPr>
            </w:pPr>
            <w:r>
              <w:rPr>
                <w:rFonts w:ascii="Arial" w:cs="Arial" w:eastAsia="Arial" w:hAnsi="Arial"/>
                <w:sz w:val="18"/>
                <w:szCs w:val="18"/>
                <w:color w:val="auto"/>
              </w:rPr>
              <w:t>Total new investment commitments</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417.4</w:t>
            </w:r>
          </w:p>
        </w:tc>
        <w:tc>
          <w:tcPr>
            <w:tcW w:w="540" w:type="dxa"/>
            <w:vAlign w:val="bottom"/>
          </w:tcPr>
          <w:p>
            <w:pPr>
              <w:spacing w:after="0"/>
              <w:rPr>
                <w:sz w:val="19"/>
                <w:szCs w:val="19"/>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713.3</w:t>
            </w:r>
          </w:p>
        </w:tc>
        <w:tc>
          <w:tcPr>
            <w:tcW w:w="88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354.3</w:t>
            </w:r>
          </w:p>
        </w:tc>
        <w:tc>
          <w:tcPr>
            <w:tcW w:w="5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603.9</w:t>
            </w:r>
          </w:p>
        </w:tc>
        <w:tc>
          <w:tcPr>
            <w:tcW w:w="8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880"/>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405.7</w:t>
            </w:r>
          </w:p>
        </w:tc>
        <w:tc>
          <w:tcPr>
            <w:tcW w:w="540" w:type="dxa"/>
            <w:vAlign w:val="bottom"/>
          </w:tcPr>
          <w:p>
            <w:pPr>
              <w:spacing w:after="0"/>
              <w:rPr>
                <w:sz w:val="19"/>
                <w:szCs w:val="19"/>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680.6</w:t>
            </w:r>
          </w:p>
        </w:tc>
        <w:tc>
          <w:tcPr>
            <w:tcW w:w="88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141.7</w:t>
            </w:r>
          </w:p>
        </w:tc>
        <w:tc>
          <w:tcPr>
            <w:tcW w:w="5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168.6</w:t>
            </w:r>
          </w:p>
        </w:tc>
        <w:tc>
          <w:tcPr>
            <w:tcW w:w="8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new investment commitments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34.1</w:t>
            </w:r>
          </w:p>
        </w:tc>
        <w:tc>
          <w:tcPr>
            <w:tcW w:w="5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30.6</w:t>
            </w:r>
          </w:p>
        </w:tc>
        <w:tc>
          <w:tcPr>
            <w:tcW w:w="8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Weighted average term for new investment</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commitments (in years)</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b w:val="1"/>
                <w:bCs w:val="1"/>
                <w:color w:val="auto"/>
              </w:rPr>
              <w:t>Percentage of new debt investment commitments at</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20"/>
              <w:spacing w:after="0"/>
              <w:rPr>
                <w:sz w:val="20"/>
                <w:szCs w:val="20"/>
                <w:color w:val="auto"/>
              </w:rPr>
            </w:pPr>
            <w:r>
              <w:rPr>
                <w:rFonts w:ascii="Arial" w:cs="Arial" w:eastAsia="Arial" w:hAnsi="Arial"/>
                <w:sz w:val="18"/>
                <w:szCs w:val="18"/>
                <w:b w:val="1"/>
                <w:bCs w:val="1"/>
                <w:color w:val="auto"/>
              </w:rPr>
              <w:t>floating rates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72"/>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Percentage of new debt investment commitments at</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fixed rates</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b w:val="1"/>
                <w:bCs w:val="1"/>
                <w:color w:val="auto"/>
              </w:rPr>
              <w:t>Weighted average interest rate of new investment</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20"/>
              <w:spacing w:after="0"/>
              <w:rPr>
                <w:sz w:val="20"/>
                <w:szCs w:val="20"/>
                <w:color w:val="auto"/>
              </w:rPr>
            </w:pPr>
            <w:r>
              <w:rPr>
                <w:rFonts w:ascii="Arial" w:cs="Arial" w:eastAsia="Arial" w:hAnsi="Arial"/>
                <w:sz w:val="18"/>
                <w:szCs w:val="18"/>
                <w:b w:val="1"/>
                <w:bCs w:val="1"/>
                <w:color w:val="auto"/>
              </w:rPr>
              <w:t>commitments based on fair value</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72"/>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Weighted average spread over LIBOR of new floating</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rate investment commitments</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Weighted average interest rate on investments sold or</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60" w:type="dxa"/>
            <w:vAlign w:val="bottom"/>
          </w:tcPr>
          <w:p>
            <w:pPr>
              <w:ind w:left="220"/>
              <w:spacing w:after="0"/>
              <w:rPr>
                <w:sz w:val="20"/>
                <w:szCs w:val="20"/>
                <w:color w:val="auto"/>
              </w:rPr>
            </w:pPr>
            <w:r>
              <w:rPr>
                <w:rFonts w:ascii="Arial" w:cs="Arial" w:eastAsia="Arial" w:hAnsi="Arial"/>
                <w:sz w:val="18"/>
                <w:szCs w:val="18"/>
                <w:b w:val="1"/>
                <w:bCs w:val="1"/>
                <w:color w:val="auto"/>
              </w:rPr>
              <w:t>paid off in full based on par value</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72"/>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December 31, 2012 and December 31, 2011, our investments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 2013</w:t>
            </w:r>
          </w:p>
        </w:tc>
        <w:tc>
          <w:tcPr>
            <w:tcW w:w="17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4"/>
                <w:szCs w:val="14"/>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0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Fair</w:t>
            </w: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Amortized</w:t>
            </w:r>
          </w:p>
        </w:tc>
        <w:tc>
          <w:tcPr>
            <w:tcW w:w="420" w:type="dxa"/>
            <w:vAlign w:val="bottom"/>
          </w:tcPr>
          <w:p>
            <w:pPr>
              <w:spacing w:after="0"/>
              <w:rPr>
                <w:sz w:val="11"/>
                <w:szCs w:val="11"/>
                <w:color w:val="auto"/>
              </w:rPr>
            </w:pPr>
          </w:p>
        </w:tc>
        <w:tc>
          <w:tcPr>
            <w:tcW w:w="5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Fair</w:t>
            </w: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Fair</w:t>
            </w: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2380" w:type="dxa"/>
            <w:vAlign w:val="bottom"/>
          </w:tcPr>
          <w:p>
            <w:pPr>
              <w:spacing w:after="0"/>
              <w:rPr>
                <w:sz w:val="14"/>
                <w:szCs w:val="14"/>
                <w:color w:val="auto"/>
              </w:rPr>
            </w:pPr>
          </w:p>
        </w:tc>
        <w:tc>
          <w:tcPr>
            <w:tcW w:w="500" w:type="dxa"/>
            <w:vAlign w:val="bottom"/>
          </w:tcPr>
          <w:p>
            <w:pPr>
              <w:jc w:val="right"/>
              <w:ind w:right="2"/>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First-lien</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$582.3</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575.1</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Second-lien</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77.6</w:t>
            </w:r>
          </w:p>
        </w:tc>
        <w:tc>
          <w:tcPr>
            <w:tcW w:w="500" w:type="dxa"/>
            <w:vAlign w:val="bottom"/>
          </w:tcPr>
          <w:p>
            <w:pPr>
              <w:jc w:val="right"/>
              <w:spacing w:after="0"/>
              <w:rPr>
                <w:sz w:val="20"/>
                <w:szCs w:val="20"/>
                <w:color w:val="auto"/>
              </w:rPr>
            </w:pPr>
            <w:r>
              <w:rPr>
                <w:rFonts w:ascii="Arial" w:cs="Arial" w:eastAsia="Arial" w:hAnsi="Arial"/>
                <w:sz w:val="18"/>
                <w:szCs w:val="18"/>
                <w:color w:val="auto"/>
              </w:rPr>
              <w:t>69.6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Mezzanine</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Equity</w:t>
            </w:r>
          </w:p>
        </w:tc>
        <w:tc>
          <w:tcPr>
            <w:tcW w:w="2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889.3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874.6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644.4</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38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amortized cost of our performing and non-accrual investments as September 30, 2013, December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6"/>
              </w:rPr>
              <w:t>September 30, 2013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9"/>
              </w:rPr>
              <w:t>December 31, 2012</w:t>
            </w:r>
          </w:p>
        </w:tc>
        <w:tc>
          <w:tcPr>
            <w:tcW w:w="140" w:type="dxa"/>
            <w:vAlign w:val="bottom"/>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9"/>
              </w:rPr>
              <w:t>December 31, 2011</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Amortized</w:t>
            </w:r>
          </w:p>
        </w:tc>
        <w:tc>
          <w:tcPr>
            <w:tcW w:w="6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4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Amortized</w:t>
            </w: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2"/>
              </w:rPr>
              <w:t>Percentage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00"/>
              <w:spacing w:after="0"/>
              <w:rPr>
                <w:sz w:val="20"/>
                <w:szCs w:val="20"/>
                <w:color w:val="auto"/>
              </w:rPr>
            </w:pPr>
            <w:r>
              <w:rPr>
                <w:rFonts w:ascii="Arial" w:cs="Arial" w:eastAsia="Arial" w:hAnsi="Arial"/>
                <w:sz w:val="14"/>
                <w:szCs w:val="14"/>
                <w:b w:val="1"/>
                <w:bCs w:val="1"/>
                <w:color w:val="auto"/>
                <w:w w:val="96"/>
              </w:rPr>
              <w:t>Cost</w:t>
            </w:r>
          </w:p>
        </w:tc>
        <w:tc>
          <w:tcPr>
            <w:tcW w:w="46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874.6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182.0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480" w:type="dxa"/>
            <w:vAlign w:val="bottom"/>
          </w:tcPr>
          <w:p>
            <w:pPr>
              <w:jc w:val="center"/>
              <w:ind w:left="6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874.6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182.0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98"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weighted average yields and interest rates of our debt investments at fair value as of September 30, 2013 and December 31, 2012 and 2011,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32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84"/>
              </w:rPr>
              <w:t>September 30, 2013</w:t>
            </w:r>
          </w:p>
        </w:tc>
        <w:tc>
          <w:tcPr>
            <w:tcW w:w="23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85"/>
              </w:rPr>
              <w:t>December 31, 2012</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Weighted average total yield on investments</w:t>
            </w:r>
          </w:p>
        </w:tc>
        <w:tc>
          <w:tcPr>
            <w:tcW w:w="11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shd w:val="clear" w:color="auto" w:fill="CCEEFF"/>
          </w:tcPr>
          <w:p>
            <w:pPr>
              <w:spacing w:after="0"/>
              <w:rPr>
                <w:sz w:val="18"/>
                <w:szCs w:val="18"/>
                <w:color w:val="auto"/>
              </w:rPr>
            </w:pPr>
          </w:p>
        </w:tc>
        <w:tc>
          <w:tcPr>
            <w:tcW w:w="23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10.4%</w:t>
            </w:r>
          </w:p>
        </w:tc>
        <w:tc>
          <w:tcPr>
            <w:tcW w:w="23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Weighted average interest rate on investments</w:t>
            </w:r>
          </w:p>
        </w:tc>
        <w:tc>
          <w:tcPr>
            <w:tcW w:w="2320" w:type="dxa"/>
            <w:vAlign w:val="bottom"/>
            <w:gridSpan w:val="2"/>
          </w:tcPr>
          <w:p>
            <w:pPr>
              <w:jc w:val="right"/>
              <w:ind w:right="1040"/>
              <w:spacing w:after="0"/>
              <w:rPr>
                <w:sz w:val="20"/>
                <w:szCs w:val="20"/>
                <w:color w:val="auto"/>
              </w:rPr>
            </w:pPr>
            <w:r>
              <w:rPr>
                <w:rFonts w:ascii="Arial" w:cs="Arial" w:eastAsia="Arial" w:hAnsi="Arial"/>
                <w:sz w:val="18"/>
                <w:szCs w:val="18"/>
                <w:color w:val="auto"/>
              </w:rPr>
              <w:t>10.1%</w:t>
            </w:r>
          </w:p>
        </w:tc>
        <w:tc>
          <w:tcPr>
            <w:tcW w:w="2300" w:type="dxa"/>
            <w:vAlign w:val="bottom"/>
            <w:gridSpan w:val="2"/>
          </w:tcPr>
          <w:p>
            <w:pPr>
              <w:jc w:val="right"/>
              <w:ind w:right="106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spread over LIBOR of all floating rate</w:t>
            </w: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23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8.8%</w:t>
            </w:r>
          </w:p>
        </w:tc>
        <w:tc>
          <w:tcPr>
            <w:tcW w:w="23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results for the nine months ended September 30, 2013 and 2012 and the years ended December 31, 2012 and 2011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7"/>
              </w:rPr>
              <w:t>Nine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expenses</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(loss) before income taxes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Income taxes, including excise taxes</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realized gains on investments</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r>
              <w:rPr>
                <w:rFonts w:ascii="Arial" w:cs="Arial" w:eastAsia="Arial" w:hAnsi="Arial"/>
                <w:sz w:val="11"/>
                <w:szCs w:val="11"/>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tcPr>
          <w:p>
            <w:pPr>
              <w:ind w:left="440"/>
              <w:spacing w:after="0"/>
              <w:rPr>
                <w:sz w:val="20"/>
                <w:szCs w:val="20"/>
                <w:color w:val="auto"/>
              </w:rPr>
            </w:pPr>
            <w:r>
              <w:rPr>
                <w:rFonts w:ascii="Arial" w:cs="Arial" w:eastAsia="Arial" w:hAnsi="Arial"/>
                <w:sz w:val="18"/>
                <w:szCs w:val="18"/>
                <w:color w:val="auto"/>
              </w:rPr>
              <w:t>Total investment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65.0</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32.8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51.0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Interest from investments increased from $32.5 million for the nine months ended September 30, 2012 to $63.3 million for the nine months ended September 30, 2013, primarily due to the increase in the size of the portfolio. The average size of our total investment portfolio at fair value increased from $358 million during the nine months ended September 30, 2012 to $739 million during the nine months ended September 30, 2013. There was no dividend income in the nine months ended September 30, 2013 and 2012. In addition, there was an increase of $2.2 million in prepayment fees for the nine months ended September 30, 2013 compared to the prior period. These prepayment fees resulted from full or partial paydowns on four portfolio investments. Other income increased from $0.3 million for the nine months ended September 30, 2012 to $1.7 million for the nine months ended September 30, 2013, primarily due to higher syndication, amendment and agency fees earned during 2013.</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Interest from investments increased from $5.3 million for the year ended December 31, 2011 to $49.1 million for the year ended December 31, 2012 primarily due to the increase in the size of the portfolio. The average size of our total investment portfolio at fair value increased from $57 million during the year ended December 31, 2011 to $417 million during the year ended December 31, 2012. There was no dividend income in the year ended December 31, 2011. Dividend income was $1.2 million for the year ended December 31, 2012 due to the receipt of a dividend in the fourth quarter of 2012 from a non-controlled, affiliated investment. In addition, there was an increase of $0.9 million in prepayment fees for the year ended December 31, 2012 compared to the prior year. These prepayment fees resulted from full paydowns on two portfolio investments. There was no other income in the year ended December 31, 2011. Other income for the year ended December 31, 2012 was $0.7 million primarily due to higher amendment, syndication and agency fees earned during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30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vMerge w:val="continue"/>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Initial organization</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(net of waivers)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Arial" w:cs="Arial" w:eastAsia="Arial" w:hAnsi="Arial"/>
                <w:sz w:val="18"/>
                <w:szCs w:val="18"/>
                <w:color w:val="auto"/>
              </w:rPr>
              <w:t>Incentive fees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20"/>
              <w:spacing w:after="0"/>
              <w:rPr>
                <w:sz w:val="20"/>
                <w:szCs w:val="20"/>
                <w:color w:val="auto"/>
              </w:rPr>
            </w:pPr>
            <w:r>
              <w:rPr>
                <w:rFonts w:ascii="Arial" w:cs="Arial" w:eastAsia="Arial" w:hAnsi="Arial"/>
                <w:sz w:val="18"/>
                <w:szCs w:val="18"/>
                <w:color w:val="auto"/>
              </w:rPr>
              <w:t>Pre-incentive fee net investment income</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gains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Professional fees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Expenses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040" w:type="dxa"/>
            <w:vAlign w:val="bottom"/>
            <w:vMerge w:val="restart"/>
          </w:tcPr>
          <w:p>
            <w:pPr>
              <w:jc w:val="right"/>
              <w:ind w:right="1492"/>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for the nine months ended September 30, 2013 and 2012 and the years ended December 31, 2012 and 2011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9"/>
              </w:rPr>
              <w:t>2013</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Commitment fees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Stated interest expense increased from $2.1 million for the nine months ended September 30, 2012 to $4.7 million for the nine months ended September 30, 2013. This increase was primarily due to an increase in the weighted average debt outstanding from $92 million for the nine months ended September 30, 2012 to $226 million for the nine months ended September 30, 2013. The weighted average interest rate on our debt outstanding decreased from 2.9% for the nine months ended September 30, 2012 to 2.7% for the nine months ended September 30, 2013.</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Stated interest expense increased from $0.4 million for the year ended December 31, 2011 to $3.3 million for the year ended December 31, 2012. This increase was primarily due to an increase in the weighted average debt outstanding from $11 million for the year ended December 31, 2011 to $111 million for the year ended December 31, 2012. The weighted average interest rate on our debt outstanding decreased from 3.0% for the year ended December 31, 2011 to 2.9% for the year ended December 31,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Commitment Fees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Commitment fees increased from $0.8 million for the nine months ended September 30, 2012 to $1.1 million for the nine months ended September 30, 2013, primarily due to the addition of our Revolving Credit Facility (Natixis) in May 2012 and our Revolving Credit Facility (SunTrust) in August 2012. Commitment fees increased from $0.2 million for the year ended December 31, 2011 to $1.2 million for the year ended December 31, 2012, primarily due to the addition of our Revolving Credit Facility (Natixis) in May 2012 and our Revolving Credit Facility (SunTrust) in August 2012.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Amortization of Debt Issuance Costs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Amortization of debt issuance costs increased from $1.0 million for the nine months ended September 30, 2012 to $1.5 million for the nine months ended September 30, 2013, primarily due to the addition of our Revolving Credit Facility (SunTrust) in August 2012. Amortization of debt issuance costs increased from $0.2 million for the year ended December 31, 2011 to $1.5 million for the year ended December 31, 2012, primarily due to the addition of our Revolving Credit Facility (Natixis) in May 2012 and our Revolving Credit Facility (SunTrust) in August 2012.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Management Fees (net of waivers) increased from $3.7 million for the nine months ended September 30, 2012 to $4.7 million for the nine months ended September 30, 2013. Management Fees increased from $6.1 million for the nine months ended September 30, 2012 to $9.7 million for the nine months ended September 30, 2013 due to the increase in total assets, which increased from an average of $555 million for the nine months ended September 30, 2012 to an average of $874 million for the nine months ended September 30, 2013. Management Fees waived increased from $2.4 million for the nine months ended September 30, 2012 to $5.0 million for the nine months ended September 30, 2013 due to an increase in total assets.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Management Fees (net of waivers) increased from $1.6 million for the year ended December 31, 2011 to $5.2 million for the year ended December 31, 2012. Management Fees increased from $1.6 million for the year ended December 31, 2011 to $8.9 million for the year ended December 31, 2012 due to the increase in total assets, which increased from an average of $115 million for the year ended December 31, 2011 to an average of $611 million for the year ended December 31, 2012. Management Fees waived increased from $7 thousand for the year ended December 31, 2011 to $3.7 million for the year ended December 31, 2012 due to an increase in total assets.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Until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the IPO, the Adviser does not intend to waive its right to receive the full Management Fee.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Fees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Incentive Fees related to pre-Incentive Fee net investment income increased from $3.3 million for the nine months ended September 30, 2012 to $7.3 million for the nine months ended September 30, 2013. This increase resulted from the increase in the size of the portfolio and related increase in pre-Incentive Fee net investment income. Incentive Fees related to capital gains decreased from $1.5 million for the nine months ended September 30, 2012 to $0.8 million for the nine months ended September 30, 2013 due to changes in unrealized gains and losses on our investments and realized gains on our investments.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There were no Incentive Fees related to pre-Incentive Fee net investment income for the year ended December 31, 2011. Incentive fees related to pre-Incentive Fee net investment income were $5.3 million for the year ended December 31, 2012 due to an increase in the size of the portfolio and related increase in pre-Incentive Fee net investment income. Incentive Fees related to capital gains increased from $0.3 million for the year ended December 31, 2011 to $1.7 million for the year ended December 31, 2012 due to changes in unrealized gains and losses on our investments and realized gains on our investments.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Fees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Professional fees increased from $2.0 million for the nine months ended September 30, 2012 to $2.4 million for the nine months ended September 30, 2013 and other general and administrative fees increased from $1.1 million for the nine months ended September 30, 2012 to $1.7 million for the nine months ended September 30, 2013, both due to an increase in costs associated with servicing a growing investment portfolio.</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Professional fees increased from $1.6 million for the year ended December 31, 2011 to $2.9 million for the year ended December 31, 2012 and other general and administrative fees increased from $0.8 million for the year ended December 31, 2011 to $1.6 million for the year ended December 31, 2012, both due to an increase in costs associated with servicing a growing investment portfolio. A significant portion of our expenses for the year ended December 31, 2011 were related to the initial organization of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Depending on the level of taxable income earned in a tax year, we may choose to carry forward taxable income (including net capital gain, if any) in excess of current year dividend distributions from the current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taxable income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each of the nine months ended September 30, 2013 and the calendar year ended December 31, 2012, we recorded a net expense of $0.1 million for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federal excise tax. For the calendar year ended December 31, 2011, we did not incur any U.S. federal excise tax.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During the nine months ended September 30, 2013, we had $1.4 million of net realized gains, including realized gains on foreign currency forward contracts. During the nine months ended September 30, 2012, we had $3.8 million of net realized gains.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2012, we had $4.4 million of net realized gains. During the year ended December 31, 2011, we had no net realized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gains.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realized gains and losses on investments during the nine months ended September 30, 2013 and 2012 and the years ended December 31, 2012 and 2011 consisted of the following (certain gains (losses) have been rounded to zero):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4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Attachmate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6"/>
              </w:rPr>
              <w:t>(0.0)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87"/>
              </w:rPr>
              <w:t>0.1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120" w:type="dxa"/>
            <w:vAlign w:val="bottom"/>
          </w:tcPr>
          <w:p>
            <w:pPr>
              <w:spacing w:after="0"/>
              <w:rPr>
                <w:sz w:val="18"/>
                <w:szCs w:val="18"/>
                <w:color w:val="auto"/>
              </w:rPr>
            </w:pPr>
          </w:p>
        </w:tc>
        <w:tc>
          <w:tcPr>
            <w:tcW w:w="420" w:type="dxa"/>
            <w:vAlign w:val="bottom"/>
          </w:tcPr>
          <w:p>
            <w:pPr>
              <w:jc w:val="center"/>
              <w:ind w:left="116"/>
              <w:spacing w:after="0"/>
              <w:rPr>
                <w:sz w:val="20"/>
                <w:szCs w:val="20"/>
                <w:color w:val="auto"/>
              </w:rPr>
            </w:pPr>
            <w:r>
              <w:rPr>
                <w:rFonts w:ascii="Arial" w:cs="Arial" w:eastAsia="Arial" w:hAnsi="Arial"/>
                <w:sz w:val="18"/>
                <w:szCs w:val="18"/>
                <w:color w:val="auto"/>
                <w:w w:val="87"/>
              </w:rPr>
              <w:t>0.8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120" w:type="dxa"/>
            <w:vAlign w:val="bottom"/>
          </w:tcPr>
          <w:p>
            <w:pPr>
              <w:spacing w:after="0"/>
              <w:rPr>
                <w:sz w:val="18"/>
                <w:szCs w:val="18"/>
                <w:color w:val="auto"/>
              </w:rPr>
            </w:pPr>
          </w:p>
        </w:tc>
        <w:tc>
          <w:tcPr>
            <w:tcW w:w="420" w:type="dxa"/>
            <w:vAlign w:val="bottom"/>
          </w:tcPr>
          <w:p>
            <w:pPr>
              <w:jc w:val="center"/>
              <w:ind w:left="116"/>
              <w:spacing w:after="0"/>
              <w:rPr>
                <w:sz w:val="20"/>
                <w:szCs w:val="20"/>
                <w:color w:val="auto"/>
              </w:rPr>
            </w:pPr>
            <w:r>
              <w:rPr>
                <w:rFonts w:ascii="Arial" w:cs="Arial" w:eastAsia="Arial" w:hAnsi="Arial"/>
                <w:sz w:val="18"/>
                <w:szCs w:val="18"/>
                <w:color w:val="auto"/>
                <w:w w:val="87"/>
              </w:rPr>
              <w:t>0.1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Rare Restaurant Group, LLC.</w:t>
            </w:r>
          </w:p>
        </w:tc>
        <w:tc>
          <w:tcPr>
            <w:tcW w:w="12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SumTotal</w:t>
            </w:r>
          </w:p>
        </w:tc>
        <w:tc>
          <w:tcPr>
            <w:tcW w:w="12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(0.0)</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Synagro Technologies, Inc.</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left="116"/>
              <w:spacing w:after="0"/>
              <w:rPr>
                <w:sz w:val="20"/>
                <w:szCs w:val="20"/>
                <w:color w:val="auto"/>
              </w:rPr>
            </w:pPr>
            <w:r>
              <w:rPr>
                <w:rFonts w:ascii="Arial" w:cs="Arial" w:eastAsia="Arial" w:hAnsi="Arial"/>
                <w:sz w:val="18"/>
                <w:szCs w:val="18"/>
                <w:color w:val="auto"/>
                <w:w w:val="87"/>
              </w:rPr>
              <w:t>0.1</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Subtotal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center"/>
              <w:ind w:left="116"/>
              <w:spacing w:after="0"/>
              <w:rPr>
                <w:sz w:val="20"/>
                <w:szCs w:val="20"/>
                <w:color w:val="auto"/>
              </w:rPr>
            </w:pPr>
            <w:r>
              <w:rPr>
                <w:rFonts w:ascii="Arial" w:cs="Arial" w:eastAsia="Arial" w:hAnsi="Arial"/>
                <w:sz w:val="18"/>
                <w:szCs w:val="18"/>
                <w:color w:val="auto"/>
                <w:w w:val="87"/>
              </w:rPr>
              <w:t>1.1</w:t>
            </w:r>
          </w:p>
        </w:tc>
        <w:tc>
          <w:tcPr>
            <w:tcW w:w="6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79"/>
              </w:rPr>
              <w:t>3.8</w:t>
            </w:r>
          </w:p>
        </w:tc>
        <w:tc>
          <w:tcPr>
            <w:tcW w:w="6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left="116"/>
              <w:spacing w:after="0"/>
              <w:rPr>
                <w:sz w:val="20"/>
                <w:szCs w:val="20"/>
                <w:color w:val="auto"/>
              </w:rPr>
            </w:pPr>
            <w:r>
              <w:rPr>
                <w:rFonts w:ascii="Arial" w:cs="Arial" w:eastAsia="Arial" w:hAnsi="Arial"/>
                <w:sz w:val="18"/>
                <w:szCs w:val="18"/>
                <w:color w:val="auto"/>
                <w:w w:val="87"/>
              </w:rPr>
              <w:t>0.3</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Net Realized Gains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ind w:left="116"/>
              <w:spacing w:after="0"/>
              <w:rPr>
                <w:sz w:val="20"/>
                <w:szCs w:val="20"/>
                <w:color w:val="auto"/>
              </w:rPr>
            </w:pPr>
            <w:r>
              <w:rPr>
                <w:rFonts w:ascii="Arial" w:cs="Arial" w:eastAsia="Arial" w:hAnsi="Arial"/>
                <w:sz w:val="18"/>
                <w:szCs w:val="18"/>
                <w:color w:val="auto"/>
                <w:w w:val="87"/>
              </w:rPr>
              <w:t>1.4</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9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Since we began investing in 2011 through September 30, 2013, our exited investments have resulted in an aggregate cash flow realized gross internal rate of return to us of approximately 17.5% (based on cash invested of approximately $329 million and total proceeds from these exited investments of approximately $373 million). Approximately 79% of these exited investments resulted in an aggregate cash flow realized gross internal rate of return to us of 10% or greater.</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Internal rate of return, or IRR, is a measure of our discounted cash flows (inflows and outflows). Specifically, IRR is the discount rate at which the net present value of all cash flows is equal to zero. That is, IRR is the discount rate at which (i) the present value of total capital invested in our investments is equal to (ii) the present value of all returns from the investments (whether or not realized). Our IRR calculations are unaudited.</w:t>
      </w:r>
    </w:p>
    <w:p>
      <w:pPr>
        <w:spacing w:after="0" w:line="147" w:lineRule="exact"/>
        <w:rPr>
          <w:sz w:val="20"/>
          <w:szCs w:val="20"/>
          <w:color w:val="auto"/>
        </w:rPr>
      </w:pPr>
    </w:p>
    <w:p>
      <w:pPr>
        <w:ind w:left="900" w:right="7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capital invested for an investment equals the sum of (i) capital invested and (ii) realized losses on hedging activity, with respect to the investment.</w:t>
      </w:r>
    </w:p>
    <w:p>
      <w:pPr>
        <w:spacing w:after="0" w:line="50" w:lineRule="exact"/>
        <w:rPr>
          <w:rFonts w:ascii="Arial" w:cs="Arial" w:eastAsia="Arial" w:hAnsi="Arial"/>
          <w:sz w:val="18"/>
          <w:szCs w:val="18"/>
          <w:color w:val="auto"/>
        </w:rPr>
      </w:pPr>
    </w:p>
    <w:p>
      <w:pPr>
        <w:ind w:left="1480" w:right="48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w:t>
      </w:r>
    </w:p>
    <w:p>
      <w:pPr>
        <w:spacing w:after="0" w:line="50" w:lineRule="exact"/>
        <w:rPr>
          <w:rFonts w:ascii="Arial" w:cs="Arial" w:eastAsia="Arial" w:hAnsi="Arial"/>
          <w:sz w:val="18"/>
          <w:szCs w:val="18"/>
          <w:color w:val="auto"/>
        </w:rPr>
      </w:pPr>
    </w:p>
    <w:p>
      <w:pPr>
        <w:ind w:left="1480" w:right="56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Realized losses on hedging activity, with respect to an investment, represent any inception-to-date realized losses on foreign currency forward contracts allocable to the investment.</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 For additional information on these amounts, see “—Results of Operations—Expenses” and “—Results of Operations—Income Tax Expense, Including Excise Tax” above.</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Aggregate cash flow realized gross IRR reflects only invested and realized cash amounts as described above, and does not reflect any unrealized gains or losses in our portfolio. For additional information on our unrealized gains and losses, see “—Results of Operations— Net Change in Unrealized Gains/Losses”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Gains/Losses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value our investments quarterly and any changes in fair value are recorded as unrealized gains or losses. See“—Critical Accounting Policies— Investments at Fair Value.”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nine months ended September 30, 2013 and 2012 and the years ended December 31, 2012 and 2011, the net change in unrealized gains (losses)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 our investment portfolio, including losses on foreign currency forward contracts,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2013</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Change in unrealized losses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80" w:type="dxa"/>
            <w:vAlign w:val="bottom"/>
            <w:vMerge w:val="restart"/>
          </w:tcPr>
          <w:p>
            <w:pPr>
              <w:jc w:val="right"/>
              <w:ind w:right="1232"/>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4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net change in unrealized gains (losses) for the nine months ended September 30, 2013 and 2012 and the years ended December 31, 2012 and 2011 consisted of the following (certain gains (losses) have been rounded to zero):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2013</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Actian Corporation</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AFS Technologies,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AMF Bowling Worldwide,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Attachmate Corporation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Center Cut Hospitality,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Checkers Drive-In Restaurants,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Consona Holdings,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eResearch Technology,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Federal Signal Corporation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LLC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Infogix,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Intelident Solutions,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International Equipment Solutions,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Jeeves Information Systems AB.</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Mandalay Baseball Properties, LLC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Mediware Information Systems,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MSC Software Corporation</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Network Merchants,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The Newark Group,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PAI Group,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Sage Automotive Interiors,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Soho House Bond Ltd.</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Solarsoft, LP (f/k/a CMS-XKO Holding Company, LP)</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SRS Software, LLC.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SumTotal Systems, LLC.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Synagro Technologies,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Teletrac,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Vivint,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For the nine months ended September 30, 2013, we had $10.0 million in unrealized appreciation on 16 portfolio company investments, which was partially offset by $6.0 million in unrealized depreciation on 14 portfolio company investments, including unrealized losses on foreign currency forward contracts. For the nine months ended September 30, 2012, we had $7.9 million in unrealized appreciation on 13 portfolio company investments, which was partially offset by $1.7 million in unrealized depreciation on six portfolio company investments. Unrealized appreciation resulted from an increase in fair market value, primarily due to a tightening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year ended December 31, 2012, we had $9.2 million in unrealized appreciation on 13 portfolio company investments, which was partially offset by $2.0 million in unrealized depreciation on five portfolio company investments, including unrealized losses on foreign currency forward contracts. For the year ended December 31, 2011, we had $2.4 million in unrealized appreciation on six portfolio company investments, which was partially offset by $0.1 million in unrealized depreciation on one portfolio company investment.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nine months ended September 30, 2013, we entered into foreign currency forward contracts related to our investments in Jeeves Information Systems AB and Soho House Bond Ltd., which in total generated an unrealized loss of $1.2 million and a realized gain of $0.3 million. Other than these foreign currency forward contracts, we did not enter into any other interest rate or other derivative agreements. During the nine months ended September 30, 2012, we did not enter into any interest rate, foreign exchange or other derivative agreements.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2012 and 2011, we did not enter into any interest rate, foreign exchange or other derivative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capital commitments of our existing investors terminate on the completion of this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September 30, 2013 and December 31, 2012 and 2011, our asset coverage ratio was 265.9%, 244.6% and 211.7%, respectively.</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Cash and cash equivalents as of September 30, 2013, taken together with cash available under our credit facilities and proceeds from this offering, is expected to be sufficient for our investing activities and to conduct our operations in the near term. The Revolving Credit Facility (DBCTA) will terminate 25 days in advance of this offering.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of September 30, 2013, we had $19.6 million in cash and cash equivalents, a decrease of $142.2 million from December 31, 2012. The decrease was primarily attributable to investments made during the period. During the nine months ended September 30, 2013, we used $186.2 million in operating activities, primarily as a result of funding of portfolio investments of $432.4 million. This was partially offset by proceeds from investments of $46.4 million, repayments on investments of $164.3 million, an increase in net assets resulting from operations of $45.9 million and other operating activity of $10.4 million. Lastly, cash provided by financing activities was $44.0 million during the period, primarily due to proceeds from issuance of common stock of $56.9 million and net borrowings on debt of $6.4 million, partially offset by debt issuance costs of $1.4 million and dividends paid of $17.9 million.</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December 31, 2012, we had $161.8 million in cash and cash equivalents, an increase of $18.1 million from December 31, 2011. The increase was primarily attributable to additional borrowings under the debt facilities and proceeds from investor drawdown notices received near December 31, 2012. During the year ended December 31, 2012, we used $430.1 million in operating activities, primarily as a result of funding of portfolio investments of $760.7 million. This was partially offset by proceeds from investments of $119.1 million, repayments on investments of $190.6 million, an increase in net assets resulting from operations of $39.6 million and other operating activity of $18.7 million. Lastly, cash provided by financing activities was $448.2 million during the period, primarily due to proceeds from issuance of common stock of $287.7 million and net borrowings on debt of $176.8 million, partially offset by debt issuance costs of $5.3 million and dividends paid of $11.0 million.</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September 30, 2013, we had $5.8 million of restricted cash in our wholly owned subsidiary TPG SL SPV, an increase of $1.5 million from December 31, 2012.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Revolving Credit Facility (Natixis), following which excess cash generated in TPG SL SPV may be distributed to us. Restricted cash is a component of prepaid expenses and other assets in our consolidated financial statements. For additional information concerning restricted cash and our revolving credit facility, see “—Financial Condition, Liquidity and Capital Resources— Revolving Credit Facility (Natixis).”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nine months ended September 30, 2013 and the years ended December 31, 2012 and 2011,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September 30, 2013, we have drawn down a total of $0.5 billion of capital and issued 34.7 million shares. As of September 30, 2013, $1.0 billion of capital commitments remained unfunded.</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During the nine months ended September 30, 2013 and the years ended December 31, 2012 and December 31, 2011, we delivered drawdown notices to our investors relating to the issuance of 3,713,053 shares, 19,199,421 shares and 11,770,448 shares, respectively, of our common stock for aggregate proceeds of $57 million, $288 million and $173 million, respectively. Proceeds from the issuances were used in investing activities and for other general corporate purposes.</w:t>
      </w:r>
    </w:p>
    <w:p>
      <w:pPr>
        <w:spacing w:after="0" w:line="8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the drawdowns noted above, during the nine months ended September 30, 2013 and the year ended December 31, 2012, we issued 1,250,508 and 613,019 shares of our common stock, respectively, to investors who have not opted out of our dividend reinvestment plan for proceeds of $19.1 million and $9.2 million, respectively. We did not issue any shares to investors through our dividend reinvestment plan for the year ended December 31,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September 30, 2013, December 31, 2012 and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September 30,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r>
              <w:rPr>
                <w:rFonts w:ascii="Arial" w:cs="Arial" w:eastAsia="Arial" w:hAnsi="Arial"/>
                <w:sz w:val="11"/>
                <w:szCs w:val="11"/>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9"/>
                <w:szCs w:val="19"/>
                <w:color w:val="auto"/>
              </w:rPr>
            </w:pP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338.3</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2012</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r>
              <w:rPr>
                <w:rFonts w:ascii="Arial" w:cs="Arial" w:eastAsia="Arial" w:hAnsi="Arial"/>
                <w:sz w:val="11"/>
                <w:szCs w:val="11"/>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19"/>
                <w:szCs w:val="19"/>
                <w:color w:val="auto"/>
              </w:rPr>
            </w:pP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331.8</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December 31, 2011</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gridSpan w:val="5"/>
          </w:tcPr>
          <w:p>
            <w:pPr>
              <w:ind w:left="4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1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6"/>
              </w:rPr>
              <w:t>Total Facility</w:t>
            </w:r>
          </w:p>
        </w:tc>
        <w:tc>
          <w:tcPr>
            <w:tcW w:w="420" w:type="dxa"/>
            <w:vAlign w:val="bottom"/>
          </w:tcPr>
          <w:p>
            <w:pPr>
              <w:spacing w:after="0"/>
              <w:rPr>
                <w:sz w:val="15"/>
                <w:szCs w:val="15"/>
                <w:color w:val="auto"/>
              </w:rPr>
            </w:pPr>
          </w:p>
        </w:tc>
        <w:tc>
          <w:tcPr>
            <w:tcW w:w="15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84"/>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250.</w:t>
            </w:r>
            <w:r>
              <w:rPr>
                <w:rFonts w:ascii="Arial" w:cs="Arial" w:eastAsia="Arial" w:hAnsi="Arial"/>
                <w:sz w:val="18"/>
                <w:szCs w:val="18"/>
                <w:u w:val="single" w:color="auto"/>
                <w:color w:val="auto"/>
                <w:w w:val="93"/>
              </w:rPr>
              <w:t>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155.0</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Revolving Credit Facility (DBTCA) will terminate 25 days in advance of this offering. We intend to repay any borrowings under this facility prior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offering by drawing on one or more of our other existing facilities.</w:t>
      </w:r>
    </w:p>
    <w:p>
      <w:pPr>
        <w:spacing w:after="0" w:line="9" w:lineRule="exact"/>
        <w:rPr>
          <w:sz w:val="20"/>
          <w:szCs w:val="20"/>
          <w:color w:val="auto"/>
        </w:rPr>
      </w:pPr>
    </w:p>
    <w:p>
      <w:pPr>
        <w:ind w:left="460" w:right="200" w:hanging="459"/>
        <w:spacing w:after="0" w:line="250" w:lineRule="auto"/>
        <w:tabs>
          <w:tab w:leader="none" w:pos="440" w:val="left"/>
        </w:tabs>
        <w:rPr>
          <w:sz w:val="20"/>
          <w:szCs w:val="20"/>
          <w:color w:val="auto"/>
        </w:rPr>
      </w:pPr>
      <w:r>
        <w:rPr>
          <w:rFonts w:ascii="Arial" w:cs="Arial" w:eastAsia="Arial" w:hAnsi="Arial"/>
          <w:sz w:val="18"/>
          <w:szCs w:val="18"/>
          <w:color w:val="auto"/>
        </w:rPr>
        <w:t>(3)</w:t>
        <w:tab/>
        <w:t>We intend to use the net proceeds of this offering, together with our cash and cash equivalents, to pay down $ million of outstanding indebtedness under the Revolving Credit Facility (SunTrust). See “Use of Proceeds.”</w:t>
      </w:r>
    </w:p>
    <w:p>
      <w:pPr>
        <w:spacing w:after="0" w:line="1"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January 21, 2014, we amended the Revolving Credit Facility (Natixis) to increase the size of the facility to $175.0 million.</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September 30, 2013, December 31, 2012 and December 31, 2011, we were in compliance with the terms of our debt arrangements. We intend to continue to utilize our credit facilities to fund investments and for other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 (SunTrust)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23, 2012, we entered into the Revolving Credit Facility (SunTrust). On July 2, 2013, we entered into an agreement to amend and restate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 (SunTrust), effective on July 3, 2013. The amended and restated facility, among other things:</w:t>
      </w:r>
    </w:p>
    <w:p>
      <w:pPr>
        <w:spacing w:after="0" w:line="84"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the size of the facility from $200 million to $350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the limit for swingline loans from $30 million to $50 million;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August 24, 2015 to June 30, 2017, during which period we, subject to certain conditions, may make borrowings under the facility;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extended the stated maturity date from August 23, 2016 to July 2, 2018;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advance rates for certain types of investments used in determining the borrowing base.</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borrow amounts in U.S. dollars or certain other permitted currencies. Amounts drawn under the Revolving Credit Facility (SunTrust),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amended and restated facility also reduced the fee rate on undrawn commitment amounts from 0.500% to 0.375% per annum. The amended and restated facility continues to be guaranteed by TC Lending, LLC and certain of our domestic subsidiaries that are formed or acquired by us in the future. The amended and restated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13"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The amended and restated facility includes an uncommitted accordion feature that allows us, under certain circumstances, to increase the size of the facility to a maximum of $550 million. On September 30, 2013, we exercised our right under the accordion feature and increased the size of the facility to $400 million.</w:t>
      </w:r>
    </w:p>
    <w:p>
      <w:pPr>
        <w:spacing w:after="0" w:line="6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Prior to the amendment, the revolving credit facility contained a covenant restricting us from incurring secured debt (other than the facility and any capital call facility) in excess of 40% of our total assets. The amended and restated facility removes this covenant. The amended and restated facility continues to include customary events of default, as well as customary covenants, including restrictions on certain distributions and financial covenants requiring:</w:t>
      </w:r>
    </w:p>
    <w:p>
      <w:pPr>
        <w:spacing w:after="0" w:line="26"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plan to use the proceeds of this offering to pay down the Revolving Credit Facility (SunTrust), but the credit facility will not be terminated. Affiliates of certain of the underwriters are lenders under the Revolving Credit Facility (SunTrust).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 (Natixis)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May 8, 2012, the “Natixis Closing Date,” our wholly owned subsidiary TPG SL SPV, LLC, a Delaware limited liability company, entered into the Revolving Credit Facility (Natixis).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Revolving Credit Facility (Natixis)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Prior to the Natixis Commitment Termination Date, proceeds received by TPG SL SPV from interest, dividends or fees on assets were required to be used to pay expenses and interest on outstanding borrowings, and the excess could be returned to us, subject to certain conditions. Proceeds received from principal on assets prior to the Natixis Commitment Termination Date were required to be used to make quarterly payments of principal on outstanding borrowings. Following the Natixis Commitment Termination Date, proceeds received by TPG SL SPV from interest and principal on collateral assets must be used to make quarterly payments of principal on outstanding borrowings. Proceeds received from interest and principal at the end of a reporting period that have not gone through the settlement process for these payment obligations are considered to be restricted cash.</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January 21, 2014, we entered into an agreement to amend and restate the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our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limitations.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both the amended and restated and original Revolving Credit Facility (Natixis), amounts drawn bear interest at LIBOR plus a margin, and the undrawn portion of the commitment bears an unutilized commitment fee of 0.75%. The Revolving Credit Facility (Natixis) contains customary covenants, including covenants relating to separateness from the Adviser and its affiliates and long-term credit ratings, and events of default. The Revolving Credit Facility (Natixis) is secured by a perfected first priority security interest in the assets of TPG SL SPV and on any payments received by TPG SL SPV in respect of such assets, which accordingly are not available to pay our other debt obligations.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September 30, 2013 and December 31, 2012, TPG SL SPV had $177.0 million and $163.8 million, respectively, in assets, including $167.6 million and $154.4 million, respectively, in investments at fair value, and $68.3 million and $67.3 million, respectively, in liabilities, including the outstanding borrowings, on its balance sheet. As of September 30, 2013 and December 31, 2012, TPG SL SPV had $5.8 million and $4.3 million, respectively, in restricted cash, a component of prepaid expenses and other assets, in the accompanying consolidated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our borrowings for purposes of complying with the asset coverage requirements under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 (DBTCA)</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28, 2011, we entered into a revolving credit facility, which we refer to as the Initial DBTCA Revolving Credit Facility, with Deutsche Bank Trust Company Americas, or DBTCA, as administrative agent, or the Administrative Agent, and DBTCA and certain other lenders. At closing, the maximum principal amount of the Initial DTBCA Revolving Credit Facility was $150 million, subject to availability under the borrowing base. On December 22, 2011, the Initial DBTCA Revolving Credit Facility was amended and restated, and we refer to that amended facility as the Revolving Credit Facility (DBTCA). Under the Revolving Credit Facility (DBTCA),</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maximum principal amount was increased from $150 million to $250 million subject to availability under a borrowing base. Proceeds from the Revolving Credit Facility (DBTCA) may be used for investment activities, expenses, working capital requirements and general corporate purposes. During July 2013, we reduced the capacity of the Revolving Credit Facility (DBTCA) from $250 million to $100 million.</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Revolving Credit Facility (DBTCA) matures upon the earlier of June 30, 2014 and 25 days prior to this offering. We intend to repay any borrowings under this facility prior to this offering by drawing on one or more of our other existing facilities.</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Revolving Credit Facility (DBTCA) is secured by a perfected first priority security interest in the unfunded capital commitments of our private investors.</w:t>
      </w:r>
    </w:p>
    <w:p>
      <w:pPr>
        <w:spacing w:after="0" w:line="132"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Revolving Credit Facility (DBTCA) contains customary covenants on us and our subsidiaries, including requirements to deposit all capital call proceeds into a collateral account, restrictions on certain distributions, and restrictions on certain types and amounts of indebtedness. The Revolving Credit Facility (DBTCA) includes customary events of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have the same remaining term as the associated loan agreement. Undrawn senior secured term loan commitments generally have a shorter availability period than the term of the associated loan agreement. As of September 30, 2013, December 31, 2012 and December 31, 2011, we had the following commitments to fund investments: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1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September 30, 2013</w:t>
            </w:r>
          </w:p>
        </w:tc>
        <w:tc>
          <w:tcPr>
            <w:tcW w:w="11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2012</w:t>
            </w:r>
          </w:p>
        </w:tc>
        <w:tc>
          <w:tcPr>
            <w:tcW w:w="114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2011</w:t>
            </w: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6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5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September 30, 2013, December 31, 2012 and December 31, 2011, we had $1.5 billion, $1.4 billion and $1.2 billion, respectively, in total capital commitments from investors ($1.0 billion, $0.9 billion and $1.0 billion unfunded, respectively). Of these amounts, $117.1 million, $114.1 million and $70.4 million, respectively, is from the Adviser and its affiliates ($76.7 million, $76.6 million and $60.3 million unfunded, respectively). These unfunded commitments will no longer remain in effect following the completion of this IPO.</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September 30, 2013 and December 31, 2012 and December 31, 2011, we had outstanding commitments to fund investments totaling $34.9 million, $32.0 and $6.8 million, respectively.</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September 30, 2013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88"/>
              </w:rPr>
              <w:t>Payments Due by Period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660" w:type="dxa"/>
            <w:vAlign w:val="bottom"/>
            <w:gridSpan w:val="2"/>
          </w:tcPr>
          <w:p>
            <w:pPr>
              <w:jc w:val="right"/>
              <w:ind w:right="57"/>
              <w:spacing w:after="0" w:line="129" w:lineRule="exact"/>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rPr>
              <w:t>3-</w:t>
            </w:r>
          </w:p>
        </w:tc>
        <w:tc>
          <w:tcPr>
            <w:tcW w:w="5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After 5</w:t>
            </w:r>
          </w:p>
        </w:tc>
        <w:tc>
          <w:tcPr>
            <w:tcW w:w="100" w:type="dxa"/>
            <w:vAlign w:val="bottom"/>
          </w:tcPr>
          <w:p>
            <w:pPr>
              <w:spacing w:after="0"/>
              <w:rPr>
                <w:sz w:val="11"/>
                <w:szCs w:val="11"/>
                <w:color w:val="auto"/>
              </w:rPr>
            </w:pPr>
          </w:p>
        </w:tc>
      </w:tr>
      <w:tr>
        <w:trPr>
          <w:trHeight w:val="16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5 years</w:t>
            </w:r>
          </w:p>
        </w:tc>
        <w:tc>
          <w:tcPr>
            <w:tcW w:w="50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years</w:t>
            </w:r>
          </w:p>
        </w:tc>
      </w:tr>
      <w:tr>
        <w:trPr>
          <w:trHeight w:val="210"/>
        </w:trPr>
        <w:tc>
          <w:tcPr>
            <w:tcW w:w="6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53.0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217.5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217.5</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9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338.3</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53.0</w:t>
            </w:r>
          </w:p>
        </w:tc>
        <w:tc>
          <w:tcPr>
            <w:tcW w:w="1160" w:type="dxa"/>
            <w:vAlign w:val="bottom"/>
            <w:gridSpan w:val="3"/>
          </w:tcPr>
          <w:p>
            <w:pPr>
              <w:jc w:val="right"/>
              <w:ind w:right="5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$ 67.8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40" w:hanging="452"/>
        <w:spacing w:after="0" w:line="456" w:lineRule="auto"/>
        <w:tabs>
          <w:tab w:leader="none" w:pos="4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intend to repay any borrowings under this facility prior to this offering by drawing on one or more of our other existing facilities. A summary of our contractual payment obligations as of December 31, 2012 is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87"/>
              </w:rPr>
              <w:t>Payments Due by Period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Less than</w:t>
            </w:r>
          </w:p>
        </w:tc>
        <w:tc>
          <w:tcPr>
            <w:tcW w:w="940" w:type="dxa"/>
            <w:vAlign w:val="bottom"/>
            <w:gridSpan w:val="2"/>
          </w:tcPr>
          <w:p>
            <w:pPr>
              <w:jc w:val="right"/>
              <w:ind w:right="77"/>
              <w:spacing w:after="0" w:line="129" w:lineRule="exact"/>
              <w:rPr>
                <w:sz w:val="20"/>
                <w:szCs w:val="20"/>
                <w:color w:val="auto"/>
              </w:rPr>
            </w:pPr>
            <w:r>
              <w:rPr>
                <w:rFonts w:ascii="Arial" w:cs="Arial" w:eastAsia="Arial" w:hAnsi="Arial"/>
                <w:sz w:val="14"/>
                <w:szCs w:val="14"/>
                <w:b w:val="1"/>
                <w:bCs w:val="1"/>
                <w:color w:val="auto"/>
              </w:rPr>
              <w:t>1-</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3-</w:t>
            </w:r>
          </w:p>
        </w:tc>
        <w:tc>
          <w:tcPr>
            <w:tcW w:w="5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After 5</w:t>
            </w:r>
          </w:p>
        </w:tc>
        <w:tc>
          <w:tcPr>
            <w:tcW w:w="100" w:type="dxa"/>
            <w:vAlign w:val="bottom"/>
          </w:tcPr>
          <w:p>
            <w:pPr>
              <w:spacing w:after="0"/>
              <w:rPr>
                <w:sz w:val="11"/>
                <w:szCs w:val="11"/>
                <w:color w:val="auto"/>
              </w:rPr>
            </w:pPr>
          </w:p>
        </w:tc>
      </w:tr>
      <w:tr>
        <w:trPr>
          <w:trHeight w:val="161"/>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1 year</w:t>
            </w:r>
          </w:p>
        </w:tc>
        <w:tc>
          <w:tcPr>
            <w:tcW w:w="5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40" w:type="dxa"/>
            <w:vAlign w:val="bottom"/>
          </w:tcPr>
          <w:p>
            <w:pPr>
              <w:spacing w:after="0"/>
              <w:rPr>
                <w:sz w:val="14"/>
                <w:szCs w:val="14"/>
                <w:color w:val="auto"/>
              </w:rPr>
            </w:pPr>
          </w:p>
        </w:tc>
        <w:tc>
          <w:tcPr>
            <w:tcW w:w="1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2"/>
              </w:rPr>
              <w:t>5 years</w:t>
            </w: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years</w:t>
            </w:r>
          </w:p>
        </w:tc>
      </w:tr>
      <w:tr>
        <w:trPr>
          <w:trHeight w:val="210"/>
        </w:trPr>
        <w:tc>
          <w:tcPr>
            <w:tcW w:w="6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$165.0</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$ 165.0</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5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331.8</w:t>
            </w:r>
          </w:p>
        </w:tc>
        <w:tc>
          <w:tcPr>
            <w:tcW w:w="106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$ 165.0</w:t>
            </w: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 —</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9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100.0</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$ 66.8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intend to repay any borrowings under this facility prior to this offering by drawing on one or more of our other existing facilities.</w:t>
      </w:r>
    </w:p>
    <w:p>
      <w:pPr>
        <w:spacing w:after="0" w:line="17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“—Off-Balance Sheet Arrangements—Portfolio Company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 w:lineRule="exact"/>
        <w:rPr>
          <w:sz w:val="20"/>
          <w:szCs w:val="20"/>
          <w:color w:val="auto"/>
        </w:rPr>
      </w:pPr>
    </w:p>
    <w:p>
      <w:pPr>
        <w:ind w:left="900" w:right="2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associated corporate-level U.S. federal income tax, including the U.S. federal excise tax described below.</w:t>
      </w:r>
    </w:p>
    <w:p>
      <w:pPr>
        <w:spacing w:after="0" w:line="10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98.2 % of our capital gain net income, adjusted for certain ordinary gains and losses, recognized for the one-year period ending on October 31 of that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9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subject to financial market risks, including valuation risk and interest rate risk, which we do not hedge. We are also subject to currency risk, which we have hedged. See “—Results of Operations—Hedging.”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“—Critical Accounting Policies—Investments at Fair Value,” Note 2 to our audited consolidated annual financial statements and Note 2 to our unaudited consolidated interim financial statements included elsewhere in this prospectus for more details on estimates and judgments made by us in connection with the valuation of our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September 30, 2013, 98.7% of our debt investments at fair value in our portfolio bore interest at floating rates. Our credit facilities also bear interest at floating rates.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Based on our balance sheet as of September 30, 2013, the following table shows the impact on net income for the nine months ended September 30, 2013 of changes in interest rates in our investments and borrowings (considering interest rate floors and ceilings for floating rate instruments), assuming no changes in our investment and borrowing structure (including base rate elections):</w:t>
      </w:r>
    </w:p>
    <w:p>
      <w:pPr>
        <w:sectPr>
          <w:pgSz w:w="11900" w:h="16838" w:orient="portrait"/>
          <w:cols w:equalWidth="0" w:num="1">
            <w:col w:w="11400"/>
          </w:cols>
          <w:pgMar w:left="240" w:top="459" w:right="259" w:bottom="1440" w:gutter="0" w:footer="0" w:header="0"/>
        </w:sectPr>
      </w:pPr>
    </w:p>
    <w:p>
      <w:pPr>
        <w:spacing w:after="0" w:line="17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 in millions)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Basis Point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7543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color w:val="auto"/>
        </w:rPr>
        <w:t>Up 150 basis points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Up 100 basis points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Up 50 basis points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Down 25 basis points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6"/>
              </w:rPr>
              <w:t>Interest Income</w:t>
            </w:r>
          </w:p>
        </w:tc>
        <w:tc>
          <w:tcPr>
            <w:tcW w:w="20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3"/>
              </w:rPr>
              <w:t>Interest Expense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Net Income</w:t>
            </w:r>
          </w:p>
        </w:tc>
      </w:tr>
      <w:tr>
        <w:trPr>
          <w:trHeight w:val="201"/>
        </w:trPr>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8.4</w:t>
            </w:r>
          </w:p>
        </w:tc>
        <w:tc>
          <w:tcPr>
            <w:tcW w:w="1040" w:type="dxa"/>
            <w:vAlign w:val="bottom"/>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w:t>
            </w:r>
          </w:p>
        </w:tc>
        <w:tc>
          <w:tcPr>
            <w:tcW w:w="104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w:t>
            </w: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1960" w:type="dxa"/>
            <w:vAlign w:val="bottom"/>
            <w:gridSpan w:val="2"/>
          </w:tcPr>
          <w:p>
            <w:pPr>
              <w:jc w:val="right"/>
              <w:ind w:right="980"/>
              <w:spacing w:after="0"/>
              <w:rPr>
                <w:sz w:val="20"/>
                <w:szCs w:val="20"/>
                <w:color w:val="auto"/>
              </w:rPr>
            </w:pPr>
            <w:r>
              <w:rPr>
                <w:rFonts w:ascii="Arial" w:cs="Arial" w:eastAsia="Arial" w:hAnsi="Arial"/>
                <w:sz w:val="18"/>
                <w:szCs w:val="18"/>
                <w:color w:val="auto"/>
              </w:rPr>
              <w:t>(0.1)</w:t>
            </w: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(0.5)</w:t>
            </w: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-555625</wp:posOffset>
            </wp:positionV>
            <wp:extent cx="608012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-272415</wp:posOffset>
            </wp:positionV>
            <wp:extent cx="608012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5060" w:space="720"/>
            <w:col w:w="5620"/>
          </w:cols>
          <w:pgMar w:left="240" w:top="459" w:right="259" w:bottom="1440" w:gutter="0" w:footer="0" w:header="0"/>
          <w:type w:val="continuous"/>
        </w:sectPr>
      </w:pPr>
    </w:p>
    <w:p>
      <w:pPr>
        <w:ind w:right="120" w:firstLine="456"/>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(excluding prepayment fees)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we take into account relevant factors in determining the fair value of our investments, including:</w:t>
      </w:r>
    </w:p>
    <w:p>
      <w:pPr>
        <w:spacing w:after="0" w:line="90"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we consider whether the pricing indicated by the external event corroborates our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2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conduct this valuation process on a quarterly basis.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connection with debt and equity securities that were valued at fair value in good faith by the Board, the Board has engaged independent third-party valuation firms to perform certain limited procedures that the Board identified and requested it to perform. Upon completion of these limited procedures, the third-party valuation firms determined that the fair value, as determined by the Board, of those investments subjected to their limited procedures was reasonable.</w:t>
      </w:r>
    </w:p>
    <w:p>
      <w:pPr>
        <w:spacing w:after="0" w:line="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We apply Financial Accounting Standards Board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See Note 5 to our audited consolidated annual financial statements and Note 4 to our unaudited consolidated interim financial statements included elsewhere in this prospectus for more information on the fair value of our investments.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on-going analyses of tax laws, regulations and interpretations thereof.</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and as of September 30, 2013. The report of our independent registered public accounting firm, KPMG LLP, on the senior securities table as of December 31, 2012 and 2011, is attached as an exhibit to the registration statement of which this prospectus is a part.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Exclusive of</w:t>
            </w: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Asset</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34"/>
        </w:trPr>
        <w:tc>
          <w:tcPr>
            <w:tcW w:w="44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87"/>
              </w:rPr>
              <w:t>Treasury</w:t>
            </w:r>
          </w:p>
        </w:tc>
        <w:tc>
          <w:tcPr>
            <w:tcW w:w="128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7"/>
              </w:rPr>
              <w:t>Coverage</w:t>
            </w:r>
          </w:p>
        </w:tc>
        <w:tc>
          <w:tcPr>
            <w:tcW w:w="138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1"/>
                <w:szCs w:val="11"/>
                <w:b w:val="1"/>
                <w:bCs w:val="1"/>
                <w:color w:val="auto"/>
              </w:rPr>
              <w:t>Securities</w:t>
            </w:r>
            <w:r>
              <w:rPr>
                <w:rFonts w:ascii="Arial" w:cs="Arial" w:eastAsia="Arial" w:hAnsi="Arial"/>
                <w:sz w:val="17"/>
                <w:szCs w:val="17"/>
                <w:b w:val="1"/>
                <w:bCs w:val="1"/>
                <w:color w:val="auto"/>
                <w:vertAlign w:val="superscript"/>
              </w:rPr>
              <w:t>(1)</w:t>
            </w: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Per</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76"/>
        </w:trPr>
        <w:tc>
          <w:tcPr>
            <w:tcW w:w="4420" w:type="dxa"/>
            <w:vAlign w:val="bottom"/>
          </w:tcPr>
          <w:p>
            <w:pPr>
              <w:spacing w:after="0"/>
              <w:rPr>
                <w:sz w:val="20"/>
                <w:szCs w:val="20"/>
                <w:color w:val="auto"/>
              </w:rPr>
            </w:pPr>
            <w:r>
              <w:rPr>
                <w:rFonts w:ascii="Arial" w:cs="Arial" w:eastAsia="Arial" w:hAnsi="Arial"/>
                <w:sz w:val="14"/>
                <w:szCs w:val="14"/>
                <w:b w:val="1"/>
                <w:bCs w:val="1"/>
                <w:color w:val="auto"/>
              </w:rPr>
              <w:t>Class and Year/Period</w:t>
            </w:r>
          </w:p>
        </w:tc>
        <w:tc>
          <w:tcPr>
            <w:tcW w:w="2140" w:type="dxa"/>
            <w:vAlign w:val="bottom"/>
          </w:tcPr>
          <w:p>
            <w:pPr>
              <w:spacing w:after="0"/>
              <w:rPr>
                <w:sz w:val="15"/>
                <w:szCs w:val="15"/>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12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6"/>
              </w:rPr>
              <w:t>Unit</w:t>
            </w:r>
            <w:r>
              <w:rPr>
                <w:rFonts w:ascii="Arial" w:cs="Arial" w:eastAsia="Arial" w:hAnsi="Arial"/>
                <w:sz w:val="20"/>
                <w:szCs w:val="20"/>
                <w:b w:val="1"/>
                <w:bCs w:val="1"/>
                <w:color w:val="auto"/>
                <w:w w:val="96"/>
                <w:vertAlign w:val="superscript"/>
              </w:rPr>
              <w:t>(2)</w:t>
            </w:r>
          </w:p>
        </w:tc>
        <w:tc>
          <w:tcPr>
            <w:tcW w:w="13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3"/>
              </w:rPr>
              <w:t>Per Unit</w:t>
            </w:r>
            <w:r>
              <w:rPr>
                <w:rFonts w:ascii="Arial" w:cs="Arial" w:eastAsia="Arial" w:hAnsi="Arial"/>
                <w:sz w:val="20"/>
                <w:szCs w:val="20"/>
                <w:b w:val="1"/>
                <w:bCs w:val="1"/>
                <w:color w:val="auto"/>
                <w:w w:val="93"/>
                <w:vertAlign w:val="superscript"/>
              </w:rPr>
              <w:t>(3)</w:t>
            </w:r>
          </w:p>
        </w:tc>
        <w:tc>
          <w:tcPr>
            <w:tcW w:w="720" w:type="dxa"/>
            <w:vAlign w:val="bottom"/>
            <w:gridSpan w:val="2"/>
          </w:tcPr>
          <w:p>
            <w:pPr>
              <w:jc w:val="right"/>
              <w:ind w:right="100"/>
              <w:spacing w:after="0" w:line="176" w:lineRule="exact"/>
              <w:rPr>
                <w:sz w:val="20"/>
                <w:szCs w:val="20"/>
                <w:color w:val="auto"/>
              </w:rPr>
            </w:pPr>
            <w:r>
              <w:rPr>
                <w:rFonts w:ascii="Arial" w:cs="Arial" w:eastAsia="Arial" w:hAnsi="Arial"/>
                <w:sz w:val="13"/>
                <w:szCs w:val="13"/>
                <w:b w:val="1"/>
                <w:bCs w:val="1"/>
                <w:color w:val="auto"/>
                <w:w w:val="90"/>
              </w:rPr>
              <w:t>Per Unit</w:t>
            </w:r>
            <w:r>
              <w:rPr>
                <w:rFonts w:ascii="Arial" w:cs="Arial" w:eastAsia="Arial" w:hAnsi="Arial"/>
                <w:sz w:val="20"/>
                <w:szCs w:val="20"/>
                <w:b w:val="1"/>
                <w:bCs w:val="1"/>
                <w:color w:val="auto"/>
                <w:w w:val="90"/>
                <w:vertAlign w:val="superscript"/>
              </w:rPr>
              <w:t>(4)</w:t>
            </w: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Revolving Credit Facilities</w:t>
            </w:r>
          </w:p>
        </w:tc>
        <w:tc>
          <w:tcPr>
            <w:tcW w:w="2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September 30, 2013 (unaudited)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338.3</w:t>
            </w:r>
          </w:p>
        </w:tc>
        <w:tc>
          <w:tcPr>
            <w:tcW w:w="680" w:type="dxa"/>
            <w:vAlign w:val="bottom"/>
          </w:tcPr>
          <w:p>
            <w:pPr>
              <w:spacing w:after="0"/>
              <w:rPr>
                <w:sz w:val="18"/>
                <w:szCs w:val="18"/>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$2,658.6</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8"/>
              </w:rPr>
              <w:t>$2,446.1</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December 31, 2011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155.0</w:t>
            </w:r>
          </w:p>
        </w:tc>
        <w:tc>
          <w:tcPr>
            <w:tcW w:w="680" w:type="dxa"/>
            <w:vAlign w:val="bottom"/>
          </w:tcPr>
          <w:p>
            <w:pPr>
              <w:spacing w:after="0"/>
              <w:rPr>
                <w:sz w:val="19"/>
                <w:szCs w:val="19"/>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$2,116.7</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$2.0 billion aggregate principal amount of investments and retained more than $1.3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12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administration fees.</w:t>
      </w:r>
    </w:p>
    <w:p>
      <w:pPr>
        <w:spacing w:after="0" w:line="8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IPO.</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September 30, 2013, our portfolio consisted of 90.4% first-lien debt, 9.4% second-lien debt and 0.2% equity securities. Approximately 98.5% of our investments based on fair value as of September 30, 2013 are floating rate in nature, which we believe helps act as a portfolio-wide hedge against inflation.</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September 30, 2013, our portfolio was invested across 15 different industries. The largest industries in our portfolio based on fair value as of September 30, 2013 were healthcare and pharmaceuticals, which represented 15.5% of our portfolio, and business services, which represented 14.2% of our portfolio. We expect that no single investment will represent more than 15% of our total investment portfolio, based on fair value. See “Portfolio Companies” for more information on our portfolio as of September 30, 2013.</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TSL—Our Investment Adviser” below. Pursuant to our certificate of incorporation, the Board consists of five members divided into three classes with staggered three-year terms. As a BDC, a majority of our Board consists of Independent Directors.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Currently, we employ a variety of credit facilities. We may, in the future, obtain other credit facilities. The use of borrowed funds or the proceeds of preferred stock offerings to make investments has its own specific set of benefits and risks, and all of the costs of borrowing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an “emerging growth company” under the JOBS Act and will be subject to reduced public company reporting requirements. Further, Section 107 of the JOBS Act also provides that an “emerging growth company” can take advantage of the extended transition period provided in Section 7(a)(2)(B) of the Securities Act and Section 13(a) of the Exchange Act for complying with new or revised accounting standards. In other words, an “emerging growth company” can delay the adoption of certain accounting standards until those standards would otherwise apply to private companies.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 We make our investments either directly or through our wholly owned subsidiaries.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certain registration requirements of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31, 2013, we reached a $1.5 billion cap on private offering commitments with our investors, which includes a $100 million capital commitment by the Adviser. We have drawn $517 million of these capital commitments as of September 30, 2013, which has been further augmented by reinvestments under our dividend reinvestment plan. Our existing investors’ obligations to purchase additional shares from the undrawn portion of their capital commitments will terminate upon the completion of this IPO.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32"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special situations and credit platform. TSSP had over $6 billion of assets under management as of September 30, 2013. TSSP has extensive experience with highly complex, global public and private investments executed through primary originations, secondary market purchases and restructurings, and has a team of 81 investment and operating professionals. Eighteen of these personnel are dedicated to our business, including 14 investment professionals. The TSSP members of the Investment Review Committee are Joshua Easterly, Michael Fishman, Alan Waxman and David Stiepleman.</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TPG is a leading global private investment firm founded in 1992 with over $55 billion of assets under management as of September 30, 2013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September 30, 2013, our Adviser owned 6.4% of our common stock and had committed $100 million in equity capital under a subscription agreement like those entered into with our existing investors. See “Management,” “Related-Party Transactions and Certain Relationships” and “Control Persons and Principal Stockholders.”</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 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 On November 5, 2013, our Board renewed the Investment Advisory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Limited availability of capital for middle-market companies</w:t>
      </w:r>
      <w:r>
        <w:rPr>
          <w:rFonts w:ascii="Arial" w:cs="Arial" w:eastAsia="Arial" w:hAnsi="Arial"/>
          <w:sz w:val="16"/>
          <w:szCs w:val="16"/>
          <w:color w:val="auto"/>
        </w:rPr>
        <w:t>. We believe that certain structural changes in the market have reduced the amount of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Strong demand for debt capital</w:t>
      </w:r>
      <w:r>
        <w:rPr>
          <w:rFonts w:ascii="Arial" w:cs="Arial" w:eastAsia="Arial" w:hAnsi="Arial"/>
          <w:sz w:val="16"/>
          <w:szCs w:val="16"/>
          <w:color w:val="auto"/>
        </w:rPr>
        <w:t>. We believe middle-market companies will continue to require access to debt capital to refinance existing debt,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finance acquisitions. In addition, we believe the large amount of uninvested capital held by funds of private equity firms, estimated by Preqin Ltd., an alternative assets industry data and research company, at $389 billion as of October 2013, will continue to drive deal activity. We expect that private equity firms will continue to pursue acquisitions and to seek to leverage their equity investments with secured loans provided by companies such as ours.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 offer</w:t>
      </w:r>
      <w:r>
        <w:rPr>
          <w:rFonts w:ascii="Arial" w:cs="Arial" w:eastAsia="Arial" w:hAnsi="Arial"/>
          <w:sz w:val="16"/>
          <w:szCs w:val="16"/>
          <w:i w:val="1"/>
          <w:iCs w:val="1"/>
          <w:color w:val="auto"/>
        </w:rPr>
        <w:t xml:space="preserve"> </w:t>
      </w:r>
      <w:r>
        <w:rPr>
          <w:rFonts w:ascii="Arial" w:cs="Arial" w:eastAsia="Arial" w:hAnsi="Arial"/>
          <w:sz w:val="16"/>
          <w:szCs w:val="16"/>
          <w:color w:val="auto"/>
        </w:rPr>
        <w:t>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Illustrative of the market opportunity for BDCs, the table below demonstrates the decline in U.S. Federal Deposit Insurance Corporation, or FDIC, insured commercial banks and the drop in bank participation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114935</wp:posOffset>
            </wp:positionV>
            <wp:extent cx="2958465" cy="21355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5846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Leading platform and access to proprietary deal flow</w:t>
      </w:r>
      <w:r>
        <w:rPr>
          <w:rFonts w:ascii="Arial" w:cs="Arial" w:eastAsia="Arial" w:hAnsi="Arial"/>
          <w:sz w:val="16"/>
          <w:szCs w:val="16"/>
          <w:color w:val="auto"/>
        </w:rPr>
        <w:t>. The substantial majority of our investments are not intermediated and are originated without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of investment banks or other traditional Wall Street sources. Our Adviser has a dedicated team of 14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a collective 140 years of experience as commercial dealmakers and executing direct calling campaigns on companies based on the Adviser’s sector and macroeconomic views.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43"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26" w:lineRule="exact"/>
        <w:rPr>
          <w:sz w:val="20"/>
          <w:szCs w:val="20"/>
          <w:color w:val="auto"/>
        </w:rPr>
      </w:pPr>
    </w:p>
    <w:p>
      <w:pPr>
        <w:ind w:left="900" w:right="58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 tight</w:t>
      </w:r>
      <w:r>
        <w:rPr>
          <w:rFonts w:ascii="Arial" w:cs="Arial" w:eastAsia="Arial" w:hAnsi="Arial"/>
          <w:sz w:val="18"/>
          <w:szCs w:val="18"/>
          <w:i w:val="1"/>
          <w:iCs w:val="1"/>
          <w:color w:val="auto"/>
        </w:rPr>
        <w:t xml:space="preserve"> </w:t>
      </w:r>
      <w:r>
        <w:rPr>
          <w:rFonts w:ascii="Arial" w:cs="Arial" w:eastAsia="Arial" w:hAnsi="Arial"/>
          <w:sz w:val="18"/>
          <w:szCs w:val="18"/>
          <w:color w:val="auto"/>
        </w:rPr>
        <w:t>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1"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480" w:right="120" w:hanging="446"/>
        <w:spacing w:after="0" w:line="258" w:lineRule="auto"/>
        <w:tabs>
          <w:tab w:leader="none" w:pos="1480" w:val="left"/>
        </w:tabs>
        <w:numPr>
          <w:ilvl w:val="1"/>
          <w:numId w:val="58"/>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Business and sector selection. </w:t>
      </w:r>
      <w:r>
        <w:rPr>
          <w:rFonts w:ascii="Arial" w:cs="Arial" w:eastAsia="Arial" w:hAnsi="Arial"/>
          <w:sz w:val="17"/>
          <w:szCs w:val="17"/>
          <w:color w:val="auto"/>
        </w:rPr>
        <w:t>We focus on companies with enterprise value between $50 million and $1 billion. When reviewing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61" w:lineRule="exact"/>
        <w:rPr>
          <w:rFonts w:ascii="Arial" w:cs="Arial" w:eastAsia="Arial" w:hAnsi="Arial"/>
          <w:sz w:val="21"/>
          <w:szCs w:val="21"/>
          <w:color w:val="auto"/>
          <w:vertAlign w:val="superscript"/>
        </w:rPr>
      </w:pPr>
    </w:p>
    <w:p>
      <w:pPr>
        <w:ind w:left="1480" w:right="180" w:hanging="446"/>
        <w:spacing w:after="0" w:line="277" w:lineRule="auto"/>
        <w:tabs>
          <w:tab w:leader="none" w:pos="1480" w:val="left"/>
        </w:tabs>
        <w:numPr>
          <w:ilvl w:val="1"/>
          <w:numId w:val="58"/>
        </w:numPr>
        <w:rPr>
          <w:rFonts w:ascii="Arial" w:cs="Arial" w:eastAsia="Arial" w:hAnsi="Arial"/>
          <w:sz w:val="20"/>
          <w:szCs w:val="20"/>
          <w:color w:val="auto"/>
          <w:vertAlign w:val="superscript"/>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We carefully diligence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ectPr>
          <w:pgSz w:w="11900" w:h="16838" w:orient="portrait"/>
          <w:cols w:equalWidth="0" w:num="1">
            <w:col w:w="11400"/>
          </w:cols>
          <w:pgMar w:left="240" w:top="459" w:right="259" w:bottom="1440" w:gutter="0" w:footer="0" w:header="0"/>
        </w:sectPr>
      </w:pPr>
    </w:p>
    <w:p>
      <w:pPr>
        <w:spacing w:after="0" w:line="26"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59" w:lineRule="exact"/>
        <w:rPr>
          <w:sz w:val="20"/>
          <w:szCs w:val="20"/>
          <w:color w:val="auto"/>
        </w:rPr>
      </w:pPr>
    </w:p>
    <w:p>
      <w:pPr>
        <w:sectPr>
          <w:pgSz w:w="11900" w:h="16838" w:orient="portrait"/>
          <w:cols w:equalWidth="0" w:num="2">
            <w:col w:w="1080" w:space="400"/>
            <w:col w:w="9920"/>
          </w:cols>
          <w:pgMar w:left="240" w:top="459" w:right="259" w:bottom="1440" w:gutter="0" w:footer="0" w:header="0"/>
          <w:type w:val="continuous"/>
        </w:sectPr>
      </w:pPr>
    </w:p>
    <w:p>
      <w:pPr>
        <w:ind w:left="900" w:right="12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 proactively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the more than 2,400 investment opportunities our Investment Team reviewed from our inception through December 6,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more than $1.3 billion. As of September 30, 2013, we had a portfolio of investments in 25 portfolio companies totaling $889.3 million that we believe exhibits strong credit quality and broad industry composition. As of September 30, 2013, approximately 98.5% of the fair value of our portfolio was invested in secured loans with floating rates of interest, and 90.4% of the fair value of our portfolio was invested in first-lien loans. We believe this portfolio will allow us to generate meaningful investment income, and consequently dividend income, for our stockholders.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seven managing directors of TSSP on the Adviser’s team have deep experience identifying and executing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professionals is based on our returns, as opposed to transaction volume, which we believe fosters a focus on credit quality when originating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90"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substantial majority of our deals are informed by our current sector views and are sourced directly by our Adviser through our network contacts. We also identify opportunities through our relationships with TSSP and TPG.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62"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Adviser has a number of methods of evaluating and monitoring the performance and fair value of our investments, which may include the following:</w:t>
      </w:r>
    </w:p>
    <w:p>
      <w:pPr>
        <w:spacing w:after="0" w:line="113"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7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It is based on the following categories:</w:t>
      </w:r>
    </w:p>
    <w:p>
      <w:pPr>
        <w:spacing w:after="0" w:line="59" w:lineRule="exact"/>
        <w:rPr>
          <w:sz w:val="20"/>
          <w:szCs w:val="20"/>
          <w:color w:val="auto"/>
        </w:rPr>
      </w:pPr>
    </w:p>
    <w:p>
      <w:pPr>
        <w:ind w:left="900" w:right="20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distribution of our investments on the 1 to 5 investment performance rating scale at fair value as of September 30, 2013:</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Investment</w:t>
            </w:r>
          </w:p>
        </w:tc>
        <w:tc>
          <w:tcPr>
            <w:tcW w:w="248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Investments at</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Fair Value</w:t>
            </w:r>
          </w:p>
        </w:tc>
        <w:tc>
          <w:tcPr>
            <w:tcW w:w="10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Rating</w:t>
            </w: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 in millions)</w:t>
            </w:r>
          </w:p>
        </w:tc>
        <w:tc>
          <w:tcPr>
            <w:tcW w:w="2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jc w:val="center"/>
              <w:ind w:left="1412"/>
              <w:spacing w:after="0"/>
              <w:rPr>
                <w:sz w:val="20"/>
                <w:szCs w:val="20"/>
                <w:color w:val="auto"/>
              </w:rPr>
            </w:pPr>
            <w:r>
              <w:rPr>
                <w:rFonts w:ascii="Arial" w:cs="Arial" w:eastAsia="Arial" w:hAnsi="Arial"/>
                <w:sz w:val="18"/>
                <w:szCs w:val="18"/>
                <w:color w:val="auto"/>
                <w:w w:val="99"/>
              </w:rPr>
              <w:t>1</w:t>
            </w:r>
          </w:p>
        </w:tc>
        <w:tc>
          <w:tcPr>
            <w:tcW w:w="250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gridSpan w:val="2"/>
            <w:vMerge w:val="continue"/>
            <w:shd w:val="clear" w:color="auto" w:fill="CCEEFF"/>
          </w:tcPr>
          <w:p>
            <w:pPr>
              <w:spacing w:after="0"/>
              <w:rPr>
                <w:sz w:val="17"/>
                <w:szCs w:val="17"/>
                <w:color w:val="auto"/>
              </w:rPr>
            </w:pPr>
          </w:p>
        </w:tc>
        <w:tc>
          <w:tcPr>
            <w:tcW w:w="25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736.6</w:t>
            </w:r>
          </w:p>
        </w:tc>
        <w:tc>
          <w:tcPr>
            <w:tcW w:w="108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280" w:type="dxa"/>
            <w:vAlign w:val="bottom"/>
            <w:gridSpan w:val="2"/>
          </w:tcPr>
          <w:p>
            <w:pPr>
              <w:jc w:val="center"/>
              <w:ind w:left="1412"/>
              <w:spacing w:after="0"/>
              <w:rPr>
                <w:sz w:val="20"/>
                <w:szCs w:val="20"/>
                <w:color w:val="auto"/>
              </w:rPr>
            </w:pPr>
            <w:r>
              <w:rPr>
                <w:rFonts w:ascii="Arial" w:cs="Arial" w:eastAsia="Arial" w:hAnsi="Arial"/>
                <w:sz w:val="18"/>
                <w:szCs w:val="18"/>
                <w:color w:val="auto"/>
                <w:w w:val="99"/>
              </w:rPr>
              <w:t>2</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75.2</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jc w:val="center"/>
              <w:ind w:left="1412"/>
              <w:spacing w:after="0"/>
              <w:rPr>
                <w:sz w:val="20"/>
                <w:szCs w:val="20"/>
                <w:color w:val="auto"/>
              </w:rPr>
            </w:pPr>
            <w:r>
              <w:rPr>
                <w:rFonts w:ascii="Arial" w:cs="Arial" w:eastAsia="Arial" w:hAnsi="Arial"/>
                <w:sz w:val="18"/>
                <w:szCs w:val="18"/>
                <w:color w:val="auto"/>
                <w:w w:val="99"/>
              </w:rPr>
              <w:t>3</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280" w:type="dxa"/>
            <w:vAlign w:val="bottom"/>
            <w:gridSpan w:val="2"/>
          </w:tcPr>
          <w:p>
            <w:pPr>
              <w:jc w:val="center"/>
              <w:ind w:left="1412"/>
              <w:spacing w:after="0"/>
              <w:rPr>
                <w:sz w:val="20"/>
                <w:szCs w:val="20"/>
                <w:color w:val="auto"/>
              </w:rPr>
            </w:pPr>
            <w:r>
              <w:rPr>
                <w:rFonts w:ascii="Arial" w:cs="Arial" w:eastAsia="Arial" w:hAnsi="Arial"/>
                <w:sz w:val="18"/>
                <w:szCs w:val="18"/>
                <w:color w:val="auto"/>
                <w:w w:val="99"/>
              </w:rPr>
              <w:t>4</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jc w:val="center"/>
              <w:ind w:left="1412"/>
              <w:spacing w:after="0"/>
              <w:rPr>
                <w:sz w:val="20"/>
                <w:szCs w:val="20"/>
                <w:color w:val="auto"/>
              </w:rPr>
            </w:pPr>
            <w:r>
              <w:rPr>
                <w:rFonts w:ascii="Arial" w:cs="Arial" w:eastAsia="Arial" w:hAnsi="Arial"/>
                <w:sz w:val="18"/>
                <w:szCs w:val="18"/>
                <w:color w:val="auto"/>
                <w:w w:val="99"/>
              </w:rPr>
              <w:t>5</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889.3</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Committee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 capabilities and support personnel of TPG. Some of the officers and employees of the Adviser, including some of its senior officers, are also employees of TPG. See “Management” and “Related-Party Transactions and Certain Relationships.”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loans and investments in corporate bonds and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for the portfolio company to achieve its business plan. We invest in the following types of debt:</w:t>
      </w:r>
    </w:p>
    <w:p>
      <w:pPr>
        <w:spacing w:after="0" w:line="53" w:lineRule="exact"/>
        <w:rPr>
          <w:sz w:val="20"/>
          <w:szCs w:val="20"/>
          <w:color w:val="auto"/>
        </w:rPr>
      </w:pPr>
    </w:p>
    <w:p>
      <w:pPr>
        <w:ind w:left="900" w:right="100" w:hanging="325"/>
        <w:spacing w:after="0" w:line="25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55" w:lineRule="exact"/>
        <w:rPr>
          <w:rFonts w:ascii="Arial" w:cs="Arial" w:eastAsia="Arial" w:hAnsi="Arial"/>
          <w:sz w:val="18"/>
          <w:szCs w:val="18"/>
          <w:color w:val="auto"/>
        </w:rPr>
      </w:pPr>
    </w:p>
    <w:p>
      <w:pPr>
        <w:ind w:left="1480" w:right="240" w:hanging="446"/>
        <w:spacing w:after="0" w:line="275"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subject to the first-priority security interest.</w:t>
      </w:r>
    </w:p>
    <w:p>
      <w:pPr>
        <w:spacing w:after="0" w:line="38" w:lineRule="exact"/>
        <w:rPr>
          <w:rFonts w:ascii="Arial" w:cs="Arial" w:eastAsia="Arial" w:hAnsi="Arial"/>
          <w:sz w:val="18"/>
          <w:szCs w:val="18"/>
          <w:color w:val="auto"/>
        </w:rPr>
      </w:pPr>
    </w:p>
    <w:p>
      <w:pPr>
        <w:ind w:left="1480" w:hanging="446"/>
        <w:spacing w:after="0" w:line="293"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“Last out” first-lien loans. </w:t>
      </w:r>
      <w:r>
        <w:rPr>
          <w:rFonts w:ascii="Arial" w:cs="Arial" w:eastAsia="Arial" w:hAnsi="Arial"/>
          <w:sz w:val="16"/>
          <w:szCs w:val="16"/>
          <w:color w:val="auto"/>
        </w:rPr>
        <w:t>“Last out” first-lien loans have a secondary priority behind super-senior “first out” first-lien loans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40"/>
          </w:cols>
          <w:pgMar w:left="240" w:top="459" w:right="3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480" w:right="460"/>
        <w:spacing w:after="0" w:line="259" w:lineRule="auto"/>
        <w:rPr>
          <w:sz w:val="20"/>
          <w:szCs w:val="20"/>
          <w:color w:val="auto"/>
        </w:rPr>
      </w:pPr>
      <w:r>
        <w:rPr>
          <w:rFonts w:ascii="Arial" w:cs="Arial" w:eastAsia="Arial" w:hAnsi="Arial"/>
          <w:sz w:val="18"/>
          <w:szCs w:val="18"/>
          <w:color w:val="auto"/>
        </w:rPr>
        <w:t>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53" w:lineRule="exact"/>
        <w:rPr>
          <w:sz w:val="20"/>
          <w:szCs w:val="20"/>
          <w:color w:val="auto"/>
        </w:rPr>
      </w:pPr>
    </w:p>
    <w:p>
      <w:pPr>
        <w:ind w:left="1480" w:right="100" w:hanging="446"/>
        <w:spacing w:after="0" w:line="310" w:lineRule="auto"/>
        <w:tabs>
          <w:tab w:leader="none" w:pos="1480" w:val="left"/>
        </w:tabs>
        <w:numPr>
          <w:ilvl w:val="1"/>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“Unitranche” loans. </w:t>
      </w:r>
      <w:r>
        <w:rPr>
          <w:rFonts w:ascii="Arial" w:cs="Arial" w:eastAsia="Arial" w:hAnsi="Arial"/>
          <w:sz w:val="16"/>
          <w:szCs w:val="16"/>
          <w:color w:val="auto"/>
        </w:rPr>
        <w:t>Unitranche loans combine features of first-lien, second-lien and mezzanine debt, generally in a first-lien position. In</w:t>
      </w:r>
      <w:r>
        <w:rPr>
          <w:rFonts w:ascii="Arial" w:cs="Arial" w:eastAsia="Arial" w:hAnsi="Arial"/>
          <w:sz w:val="16"/>
          <w:szCs w:val="16"/>
          <w:b w:val="1"/>
          <w:b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16"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57" w:lineRule="exact"/>
        <w:rPr>
          <w:rFonts w:ascii="Arial" w:cs="Arial" w:eastAsia="Arial" w:hAnsi="Arial"/>
          <w:sz w:val="18"/>
          <w:szCs w:val="18"/>
          <w:color w:val="auto"/>
        </w:rPr>
      </w:pPr>
    </w:p>
    <w:p>
      <w:pPr>
        <w:ind w:left="900" w:right="40" w:hanging="325"/>
        <w:spacing w:after="0" w:line="293"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“Mezzanine” debt. </w:t>
      </w:r>
      <w:r>
        <w:rPr>
          <w:rFonts w:ascii="Arial" w:cs="Arial" w:eastAsia="Arial" w:hAnsi="Arial"/>
          <w:sz w:val="16"/>
          <w:szCs w:val="16"/>
          <w:color w:val="auto"/>
        </w:rPr>
        <w:t>Structurally, mezzanine debt usually ranks subordinate in priority of payment to first-lien and second-lien debt, is often</w:t>
      </w:r>
      <w:r>
        <w:rPr>
          <w:rFonts w:ascii="Arial" w:cs="Arial" w:eastAsia="Arial" w:hAnsi="Arial"/>
          <w:sz w:val="16"/>
          <w:szCs w:val="16"/>
          <w:b w:val="1"/>
          <w:bCs w:val="1"/>
          <w:color w:val="auto"/>
        </w:rPr>
        <w:t xml:space="preserve"> </w:t>
      </w:r>
      <w:r>
        <w:rPr>
          <w:rFonts w:ascii="Arial" w:cs="Arial" w:eastAsia="Arial" w:hAnsi="Arial"/>
          <w:sz w:val="16"/>
          <w:szCs w:val="16"/>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1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1" w:lineRule="exact"/>
        <w:rPr>
          <w:sz w:val="20"/>
          <w:szCs w:val="20"/>
          <w:color w:val="auto"/>
        </w:rPr>
      </w:pPr>
    </w:p>
    <w:p>
      <w:pPr>
        <w:ind w:left="440" w:hanging="324"/>
        <w:spacing w:after="0"/>
        <w:tabs>
          <w:tab w:leader="none" w:pos="4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 and</w:t>
      </w:r>
    </w:p>
    <w:p>
      <w:pPr>
        <w:spacing w:after="0" w:line="113" w:lineRule="exact"/>
        <w:rPr>
          <w:rFonts w:ascii="Arial" w:cs="Arial" w:eastAsia="Arial" w:hAnsi="Arial"/>
          <w:sz w:val="16"/>
          <w:szCs w:val="16"/>
          <w:color w:val="auto"/>
        </w:rPr>
      </w:pPr>
    </w:p>
    <w:p>
      <w:pPr>
        <w:ind w:left="440" w:right="100" w:hanging="324"/>
        <w:spacing w:after="0" w:line="256"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that allows us to achieve our target returns while maintaining our targeted amount of credit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2013 and December 31, 2012, we had made aggregate funded investments with an aggregate fair value of $889.3 million and $653.9 million, respectively, in 25 and 21 portfolio companies, respectively. See “Portfolio Companies” for more information on these investments, including a list of companies and type and amount of investments.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September 30, 2013 and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September 30, 2013</w:t>
            </w:r>
          </w:p>
        </w:tc>
        <w:tc>
          <w:tcPr>
            <w:tcW w:w="580" w:type="dxa"/>
            <w:vAlign w:val="bottom"/>
          </w:tcPr>
          <w:p>
            <w:pPr>
              <w:spacing w:after="0"/>
              <w:rPr>
                <w:sz w:val="14"/>
                <w:szCs w:val="14"/>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 2012</w:t>
            </w:r>
          </w:p>
        </w:tc>
      </w:tr>
      <w:tr>
        <w:trPr>
          <w:trHeight w:val="115"/>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500" w:type="dxa"/>
            <w:vAlign w:val="bottom"/>
            <w:tcBorders>
              <w:top w:val="single" w:sz="8" w:color="auto"/>
            </w:tcBorders>
          </w:tcPr>
          <w:p>
            <w:pPr>
              <w:jc w:val="right"/>
              <w:ind w:right="43"/>
              <w:spacing w:after="0" w:line="115" w:lineRule="exact"/>
              <w:rPr>
                <w:sz w:val="20"/>
                <w:szCs w:val="20"/>
                <w:color w:val="auto"/>
              </w:rPr>
            </w:pPr>
            <w:r>
              <w:rPr>
                <w:rFonts w:ascii="Arial" w:cs="Arial" w:eastAsia="Arial" w:hAnsi="Arial"/>
                <w:sz w:val="12"/>
                <w:szCs w:val="12"/>
                <w:b w:val="1"/>
                <w:bCs w:val="1"/>
                <w:color w:val="auto"/>
              </w:rPr>
              <w:t>Fair</w:t>
            </w:r>
          </w:p>
        </w:tc>
        <w:tc>
          <w:tcPr>
            <w:tcW w:w="5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580" w:type="dxa"/>
            <w:vAlign w:val="bottom"/>
          </w:tcPr>
          <w:p>
            <w:pPr>
              <w:spacing w:after="0"/>
              <w:rPr>
                <w:sz w:val="10"/>
                <w:szCs w:val="10"/>
                <w:color w:val="auto"/>
              </w:rPr>
            </w:pPr>
          </w:p>
        </w:tc>
        <w:tc>
          <w:tcPr>
            <w:tcW w:w="500" w:type="dxa"/>
            <w:vAlign w:val="bottom"/>
            <w:tcBorders>
              <w:top w:val="single" w:sz="8" w:color="auto"/>
            </w:tcBorders>
          </w:tcPr>
          <w:p>
            <w:pPr>
              <w:jc w:val="right"/>
              <w:ind w:right="43"/>
              <w:spacing w:after="0" w:line="115" w:lineRule="exact"/>
              <w:rPr>
                <w:sz w:val="20"/>
                <w:szCs w:val="20"/>
                <w:color w:val="auto"/>
              </w:rPr>
            </w:pPr>
            <w:r>
              <w:rPr>
                <w:rFonts w:ascii="Arial" w:cs="Arial" w:eastAsia="Arial" w:hAnsi="Arial"/>
                <w:sz w:val="12"/>
                <w:szCs w:val="12"/>
                <w:b w:val="1"/>
                <w:bCs w:val="1"/>
                <w:color w:val="auto"/>
              </w:rPr>
              <w:t>Fair</w:t>
            </w:r>
          </w:p>
        </w:tc>
        <w:tc>
          <w:tcPr>
            <w:tcW w:w="5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100" w:type="dxa"/>
            <w:vAlign w:val="bottom"/>
          </w:tcPr>
          <w:p>
            <w:pPr>
              <w:spacing w:after="0"/>
              <w:rPr>
                <w:sz w:val="10"/>
                <w:szCs w:val="10"/>
                <w:color w:val="auto"/>
              </w:rPr>
            </w:pPr>
          </w:p>
        </w:tc>
      </w:tr>
      <w:tr>
        <w:trPr>
          <w:trHeight w:val="176"/>
        </w:trPr>
        <w:tc>
          <w:tcPr>
            <w:tcW w:w="4340" w:type="dxa"/>
            <w:vAlign w:val="bottom"/>
            <w:gridSpan w:val="3"/>
          </w:tcPr>
          <w:p>
            <w:pPr>
              <w:ind w:left="460"/>
              <w:spacing w:after="0"/>
              <w:rPr>
                <w:sz w:val="20"/>
                <w:szCs w:val="20"/>
                <w:color w:val="auto"/>
              </w:rPr>
            </w:pPr>
            <w:r>
              <w:rPr>
                <w:rFonts w:ascii="Arial" w:cs="Arial" w:eastAsia="Arial" w:hAnsi="Arial"/>
                <w:sz w:val="14"/>
                <w:szCs w:val="14"/>
                <w:b w:val="1"/>
                <w:bCs w:val="1"/>
                <w:color w:val="auto"/>
              </w:rPr>
              <w:t>($ amounts in millions)</w:t>
            </w:r>
          </w:p>
        </w:tc>
        <w:tc>
          <w:tcPr>
            <w:tcW w:w="254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6"/>
              <w:spacing w:after="0" w:line="176" w:lineRule="exact"/>
              <w:rPr>
                <w:sz w:val="20"/>
                <w:szCs w:val="20"/>
                <w:color w:val="auto"/>
              </w:rPr>
            </w:pPr>
            <w:r>
              <w:rPr>
                <w:rFonts w:ascii="Arial" w:cs="Arial" w:eastAsia="Arial" w:hAnsi="Arial"/>
                <w:sz w:val="13"/>
                <w:szCs w:val="13"/>
                <w:b w:val="1"/>
                <w:bCs w:val="1"/>
                <w:color w:val="auto"/>
                <w:w w:val="88"/>
              </w:rPr>
              <w:t>Cost</w:t>
            </w:r>
            <w:r>
              <w:rPr>
                <w:rFonts w:ascii="Arial" w:cs="Arial" w:eastAsia="Arial" w:hAnsi="Arial"/>
                <w:sz w:val="20"/>
                <w:szCs w:val="20"/>
                <w:b w:val="1"/>
                <w:bCs w:val="1"/>
                <w:color w:val="auto"/>
                <w:w w:val="88"/>
                <w:vertAlign w:val="superscript"/>
              </w:rPr>
              <w:t>(1)</w:t>
            </w:r>
          </w:p>
        </w:tc>
        <w:tc>
          <w:tcPr>
            <w:tcW w:w="58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rPr>
              <w:t>Cost</w:t>
            </w:r>
            <w:r>
              <w:rPr>
                <w:rFonts w:ascii="Arial" w:cs="Arial" w:eastAsia="Arial" w:hAnsi="Arial"/>
                <w:sz w:val="20"/>
                <w:szCs w:val="20"/>
                <w:b w:val="1"/>
                <w:bCs w:val="1"/>
                <w:color w:val="auto"/>
                <w:vertAlign w:val="superscript"/>
              </w:rPr>
              <w:t>(1)</w:t>
            </w:r>
          </w:p>
        </w:tc>
      </w:tr>
      <w:tr>
        <w:trPr>
          <w:trHeight w:val="210"/>
        </w:trPr>
        <w:tc>
          <w:tcPr>
            <w:tcW w:w="460" w:type="dxa"/>
            <w:vAlign w:val="bottom"/>
          </w:tcPr>
          <w:p>
            <w:pPr>
              <w:spacing w:after="0"/>
              <w:rPr>
                <w:sz w:val="18"/>
                <w:szCs w:val="18"/>
                <w:color w:val="auto"/>
              </w:rPr>
            </w:pPr>
          </w:p>
        </w:tc>
        <w:tc>
          <w:tcPr>
            <w:tcW w:w="3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w:t>
            </w:r>
          </w:p>
        </w:tc>
        <w:tc>
          <w:tcPr>
            <w:tcW w:w="2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$803.9</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$582.3</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Second-lien</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5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September 30, 2013 and December 31, 2012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16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376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36"/>
              <w:spacing w:after="0" w:line="176" w:lineRule="exact"/>
              <w:rPr>
                <w:sz w:val="20"/>
                <w:szCs w:val="20"/>
                <w:color w:val="auto"/>
              </w:rPr>
            </w:pPr>
            <w:r>
              <w:rPr>
                <w:rFonts w:ascii="Arial" w:cs="Arial" w:eastAsia="Arial" w:hAnsi="Arial"/>
                <w:sz w:val="13"/>
                <w:szCs w:val="13"/>
                <w:b w:val="1"/>
                <w:bCs w:val="1"/>
                <w:color w:val="auto"/>
              </w:rPr>
              <w:t>2013</w:t>
            </w:r>
            <w:r>
              <w:rPr>
                <w:rFonts w:ascii="Arial" w:cs="Arial" w:eastAsia="Arial" w:hAnsi="Arial"/>
                <w:sz w:val="20"/>
                <w:szCs w:val="20"/>
                <w:b w:val="1"/>
                <w:bCs w:val="1"/>
                <w:color w:val="auto"/>
                <w:vertAlign w:val="superscript"/>
              </w:rPr>
              <w:t>(1)</w:t>
            </w:r>
          </w:p>
        </w:tc>
        <w:tc>
          <w:tcPr>
            <w:tcW w:w="8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36"/>
              <w:spacing w:after="0" w:line="176" w:lineRule="exact"/>
              <w:rPr>
                <w:sz w:val="20"/>
                <w:szCs w:val="20"/>
                <w:color w:val="auto"/>
              </w:rPr>
            </w:pPr>
            <w:r>
              <w:rPr>
                <w:rFonts w:ascii="Arial" w:cs="Arial" w:eastAsia="Arial" w:hAnsi="Arial"/>
                <w:sz w:val="13"/>
                <w:szCs w:val="13"/>
                <w:b w:val="1"/>
                <w:bCs w:val="1"/>
                <w:color w:val="auto"/>
              </w:rPr>
              <w:t>2012</w:t>
            </w:r>
            <w:r>
              <w:rPr>
                <w:rFonts w:ascii="Arial" w:cs="Arial" w:eastAsia="Arial" w:hAnsi="Arial"/>
                <w:sz w:val="20"/>
                <w:szCs w:val="20"/>
                <w:b w:val="1"/>
                <w:bCs w:val="1"/>
                <w:color w:val="auto"/>
                <w:vertAlign w:val="superscript"/>
              </w:rPr>
              <w:t>(1)</w:t>
            </w:r>
          </w:p>
        </w:tc>
        <w:tc>
          <w:tcPr>
            <w:tcW w:w="200" w:type="dxa"/>
            <w:vAlign w:val="bottom"/>
            <w:tcBorders>
              <w:bottom w:val="single" w:sz="8" w:color="CCEEFF"/>
            </w:tcBorders>
          </w:tcPr>
          <w:p>
            <w:pPr>
              <w:spacing w:after="0"/>
              <w:rPr>
                <w:sz w:val="15"/>
                <w:szCs w:val="15"/>
                <w:color w:val="auto"/>
              </w:rPr>
            </w:pPr>
          </w:p>
        </w:tc>
      </w:tr>
      <w:tr>
        <w:trPr>
          <w:trHeight w:val="210"/>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Aerospace and defense</w:t>
            </w:r>
          </w:p>
        </w:tc>
        <w:tc>
          <w:tcPr>
            <w:tcW w:w="1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6.1%</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Automotive</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6.9%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5.1%</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14.2%</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5.9%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5.3%</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15.5%</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8.0%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4.0%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Office products</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2.3%</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4.6%</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Transportation</w:t>
            </w:r>
          </w:p>
        </w:tc>
        <w:tc>
          <w:tcPr>
            <w:tcW w:w="1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7"/>
        </w:trPr>
        <w:tc>
          <w:tcPr>
            <w:tcW w:w="3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100.0%</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50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products or services (such as software) directed to those end-markets.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80"/>
          </w:cols>
          <w:pgMar w:left="240" w:top="459" w:right="3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September 30, 2013 and December 31,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7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 2013</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Midwest</w:t>
            </w:r>
          </w:p>
        </w:tc>
        <w:tc>
          <w:tcPr>
            <w:tcW w:w="3700" w:type="dxa"/>
            <w:vAlign w:val="bottom"/>
            <w:gridSpan w:val="3"/>
          </w:tcPr>
          <w:p>
            <w:pPr>
              <w:jc w:val="right"/>
              <w:ind w:right="620"/>
              <w:spacing w:after="0"/>
              <w:rPr>
                <w:sz w:val="20"/>
                <w:szCs w:val="20"/>
                <w:color w:val="auto"/>
              </w:rPr>
            </w:pPr>
            <w:r>
              <w:rPr>
                <w:rFonts w:ascii="Arial" w:cs="Arial" w:eastAsia="Arial" w:hAnsi="Arial"/>
                <w:sz w:val="18"/>
                <w:szCs w:val="18"/>
                <w:color w:val="auto"/>
              </w:rPr>
              <w:t>16.5%</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South</w:t>
            </w:r>
          </w:p>
        </w:tc>
        <w:tc>
          <w:tcPr>
            <w:tcW w:w="3700" w:type="dxa"/>
            <w:vAlign w:val="bottom"/>
            <w:gridSpan w:val="3"/>
          </w:tcPr>
          <w:p>
            <w:pPr>
              <w:jc w:val="right"/>
              <w:ind w:right="620"/>
              <w:spacing w:after="0"/>
              <w:rPr>
                <w:sz w:val="20"/>
                <w:szCs w:val="20"/>
                <w:color w:val="auto"/>
              </w:rPr>
            </w:pPr>
            <w:r>
              <w:rPr>
                <w:rFonts w:ascii="Arial" w:cs="Arial" w:eastAsia="Arial" w:hAnsi="Arial"/>
                <w:sz w:val="18"/>
                <w:szCs w:val="18"/>
                <w:color w:val="auto"/>
              </w:rPr>
              <w:t>25.4%</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32.8%</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Europe</w:t>
            </w:r>
          </w:p>
        </w:tc>
        <w:tc>
          <w:tcPr>
            <w:tcW w:w="180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3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8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table set forth below contains certain information as of September 30, 2013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As of September 30, 2013, we did not “control” and are not an “affiliate” of any of our portfolio companies, each as defined in the 1940 Act. In general, under the 1940 Act, we would “control” a portfolio company if we owned 25.0% or more of its voting securities and would be an “affiliate” of a portfolio company if we owned five percent or more of its voting securities. We either originated or purchased in the secondary market the loans and securities in our current portfolio.</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5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Fair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60"/>
              <w:spacing w:after="0" w:line="163" w:lineRule="exact"/>
              <w:rPr>
                <w:sz w:val="20"/>
                <w:szCs w:val="20"/>
                <w:color w:val="auto"/>
              </w:rPr>
            </w:pPr>
            <w:r>
              <w:rPr>
                <w:rFonts w:ascii="Arial" w:cs="Arial" w:eastAsia="Arial" w:hAnsi="Arial"/>
                <w:sz w:val="12"/>
                <w:szCs w:val="12"/>
                <w:b w:val="1"/>
                <w:bCs w:val="1"/>
                <w:color w:val="auto"/>
                <w:w w:val="96"/>
              </w:rPr>
              <w:t>Cost</w:t>
            </w:r>
            <w:r>
              <w:rPr>
                <w:rFonts w:ascii="Arial" w:cs="Arial" w:eastAsia="Arial" w:hAnsi="Arial"/>
                <w:sz w:val="18"/>
                <w:szCs w:val="18"/>
                <w:b w:val="1"/>
                <w:bCs w:val="1"/>
                <w:color w:val="auto"/>
                <w:w w:val="96"/>
                <w:vertAlign w:val="superscript"/>
              </w:rPr>
              <w:t>(2)</w:t>
            </w:r>
          </w:p>
        </w:tc>
        <w:tc>
          <w:tcPr>
            <w:tcW w:w="100" w:type="dxa"/>
            <w:vAlign w:val="bottom"/>
          </w:tcPr>
          <w:p>
            <w:pPr>
              <w:spacing w:after="0"/>
              <w:rPr>
                <w:sz w:val="14"/>
                <w:szCs w:val="14"/>
                <w:color w:val="auto"/>
              </w:rPr>
            </w:pPr>
          </w:p>
        </w:tc>
        <w:tc>
          <w:tcPr>
            <w:tcW w:w="54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Value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Investment</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 amount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(1)</w:t>
            </w:r>
          </w:p>
        </w:tc>
        <w:tc>
          <w:tcPr>
            <w:tcW w:w="98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78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w w:val="82"/>
              </w:rPr>
              <w:t>Interest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3"/>
              </w:rPr>
              <w:t>Acquisition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in</w:t>
            </w:r>
          </w:p>
        </w:tc>
        <w:tc>
          <w:tcPr>
            <w:tcW w:w="100" w:type="dxa"/>
            <w:vAlign w:val="bottom"/>
          </w:tcPr>
          <w:p>
            <w:pPr>
              <w:spacing w:after="0"/>
              <w:rPr>
                <w:sz w:val="11"/>
                <w:szCs w:val="11"/>
                <w:color w:val="auto"/>
              </w:rPr>
            </w:pPr>
          </w:p>
        </w:tc>
        <w:tc>
          <w:tcPr>
            <w:tcW w:w="54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96"/>
              </w:rPr>
              <w:t>in</w:t>
            </w:r>
          </w:p>
        </w:tc>
        <w:tc>
          <w:tcPr>
            <w:tcW w:w="24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384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(Par amounts in thousands)</w:t>
            </w: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Rate</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Debt Investments</w:t>
            </w:r>
          </w:p>
        </w:tc>
        <w:tc>
          <w:tcPr>
            <w:tcW w:w="98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Aerospace and defense</w:t>
            </w:r>
          </w:p>
        </w:tc>
        <w:tc>
          <w:tcPr>
            <w:tcW w:w="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MSC Software Corporation</w:t>
            </w:r>
            <w:r>
              <w:rPr>
                <w:rFonts w:ascii="Arial" w:cs="Arial" w:eastAsia="Arial" w:hAnsi="Arial"/>
                <w:sz w:val="15"/>
                <w:szCs w:val="15"/>
                <w:color w:val="auto"/>
                <w:vertAlign w:val="superscript"/>
              </w:rPr>
              <w:t>(3)(4)(5)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($54,156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11/2017)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7.75%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12/23/2011</w:t>
            </w:r>
          </w:p>
        </w:tc>
        <w:tc>
          <w:tcPr>
            <w:tcW w:w="2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53,477</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54,156</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Automotive</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Heartland Automotive Holdings, LLC</w:t>
            </w:r>
            <w:r>
              <w:rPr>
                <w:rFonts w:ascii="Arial" w:cs="Arial" w:eastAsia="Arial" w:hAnsi="Arial"/>
                <w:sz w:val="15"/>
                <w:szCs w:val="15"/>
                <w:color w:val="auto"/>
                <w:vertAlign w:val="superscript"/>
              </w:rPr>
              <w:t>(3)(5)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($37,472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6/2017)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9.00%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8/28/2012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36,682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36,723</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8"/>
        </w:trPr>
        <w:tc>
          <w:tcPr>
            <w:tcW w:w="6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revolving loan ($2,778</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160" w:type="dxa"/>
            <w:vAlign w:val="bottom"/>
            <w:gridSpan w:val="3"/>
          </w:tcPr>
          <w:p>
            <w:pPr>
              <w:ind w:left="980"/>
              <w:spacing w:after="0" w:line="159" w:lineRule="exact"/>
              <w:rPr>
                <w:sz w:val="20"/>
                <w:szCs w:val="20"/>
                <w:color w:val="auto"/>
              </w:rPr>
            </w:pPr>
            <w:r>
              <w:rPr>
                <w:rFonts w:ascii="Arial" w:cs="Arial" w:eastAsia="Arial" w:hAnsi="Arial"/>
                <w:sz w:val="14"/>
                <w:szCs w:val="14"/>
                <w:color w:val="auto"/>
              </w:rPr>
              <w:t>par, due 6/2017)</w:t>
            </w: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8/28/2012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2,659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2,667</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Sage Automotive Interiors, Inc.</w:t>
            </w:r>
            <w:r>
              <w:rPr>
                <w:rFonts w:ascii="Arial" w:cs="Arial" w:eastAsia="Arial" w:hAnsi="Arial"/>
                <w:sz w:val="15"/>
                <w:szCs w:val="15"/>
                <w:color w:val="auto"/>
                <w:vertAlign w:val="superscript"/>
              </w:rPr>
              <w:t>(3)(4)(5)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($21,775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12/2016)</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8.50%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12/31/2012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21,541</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21,666</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60,882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61,056</w:t>
            </w:r>
          </w:p>
        </w:tc>
        <w:tc>
          <w:tcPr>
            <w:tcW w:w="240" w:type="dxa"/>
            <w:vAlign w:val="bottom"/>
          </w:tcPr>
          <w:p>
            <w:pPr>
              <w:spacing w:after="0"/>
              <w:rPr>
                <w:sz w:val="14"/>
                <w:szCs w:val="14"/>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2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Beverage, food and tobacco</w:t>
            </w:r>
          </w:p>
        </w:tc>
        <w:tc>
          <w:tcPr>
            <w:tcW w:w="9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AFS Technologies, Inc.</w:t>
            </w:r>
            <w:r>
              <w:rPr>
                <w:rFonts w:ascii="Arial" w:cs="Arial" w:eastAsia="Arial" w:hAnsi="Arial"/>
                <w:sz w:val="15"/>
                <w:szCs w:val="15"/>
                <w:color w:val="auto"/>
                <w:vertAlign w:val="superscript"/>
              </w:rPr>
              <w:t>(3)(4)(5)</w:t>
            </w: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loan ($45,017 par, due</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60" w:type="dxa"/>
            <w:vAlign w:val="bottom"/>
            <w:gridSpan w:val="2"/>
          </w:tcPr>
          <w:p>
            <w:pPr>
              <w:ind w:left="980"/>
              <w:spacing w:after="0" w:line="159" w:lineRule="exact"/>
              <w:rPr>
                <w:sz w:val="20"/>
                <w:szCs w:val="20"/>
                <w:color w:val="auto"/>
              </w:rPr>
            </w:pPr>
            <w:r>
              <w:rPr>
                <w:rFonts w:ascii="Arial" w:cs="Arial" w:eastAsia="Arial" w:hAnsi="Arial"/>
                <w:sz w:val="14"/>
                <w:szCs w:val="14"/>
                <w:color w:val="auto"/>
              </w:rPr>
              <w:t>8/2015)</w:t>
            </w:r>
          </w:p>
        </w:tc>
        <w:tc>
          <w:tcPr>
            <w:tcW w:w="200" w:type="dxa"/>
            <w:vAlign w:val="bottom"/>
          </w:tcPr>
          <w:p>
            <w:pPr>
              <w:spacing w:after="0"/>
              <w:rPr>
                <w:sz w:val="13"/>
                <w:szCs w:val="13"/>
                <w:color w:val="auto"/>
              </w:rPr>
            </w:pP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7.75%</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8/31/2011</w:t>
            </w: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44,375</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45,692</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2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Business services</w:t>
            </w:r>
          </w:p>
        </w:tc>
        <w:tc>
          <w:tcPr>
            <w:tcW w:w="9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Actian Corporation</w:t>
            </w:r>
            <w:r>
              <w:rPr>
                <w:rFonts w:ascii="Arial" w:cs="Arial" w:eastAsia="Arial" w:hAnsi="Arial"/>
                <w:sz w:val="15"/>
                <w:szCs w:val="15"/>
                <w:color w:val="auto"/>
                <w:vertAlign w:val="superscript"/>
              </w:rPr>
              <w:t>(3)(4)(5)</w:t>
            </w: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loan ($68,933 par, due</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60" w:type="dxa"/>
            <w:vAlign w:val="bottom"/>
            <w:gridSpan w:val="2"/>
          </w:tcPr>
          <w:p>
            <w:pPr>
              <w:ind w:left="980"/>
              <w:spacing w:after="0" w:line="159" w:lineRule="exact"/>
              <w:rPr>
                <w:sz w:val="20"/>
                <w:szCs w:val="20"/>
                <w:color w:val="auto"/>
              </w:rPr>
            </w:pPr>
            <w:r>
              <w:rPr>
                <w:rFonts w:ascii="Arial" w:cs="Arial" w:eastAsia="Arial" w:hAnsi="Arial"/>
                <w:sz w:val="14"/>
                <w:szCs w:val="14"/>
                <w:color w:val="auto"/>
              </w:rPr>
              <w:t>4/2018)</w:t>
            </w:r>
          </w:p>
        </w:tc>
        <w:tc>
          <w:tcPr>
            <w:tcW w:w="200" w:type="dxa"/>
            <w:vAlign w:val="bottom"/>
          </w:tcPr>
          <w:p>
            <w:pPr>
              <w:spacing w:after="0"/>
              <w:rPr>
                <w:sz w:val="13"/>
                <w:szCs w:val="13"/>
                <w:color w:val="auto"/>
              </w:rPr>
            </w:pP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8.50%</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4/11/2013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66,633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66,865</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Consona Holdings, Inc.</w:t>
            </w:r>
            <w:r>
              <w:rPr>
                <w:rFonts w:ascii="Arial" w:cs="Arial" w:eastAsia="Arial" w:hAnsi="Arial"/>
                <w:sz w:val="15"/>
                <w:szCs w:val="15"/>
                <w:color w:val="auto"/>
                <w:vertAlign w:val="superscript"/>
              </w:rPr>
              <w:t>(3)(5)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($29,700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8/2018)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7.25%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8/13/2012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29,337</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29,403</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8"/>
        </w:trPr>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Network Merchants, Inc</w:t>
            </w:r>
            <w:r>
              <w:rPr>
                <w:rFonts w:ascii="Arial" w:cs="Arial" w:eastAsia="Arial" w:hAnsi="Arial"/>
                <w:sz w:val="15"/>
                <w:szCs w:val="15"/>
                <w:color w:val="auto"/>
                <w:vertAlign w:val="superscript"/>
              </w:rPr>
              <w:t>(3)</w:t>
            </w: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loan ($29,659 par, due</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60" w:type="dxa"/>
            <w:vAlign w:val="bottom"/>
            <w:gridSpan w:val="2"/>
          </w:tcPr>
          <w:p>
            <w:pPr>
              <w:ind w:left="980"/>
              <w:spacing w:after="0" w:line="159" w:lineRule="exact"/>
              <w:rPr>
                <w:sz w:val="20"/>
                <w:szCs w:val="20"/>
                <w:color w:val="auto"/>
              </w:rPr>
            </w:pPr>
            <w:r>
              <w:rPr>
                <w:rFonts w:ascii="Arial" w:cs="Arial" w:eastAsia="Arial" w:hAnsi="Arial"/>
                <w:sz w:val="14"/>
                <w:szCs w:val="14"/>
                <w:color w:val="auto"/>
              </w:rPr>
              <w:t>9/2018)</w:t>
            </w:r>
          </w:p>
        </w:tc>
        <w:tc>
          <w:tcPr>
            <w:tcW w:w="200" w:type="dxa"/>
            <w:vAlign w:val="bottom"/>
          </w:tcPr>
          <w:p>
            <w:pPr>
              <w:spacing w:after="0"/>
              <w:rPr>
                <w:sz w:val="13"/>
                <w:szCs w:val="13"/>
                <w:color w:val="auto"/>
              </w:rPr>
            </w:pP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8.75%</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9/12/2013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29,055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29,050</w:t>
            </w:r>
          </w:p>
        </w:tc>
        <w:tc>
          <w:tcPr>
            <w:tcW w:w="24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125,025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125,318</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Construction and building</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Mannington Mills, Inc.</w:t>
            </w:r>
            <w:r>
              <w:rPr>
                <w:rFonts w:ascii="Arial" w:cs="Arial" w:eastAsia="Arial" w:hAnsi="Arial"/>
                <w:sz w:val="16"/>
                <w:szCs w:val="16"/>
                <w:color w:val="auto"/>
                <w:vertAlign w:val="superscript"/>
              </w:rPr>
              <w:t>(3)(5)</w:t>
            </w:r>
          </w:p>
        </w:tc>
        <w:tc>
          <w:tcPr>
            <w:tcW w:w="3160" w:type="dxa"/>
            <w:vAlign w:val="bottom"/>
            <w:gridSpan w:val="3"/>
            <w:shd w:val="clear" w:color="auto" w:fill="CCEEFF"/>
          </w:tcPr>
          <w:p>
            <w:pPr>
              <w:ind w:left="980"/>
              <w:spacing w:after="0" w:line="139" w:lineRule="exact"/>
              <w:rPr>
                <w:sz w:val="20"/>
                <w:szCs w:val="20"/>
                <w:color w:val="auto"/>
              </w:rPr>
            </w:pPr>
            <w:r>
              <w:rPr>
                <w:rFonts w:ascii="Arial" w:cs="Arial" w:eastAsia="Arial" w:hAnsi="Arial"/>
                <w:sz w:val="14"/>
                <w:szCs w:val="14"/>
                <w:color w:val="auto"/>
                <w:w w:val="98"/>
              </w:rPr>
              <w:t>Second-lien loan ($47,488 par, due</w:t>
            </w:r>
          </w:p>
        </w:tc>
        <w:tc>
          <w:tcPr>
            <w:tcW w:w="78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4"/>
                <w:szCs w:val="14"/>
                <w:color w:val="auto"/>
              </w:rPr>
              <w:t>14.00%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ind w:left="980"/>
              <w:spacing w:after="0" w:line="149" w:lineRule="exact"/>
              <w:rPr>
                <w:sz w:val="20"/>
                <w:szCs w:val="20"/>
                <w:color w:val="auto"/>
              </w:rPr>
            </w:pPr>
            <w:r>
              <w:rPr>
                <w:rFonts w:ascii="Arial" w:cs="Arial" w:eastAsia="Arial" w:hAnsi="Arial"/>
                <w:sz w:val="14"/>
                <w:szCs w:val="14"/>
                <w:color w:val="auto"/>
              </w:rPr>
              <w:t>3/2017)</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(incl.</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PIK)</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3/2/2012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46,543</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52,238</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Containers and packaging</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The Newark Group, Inc.</w:t>
            </w:r>
            <w:r>
              <w:rPr>
                <w:rFonts w:ascii="Arial" w:cs="Arial" w:eastAsia="Arial" w:hAnsi="Arial"/>
                <w:sz w:val="15"/>
                <w:szCs w:val="15"/>
                <w:color w:val="auto"/>
                <w:vertAlign w:val="superscript"/>
              </w:rPr>
              <w:t>(3)(5)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($47,040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2/2018)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8.50%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2/8/2013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46,619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47,510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Education</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Campus Management, Inc.</w:t>
            </w:r>
            <w:r>
              <w:rPr>
                <w:rFonts w:ascii="Arial" w:cs="Arial" w:eastAsia="Arial" w:hAnsi="Arial"/>
                <w:sz w:val="15"/>
                <w:szCs w:val="15"/>
                <w:color w:val="auto"/>
                <w:vertAlign w:val="superscript"/>
              </w:rPr>
              <w:t>(3)(4)</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($30,000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9/2018)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8.75%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9/30/2013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29,250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29,250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Financial services</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Embarcadero Technologies, Inc.</w:t>
            </w:r>
            <w:r>
              <w:rPr>
                <w:rFonts w:ascii="Arial" w:cs="Arial" w:eastAsia="Arial" w:hAnsi="Arial"/>
                <w:sz w:val="15"/>
                <w:szCs w:val="15"/>
                <w:color w:val="auto"/>
                <w:vertAlign w:val="superscript"/>
              </w:rPr>
              <w:t>(3)(4)(5)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($43,596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12/2017)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8.00%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12/28/2012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42,644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43,487</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8"/>
        </w:trPr>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Rogue Wave Holdings, Inc.</w:t>
            </w:r>
            <w:r>
              <w:rPr>
                <w:rFonts w:ascii="Arial" w:cs="Arial" w:eastAsia="Arial" w:hAnsi="Arial"/>
                <w:sz w:val="15"/>
                <w:szCs w:val="15"/>
                <w:color w:val="auto"/>
                <w:vertAlign w:val="superscript"/>
              </w:rPr>
              <w:t>(3)(4)(5)</w:t>
            </w: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loan ($45,975 par, due</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60" w:type="dxa"/>
            <w:vAlign w:val="bottom"/>
            <w:gridSpan w:val="2"/>
          </w:tcPr>
          <w:p>
            <w:pPr>
              <w:ind w:left="980"/>
              <w:spacing w:after="0" w:line="159" w:lineRule="exact"/>
              <w:rPr>
                <w:sz w:val="20"/>
                <w:szCs w:val="20"/>
                <w:color w:val="auto"/>
              </w:rPr>
            </w:pPr>
            <w:r>
              <w:rPr>
                <w:rFonts w:ascii="Arial" w:cs="Arial" w:eastAsia="Arial" w:hAnsi="Arial"/>
                <w:sz w:val="14"/>
                <w:szCs w:val="14"/>
                <w:color w:val="auto"/>
              </w:rPr>
              <w:t>11/2017)</w:t>
            </w:r>
          </w:p>
        </w:tc>
        <w:tc>
          <w:tcPr>
            <w:tcW w:w="200" w:type="dxa"/>
            <w:vAlign w:val="bottom"/>
          </w:tcPr>
          <w:p>
            <w:pPr>
              <w:spacing w:after="0"/>
              <w:rPr>
                <w:sz w:val="13"/>
                <w:szCs w:val="13"/>
                <w:color w:val="auto"/>
              </w:rPr>
            </w:pP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8.25%</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1"/>
              </w:rPr>
              <w:t>11/21/2012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44,948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45,745</w:t>
            </w:r>
          </w:p>
        </w:tc>
        <w:tc>
          <w:tcPr>
            <w:tcW w:w="24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87,592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89,232</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Healthcare and pharmaceuticals</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Intelident Solutions, Inc.</w:t>
            </w:r>
            <w:r>
              <w:rPr>
                <w:rFonts w:ascii="Arial" w:cs="Arial" w:eastAsia="Arial" w:hAnsi="Arial"/>
                <w:sz w:val="16"/>
                <w:szCs w:val="16"/>
                <w:color w:val="auto"/>
                <w:vertAlign w:val="superscript"/>
              </w:rPr>
              <w:t>(3)</w:t>
            </w:r>
          </w:p>
        </w:tc>
        <w:tc>
          <w:tcPr>
            <w:tcW w:w="3160" w:type="dxa"/>
            <w:vAlign w:val="bottom"/>
            <w:gridSpan w:val="3"/>
            <w:shd w:val="clear" w:color="auto" w:fill="CCEEFF"/>
          </w:tcPr>
          <w:p>
            <w:pPr>
              <w:ind w:left="980"/>
              <w:spacing w:after="0" w:line="139" w:lineRule="exact"/>
              <w:rPr>
                <w:sz w:val="20"/>
                <w:szCs w:val="20"/>
                <w:color w:val="auto"/>
              </w:rPr>
            </w:pPr>
            <w:r>
              <w:rPr>
                <w:rFonts w:ascii="Arial" w:cs="Arial" w:eastAsia="Arial" w:hAnsi="Arial"/>
                <w:sz w:val="14"/>
                <w:szCs w:val="14"/>
                <w:color w:val="auto"/>
              </w:rPr>
              <w:t>First-lien loan ($27,555 par, due</w:t>
            </w:r>
          </w:p>
        </w:tc>
        <w:tc>
          <w:tcPr>
            <w:tcW w:w="78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4"/>
                <w:szCs w:val="14"/>
                <w:color w:val="auto"/>
              </w:rPr>
              <w:t>8.00%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ind w:left="980"/>
              <w:spacing w:after="0" w:line="149" w:lineRule="exact"/>
              <w:rPr>
                <w:sz w:val="20"/>
                <w:szCs w:val="20"/>
                <w:color w:val="auto"/>
              </w:rPr>
            </w:pPr>
            <w:r>
              <w:rPr>
                <w:rFonts w:ascii="Arial" w:cs="Arial" w:eastAsia="Arial" w:hAnsi="Arial"/>
                <w:sz w:val="14"/>
                <w:szCs w:val="14"/>
                <w:color w:val="auto"/>
              </w:rPr>
              <w:t>8/2016)</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(inc.</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PIK)</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6/4/2013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26,848</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26,807</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8"/>
        </w:trPr>
        <w:tc>
          <w:tcPr>
            <w:tcW w:w="6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revolving loan ($1,642</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160" w:type="dxa"/>
            <w:vAlign w:val="bottom"/>
            <w:gridSpan w:val="3"/>
          </w:tcPr>
          <w:p>
            <w:pPr>
              <w:ind w:left="980"/>
              <w:spacing w:after="0" w:line="159" w:lineRule="exact"/>
              <w:rPr>
                <w:sz w:val="20"/>
                <w:szCs w:val="20"/>
                <w:color w:val="auto"/>
              </w:rPr>
            </w:pPr>
            <w:r>
              <w:rPr>
                <w:rFonts w:ascii="Arial" w:cs="Arial" w:eastAsia="Arial" w:hAnsi="Arial"/>
                <w:sz w:val="14"/>
                <w:szCs w:val="14"/>
                <w:color w:val="auto"/>
              </w:rPr>
              <w:t>par, due 8/2016)</w:t>
            </w: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8.00%</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6/4/2013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1,643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1,634</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Mediware Information Systems, Inc.</w:t>
            </w:r>
            <w:r>
              <w:rPr>
                <w:rFonts w:ascii="Arial" w:cs="Arial" w:eastAsia="Arial" w:hAnsi="Arial"/>
                <w:sz w:val="15"/>
                <w:szCs w:val="15"/>
                <w:color w:val="auto"/>
                <w:vertAlign w:val="superscript"/>
              </w:rPr>
              <w:t>(3)(4)(5)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($72,092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5/2018)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8.00%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11/9/2012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70,496</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71,371</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38"/>
        </w:trPr>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SRS Software, LLC</w:t>
            </w:r>
            <w:r>
              <w:rPr>
                <w:rFonts w:ascii="Arial" w:cs="Arial" w:eastAsia="Arial" w:hAnsi="Arial"/>
                <w:sz w:val="15"/>
                <w:szCs w:val="15"/>
                <w:color w:val="auto"/>
                <w:vertAlign w:val="superscript"/>
              </w:rPr>
              <w:t>(3)(5)</w:t>
            </w: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loan ($36,094 par, due</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60" w:type="dxa"/>
            <w:vAlign w:val="bottom"/>
            <w:gridSpan w:val="2"/>
          </w:tcPr>
          <w:p>
            <w:pPr>
              <w:ind w:left="980"/>
              <w:spacing w:after="0" w:line="159" w:lineRule="exact"/>
              <w:rPr>
                <w:sz w:val="20"/>
                <w:szCs w:val="20"/>
                <w:color w:val="auto"/>
              </w:rPr>
            </w:pPr>
            <w:r>
              <w:rPr>
                <w:rFonts w:ascii="Arial" w:cs="Arial" w:eastAsia="Arial" w:hAnsi="Arial"/>
                <w:sz w:val="14"/>
                <w:szCs w:val="14"/>
                <w:color w:val="auto"/>
              </w:rPr>
              <w:t>12/2017)</w:t>
            </w:r>
          </w:p>
        </w:tc>
        <w:tc>
          <w:tcPr>
            <w:tcW w:w="200" w:type="dxa"/>
            <w:vAlign w:val="bottom"/>
          </w:tcPr>
          <w:p>
            <w:pPr>
              <w:spacing w:after="0"/>
              <w:rPr>
                <w:sz w:val="13"/>
                <w:szCs w:val="13"/>
                <w:color w:val="auto"/>
              </w:rPr>
            </w:pP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8.75%</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1"/>
              </w:rPr>
              <w:t>12/28/2012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35,196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35,191</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620" w:type="dxa"/>
            <w:vAlign w:val="bottom"/>
            <w:shd w:val="clear" w:color="auto" w:fill="CCEEFF"/>
          </w:tcPr>
          <w:p>
            <w:pPr>
              <w:spacing w:after="0"/>
              <w:rPr>
                <w:sz w:val="11"/>
                <w:szCs w:val="11"/>
                <w:color w:val="auto"/>
              </w:rPr>
            </w:pPr>
          </w:p>
        </w:tc>
        <w:tc>
          <w:tcPr>
            <w:tcW w:w="3220" w:type="dxa"/>
            <w:vAlign w:val="bottom"/>
            <w:shd w:val="clear" w:color="auto" w:fill="CCEEFF"/>
          </w:tcPr>
          <w:p>
            <w:pPr>
              <w:spacing w:after="0"/>
              <w:rPr>
                <w:sz w:val="11"/>
                <w:szCs w:val="11"/>
                <w:color w:val="auto"/>
              </w:rPr>
            </w:pP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revolving loan ($2,000</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3160" w:type="dxa"/>
            <w:vAlign w:val="bottom"/>
            <w:gridSpan w:val="3"/>
            <w:shd w:val="clear" w:color="auto" w:fill="CCEEFF"/>
          </w:tcPr>
          <w:p>
            <w:pPr>
              <w:ind w:left="980"/>
              <w:spacing w:after="0" w:line="159" w:lineRule="exact"/>
              <w:rPr>
                <w:sz w:val="20"/>
                <w:szCs w:val="20"/>
                <w:color w:val="auto"/>
              </w:rPr>
            </w:pPr>
            <w:r>
              <w:rPr>
                <w:rFonts w:ascii="Arial" w:cs="Arial" w:eastAsia="Arial" w:hAnsi="Arial"/>
                <w:sz w:val="14"/>
                <w:szCs w:val="14"/>
                <w:color w:val="auto"/>
              </w:rPr>
              <w:t>par, due 12/2017)</w:t>
            </w: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8.75%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12/28/2012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136,183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136,953</w:t>
            </w:r>
          </w:p>
        </w:tc>
        <w:tc>
          <w:tcPr>
            <w:tcW w:w="240" w:type="dxa"/>
            <w:vAlign w:val="bottom"/>
          </w:tcPr>
          <w:p>
            <w:pPr>
              <w:spacing w:after="0"/>
              <w:rPr>
                <w:sz w:val="13"/>
                <w:szCs w:val="13"/>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Amortized</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20"/>
              <w:spacing w:after="0" w:line="163" w:lineRule="exact"/>
              <w:rPr>
                <w:sz w:val="20"/>
                <w:szCs w:val="20"/>
                <w:color w:val="auto"/>
              </w:rPr>
            </w:pPr>
            <w:r>
              <w:rPr>
                <w:rFonts w:ascii="Arial" w:cs="Arial" w:eastAsia="Arial" w:hAnsi="Arial"/>
                <w:sz w:val="12"/>
                <w:szCs w:val="12"/>
                <w:b w:val="1"/>
                <w:bCs w:val="1"/>
                <w:color w:val="auto"/>
                <w:w w:val="91"/>
              </w:rPr>
              <w:t>Cost</w:t>
            </w:r>
            <w:r>
              <w:rPr>
                <w:rFonts w:ascii="Arial" w:cs="Arial" w:eastAsia="Arial" w:hAnsi="Arial"/>
                <w:sz w:val="18"/>
                <w:szCs w:val="18"/>
                <w:b w:val="1"/>
                <w:bCs w:val="1"/>
                <w:color w:val="auto"/>
                <w:w w:val="91"/>
                <w:vertAlign w:val="superscript"/>
              </w:rPr>
              <w:t>(2)</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Investment</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 amount</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(1)</w:t>
            </w:r>
          </w:p>
        </w:tc>
        <w:tc>
          <w:tcPr>
            <w:tcW w:w="740" w:type="dxa"/>
            <w:vAlign w:val="bottom"/>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280" w:type="dxa"/>
            <w:vAlign w:val="bottom"/>
            <w:gridSpan w:val="2"/>
          </w:tcPr>
          <w:p>
            <w:pPr>
              <w:jc w:val="right"/>
              <w:ind w:right="820"/>
              <w:spacing w:after="0" w:line="135" w:lineRule="exact"/>
              <w:rPr>
                <w:sz w:val="20"/>
                <w:szCs w:val="20"/>
                <w:color w:val="auto"/>
              </w:rPr>
            </w:pPr>
            <w:r>
              <w:rPr>
                <w:rFonts w:ascii="Arial" w:cs="Arial" w:eastAsia="Arial" w:hAnsi="Arial"/>
                <w:sz w:val="14"/>
                <w:szCs w:val="14"/>
                <w:b w:val="1"/>
                <w:bCs w:val="1"/>
                <w:color w:val="auto"/>
                <w:w w:val="86"/>
              </w:rPr>
              <w:t>Interest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3"/>
              </w:rPr>
              <w:t>Acquisition</w:t>
            </w:r>
          </w:p>
        </w:tc>
        <w:tc>
          <w:tcPr>
            <w:tcW w:w="12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79"/>
              </w:rPr>
              <w:t>in</w:t>
            </w:r>
          </w:p>
        </w:tc>
        <w:tc>
          <w:tcPr>
            <w:tcW w:w="1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79"/>
              </w:rPr>
              <w:t>in</w:t>
            </w:r>
          </w:p>
        </w:tc>
        <w:tc>
          <w:tcPr>
            <w:tcW w:w="24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81"/>
        </w:trPr>
        <w:tc>
          <w:tcPr>
            <w:tcW w:w="3680" w:type="dxa"/>
            <w:vAlign w:val="bottom"/>
            <w:gridSpan w:val="4"/>
            <w:vMerge w:val="continue"/>
          </w:tcPr>
          <w:p>
            <w:pPr>
              <w:spacing w:after="0"/>
              <w:rPr>
                <w:sz w:val="15"/>
                <w:szCs w:val="15"/>
                <w:color w:val="auto"/>
              </w:rPr>
            </w:pPr>
          </w:p>
        </w:tc>
        <w:tc>
          <w:tcPr>
            <w:tcW w:w="740" w:type="dxa"/>
            <w:vAlign w:val="bottom"/>
          </w:tcPr>
          <w:p>
            <w:pPr>
              <w:spacing w:after="0"/>
              <w:rPr>
                <w:sz w:val="15"/>
                <w:szCs w:val="15"/>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(Par amounts in thousands)</w:t>
            </w:r>
          </w:p>
        </w:tc>
        <w:tc>
          <w:tcPr>
            <w:tcW w:w="12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Rate</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thousands)</w:t>
            </w: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Hotel, Gaming, &amp; Leisure</w:t>
            </w:r>
          </w:p>
        </w:tc>
        <w:tc>
          <w:tcPr>
            <w:tcW w:w="7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tcPr>
          <w:p>
            <w:pPr>
              <w:spacing w:after="0" w:line="138" w:lineRule="exact"/>
              <w:rPr>
                <w:sz w:val="20"/>
                <w:szCs w:val="20"/>
                <w:color w:val="auto"/>
              </w:rPr>
            </w:pPr>
            <w:r>
              <w:rPr>
                <w:rFonts w:ascii="Arial" w:cs="Arial" w:eastAsia="Arial" w:hAnsi="Arial"/>
                <w:sz w:val="10"/>
                <w:szCs w:val="10"/>
                <w:color w:val="auto"/>
              </w:rPr>
              <w:t>AMF Bowling Worldwide, Inc.</w:t>
            </w:r>
            <w:r>
              <w:rPr>
                <w:rFonts w:ascii="Arial" w:cs="Arial" w:eastAsia="Arial" w:hAnsi="Arial"/>
                <w:sz w:val="15"/>
                <w:szCs w:val="15"/>
                <w:color w:val="auto"/>
                <w:vertAlign w:val="superscript"/>
              </w:rPr>
              <w:t>(3)(5)</w:t>
            </w:r>
          </w:p>
        </w:tc>
        <w:tc>
          <w:tcPr>
            <w:tcW w:w="2860" w:type="dxa"/>
            <w:vAlign w:val="bottom"/>
            <w:gridSpan w:val="3"/>
          </w:tcPr>
          <w:p>
            <w:pPr>
              <w:ind w:left="740"/>
              <w:spacing w:after="0" w:line="138" w:lineRule="exact"/>
              <w:rPr>
                <w:sz w:val="20"/>
                <w:szCs w:val="20"/>
                <w:color w:val="auto"/>
              </w:rPr>
            </w:pPr>
            <w:r>
              <w:rPr>
                <w:rFonts w:ascii="Arial" w:cs="Arial" w:eastAsia="Arial" w:hAnsi="Arial"/>
                <w:sz w:val="14"/>
                <w:szCs w:val="14"/>
                <w:color w:val="auto"/>
              </w:rPr>
              <w:t>First-lien loan ($14,906 par, due</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680" w:type="dxa"/>
            <w:vAlign w:val="bottom"/>
            <w:gridSpan w:val="2"/>
          </w:tcPr>
          <w:p>
            <w:pPr>
              <w:ind w:left="740"/>
              <w:spacing w:after="0" w:line="159" w:lineRule="exact"/>
              <w:rPr>
                <w:sz w:val="20"/>
                <w:szCs w:val="20"/>
                <w:color w:val="auto"/>
              </w:rPr>
            </w:pPr>
            <w:r>
              <w:rPr>
                <w:rFonts w:ascii="Arial" w:cs="Arial" w:eastAsia="Arial" w:hAnsi="Arial"/>
                <w:sz w:val="14"/>
                <w:szCs w:val="14"/>
                <w:color w:val="auto"/>
              </w:rPr>
              <w:t>6/2018)</w:t>
            </w:r>
          </w:p>
        </w:tc>
        <w:tc>
          <w:tcPr>
            <w:tcW w:w="180" w:type="dxa"/>
            <w:vAlign w:val="bottom"/>
          </w:tcPr>
          <w:p>
            <w:pPr>
              <w:spacing w:after="0"/>
              <w:rPr>
                <w:sz w:val="13"/>
                <w:szCs w:val="13"/>
                <w:color w:val="auto"/>
              </w:rPr>
            </w:pPr>
          </w:p>
        </w:tc>
        <w:tc>
          <w:tcPr>
            <w:tcW w:w="128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8.75%</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7/2/2013</w:t>
            </w:r>
          </w:p>
        </w:tc>
        <w:tc>
          <w:tcPr>
            <w:tcW w:w="8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13,716</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14,666</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0"/>
                <w:szCs w:val="10"/>
                <w:color w:val="auto"/>
              </w:rPr>
              <w:t>Centaur, LLC</w:t>
            </w:r>
            <w:r>
              <w:rPr>
                <w:rFonts w:ascii="Arial" w:cs="Arial" w:eastAsia="Arial" w:hAnsi="Arial"/>
                <w:sz w:val="15"/>
                <w:szCs w:val="15"/>
                <w:color w:val="auto"/>
                <w:vertAlign w:val="superscript"/>
              </w:rPr>
              <w:t>(3)</w:t>
            </w:r>
          </w:p>
        </w:tc>
        <w:tc>
          <w:tcPr>
            <w:tcW w:w="2860" w:type="dxa"/>
            <w:vAlign w:val="bottom"/>
            <w:gridSpan w:val="3"/>
            <w:shd w:val="clear" w:color="auto" w:fill="CCEEFF"/>
          </w:tcPr>
          <w:p>
            <w:pPr>
              <w:ind w:left="740"/>
              <w:spacing w:after="0" w:line="138" w:lineRule="exact"/>
              <w:rPr>
                <w:sz w:val="20"/>
                <w:szCs w:val="20"/>
                <w:color w:val="auto"/>
              </w:rPr>
            </w:pPr>
            <w:r>
              <w:rPr>
                <w:rFonts w:ascii="Arial" w:cs="Arial" w:eastAsia="Arial" w:hAnsi="Arial"/>
                <w:sz w:val="14"/>
                <w:szCs w:val="14"/>
                <w:color w:val="auto"/>
                <w:w w:val="96"/>
              </w:rPr>
              <w:t>Second-lien loan ($10,000 par, due</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68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2/2020)</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8.00%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2/15/2013</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9,920</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10,050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tcPr>
          <w:p>
            <w:pPr>
              <w:spacing w:after="0" w:line="138" w:lineRule="exact"/>
              <w:rPr>
                <w:sz w:val="20"/>
                <w:szCs w:val="20"/>
                <w:color w:val="auto"/>
              </w:rPr>
            </w:pPr>
            <w:r>
              <w:rPr>
                <w:rFonts w:ascii="Arial" w:cs="Arial" w:eastAsia="Arial" w:hAnsi="Arial"/>
                <w:sz w:val="10"/>
                <w:szCs w:val="10"/>
                <w:color w:val="auto"/>
              </w:rPr>
              <w:t>Mandalay Baseball Properties, LLC</w:t>
            </w:r>
            <w:r>
              <w:rPr>
                <w:rFonts w:ascii="Arial" w:cs="Arial" w:eastAsia="Arial" w:hAnsi="Arial"/>
                <w:sz w:val="15"/>
                <w:szCs w:val="15"/>
                <w:color w:val="auto"/>
                <w:vertAlign w:val="superscript"/>
              </w:rPr>
              <w:t>(3)(5)</w:t>
            </w:r>
          </w:p>
        </w:tc>
        <w:tc>
          <w:tcPr>
            <w:tcW w:w="2860" w:type="dxa"/>
            <w:vAlign w:val="bottom"/>
            <w:gridSpan w:val="3"/>
          </w:tcPr>
          <w:p>
            <w:pPr>
              <w:ind w:left="740"/>
              <w:spacing w:after="0" w:line="138" w:lineRule="exact"/>
              <w:rPr>
                <w:sz w:val="20"/>
                <w:szCs w:val="20"/>
                <w:color w:val="auto"/>
              </w:rPr>
            </w:pPr>
            <w:r>
              <w:rPr>
                <w:rFonts w:ascii="Arial" w:cs="Arial" w:eastAsia="Arial" w:hAnsi="Arial"/>
                <w:sz w:val="14"/>
                <w:szCs w:val="14"/>
                <w:color w:val="auto"/>
              </w:rPr>
              <w:t>First-lien loan ($34,489 par, due</w:t>
            </w:r>
          </w:p>
        </w:tc>
        <w:tc>
          <w:tcPr>
            <w:tcW w:w="1280" w:type="dxa"/>
            <w:vAlign w:val="bottom"/>
            <w:gridSpan w:val="2"/>
          </w:tcPr>
          <w:p>
            <w:pPr>
              <w:jc w:val="right"/>
              <w:ind w:right="700"/>
              <w:spacing w:after="0" w:line="138" w:lineRule="exact"/>
              <w:rPr>
                <w:sz w:val="20"/>
                <w:szCs w:val="20"/>
                <w:color w:val="auto"/>
              </w:rPr>
            </w:pPr>
            <w:r>
              <w:rPr>
                <w:rFonts w:ascii="Arial" w:cs="Arial" w:eastAsia="Arial" w:hAnsi="Arial"/>
                <w:sz w:val="14"/>
                <w:szCs w:val="14"/>
                <w:color w:val="auto"/>
              </w:rPr>
              <w:t>12.00%</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8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3/2017)</w:t>
            </w:r>
          </w:p>
        </w:tc>
        <w:tc>
          <w:tcPr>
            <w:tcW w:w="180" w:type="dxa"/>
            <w:vAlign w:val="bottom"/>
          </w:tcPr>
          <w:p>
            <w:pPr>
              <w:spacing w:after="0"/>
              <w:rPr>
                <w:sz w:val="12"/>
                <w:szCs w:val="12"/>
                <w:color w:val="auto"/>
              </w:rPr>
            </w:pPr>
          </w:p>
        </w:tc>
        <w:tc>
          <w:tcPr>
            <w:tcW w:w="12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4.50%</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color w:val="auto"/>
              </w:rPr>
              <w:t>PIK)</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4/12/2012</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33,869</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35,362</w:t>
            </w:r>
          </w:p>
        </w:tc>
        <w:tc>
          <w:tcPr>
            <w:tcW w:w="1180" w:type="dxa"/>
            <w:vAlign w:val="bottom"/>
            <w:gridSpan w:val="3"/>
          </w:tcPr>
          <w:p>
            <w:pPr>
              <w:jc w:val="right"/>
              <w:ind w:right="4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0"/>
                <w:szCs w:val="10"/>
                <w:color w:val="auto"/>
              </w:rPr>
              <w:t>Soho House</w:t>
            </w:r>
            <w:r>
              <w:rPr>
                <w:rFonts w:ascii="Arial" w:cs="Arial" w:eastAsia="Arial" w:hAnsi="Arial"/>
                <w:sz w:val="15"/>
                <w:szCs w:val="15"/>
                <w:color w:val="auto"/>
                <w:vertAlign w:val="superscript"/>
              </w:rPr>
              <w:t>(6)</w:t>
            </w:r>
          </w:p>
        </w:tc>
        <w:tc>
          <w:tcPr>
            <w:tcW w:w="2860" w:type="dxa"/>
            <w:vAlign w:val="bottom"/>
            <w:gridSpan w:val="3"/>
            <w:shd w:val="clear" w:color="auto" w:fill="CCEEFF"/>
          </w:tcPr>
          <w:p>
            <w:pPr>
              <w:ind w:left="740"/>
              <w:spacing w:after="0" w:line="138" w:lineRule="exact"/>
              <w:rPr>
                <w:sz w:val="20"/>
                <w:szCs w:val="20"/>
                <w:color w:val="auto"/>
              </w:rPr>
            </w:pPr>
            <w:r>
              <w:rPr>
                <w:rFonts w:ascii="Arial" w:cs="Arial" w:eastAsia="Arial" w:hAnsi="Arial"/>
                <w:sz w:val="14"/>
                <w:szCs w:val="14"/>
                <w:color w:val="auto"/>
                <w:w w:val="98"/>
              </w:rPr>
              <w:t>Second-lien bond (GBP 7,000 par,</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860" w:type="dxa"/>
            <w:vAlign w:val="bottom"/>
            <w:gridSpan w:val="3"/>
            <w:shd w:val="clear" w:color="auto" w:fill="CCEEFF"/>
          </w:tcPr>
          <w:p>
            <w:pPr>
              <w:ind w:left="740"/>
              <w:spacing w:after="0" w:line="159" w:lineRule="exact"/>
              <w:rPr>
                <w:sz w:val="20"/>
                <w:szCs w:val="20"/>
                <w:color w:val="auto"/>
              </w:rPr>
            </w:pPr>
            <w:r>
              <w:rPr>
                <w:rFonts w:ascii="Arial" w:cs="Arial" w:eastAsia="Arial" w:hAnsi="Arial"/>
                <w:sz w:val="14"/>
                <w:szCs w:val="14"/>
                <w:color w:val="auto"/>
              </w:rPr>
              <w:t>due 10/2018)</w:t>
            </w:r>
          </w:p>
        </w:tc>
        <w:tc>
          <w:tcPr>
            <w:tcW w:w="12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9.13%</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9/20/2013</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11,200</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11,455</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68,705</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71,533</w:t>
            </w:r>
          </w:p>
        </w:tc>
        <w:tc>
          <w:tcPr>
            <w:tcW w:w="11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Human resource support services</w:t>
            </w:r>
          </w:p>
        </w:tc>
        <w:tc>
          <w:tcPr>
            <w:tcW w:w="7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tcPr>
          <w:p>
            <w:pPr>
              <w:spacing w:after="0" w:line="138" w:lineRule="exact"/>
              <w:rPr>
                <w:sz w:val="20"/>
                <w:szCs w:val="20"/>
                <w:color w:val="auto"/>
              </w:rPr>
            </w:pPr>
            <w:r>
              <w:rPr>
                <w:rFonts w:ascii="Arial" w:cs="Arial" w:eastAsia="Arial" w:hAnsi="Arial"/>
                <w:sz w:val="10"/>
                <w:szCs w:val="10"/>
                <w:color w:val="auto"/>
              </w:rPr>
              <w:t>Pai Group, Inc.</w:t>
            </w:r>
            <w:r>
              <w:rPr>
                <w:rFonts w:ascii="Arial" w:cs="Arial" w:eastAsia="Arial" w:hAnsi="Arial"/>
                <w:sz w:val="15"/>
                <w:szCs w:val="15"/>
                <w:color w:val="auto"/>
                <w:vertAlign w:val="superscript"/>
              </w:rPr>
              <w:t>(3)(5)</w:t>
            </w:r>
          </w:p>
        </w:tc>
        <w:tc>
          <w:tcPr>
            <w:tcW w:w="2860" w:type="dxa"/>
            <w:vAlign w:val="bottom"/>
            <w:gridSpan w:val="3"/>
          </w:tcPr>
          <w:p>
            <w:pPr>
              <w:ind w:left="740"/>
              <w:spacing w:after="0" w:line="138" w:lineRule="exact"/>
              <w:rPr>
                <w:sz w:val="20"/>
                <w:szCs w:val="20"/>
                <w:color w:val="auto"/>
              </w:rPr>
            </w:pPr>
            <w:r>
              <w:rPr>
                <w:rFonts w:ascii="Arial" w:cs="Arial" w:eastAsia="Arial" w:hAnsi="Arial"/>
                <w:sz w:val="14"/>
                <w:szCs w:val="14"/>
                <w:color w:val="auto"/>
              </w:rPr>
              <w:t>First-lien loan ($34,825 par, due</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680" w:type="dxa"/>
            <w:vAlign w:val="bottom"/>
            <w:gridSpan w:val="2"/>
          </w:tcPr>
          <w:p>
            <w:pPr>
              <w:ind w:left="740"/>
              <w:spacing w:after="0" w:line="159" w:lineRule="exact"/>
              <w:rPr>
                <w:sz w:val="20"/>
                <w:szCs w:val="20"/>
                <w:color w:val="auto"/>
              </w:rPr>
            </w:pPr>
            <w:r>
              <w:rPr>
                <w:rFonts w:ascii="Arial" w:cs="Arial" w:eastAsia="Arial" w:hAnsi="Arial"/>
                <w:sz w:val="14"/>
                <w:szCs w:val="14"/>
                <w:color w:val="auto"/>
              </w:rPr>
              <w:t>5/2018)</w:t>
            </w:r>
          </w:p>
        </w:tc>
        <w:tc>
          <w:tcPr>
            <w:tcW w:w="180" w:type="dxa"/>
            <w:vAlign w:val="bottom"/>
          </w:tcPr>
          <w:p>
            <w:pPr>
              <w:spacing w:after="0"/>
              <w:rPr>
                <w:sz w:val="13"/>
                <w:szCs w:val="13"/>
                <w:color w:val="auto"/>
              </w:rPr>
            </w:pPr>
          </w:p>
        </w:tc>
        <w:tc>
          <w:tcPr>
            <w:tcW w:w="128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10.50%</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5/8/2013</w:t>
            </w:r>
          </w:p>
        </w:tc>
        <w:tc>
          <w:tcPr>
            <w:tcW w:w="8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34,031</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34,029</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0"/>
                <w:szCs w:val="10"/>
                <w:color w:val="auto"/>
              </w:rPr>
              <w:t>SumTotal Systems, LLC</w:t>
            </w:r>
            <w:r>
              <w:rPr>
                <w:rFonts w:ascii="Arial" w:cs="Arial" w:eastAsia="Arial" w:hAnsi="Arial"/>
                <w:sz w:val="15"/>
                <w:szCs w:val="15"/>
                <w:color w:val="auto"/>
                <w:vertAlign w:val="superscript"/>
              </w:rPr>
              <w:t>(3)</w:t>
            </w:r>
          </w:p>
        </w:tc>
        <w:tc>
          <w:tcPr>
            <w:tcW w:w="2860" w:type="dxa"/>
            <w:vAlign w:val="bottom"/>
            <w:gridSpan w:val="3"/>
            <w:shd w:val="clear" w:color="auto" w:fill="CCEEFF"/>
          </w:tcPr>
          <w:p>
            <w:pPr>
              <w:ind w:left="740"/>
              <w:spacing w:after="0" w:line="138" w:lineRule="exact"/>
              <w:rPr>
                <w:sz w:val="20"/>
                <w:szCs w:val="20"/>
                <w:color w:val="auto"/>
              </w:rPr>
            </w:pPr>
            <w:r>
              <w:rPr>
                <w:rFonts w:ascii="Arial" w:cs="Arial" w:eastAsia="Arial" w:hAnsi="Arial"/>
                <w:sz w:val="14"/>
                <w:szCs w:val="14"/>
                <w:color w:val="auto"/>
              </w:rPr>
              <w:t>First-lien loan</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860" w:type="dxa"/>
            <w:vAlign w:val="bottom"/>
            <w:gridSpan w:val="3"/>
            <w:shd w:val="clear" w:color="auto" w:fill="CCEEFF"/>
          </w:tcPr>
          <w:p>
            <w:pPr>
              <w:ind w:left="740"/>
              <w:spacing w:after="0"/>
              <w:rPr>
                <w:sz w:val="20"/>
                <w:szCs w:val="20"/>
                <w:color w:val="auto"/>
              </w:rPr>
            </w:pPr>
            <w:r>
              <w:rPr>
                <w:rFonts w:ascii="Arial" w:cs="Arial" w:eastAsia="Arial" w:hAnsi="Arial"/>
                <w:sz w:val="14"/>
                <w:szCs w:val="14"/>
                <w:color w:val="auto"/>
              </w:rPr>
              <w:t>($7,503 par, due 11/2018)</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6.25%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1"/>
              </w:rPr>
              <w:t>11/16/2012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7,422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7,463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60" w:type="dxa"/>
            <w:vAlign w:val="bottom"/>
            <w:gridSpan w:val="3"/>
          </w:tcPr>
          <w:p>
            <w:pPr>
              <w:ind w:left="740"/>
              <w:spacing w:after="0" w:line="138" w:lineRule="exact"/>
              <w:rPr>
                <w:sz w:val="20"/>
                <w:szCs w:val="20"/>
                <w:color w:val="auto"/>
              </w:rPr>
            </w:pPr>
            <w:r>
              <w:rPr>
                <w:rFonts w:ascii="Arial" w:cs="Arial" w:eastAsia="Arial" w:hAnsi="Arial"/>
                <w:sz w:val="14"/>
                <w:szCs w:val="14"/>
                <w:color w:val="auto"/>
                <w:w w:val="96"/>
              </w:rPr>
              <w:t>Second-lien loan ($10,000 par, due</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680" w:type="dxa"/>
            <w:vAlign w:val="bottom"/>
            <w:gridSpan w:val="2"/>
          </w:tcPr>
          <w:p>
            <w:pPr>
              <w:ind w:left="740"/>
              <w:spacing w:after="0" w:line="159" w:lineRule="exact"/>
              <w:rPr>
                <w:sz w:val="20"/>
                <w:szCs w:val="20"/>
                <w:color w:val="auto"/>
              </w:rPr>
            </w:pPr>
            <w:r>
              <w:rPr>
                <w:rFonts w:ascii="Arial" w:cs="Arial" w:eastAsia="Arial" w:hAnsi="Arial"/>
                <w:sz w:val="14"/>
                <w:szCs w:val="14"/>
                <w:color w:val="auto"/>
              </w:rPr>
              <w:t>5/2019)</w:t>
            </w:r>
          </w:p>
        </w:tc>
        <w:tc>
          <w:tcPr>
            <w:tcW w:w="180" w:type="dxa"/>
            <w:vAlign w:val="bottom"/>
          </w:tcPr>
          <w:p>
            <w:pPr>
              <w:spacing w:after="0"/>
              <w:rPr>
                <w:sz w:val="13"/>
                <w:szCs w:val="13"/>
                <w:color w:val="auto"/>
              </w:rPr>
            </w:pPr>
          </w:p>
        </w:tc>
        <w:tc>
          <w:tcPr>
            <w:tcW w:w="128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10.25%</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1"/>
              </w:rPr>
              <w:t>11/16/2012</w:t>
            </w:r>
          </w:p>
        </w:tc>
        <w:tc>
          <w:tcPr>
            <w:tcW w:w="12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9,945</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9,925</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51,398</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51,417</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60" w:type="dxa"/>
            <w:vAlign w:val="bottom"/>
            <w:gridSpan w:val="2"/>
          </w:tcPr>
          <w:p>
            <w:pPr>
              <w:ind w:left="380"/>
              <w:spacing w:after="0"/>
              <w:rPr>
                <w:sz w:val="20"/>
                <w:szCs w:val="20"/>
                <w:color w:val="auto"/>
              </w:rPr>
            </w:pPr>
            <w:r>
              <w:rPr>
                <w:rFonts w:ascii="Arial" w:cs="Arial" w:eastAsia="Arial" w:hAnsi="Arial"/>
                <w:sz w:val="14"/>
                <w:szCs w:val="14"/>
                <w:b w:val="1"/>
                <w:bCs w:val="1"/>
                <w:color w:val="auto"/>
              </w:rPr>
              <w:t>Insurance</w:t>
            </w: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1"/>
                <w:szCs w:val="11"/>
                <w:color w:val="auto"/>
              </w:rPr>
              <w:t>Infogix, Inc.</w:t>
            </w:r>
            <w:r>
              <w:rPr>
                <w:rFonts w:ascii="Arial" w:cs="Arial" w:eastAsia="Arial" w:hAnsi="Arial"/>
                <w:sz w:val="16"/>
                <w:szCs w:val="16"/>
                <w:color w:val="auto"/>
                <w:vertAlign w:val="superscript"/>
              </w:rPr>
              <w:t>(3)(5)</w:t>
            </w:r>
          </w:p>
        </w:tc>
        <w:tc>
          <w:tcPr>
            <w:tcW w:w="2860" w:type="dxa"/>
            <w:vAlign w:val="bottom"/>
            <w:gridSpan w:val="3"/>
            <w:shd w:val="clear" w:color="auto" w:fill="CCEEFF"/>
          </w:tcPr>
          <w:p>
            <w:pPr>
              <w:ind w:left="740"/>
              <w:spacing w:after="0" w:line="139" w:lineRule="exact"/>
              <w:rPr>
                <w:sz w:val="20"/>
                <w:szCs w:val="20"/>
                <w:color w:val="auto"/>
              </w:rPr>
            </w:pPr>
            <w:r>
              <w:rPr>
                <w:rFonts w:ascii="Arial" w:cs="Arial" w:eastAsia="Arial" w:hAnsi="Arial"/>
                <w:sz w:val="14"/>
                <w:szCs w:val="14"/>
                <w:color w:val="auto"/>
              </w:rPr>
              <w:t>First-lien loan ($32,306 par, due</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68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6/2017)</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10.00%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6/1/2012</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31,815</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32,225</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60" w:type="dxa"/>
            <w:vAlign w:val="bottom"/>
            <w:gridSpan w:val="3"/>
          </w:tcPr>
          <w:p>
            <w:pPr>
              <w:ind w:left="740"/>
              <w:spacing w:after="0" w:line="138" w:lineRule="exact"/>
              <w:rPr>
                <w:sz w:val="20"/>
                <w:szCs w:val="20"/>
                <w:color w:val="auto"/>
              </w:rPr>
            </w:pPr>
            <w:r>
              <w:rPr>
                <w:rFonts w:ascii="Arial" w:cs="Arial" w:eastAsia="Arial" w:hAnsi="Arial"/>
                <w:sz w:val="14"/>
                <w:szCs w:val="14"/>
                <w:color w:val="auto"/>
              </w:rPr>
              <w:t>First-lien revolving loan ($3,300</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860" w:type="dxa"/>
            <w:vAlign w:val="bottom"/>
            <w:gridSpan w:val="3"/>
          </w:tcPr>
          <w:p>
            <w:pPr>
              <w:ind w:left="740"/>
              <w:spacing w:after="0" w:line="159" w:lineRule="exact"/>
              <w:rPr>
                <w:sz w:val="20"/>
                <w:szCs w:val="20"/>
                <w:color w:val="auto"/>
              </w:rPr>
            </w:pPr>
            <w:r>
              <w:rPr>
                <w:rFonts w:ascii="Arial" w:cs="Arial" w:eastAsia="Arial" w:hAnsi="Arial"/>
                <w:sz w:val="14"/>
                <w:szCs w:val="14"/>
                <w:color w:val="auto"/>
              </w:rPr>
              <w:t>par, due 6/2017)</w:t>
            </w:r>
          </w:p>
        </w:tc>
        <w:tc>
          <w:tcPr>
            <w:tcW w:w="128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6/1/2012</w:t>
            </w:r>
          </w:p>
        </w:tc>
        <w:tc>
          <w:tcPr>
            <w:tcW w:w="12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3,227</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3,288</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35,042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35,513</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60" w:type="dxa"/>
            <w:vAlign w:val="bottom"/>
            <w:gridSpan w:val="2"/>
          </w:tcPr>
          <w:p>
            <w:pPr>
              <w:ind w:left="380"/>
              <w:spacing w:after="0"/>
              <w:rPr>
                <w:sz w:val="20"/>
                <w:szCs w:val="20"/>
                <w:color w:val="auto"/>
              </w:rPr>
            </w:pPr>
            <w:r>
              <w:rPr>
                <w:rFonts w:ascii="Arial" w:cs="Arial" w:eastAsia="Arial" w:hAnsi="Arial"/>
                <w:sz w:val="14"/>
                <w:szCs w:val="14"/>
                <w:b w:val="1"/>
                <w:bCs w:val="1"/>
                <w:color w:val="auto"/>
              </w:rPr>
              <w:t>Manufacturing</w:t>
            </w: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1"/>
                <w:szCs w:val="11"/>
                <w:color w:val="auto"/>
              </w:rPr>
              <w:t>Jeeves Information Systems AB</w:t>
            </w:r>
            <w:r>
              <w:rPr>
                <w:rFonts w:ascii="Arial" w:cs="Arial" w:eastAsia="Arial" w:hAnsi="Arial"/>
                <w:sz w:val="16"/>
                <w:szCs w:val="16"/>
                <w:color w:val="auto"/>
                <w:vertAlign w:val="superscript"/>
              </w:rPr>
              <w:t>(3)(6)</w:t>
            </w:r>
          </w:p>
        </w:tc>
        <w:tc>
          <w:tcPr>
            <w:tcW w:w="2860" w:type="dxa"/>
            <w:vAlign w:val="bottom"/>
            <w:gridSpan w:val="3"/>
            <w:shd w:val="clear" w:color="auto" w:fill="CCEEFF"/>
          </w:tcPr>
          <w:p>
            <w:pPr>
              <w:ind w:left="740"/>
              <w:spacing w:after="0" w:line="139" w:lineRule="exact"/>
              <w:rPr>
                <w:sz w:val="20"/>
                <w:szCs w:val="20"/>
                <w:color w:val="auto"/>
              </w:rPr>
            </w:pPr>
            <w:r>
              <w:rPr>
                <w:rFonts w:ascii="Arial" w:cs="Arial" w:eastAsia="Arial" w:hAnsi="Arial"/>
                <w:sz w:val="14"/>
                <w:szCs w:val="14"/>
                <w:color w:val="auto"/>
              </w:rPr>
              <w:t>First-lien loan (SEK 177,608 par,</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860" w:type="dxa"/>
            <w:vAlign w:val="bottom"/>
            <w:gridSpan w:val="3"/>
            <w:shd w:val="clear" w:color="auto" w:fill="CCEEFF"/>
          </w:tcPr>
          <w:p>
            <w:pPr>
              <w:ind w:left="740"/>
              <w:spacing w:after="0" w:line="159" w:lineRule="exact"/>
              <w:rPr>
                <w:sz w:val="20"/>
                <w:szCs w:val="20"/>
                <w:color w:val="auto"/>
              </w:rPr>
            </w:pPr>
            <w:r>
              <w:rPr>
                <w:rFonts w:ascii="Arial" w:cs="Arial" w:eastAsia="Arial" w:hAnsi="Arial"/>
                <w:sz w:val="14"/>
                <w:szCs w:val="14"/>
                <w:color w:val="auto"/>
              </w:rPr>
              <w:t>due 6/2018)</w:t>
            </w:r>
          </w:p>
        </w:tc>
        <w:tc>
          <w:tcPr>
            <w:tcW w:w="12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9.25%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6/5/2013</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26,446</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27,061</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60" w:type="dxa"/>
            <w:vAlign w:val="bottom"/>
            <w:gridSpan w:val="2"/>
          </w:tcPr>
          <w:p>
            <w:pPr>
              <w:ind w:left="380"/>
              <w:spacing w:after="0"/>
              <w:rPr>
                <w:sz w:val="20"/>
                <w:szCs w:val="20"/>
                <w:color w:val="auto"/>
              </w:rPr>
            </w:pPr>
            <w:r>
              <w:rPr>
                <w:rFonts w:ascii="Arial" w:cs="Arial" w:eastAsia="Arial" w:hAnsi="Arial"/>
                <w:sz w:val="14"/>
                <w:szCs w:val="14"/>
                <w:b w:val="1"/>
                <w:bCs w:val="1"/>
                <w:color w:val="auto"/>
              </w:rPr>
              <w:t>Office Products</w:t>
            </w: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0"/>
                <w:szCs w:val="10"/>
                <w:color w:val="auto"/>
              </w:rPr>
              <w:t>Ecommerce Industries, Inc.</w:t>
            </w:r>
            <w:r>
              <w:rPr>
                <w:rFonts w:ascii="Arial" w:cs="Arial" w:eastAsia="Arial" w:hAnsi="Arial"/>
                <w:sz w:val="15"/>
                <w:szCs w:val="15"/>
                <w:color w:val="auto"/>
                <w:vertAlign w:val="superscript"/>
              </w:rPr>
              <w:t>(3)(4)(5)</w:t>
            </w:r>
          </w:p>
        </w:tc>
        <w:tc>
          <w:tcPr>
            <w:tcW w:w="2860" w:type="dxa"/>
            <w:vAlign w:val="bottom"/>
            <w:gridSpan w:val="3"/>
            <w:shd w:val="clear" w:color="auto" w:fill="CCEEFF"/>
          </w:tcPr>
          <w:p>
            <w:pPr>
              <w:ind w:left="740"/>
              <w:spacing w:after="0" w:line="138" w:lineRule="exact"/>
              <w:rPr>
                <w:sz w:val="20"/>
                <w:szCs w:val="20"/>
                <w:color w:val="auto"/>
              </w:rPr>
            </w:pPr>
            <w:r>
              <w:rPr>
                <w:rFonts w:ascii="Arial" w:cs="Arial" w:eastAsia="Arial" w:hAnsi="Arial"/>
                <w:sz w:val="14"/>
                <w:szCs w:val="14"/>
                <w:color w:val="auto"/>
              </w:rPr>
              <w:t>First-lien loan ($20,217 par, due</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68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10/2016)</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8.00%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10/17/2011</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20,001</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20,419</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60" w:type="dxa"/>
            <w:vAlign w:val="bottom"/>
            <w:gridSpan w:val="2"/>
          </w:tcPr>
          <w:p>
            <w:pPr>
              <w:ind w:left="380"/>
              <w:spacing w:after="0"/>
              <w:rPr>
                <w:sz w:val="20"/>
                <w:szCs w:val="20"/>
                <w:color w:val="auto"/>
              </w:rPr>
            </w:pPr>
            <w:r>
              <w:rPr>
                <w:rFonts w:ascii="Arial" w:cs="Arial" w:eastAsia="Arial" w:hAnsi="Arial"/>
                <w:sz w:val="14"/>
                <w:szCs w:val="14"/>
                <w:b w:val="1"/>
                <w:bCs w:val="1"/>
                <w:color w:val="auto"/>
              </w:rPr>
              <w:t>Oil, Gas &amp; Consumable Fuels</w:t>
            </w: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0"/>
                <w:szCs w:val="10"/>
                <w:color w:val="auto"/>
              </w:rPr>
              <w:t>Global Geophysical</w:t>
            </w:r>
            <w:r>
              <w:rPr>
                <w:rFonts w:ascii="Arial" w:cs="Arial" w:eastAsia="Arial" w:hAnsi="Arial"/>
                <w:sz w:val="15"/>
                <w:szCs w:val="15"/>
                <w:color w:val="auto"/>
                <w:vertAlign w:val="superscript"/>
              </w:rPr>
              <w:t>(3)(5)</w:t>
            </w:r>
          </w:p>
        </w:tc>
        <w:tc>
          <w:tcPr>
            <w:tcW w:w="2860" w:type="dxa"/>
            <w:vAlign w:val="bottom"/>
            <w:gridSpan w:val="3"/>
            <w:shd w:val="clear" w:color="auto" w:fill="CCEEFF"/>
          </w:tcPr>
          <w:p>
            <w:pPr>
              <w:ind w:left="740"/>
              <w:spacing w:after="0" w:line="138" w:lineRule="exact"/>
              <w:rPr>
                <w:sz w:val="20"/>
                <w:szCs w:val="20"/>
                <w:color w:val="auto"/>
              </w:rPr>
            </w:pPr>
            <w:r>
              <w:rPr>
                <w:rFonts w:ascii="Arial" w:cs="Arial" w:eastAsia="Arial" w:hAnsi="Arial"/>
                <w:sz w:val="14"/>
                <w:szCs w:val="14"/>
                <w:color w:val="auto"/>
              </w:rPr>
              <w:t>First-lien loan ($41,000 par, due</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68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9/2016)</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10.75%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9/30/2013</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40,262</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40,262</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Total Debt Investments</w:t>
            </w: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6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871,800</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887,610</w:t>
            </w:r>
          </w:p>
        </w:tc>
        <w:tc>
          <w:tcPr>
            <w:tcW w:w="11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7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60" w:type="dxa"/>
            <w:vAlign w:val="bottom"/>
            <w:gridSpan w:val="2"/>
          </w:tcPr>
          <w:p>
            <w:pPr>
              <w:ind w:left="380"/>
              <w:spacing w:after="0"/>
              <w:rPr>
                <w:sz w:val="20"/>
                <w:szCs w:val="20"/>
                <w:color w:val="auto"/>
              </w:rPr>
            </w:pPr>
            <w:r>
              <w:rPr>
                <w:rFonts w:ascii="Arial" w:cs="Arial" w:eastAsia="Arial" w:hAnsi="Arial"/>
                <w:sz w:val="14"/>
                <w:szCs w:val="14"/>
                <w:b w:val="1"/>
                <w:bCs w:val="1"/>
                <w:color w:val="auto"/>
              </w:rPr>
              <w:t>Business Services</w:t>
            </w:r>
          </w:p>
        </w:tc>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Network Merchants, Inc</w:t>
            </w:r>
          </w:p>
        </w:tc>
        <w:tc>
          <w:tcPr>
            <w:tcW w:w="2860" w:type="dxa"/>
            <w:vAlign w:val="bottom"/>
            <w:gridSpan w:val="3"/>
            <w:shd w:val="clear" w:color="auto" w:fill="CCEEFF"/>
          </w:tcPr>
          <w:p>
            <w:pPr>
              <w:ind w:left="740"/>
              <w:spacing w:after="0" w:line="139" w:lineRule="exact"/>
              <w:rPr>
                <w:sz w:val="20"/>
                <w:szCs w:val="20"/>
                <w:color w:val="auto"/>
              </w:rPr>
            </w:pPr>
            <w:r>
              <w:rPr>
                <w:rFonts w:ascii="Arial" w:cs="Arial" w:eastAsia="Arial" w:hAnsi="Arial"/>
                <w:sz w:val="14"/>
                <w:szCs w:val="14"/>
                <w:color w:val="auto"/>
              </w:rPr>
              <w:t>Non-Voting Preferred Units</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860" w:type="dxa"/>
            <w:vAlign w:val="bottom"/>
            <w:gridSpan w:val="3"/>
            <w:shd w:val="clear" w:color="auto" w:fill="CCEEFF"/>
          </w:tcPr>
          <w:p>
            <w:pPr>
              <w:ind w:left="740"/>
              <w:spacing w:after="0" w:line="159" w:lineRule="exact"/>
              <w:rPr>
                <w:sz w:val="20"/>
                <w:szCs w:val="20"/>
                <w:color w:val="auto"/>
              </w:rPr>
            </w:pPr>
            <w:r>
              <w:rPr>
                <w:rFonts w:ascii="Arial" w:cs="Arial" w:eastAsia="Arial" w:hAnsi="Arial"/>
                <w:sz w:val="14"/>
                <w:szCs w:val="14"/>
                <w:color w:val="auto"/>
              </w:rPr>
              <w:t>(774,099 units)</w:t>
            </w: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9/12/2013</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780</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780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60" w:type="dxa"/>
            <w:vAlign w:val="bottom"/>
            <w:gridSpan w:val="2"/>
          </w:tcPr>
          <w:p>
            <w:pPr>
              <w:ind w:left="380"/>
              <w:spacing w:after="0"/>
              <w:rPr>
                <w:sz w:val="20"/>
                <w:szCs w:val="20"/>
                <w:color w:val="auto"/>
              </w:rPr>
            </w:pPr>
            <w:r>
              <w:rPr>
                <w:rFonts w:ascii="Arial" w:cs="Arial" w:eastAsia="Arial" w:hAnsi="Arial"/>
                <w:sz w:val="14"/>
                <w:szCs w:val="14"/>
                <w:b w:val="1"/>
                <w:bCs w:val="1"/>
                <w:color w:val="auto"/>
              </w:rPr>
              <w:t>Healthcare and pharmaceuticals</w:t>
            </w: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SRS Parent Corp.</w:t>
            </w:r>
          </w:p>
        </w:tc>
        <w:tc>
          <w:tcPr>
            <w:tcW w:w="2860" w:type="dxa"/>
            <w:vAlign w:val="bottom"/>
            <w:gridSpan w:val="3"/>
            <w:shd w:val="clear" w:color="auto" w:fill="CCEEFF"/>
          </w:tcPr>
          <w:p>
            <w:pPr>
              <w:ind w:left="740"/>
              <w:spacing w:after="0" w:line="138" w:lineRule="exact"/>
              <w:rPr>
                <w:sz w:val="20"/>
                <w:szCs w:val="20"/>
                <w:color w:val="auto"/>
              </w:rPr>
            </w:pPr>
            <w:r>
              <w:rPr>
                <w:rFonts w:ascii="Arial" w:cs="Arial" w:eastAsia="Arial" w:hAnsi="Arial"/>
                <w:sz w:val="14"/>
                <w:szCs w:val="14"/>
                <w:color w:val="auto"/>
              </w:rPr>
              <w:t>Common Shares Class A</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860" w:type="dxa"/>
            <w:vAlign w:val="bottom"/>
            <w:gridSpan w:val="3"/>
            <w:shd w:val="clear" w:color="auto" w:fill="CCEEFF"/>
          </w:tcPr>
          <w:p>
            <w:pPr>
              <w:ind w:left="740"/>
              <w:spacing w:after="0" w:line="159" w:lineRule="exact"/>
              <w:rPr>
                <w:sz w:val="20"/>
                <w:szCs w:val="20"/>
                <w:color w:val="auto"/>
              </w:rPr>
            </w:pPr>
            <w:r>
              <w:rPr>
                <w:rFonts w:ascii="Arial" w:cs="Arial" w:eastAsia="Arial" w:hAnsi="Arial"/>
                <w:sz w:val="14"/>
                <w:szCs w:val="14"/>
                <w:color w:val="auto"/>
              </w:rPr>
              <w:t>(1,980 shares)</w:t>
            </w: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12/28/2012</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1,980</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931</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60" w:type="dxa"/>
            <w:vAlign w:val="bottom"/>
            <w:gridSpan w:val="3"/>
          </w:tcPr>
          <w:p>
            <w:pPr>
              <w:ind w:left="740"/>
              <w:spacing w:after="0" w:line="138" w:lineRule="exact"/>
              <w:rPr>
                <w:sz w:val="20"/>
                <w:szCs w:val="20"/>
                <w:color w:val="auto"/>
              </w:rPr>
            </w:pPr>
            <w:r>
              <w:rPr>
                <w:rFonts w:ascii="Arial" w:cs="Arial" w:eastAsia="Arial" w:hAnsi="Arial"/>
                <w:sz w:val="14"/>
                <w:szCs w:val="14"/>
                <w:color w:val="auto"/>
              </w:rPr>
              <w:t>Common Shares Class B</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860" w:type="dxa"/>
            <w:vAlign w:val="bottom"/>
            <w:gridSpan w:val="3"/>
          </w:tcPr>
          <w:p>
            <w:pPr>
              <w:ind w:left="740"/>
              <w:spacing w:after="0" w:line="159" w:lineRule="exact"/>
              <w:rPr>
                <w:sz w:val="20"/>
                <w:szCs w:val="20"/>
                <w:color w:val="auto"/>
              </w:rPr>
            </w:pPr>
            <w:r>
              <w:rPr>
                <w:rFonts w:ascii="Arial" w:cs="Arial" w:eastAsia="Arial" w:hAnsi="Arial"/>
                <w:sz w:val="14"/>
                <w:szCs w:val="14"/>
                <w:color w:val="auto"/>
              </w:rPr>
              <w:t>(2,953,020 shares)</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1"/>
              </w:rPr>
              <w:t>12/28/2012</w:t>
            </w:r>
          </w:p>
        </w:tc>
        <w:tc>
          <w:tcPr>
            <w:tcW w:w="12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940</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Total Equity Investments</w:t>
            </w: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2,780</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1,720</w:t>
            </w:r>
          </w:p>
        </w:tc>
        <w:tc>
          <w:tcPr>
            <w:tcW w:w="11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7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874,580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889,330</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right="440" w:hanging="332"/>
        <w:spacing w:after="0" w:line="268" w:lineRule="auto"/>
        <w:tabs>
          <w:tab w:leader="none" w:pos="3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Unless otherwise indicated, our portfolio companies are domiciled in the United States. As of September 30, 2013, we do not “control” any of the portfolio companies nor are any of our portfolio companies considered to be “affiliates.” See Note 4 to the unaudited consolidated interim financial statements. Certain portfolio company investments are subject to contractual restrictions on sales.</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ind w:left="340" w:right="480" w:hanging="332"/>
        <w:spacing w:after="0" w:line="258" w:lineRule="auto"/>
        <w:tabs>
          <w:tab w:leader="none" w:pos="3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ind w:left="340" w:hanging="332"/>
        <w:spacing w:after="0"/>
        <w:tabs>
          <w:tab w:leader="none" w:pos="3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In addition to the interest earned based on the stated interest rate of this loan, we may be entitled to receive additional interest as a result of our arrangement with other lenders in a syndication.</w:t>
      </w:r>
    </w:p>
    <w:p>
      <w:pPr>
        <w:spacing w:after="0" w:line="10" w:lineRule="exact"/>
        <w:rPr>
          <w:rFonts w:ascii="Arial" w:cs="Arial" w:eastAsia="Arial" w:hAnsi="Arial"/>
          <w:sz w:val="12"/>
          <w:szCs w:val="12"/>
          <w:color w:val="auto"/>
        </w:rPr>
      </w:pPr>
    </w:p>
    <w:p>
      <w:pPr>
        <w:ind w:left="340" w:right="2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a wholly-owned subsidiary of our, and is pledged as collateral supporting the amounts outstanding under the revolving credit facility with Natixis Bank. See Note 7 to the unaudited consolidated interim financial statements.</w:t>
      </w:r>
    </w:p>
    <w:p>
      <w:pPr>
        <w:ind w:left="340" w:right="80" w:hanging="332"/>
        <w:spacing w:after="0" w:line="230"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and an IPO Committee and may establish additional committees from time to time as necessary. In anticipation of this IPO, we will form a nominating and corporate governance committee and a compensation committee.</w:t>
      </w:r>
    </w:p>
    <w:p>
      <w:pPr>
        <w:spacing w:after="0" w:line="118"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will expire at the 2014 annual meeting of stockholders.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Messrs. Higginbotham and Tanemura serve as Class I directors (with a term expiring in 2015). Mr. Ross serves as a Class II director (with a term expiring in 2016). Messrs. Easterly and Fishman serve as Class III directors (with a term expiring in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Brief biographies of the members of the Board are set forth below.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gridSpan w:val="2"/>
            <w:vMerge w:val="restart"/>
          </w:tcPr>
          <w:p>
            <w:pPr>
              <w:ind w:left="1920"/>
              <w:spacing w:after="0"/>
              <w:rPr>
                <w:sz w:val="20"/>
                <w:szCs w:val="20"/>
                <w:color w:val="auto"/>
              </w:rPr>
            </w:pPr>
            <w:r>
              <w:rPr>
                <w:rFonts w:ascii="Arial" w:cs="Arial" w:eastAsia="Arial" w:hAnsi="Arial"/>
                <w:sz w:val="14"/>
                <w:szCs w:val="14"/>
                <w:b w:val="1"/>
                <w:bCs w:val="1"/>
                <w:color w:val="auto"/>
              </w:rPr>
              <w:t>Position</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Expiration</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Director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8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75"/>
              </w:rPr>
              <w:t>Age</w:t>
            </w:r>
          </w:p>
        </w:tc>
        <w:tc>
          <w:tcPr>
            <w:tcW w:w="4800" w:type="dxa"/>
            <w:vAlign w:val="bottom"/>
            <w:gridSpan w:val="2"/>
            <w:vMerge w:val="continue"/>
          </w:tcPr>
          <w:p>
            <w:pPr>
              <w:spacing w:after="0"/>
              <w:rPr>
                <w:sz w:val="14"/>
                <w:szCs w:val="14"/>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of Term</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Independent Directors</w:t>
            </w: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66</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50</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69</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2016</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37</w:t>
            </w: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 Director and Co-Chief Executive Officer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51</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and Co-Chief Executive Officer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8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 in March 2011. From 2010 to 2013, he was a director of Healthcare Finance Group LLC.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 in March 2011. Since 2012, Mr. Tanemura has served as a director of Lehman Brothers Holdings Inc., or</w:t>
      </w:r>
      <w:r>
        <w:rPr>
          <w:rFonts w:ascii="Arial" w:cs="Arial" w:eastAsia="Arial" w:hAnsi="Arial"/>
          <w:sz w:val="16"/>
          <w:szCs w:val="16"/>
          <w:b w:val="1"/>
          <w:bCs w:val="1"/>
          <w:color w:val="auto"/>
        </w:rPr>
        <w:t xml:space="preserve"> </w:t>
      </w:r>
      <w:r>
        <w:rPr>
          <w:rFonts w:ascii="Arial" w:cs="Arial" w:eastAsia="Arial" w:hAnsi="Arial"/>
          <w:sz w:val="16"/>
          <w:szCs w:val="16"/>
          <w:color w:val="auto"/>
        </w:rPr>
        <w:t>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1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John Ross </w:t>
      </w:r>
      <w:r>
        <w:rPr>
          <w:rFonts w:ascii="Arial" w:cs="Arial" w:eastAsia="Arial" w:hAnsi="Arial"/>
          <w:sz w:val="16"/>
          <w:szCs w:val="16"/>
          <w:color w:val="auto"/>
        </w:rPr>
        <w:t>was elected a director of TSL in March 2011. From 2003 to 2011, Mr. Ross was a director and member of the board risk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w:t>
      </w:r>
    </w:p>
    <w:p>
      <w:pPr>
        <w:jc w:val="both"/>
        <w:ind w:right="20"/>
        <w:spacing w:after="0" w:line="361" w:lineRule="auto"/>
        <w:rPr>
          <w:sz w:val="20"/>
          <w:szCs w:val="20"/>
          <w:color w:val="auto"/>
        </w:rPr>
      </w:pPr>
      <w:r>
        <w:rPr>
          <w:rFonts w:ascii="Arial" w:cs="Arial" w:eastAsia="Arial" w:hAnsi="Arial"/>
          <w:sz w:val="15"/>
          <w:szCs w:val="15"/>
          <w:color w:val="auto"/>
        </w:rPr>
        <w:t>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8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5"/>
          <w:szCs w:val="15"/>
          <w:b w:val="1"/>
          <w:bCs w:val="1"/>
          <w:color w:val="auto"/>
        </w:rPr>
        <w:t xml:space="preserve">Joshua Easterly </w:t>
      </w:r>
      <w:r>
        <w:rPr>
          <w:rFonts w:ascii="Arial" w:cs="Arial" w:eastAsia="Arial" w:hAnsi="Arial"/>
          <w:sz w:val="15"/>
          <w:szCs w:val="15"/>
          <w:color w:val="auto"/>
        </w:rPr>
        <w:t>was appointed Co-Chief Executive Officer in December 2013 and elected a director and Chairman of TSL in March 2011. Mr. Easterly is</w:t>
      </w:r>
      <w:r>
        <w:rPr>
          <w:rFonts w:ascii="Arial" w:cs="Arial" w:eastAsia="Arial" w:hAnsi="Arial"/>
          <w:sz w:val="15"/>
          <w:szCs w:val="15"/>
          <w:b w:val="1"/>
          <w:bCs w:val="1"/>
          <w:color w:val="auto"/>
        </w:rPr>
        <w:t xml:space="preserve"> </w:t>
      </w:r>
      <w:r>
        <w:rPr>
          <w:rFonts w:ascii="Arial" w:cs="Arial" w:eastAsia="Arial" w:hAnsi="Arial"/>
          <w:sz w:val="15"/>
          <w:szCs w:val="15"/>
          <w:color w:val="auto"/>
        </w:rPr>
        <w:t>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3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and became Co-Chief Executive Officer in December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3"/>
              </w:rPr>
              <w:t>Position</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74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83"/>
              </w:rPr>
              <w:t>Age</w:t>
            </w:r>
          </w:p>
        </w:tc>
        <w:tc>
          <w:tcPr>
            <w:tcW w:w="4360" w:type="dxa"/>
            <w:vAlign w:val="bottom"/>
            <w:gridSpan w:val="2"/>
            <w:vMerge w:val="continue"/>
          </w:tcPr>
          <w:p>
            <w:pPr>
              <w:spacing w:after="0"/>
              <w:rPr>
                <w:sz w:val="14"/>
                <w:szCs w:val="14"/>
                <w:color w:val="auto"/>
              </w:rPr>
            </w:pPr>
          </w:p>
        </w:tc>
        <w:tc>
          <w:tcPr>
            <w:tcW w:w="52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96"/>
              </w:rPr>
              <w:t>Since</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Ronald Cami</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w:t>
            </w:r>
          </w:p>
        </w:tc>
        <w:tc>
          <w:tcPr>
            <w:tcW w:w="500" w:type="dxa"/>
            <w:vAlign w:val="bottom"/>
            <w:tcBorders>
              <w:top w:val="single" w:sz="8" w:color="CCEEFF"/>
            </w:tcBorders>
            <w:shd w:val="clear" w:color="auto" w:fill="CCEEFF"/>
          </w:tcPr>
          <w:p>
            <w:pPr>
              <w:spacing w:after="0"/>
              <w:rPr>
                <w:sz w:val="17"/>
                <w:szCs w:val="17"/>
                <w:color w:val="auto"/>
              </w:rPr>
            </w:pPr>
          </w:p>
        </w:tc>
        <w:tc>
          <w:tcPr>
            <w:tcW w:w="3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Vice President</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2011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4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Chief Financial Officer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Mello</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w:t>
            </w:r>
          </w:p>
        </w:tc>
        <w:tc>
          <w:tcPr>
            <w:tcW w:w="43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43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Vice President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Reintjes</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w:t>
            </w:r>
          </w:p>
        </w:tc>
        <w:tc>
          <w:tcPr>
            <w:tcW w:w="4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9"/>
              </w:rPr>
              <w:t>Chief Compliance Officer and Secretary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43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Vice President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w:t>
            </w:r>
          </w:p>
        </w:tc>
        <w:tc>
          <w:tcPr>
            <w:tcW w:w="43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165"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Ronald Cami </w:t>
      </w:r>
      <w:r>
        <w:rPr>
          <w:rFonts w:ascii="Arial" w:cs="Arial" w:eastAsia="Arial" w:hAnsi="Arial"/>
          <w:sz w:val="16"/>
          <w:szCs w:val="16"/>
          <w:color w:val="auto"/>
        </w:rPr>
        <w:t>is a Vice President of TSL. Mr. Cami joined TPG as Partner and General Counsel in June 2010. From 2000 until he joined TPG in 2010,</w:t>
      </w:r>
      <w:r>
        <w:rPr>
          <w:rFonts w:ascii="Arial" w:cs="Arial" w:eastAsia="Arial" w:hAnsi="Arial"/>
          <w:sz w:val="16"/>
          <w:szCs w:val="16"/>
          <w:b w:val="1"/>
          <w:bCs w:val="1"/>
          <w:color w:val="auto"/>
        </w:rPr>
        <w:t xml:space="preserve"> </w:t>
      </w:r>
      <w:r>
        <w:rPr>
          <w:rFonts w:ascii="Arial" w:cs="Arial" w:eastAsia="Arial" w:hAnsi="Arial"/>
          <w:sz w:val="16"/>
          <w:szCs w:val="16"/>
          <w:color w:val="auto"/>
        </w:rPr>
        <w:t>Mr. Cami was a partner at the law firm Cravath, Swaine &amp; 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Alan Kirshenbaum </w:t>
      </w:r>
      <w:r>
        <w:rPr>
          <w:rFonts w:ascii="Arial" w:cs="Arial" w:eastAsia="Arial" w:hAnsi="Arial"/>
          <w:sz w:val="18"/>
          <w:szCs w:val="18"/>
          <w:color w:val="auto"/>
        </w:rPr>
        <w:t>is Chief Financial Officer of TSL. Prior to being named Chief Financial Officer, Mr. Kirshenbaum was a Vice President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2011. From 2011 to 2013, Mr. Kirshenbaum was Chief Financial Officer and Executive Director of TSSP. From 2007 to 2011, 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is a Certified Public Accountant and received a B.S. from Rutgers University in 1994 and an M.B.A. from New York University’s Stern School of Business in 2003.</w:t>
      </w:r>
    </w:p>
    <w:p>
      <w:pPr>
        <w:spacing w:after="0" w:line="141"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Jennifer Mello </w:t>
      </w:r>
      <w:r>
        <w:rPr>
          <w:rFonts w:ascii="Arial" w:cs="Arial" w:eastAsia="Arial" w:hAnsi="Arial"/>
          <w:sz w:val="16"/>
          <w:szCs w:val="16"/>
          <w:color w:val="auto"/>
        </w:rPr>
        <w:t>is a Vice President of TSL. Since 2012, Ms. Mello has been the General Counsel and Principal of TSSP and, prior to joining TSSP, she was</w:t>
      </w:r>
      <w:r>
        <w:rPr>
          <w:rFonts w:ascii="Arial" w:cs="Arial" w:eastAsia="Arial" w:hAnsi="Arial"/>
          <w:sz w:val="16"/>
          <w:szCs w:val="16"/>
          <w:b w:val="1"/>
          <w:bCs w:val="1"/>
          <w:color w:val="auto"/>
        </w:rPr>
        <w:t xml:space="preserve"> </w:t>
      </w:r>
      <w:r>
        <w:rPr>
          <w:rFonts w:ascii="Arial" w:cs="Arial" w:eastAsia="Arial" w:hAnsi="Arial"/>
          <w:sz w:val="16"/>
          <w:szCs w:val="16"/>
          <w:color w:val="auto"/>
        </w:rPr>
        <w:t>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97" w:lineRule="exact"/>
        <w:rPr>
          <w:sz w:val="20"/>
          <w:szCs w:val="20"/>
          <w:color w:val="auto"/>
        </w:rPr>
      </w:pPr>
    </w:p>
    <w:p>
      <w:pPr>
        <w:ind w:right="200" w:firstLine="456"/>
        <w:spacing w:after="0" w:line="326" w:lineRule="auto"/>
        <w:rPr>
          <w:sz w:val="20"/>
          <w:szCs w:val="20"/>
          <w:color w:val="auto"/>
        </w:rPr>
      </w:pPr>
      <w:r>
        <w:rPr>
          <w:rFonts w:ascii="Arial" w:cs="Arial" w:eastAsia="Arial" w:hAnsi="Arial"/>
          <w:sz w:val="15"/>
          <w:szCs w:val="15"/>
          <w:b w:val="1"/>
          <w:bCs w:val="1"/>
          <w:color w:val="auto"/>
        </w:rPr>
        <w:t xml:space="preserve">Steven Pluss </w:t>
      </w:r>
      <w:r>
        <w:rPr>
          <w:rFonts w:ascii="Arial" w:cs="Arial" w:eastAsia="Arial" w:hAnsi="Arial"/>
          <w:sz w:val="15"/>
          <w:szCs w:val="15"/>
          <w:color w:val="auto"/>
        </w:rPr>
        <w:t>is a Vice President of TSL. He is also a TPG and TSSP Partner and has been the Global Chief Financial Officer and Chief Risk Officer of</w:t>
      </w:r>
      <w:r>
        <w:rPr>
          <w:rFonts w:ascii="Arial" w:cs="Arial" w:eastAsia="Arial" w:hAnsi="Arial"/>
          <w:sz w:val="15"/>
          <w:szCs w:val="15"/>
          <w:b w:val="1"/>
          <w:bCs w:val="1"/>
          <w:color w:val="auto"/>
        </w:rPr>
        <w:t xml:space="preserve"> </w:t>
      </w:r>
      <w:r>
        <w:rPr>
          <w:rFonts w:ascii="Arial" w:cs="Arial" w:eastAsia="Arial" w:hAnsi="Arial"/>
          <w:sz w:val="15"/>
          <w:szCs w:val="15"/>
          <w:color w:val="auto"/>
        </w:rPr>
        <w:t>TSSP since 2013.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David Reintjes </w:t>
      </w:r>
      <w:r>
        <w:rPr>
          <w:rFonts w:ascii="Arial" w:cs="Arial" w:eastAsia="Arial" w:hAnsi="Arial"/>
          <w:sz w:val="18"/>
          <w:szCs w:val="18"/>
          <w:color w:val="auto"/>
        </w:rPr>
        <w:t>is the Chief Compliance Officer and Secretary of TSL. Since 2007, he has been TPG’s Chief Compliance Officer and Deputy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Prior to joining TPG, Mr. Reintjes was a member of the corporate practice group at Sonnenschein Nath &amp; Rosenthal LLP (now Dentons), and, from 1997 to 2005, he was a member of the corporate and securities practice group at Kelly, Hart &amp; Hallman LLP. Mr. Reintjes received a J.D. from the University of Kansas and a B.A. from the University of Notre Dame.</w:t>
      </w:r>
    </w:p>
    <w:p>
      <w:pPr>
        <w:spacing w:after="0" w:line="13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 He is also a TPG and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39"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Alan Waxman </w:t>
      </w:r>
      <w:r>
        <w:rPr>
          <w:rFonts w:ascii="Arial" w:cs="Arial" w:eastAsia="Arial" w:hAnsi="Arial"/>
          <w:sz w:val="16"/>
          <w:szCs w:val="16"/>
          <w:color w:val="auto"/>
        </w:rPr>
        <w:t>is a Vice President of TSL. Mr. Waxman is a TPG Partner and is a member of the TPG’s Executive Committee. He has been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and where he currently serves on their board of the School of Arts and Sciences.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Messrs. Easterly and Fishman are considered “interested persons” (as defined in the 1940 Act) of ours. See “—Biographical Information—Interested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Rights and Observers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Prior to this IPO, under the terms of an agreement between TSL and Universities Superannuation Scheme Ltd., or USS, USS had the right to nominate one director to our Board. This right to nominate was not exercised by USS and terminates in connection with this IPO.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In addition, prior to this IPO, under the terms of agreements between TSL and Oregon Public Employees Retirement Fund, State Teachers Retirement System of Ohio, State of New Jersey Common Pension Fund B, and USS, TSL was required to invite a representative from each to attend the meetings of the Board (including any meeting of the IPO Committee) in a nonvoting observer capacity. The observer rights terminate in connection with this IPO.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met four times in 2013, four times during 2012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at this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 and approves the engagement, and reviews the performance of, our independent registered public accounting firm.</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an Audit Committee, consisting solely of Independent Directors for the purposes of Rule 10A-3 under the Exchange Act.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described below in more detail under “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9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59"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David Reintjes,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40"/>
          </w:cols>
          <w:pgMar w:left="240" w:top="459"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51"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listing standards and Rule 10A-3 under the Exchange Act.</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held eight meetings in 2013 and eight meetings in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is responsible for:</w:t>
      </w:r>
    </w:p>
    <w:p>
      <w:pPr>
        <w:spacing w:after="0" w:line="90"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Nominating and Corporate Governance Committee will consider nominees to the Board recommended by a stockholder, if that stockholder complies with the advance notice provisions of our bylaws, as described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of the Nominating and Corporate Governance Committee are Messrs. Ross, Higginbotham and Tanemura, each of whom is independent for</w:t>
      </w:r>
    </w:p>
    <w:p>
      <w:pPr>
        <w:spacing w:after="0" w:line="38"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purposes of NYSE corporate governance rules, and serves as Chairman. The Nominating and Corporate Governance Committee will meet times each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responsible for:</w:t>
      </w:r>
    </w:p>
    <w:p>
      <w:pPr>
        <w:spacing w:after="0" w:line="90" w:lineRule="exact"/>
        <w:rPr>
          <w:sz w:val="20"/>
          <w:szCs w:val="20"/>
          <w:color w:val="auto"/>
        </w:rPr>
      </w:pPr>
    </w:p>
    <w:p>
      <w:pPr>
        <w:ind w:left="900" w:right="68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Investment Advisory Agreement and the Administration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See “—Compensation and Insider Participation— Compensation of Executive Officers.”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of the Compensation Committee are Messrs. Ross, Higginbotham and Tanemura, each of whom is independent for purposes of NYSE</w:t>
      </w:r>
    </w:p>
    <w:p>
      <w:pPr>
        <w:spacing w:after="0" w:line="38"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corporate governance rules.</w:t>
      </w:r>
      <w:r>
        <w:rPr>
          <w:sz w:val="20"/>
          <w:szCs w:val="20"/>
          <w:color w:val="auto"/>
        </w:rPr>
        <w:tab/>
      </w:r>
      <w:r>
        <w:rPr>
          <w:rFonts w:ascii="Arial" w:cs="Arial" w:eastAsia="Arial" w:hAnsi="Arial"/>
          <w:sz w:val="15"/>
          <w:szCs w:val="15"/>
          <w:color w:val="auto"/>
        </w:rPr>
        <w:t>serves as Chairman. The Compensation Committee will meet one time each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bylaws also establish an IPO Committee. The IPO Committee’s primary function is to advise the Board regarding matters relating to an initial public offering of our common stock, including:</w:t>
      </w:r>
    </w:p>
    <w:p>
      <w:pPr>
        <w:spacing w:after="0" w:line="51"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preparation of this registration statement and prospectus in connection with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issuance and sale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negotiation of the terms and conditions of any underwriting agreements relating to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determination that all common stock is validly issued;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authorization of certain of our officers to execute and deliver the documents relevant to an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IPO Committee acts solely in an advisory capacity to the Board and is not authorized to take any actions on behalf of the Board or us.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Messrs. Easterly and Tanemura are members of the IPO Committee, and it currently does not have a designated chairman. The IPO Committee held one meeting in 2013 and did not hold any meetings in 2012. Following this IPO, we will no longer have an IPO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Upon consummation of this offering, we will maintain a corporate governance section on our website, which contains copies of the charters for the committees of our Board of Directors. The corporate governance section may be found at http://www.tpgspecialtylending.com in the “Investor Relations” section of our website. Information on our website is not incorporated into or part of this prospectus. The corporate governance section contains the following documents, which are available in print to any stockholder who requests a copy in writing at 345 California Street, Suite 3300, San Francisco, CA 94104, Attention: Investor Relations, or by emailing us at </w:t>
      </w:r>
      <w:r>
        <w:rPr>
          <w:rFonts w:ascii="Arial" w:cs="Arial" w:eastAsia="Arial" w:hAnsi="Arial"/>
          <w:sz w:val="18"/>
          <w:szCs w:val="18"/>
          <w:i w:val="1"/>
          <w:iCs w:val="1"/>
          <w:color w:val="auto"/>
        </w:rPr>
        <w:t>IRTSL@tpg.com</w:t>
      </w:r>
      <w:r>
        <w:rPr>
          <w:rFonts w:ascii="Arial" w:cs="Arial" w:eastAsia="Arial" w:hAnsi="Arial"/>
          <w:sz w:val="18"/>
          <w:szCs w:val="18"/>
          <w:color w:val="auto"/>
        </w:rPr>
        <w:t>:</w:t>
      </w:r>
    </w:p>
    <w:p>
      <w:pPr>
        <w:spacing w:after="0" w:line="62"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Relations” section of our website and are available in print to any stockholder who requests a copy in writing.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David Reintjes, 301 Commerce Street, Suite 3300, Fort Worth, TX 76102. Please refer to the text of our bylaws (including Article II, paragraph (K)) which are on file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9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Board believes that the inclusion of diversity as one of many factors considered in selecting director nominees is consistent with the Board’s goal of creating a Board that best serves the needs of TSL and the interests of its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9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$75,000 annual retainer, which will be $100,000 following this IPO;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additional fee of $5,000 per year for the chairman of the Audit Committee.</w:t>
      </w:r>
    </w:p>
    <w:p>
      <w:pPr>
        <w:spacing w:after="0" w:line="171"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During the year ended December 31, 2012, we also reimbursed directors for certain out-of-pocket expenses each Independent Director incurred in connection with the fulfillment of his duties as an Independent Director. In each case these amounts were under $500 in the aggregate per Independent Director.</w:t>
      </w:r>
    </w:p>
    <w:p>
      <w:pPr>
        <w:spacing w:after="0" w:line="6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or Paid</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w w:val="90"/>
              </w:rPr>
              <w:t>in Cash</w:t>
            </w:r>
          </w:p>
        </w:tc>
        <w:tc>
          <w:tcPr>
            <w:tcW w:w="7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John Ross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99,000</w:t>
            </w:r>
          </w:p>
        </w:tc>
        <w:tc>
          <w:tcPr>
            <w:tcW w:w="134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$99,000</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34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$94,000</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entered into by and between us and the Adviser and the Administration Agreement entered into between us and the Adviser.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32"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special situations and credit platform. TSSP had over $6 billion of assets under management as of September 30, 2013. TSSP has extensive experience with highly complex, global public and private investments executed through primary originations, secondary market purchases and restructurings, and has a team of 81 investment and operating professionals. Eighteen of these personnel are dedicated to our business, including 14 investment professionals. The TSSP members of the Investment Review Committee are Joshua Easterly, Michael Fishman, Alan Waxman and David Stiepleman.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TPG is a leading global private investment firm founded in 1992 with over $55 billion of assets under management as of September 30, 2013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September 30, 2013, our Adviser owned 6.4% of our common stock and had committed $100 million in equity capital under a subscription agreement like those entered into with our existing investors. See “Related-Party Transactions and Certain Relationships” and “Control Persons and Principal Stockholders.”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1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amended on December 12,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90"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equityholder;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the Investment Advisory Agreement, we pay the Adviser the Management Fee and may also pay certain Incentive Fees.</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quarterly periods ended September 30, 2011 and June 30, 2011, the Management Fee was calculated at an annual rate of 1.5% based on the value of our gross assets, which equals total assets before deduction of any liabilities, at the end of that calendar quarter, adjusted for share issuances and repurchases during that period. Beginning October 1, 2011, the Management Fee has been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Prior to the completion of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the completion of this IPO, the Adviser does not intend to waive its right to receive the full Management Fee.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120" w:hanging="446"/>
        <w:spacing w:after="0" w:line="256"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 increase from 15% prior to this IPO and for the quarter in which this IPO is completed) and for pre-Incentive fee net investment income in excess of 1.82% quarterly,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318" w:lineRule="auto"/>
        <w:rPr>
          <w:sz w:val="20"/>
          <w:szCs w:val="20"/>
          <w:color w:val="auto"/>
        </w:rPr>
      </w:pPr>
      <w:r>
        <w:rPr>
          <w:rFonts w:ascii="Arial" w:cs="Arial" w:eastAsia="Arial" w:hAnsi="Arial"/>
          <w:sz w:val="15"/>
          <w:szCs w:val="15"/>
          <w:color w:val="auto"/>
        </w:rPr>
        <w:t>17.5% of all remaining pre-Incentive Fee net investment income for that quarter (an increase from 15% prior to the completion of this IPO and for the quarter in which this IPO is completed). The 100% “catch-up” provision for pre-Incentive Fee net investment income in excess of the 1.5% “hurdle rate” (6.0%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9" w:lineRule="exact"/>
        <w:rPr>
          <w:sz w:val="20"/>
          <w:szCs w:val="20"/>
          <w:color w:val="auto"/>
        </w:rPr>
      </w:pPr>
    </w:p>
    <w:p>
      <w:pPr>
        <w:ind w:left="900" w:right="18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hanging="446"/>
        <w:spacing w:after="0" w:line="286"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this IPO is completed equals 15%, and following the completion of this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 Fee for prior periods. For capital gains that accrue following the end of the quarter in which this IPO is completed, the Incentive Fee rate will be 17.5%. The weighted percentage is intended to ensure that for each fiscal year following the completion of this IPO, the portion of our realized capital gains that accrued prior to the end of the quarter in which this IPO is completed will be subject to an Incentive Fee rate of 15% and the portion of our realized capital gains that accrued following the end of the quarter in which this IPO is completed will be subject to an Incentive Fee rate of 17.5%. Although unrealized gains that occur after the quarter in which the IPO occurs will lead to a higher fee accruing for such future unrealized gains than would have accrued prior to the IPO, at the date of the IPO, no additional amounts will accrue because the increase in the Incentive Fee rate to 17.5% does not apply to any unrealized gains accrued on our books through the date of the IPO. The increase in fee rate will also cause a reduction in net asset value in the periods after the quarter in which the IPO occurs for the same reason.</w:t>
      </w:r>
    </w:p>
    <w:p>
      <w:pPr>
        <w:spacing w:after="0" w:line="12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32"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Following this IPO,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Prior to the completion of this IPO, if cumulative net realized losses from our inception exceeded the aggregate dollar amount of dividends paid by us through that date, the Adviser would forgo the right to receive its quarterly Incentive Fee payments with respect to pre-Incentive Fee net investment income until the time that cumulative net realized losses were less than or equal to the aggregate amount of dividend payments. Cumulative net realized losses from our inception have not exceeded the aggregate dollar amount of dividends paid by us. The Adviser does not intend to continue forgoing its right to this fee following the completion of this IPO.</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November 5, 2013, the Board renewed the Investment Advisory Agreement. Unless earlier terminated,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but will no longer apply following this IPO.</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On November 5, 2013, the Board renewed the Administration Agreement. Unless earlier terminated, the Administration Agreement will remain in effect until November 5, 2014, and may be extended subject to required approvals. The Administration Agreement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327" w:lineRule="exact"/>
        <w:rPr>
          <w:sz w:val="20"/>
          <w:szCs w:val="20"/>
          <w:color w:val="auto"/>
        </w:rPr>
      </w:pPr>
    </w:p>
    <w:p>
      <w:pPr>
        <w:ind w:left="460" w:right="3560" w:firstLine="3097"/>
        <w:spacing w:after="0" w:line="604" w:lineRule="auto"/>
        <w:rPr>
          <w:sz w:val="20"/>
          <w:szCs w:val="20"/>
          <w:color w:val="auto"/>
        </w:rPr>
      </w:pPr>
      <w:r>
        <w:rPr>
          <w:rFonts w:ascii="Arial" w:cs="Arial" w:eastAsia="Arial" w:hAnsi="Arial"/>
          <w:sz w:val="15"/>
          <w:szCs w:val="15"/>
          <w:b w:val="1"/>
          <w:bCs w:val="1"/>
          <w:color w:val="auto"/>
        </w:rPr>
        <w:t xml:space="preserve">Quarterly Incentive Fee Based on Net Investment Income </w:t>
      </w:r>
      <w:r>
        <w:rPr>
          <w:rFonts w:ascii="Arial" w:cs="Arial" w:eastAsia="Arial" w:hAnsi="Arial"/>
          <w:sz w:val="15"/>
          <w:szCs w:val="15"/>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-35560</wp:posOffset>
            </wp:positionV>
            <wp:extent cx="4587875" cy="814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878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88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0.513%</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3"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example assumes that this IPO of our common stock has occurred.</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hypothetical amount of pre-Incentive Fee net investment income shown is based on a percentage of total net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right="10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1: $10 million investment made in Company A (“</w:t>
      </w:r>
      <w:r>
        <w:rPr>
          <w:rFonts w:ascii="Arial" w:cs="Arial" w:eastAsia="Arial" w:hAnsi="Arial"/>
          <w:sz w:val="18"/>
          <w:szCs w:val="18"/>
          <w:u w:val="single" w:color="auto"/>
          <w:color w:val="auto"/>
        </w:rPr>
        <w:t>Investment A</w:t>
      </w:r>
      <w:r>
        <w:rPr>
          <w:rFonts w:ascii="Arial" w:cs="Arial" w:eastAsia="Arial" w:hAnsi="Arial"/>
          <w:sz w:val="18"/>
          <w:szCs w:val="18"/>
          <w:color w:val="auto"/>
        </w:rPr>
        <w:t>”), $10 million investment made in Company B (“</w:t>
      </w:r>
      <w:r>
        <w:rPr>
          <w:rFonts w:ascii="Arial" w:cs="Arial" w:eastAsia="Arial" w:hAnsi="Arial"/>
          <w:sz w:val="18"/>
          <w:szCs w:val="18"/>
          <w:u w:val="single" w:color="auto"/>
          <w:color w:val="auto"/>
        </w:rPr>
        <w:t>Investment B</w:t>
      </w:r>
      <w:r>
        <w:rPr>
          <w:rFonts w:ascii="Arial" w:cs="Arial" w:eastAsia="Arial" w:hAnsi="Arial"/>
          <w:sz w:val="18"/>
          <w:szCs w:val="18"/>
          <w:color w:val="auto"/>
        </w:rPr>
        <w:t>”), $10 million investment made in Company C (“</w:t>
      </w:r>
      <w:r>
        <w:rPr>
          <w:rFonts w:ascii="Arial" w:cs="Arial" w:eastAsia="Arial" w:hAnsi="Arial"/>
          <w:sz w:val="18"/>
          <w:szCs w:val="18"/>
          <w:u w:val="single" w:color="auto"/>
          <w:color w:val="auto"/>
        </w:rPr>
        <w:t>Investment C</w:t>
      </w:r>
      <w:r>
        <w:rPr>
          <w:rFonts w:ascii="Arial" w:cs="Arial" w:eastAsia="Arial" w:hAnsi="Arial"/>
          <w:sz w:val="18"/>
          <w:szCs w:val="18"/>
          <w:color w:val="auto"/>
        </w:rPr>
        <w:t>”), $10 million investment made in Company D (“</w:t>
      </w:r>
      <w:r>
        <w:rPr>
          <w:rFonts w:ascii="Arial" w:cs="Arial" w:eastAsia="Arial" w:hAnsi="Arial"/>
          <w:sz w:val="18"/>
          <w:szCs w:val="18"/>
          <w:u w:val="single" w:color="auto"/>
          <w:color w:val="auto"/>
        </w:rPr>
        <w:t>Investment D</w:t>
      </w:r>
      <w:r>
        <w:rPr>
          <w:rFonts w:ascii="Arial" w:cs="Arial" w:eastAsia="Arial" w:hAnsi="Arial"/>
          <w:sz w:val="18"/>
          <w:szCs w:val="18"/>
          <w:color w:val="auto"/>
        </w:rPr>
        <w:t>”) and $10 million investment made in Company E (“</w:t>
      </w:r>
      <w:r>
        <w:rPr>
          <w:rFonts w:ascii="Arial" w:cs="Arial" w:eastAsia="Arial" w:hAnsi="Arial"/>
          <w:sz w:val="18"/>
          <w:szCs w:val="18"/>
          <w:u w:val="single" w:color="auto"/>
          <w:color w:val="auto"/>
        </w:rPr>
        <w:t>Investment E</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78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5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4"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Year 4: $10 million investment made in Company F (“</w:t>
      </w:r>
      <w:r>
        <w:rPr>
          <w:rFonts w:ascii="Arial" w:cs="Arial" w:eastAsia="Arial" w:hAnsi="Arial"/>
          <w:sz w:val="16"/>
          <w:szCs w:val="16"/>
          <w:u w:val="single" w:color="auto"/>
          <w:color w:val="auto"/>
        </w:rPr>
        <w:t>Investment F</w:t>
      </w:r>
      <w:r>
        <w:rPr>
          <w:rFonts w:ascii="Arial" w:cs="Arial" w:eastAsia="Arial" w:hAnsi="Arial"/>
          <w:sz w:val="16"/>
          <w:szCs w:val="16"/>
          <w:color w:val="auto"/>
        </w:rPr>
        <w:t>”), Investment D sold for $12 million, FMV of Investment B determined to be $10 million, FMV of Investment C determined to be $16 million and FMV of Investment E determined to be $14 million.</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summarized in the following chart: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w w:val="84"/>
              </w:rPr>
              <w:t>Cumulative</w:t>
            </w:r>
          </w:p>
        </w:tc>
        <w:tc>
          <w:tcPr>
            <w:tcW w:w="104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3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3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B</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D</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E</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F</w:t>
            </w:r>
          </w:p>
        </w:tc>
        <w:tc>
          <w:tcPr>
            <w:tcW w:w="3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4"/>
              </w:rPr>
              <w:t>Depreciation</w:t>
            </w: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34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million</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(cost</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basis)</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2</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million</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(sale</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3 (IPO)</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at IPO</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IPO</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4</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$16</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(sale</w:t>
            </w: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(cost</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basis)</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price)</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6</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(sale</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7</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8</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$18</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million</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(sale</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2"/>
          </w:tcPr>
          <w:p>
            <w:pPr>
              <w:jc w:val="right"/>
              <w:ind w:right="475"/>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capital gains portion of the Incentive Fee would be:</w:t>
      </w:r>
    </w:p>
    <w:p>
      <w:pPr>
        <w:spacing w:after="0" w:line="90"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2:</w:t>
      </w:r>
    </w:p>
    <w:p>
      <w:pPr>
        <w:spacing w:after="0" w:line="171" w:lineRule="exact"/>
        <w:rPr>
          <w:sz w:val="20"/>
          <w:szCs w:val="20"/>
          <w:color w:val="auto"/>
        </w:rPr>
      </w:pPr>
    </w:p>
    <w:p>
      <w:pPr>
        <w:ind w:left="1500" w:right="420"/>
        <w:spacing w:after="0" w:line="268"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172"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Year 3:</w:t>
      </w:r>
    </w:p>
    <w:p>
      <w:pPr>
        <w:spacing w:after="0" w:line="90"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85" w:lineRule="exact"/>
        <w:rPr>
          <w:sz w:val="20"/>
          <w:szCs w:val="20"/>
          <w:color w:val="auto"/>
        </w:rPr>
      </w:pPr>
    </w:p>
    <w:p>
      <w:pPr>
        <w:ind w:left="1500" w:right="60"/>
        <w:spacing w:after="0" w:line="268"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4:</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5:</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5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6:</w:t>
      </w:r>
    </w:p>
    <w:p>
      <w:pPr>
        <w:spacing w:after="0" w:line="171"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85"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7:</w:t>
      </w:r>
    </w:p>
    <w:p>
      <w:pPr>
        <w:spacing w:after="0" w:line="171" w:lineRule="exact"/>
        <w:rPr>
          <w:sz w:val="20"/>
          <w:szCs w:val="20"/>
          <w:color w:val="auto"/>
        </w:rPr>
      </w:pPr>
    </w:p>
    <w:p>
      <w:pPr>
        <w:ind w:left="15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6"/>
          <w:szCs w:val="16"/>
          <w:b w:val="1"/>
          <w:bCs w:val="1"/>
          <w:color w:val="auto"/>
        </w:rPr>
        <w:t>$0.00</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240" w:top="459" w:right="4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8:</w:t>
      </w:r>
    </w:p>
    <w:p>
      <w:pPr>
        <w:spacing w:after="0" w:line="171" w:lineRule="exact"/>
        <w:rPr>
          <w:sz w:val="20"/>
          <w:szCs w:val="20"/>
          <w:color w:val="auto"/>
        </w:rPr>
      </w:pPr>
    </w:p>
    <w:p>
      <w:pPr>
        <w:ind w:left="1500" w:right="20"/>
        <w:spacing w:after="0" w:line="33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85"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90"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60"/>
          </w:cols>
          <w:pgMar w:left="240" w:top="459" w:right="3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33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upon at least 60 days’ written notice to the other party. The holders of a majority of our outstanding voting securities may also terminate each agreement without penalty upon not less than 60 days’ written notice. See “Risk Factors— Risks Related to Our Business and Structure—We are dependent upon management personnel of the Adviser for our future success.”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this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each of whom we refer to as an Indemnitee,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matter has been settled, arising by reason of willful misfeasance, bad faith, gross negligence, or reckless disregard of duties) and require reasonable and fair means for determining whether indemnification will be made.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26"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information about the services to be performed and the personnel performing those services under the Investment Advisory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2,321,458 shares, or 6.4%, of our common stock as of September 30, 2013.</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90"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Certain 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TPG and the Adviser were to determine that an investment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 Application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believe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single investment. Currently, in cases where the Adviser identifies larger capital commitments that otherwise would be attractive investment opportunities, the Adviser must seek the participation of non-affiliated entities with similar investment mandates. The availability of co-investments with other funds affiliated with TSSP and TPG would alleviate some of that necessity. The affiliates with which we would be able to co-invest if the SEC grants our exemptive relief request are funds that would be investment companies but for Sections 3(c)(1), 3(c)(5) or 3(c)(7) of the 1940 Act and are managed by an investment adviser registered under the Advisers Act. The investment objectives of these funds include investment in secondary distressed or special credit situations across the credit cycle and making significant investments in the equity or debt of operating companies through acquisitions, as well as other similar objectives and strategies.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 If we did not obtain the requested exemptive relief, allocations would be determined in the same manner as described in this paragraph. Middle-market loan origination opportunities would still be required to be allocated to us and the Adviser would still make an independent determination of the appropriateness of the investment for us and, if relevant, the appropriate size. The only difference would be that we would not be permitted to co-invest with other funds affiliated with TSSP and TPG, so in cases where the origination opportunity required a larger commitment than our Adviser deemed to be an attractive investment opportunity, we would have to seek co-investment from funds not affiliated with TSSP or TPG to make the investment.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however, when or whether the SEC will grant the requested exemptive relief.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of our current directors and officers are directors or officers of the Adviser or its affiliates. See “Management—Biographical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Immediately prior to the completion of this offering there will be shares of common stock issued and outstanding and 56 stockholders of record. The following table sets forth certain ownership information as indicated in our books and records of each current director, our executive officers, the executive officers and directors as a group, and each person known to us to beneficially own 5% or more of the outstanding shares of our common stock. To our knowledge, except as indicated in the footnotes to the table, each of the stockholders listed below has sole voting or investment power with respect to shares beneficially owned by such stockholder. 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Unless otherwise indicated by footnote, the address for each listed individual is 301 Commerce Street, Suite 3300, Fort Worth, TX 76102.</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Individual or Identity of Group</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6465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Interested Directors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Joshua Easterly</w:t>
      </w:r>
      <w:r>
        <w:rPr>
          <w:rFonts w:ascii="Arial" w:cs="Arial" w:eastAsia="Arial" w:hAnsi="Arial"/>
          <w:sz w:val="11"/>
          <w:szCs w:val="11"/>
          <w:color w:val="auto"/>
        </w:rPr>
        <w:t>(2)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Fishman</w:t>
      </w:r>
      <w:r>
        <w:rPr>
          <w:rFonts w:ascii="Arial" w:cs="Arial" w:eastAsia="Arial" w:hAnsi="Arial"/>
          <w:sz w:val="11"/>
          <w:szCs w:val="11"/>
          <w:color w:val="auto"/>
        </w:rPr>
        <w:t>(3)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Richard Higginbotham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Ross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Ronald Tanemura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Ronald Cami</w:t>
      </w:r>
      <w:r>
        <w:rPr>
          <w:rFonts w:ascii="Arial" w:cs="Arial" w:eastAsia="Arial" w:hAnsi="Arial"/>
          <w:sz w:val="11"/>
          <w:szCs w:val="11"/>
          <w:color w:val="auto"/>
        </w:rPr>
        <w:t>(4)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Alan Kirshenbaum</w:t>
      </w:r>
      <w:r>
        <w:rPr>
          <w:rFonts w:ascii="Arial" w:cs="Arial" w:eastAsia="Arial" w:hAnsi="Arial"/>
          <w:sz w:val="11"/>
          <w:szCs w:val="11"/>
          <w:color w:val="auto"/>
        </w:rPr>
        <w:t>(5)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Jennifer Mello</w:t>
      </w:r>
      <w:r>
        <w:rPr>
          <w:rFonts w:ascii="Arial" w:cs="Arial" w:eastAsia="Arial" w:hAnsi="Arial"/>
          <w:sz w:val="11"/>
          <w:szCs w:val="11"/>
          <w:color w:val="auto"/>
        </w:rPr>
        <w:t>(6)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Steven Pluss</w:t>
      </w:r>
      <w:r>
        <w:rPr>
          <w:rFonts w:ascii="Arial" w:cs="Arial" w:eastAsia="Arial" w:hAnsi="Arial"/>
          <w:sz w:val="11"/>
          <w:szCs w:val="11"/>
          <w:color w:val="auto"/>
        </w:rPr>
        <w:t>(7)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Reintjes</w:t>
      </w:r>
      <w:r>
        <w:rPr>
          <w:rFonts w:ascii="Arial" w:cs="Arial" w:eastAsia="Arial" w:hAnsi="Arial"/>
          <w:sz w:val="11"/>
          <w:szCs w:val="11"/>
          <w:color w:val="auto"/>
        </w:rPr>
        <w:t>(8)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Stiepleman</w:t>
      </w:r>
      <w:r>
        <w:rPr>
          <w:rFonts w:ascii="Arial" w:cs="Arial" w:eastAsia="Arial" w:hAnsi="Arial"/>
          <w:sz w:val="11"/>
          <w:szCs w:val="11"/>
          <w:color w:val="auto"/>
        </w:rPr>
        <w:t>(9)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Alan Waxman</w:t>
      </w:r>
      <w:r>
        <w:rPr>
          <w:rFonts w:ascii="Arial" w:cs="Arial" w:eastAsia="Arial" w:hAnsi="Arial"/>
          <w:sz w:val="11"/>
          <w:szCs w:val="11"/>
          <w:color w:val="auto"/>
        </w:rPr>
        <w:t>(10)</w:t>
      </w:r>
    </w:p>
    <w:p>
      <w:pPr>
        <w:spacing w:after="0" w:line="9" w:lineRule="exact"/>
        <w:rPr>
          <w:sz w:val="20"/>
          <w:szCs w:val="20"/>
          <w:color w:val="auto"/>
        </w:rPr>
      </w:pPr>
    </w:p>
    <w:p>
      <w:pPr>
        <w:ind w:left="1080" w:right="260" w:hanging="215"/>
        <w:spacing w:after="0" w:line="250" w:lineRule="auto"/>
        <w:rPr>
          <w:sz w:val="20"/>
          <w:szCs w:val="20"/>
          <w:color w:val="auto"/>
        </w:rPr>
      </w:pPr>
      <w:r>
        <w:rPr>
          <w:rFonts w:ascii="Arial" w:cs="Arial" w:eastAsia="Arial" w:hAnsi="Arial"/>
          <w:sz w:val="18"/>
          <w:szCs w:val="18"/>
          <w:b w:val="1"/>
          <w:bCs w:val="1"/>
          <w:color w:val="auto"/>
        </w:rPr>
        <w:t>All Directors and Named Executive Officers as a Group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Five-Percent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MSSB TPG Specialty Lending Onshore Feeder Fund</w:t>
      </w:r>
      <w:r>
        <w:rPr>
          <w:rFonts w:ascii="Arial" w:cs="Arial" w:eastAsia="Arial" w:hAnsi="Arial"/>
          <w:sz w:val="11"/>
          <w:szCs w:val="11"/>
          <w:color w:val="auto"/>
        </w:rPr>
        <w:t>(11)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New Jersey Common Pension Fund B</w:t>
      </w:r>
      <w:r>
        <w:rPr>
          <w:rFonts w:ascii="Arial" w:cs="Arial" w:eastAsia="Arial" w:hAnsi="Arial"/>
          <w:sz w:val="11"/>
          <w:szCs w:val="11"/>
          <w:color w:val="auto"/>
        </w:rPr>
        <w:t>(12)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1"/>
          <w:szCs w:val="11"/>
          <w:color w:val="auto"/>
        </w:rPr>
        <w:t>(13)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Funds</w:t>
      </w:r>
      <w:r>
        <w:rPr>
          <w:rFonts w:ascii="Arial" w:cs="Arial" w:eastAsia="Arial" w:hAnsi="Arial"/>
          <w:sz w:val="11"/>
          <w:szCs w:val="11"/>
          <w:color w:val="auto"/>
        </w:rPr>
        <w:t>(10)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 Public Employees Retirement Fund</w:t>
      </w:r>
      <w:r>
        <w:rPr>
          <w:rFonts w:ascii="Arial" w:cs="Arial" w:eastAsia="Arial" w:hAnsi="Arial"/>
          <w:sz w:val="11"/>
          <w:szCs w:val="11"/>
          <w:color w:val="auto"/>
        </w:rPr>
        <w:t>(14)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Teachers Retirement System of Ohio</w:t>
      </w:r>
      <w:r>
        <w:rPr>
          <w:rFonts w:ascii="Arial" w:cs="Arial" w:eastAsia="Arial" w:hAnsi="Arial"/>
          <w:sz w:val="11"/>
          <w:szCs w:val="11"/>
          <w:color w:val="auto"/>
        </w:rPr>
        <w:t>(15)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Arizona State Retirement System</w:t>
      </w:r>
      <w:r>
        <w:rPr>
          <w:rFonts w:ascii="Arial" w:cs="Arial" w:eastAsia="Arial" w:hAnsi="Arial"/>
          <w:sz w:val="11"/>
          <w:szCs w:val="11"/>
          <w:color w:val="auto"/>
        </w:rPr>
        <w:t>(16)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Silver Creek Group</w:t>
      </w:r>
      <w:r>
        <w:rPr>
          <w:rFonts w:ascii="Arial" w:cs="Arial" w:eastAsia="Arial" w:hAnsi="Arial"/>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Percentage of Common Stock Outstanding</w:t>
            </w:r>
          </w:p>
        </w:tc>
        <w:tc>
          <w:tcPr>
            <w:tcW w:w="640" w:type="dxa"/>
            <w:vAlign w:val="bottom"/>
            <w:tcBorders>
              <w:bottom w:val="single" w:sz="8" w:color="auto"/>
            </w:tcBorders>
          </w:tcPr>
          <w:p>
            <w:pPr>
              <w:spacing w:after="0"/>
              <w:rPr>
                <w:sz w:val="14"/>
                <w:szCs w:val="14"/>
                <w:color w:val="auto"/>
              </w:rPr>
            </w:pPr>
          </w:p>
        </w:tc>
      </w:tr>
      <w:tr>
        <w:trPr>
          <w:trHeight w:val="115"/>
        </w:trPr>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0" w:type="dxa"/>
            <w:vAlign w:val="bottom"/>
            <w:gridSpan w:val="4"/>
          </w:tcPr>
          <w:p>
            <w:pPr>
              <w:jc w:val="center"/>
              <w:spacing w:after="0" w:line="115" w:lineRule="exact"/>
              <w:rPr>
                <w:sz w:val="20"/>
                <w:szCs w:val="20"/>
                <w:color w:val="auto"/>
              </w:rPr>
            </w:pPr>
            <w:r>
              <w:rPr>
                <w:rFonts w:ascii="Arial" w:cs="Arial" w:eastAsia="Arial" w:hAnsi="Arial"/>
                <w:sz w:val="12"/>
                <w:szCs w:val="12"/>
                <w:b w:val="1"/>
                <w:bCs w:val="1"/>
                <w:color w:val="auto"/>
              </w:rPr>
              <w:t>Immediately Prior to This</w:t>
            </w:r>
          </w:p>
        </w:tc>
        <w:tc>
          <w:tcPr>
            <w:tcW w:w="660" w:type="dxa"/>
            <w:vAlign w:val="bottom"/>
          </w:tcPr>
          <w:p>
            <w:pPr>
              <w:spacing w:after="0"/>
              <w:rPr>
                <w:sz w:val="10"/>
                <w:szCs w:val="10"/>
                <w:color w:val="auto"/>
              </w:rPr>
            </w:pPr>
          </w:p>
        </w:tc>
        <w:tc>
          <w:tcPr>
            <w:tcW w:w="198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rPr>
              <w:t>Immediately After This</w:t>
            </w:r>
          </w:p>
        </w:tc>
      </w:tr>
      <w:tr>
        <w:trPr>
          <w:trHeight w:val="176"/>
        </w:trPr>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652"/>
              <w:spacing w:after="0"/>
              <w:rPr>
                <w:sz w:val="20"/>
                <w:szCs w:val="20"/>
                <w:color w:val="auto"/>
              </w:rPr>
            </w:pPr>
            <w:r>
              <w:rPr>
                <w:rFonts w:ascii="Arial" w:cs="Arial" w:eastAsia="Arial" w:hAnsi="Arial"/>
                <w:sz w:val="14"/>
                <w:szCs w:val="14"/>
                <w:b w:val="1"/>
                <w:bCs w:val="1"/>
                <w:color w:val="auto"/>
                <w:w w:val="88"/>
              </w:rPr>
              <w:t>Offering</w:t>
            </w:r>
          </w:p>
        </w:tc>
        <w:tc>
          <w:tcPr>
            <w:tcW w:w="6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Offering</w:t>
            </w:r>
            <w:r>
              <w:rPr>
                <w:rFonts w:ascii="Arial" w:cs="Arial" w:eastAsia="Arial" w:hAnsi="Arial"/>
                <w:sz w:val="20"/>
                <w:szCs w:val="20"/>
                <w:b w:val="1"/>
                <w:bCs w:val="1"/>
                <w:color w:val="auto"/>
                <w:w w:val="92"/>
                <w:vertAlign w:val="superscript"/>
              </w:rPr>
              <w:t>(1)</w:t>
            </w:r>
          </w:p>
        </w:tc>
        <w:tc>
          <w:tcPr>
            <w:tcW w:w="640" w:type="dxa"/>
            <w:vAlign w:val="bottom"/>
            <w:tcBorders>
              <w:bottom w:val="single" w:sz="8" w:color="auto"/>
            </w:tcBorders>
          </w:tcPr>
          <w:p>
            <w:pPr>
              <w:spacing w:after="0"/>
              <w:rPr>
                <w:sz w:val="15"/>
                <w:szCs w:val="15"/>
                <w:color w:val="auto"/>
              </w:rPr>
            </w:pPr>
          </w:p>
        </w:tc>
      </w:tr>
      <w:tr>
        <w:trPr>
          <w:trHeight w:val="129"/>
        </w:trPr>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jc w:val="center"/>
              <w:ind w:right="617"/>
              <w:spacing w:after="0" w:line="129"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spacing w:after="0"/>
              <w:rPr>
                <w:sz w:val="11"/>
                <w:szCs w:val="11"/>
                <w:color w:val="auto"/>
              </w:rPr>
            </w:pPr>
          </w:p>
        </w:tc>
      </w:tr>
      <w:tr>
        <w:trPr>
          <w:trHeight w:val="149"/>
        </w:trPr>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Type of</w:t>
            </w:r>
          </w:p>
        </w:tc>
        <w:tc>
          <w:tcPr>
            <w:tcW w:w="1380" w:type="dxa"/>
            <w:vAlign w:val="bottom"/>
            <w:gridSpan w:val="3"/>
          </w:tcPr>
          <w:p>
            <w:pPr>
              <w:jc w:val="center"/>
              <w:ind w:left="552"/>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40" w:type="dxa"/>
            <w:vAlign w:val="bottom"/>
          </w:tcPr>
          <w:p>
            <w:pPr>
              <w:spacing w:after="0"/>
              <w:rPr>
                <w:sz w:val="12"/>
                <w:szCs w:val="12"/>
                <w:color w:val="auto"/>
              </w:rPr>
            </w:pPr>
          </w:p>
        </w:tc>
      </w:tr>
      <w:tr>
        <w:trPr>
          <w:trHeight w:val="16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Percentage</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68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-8255</wp:posOffset>
            </wp:positionV>
            <wp:extent cx="72466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266065</wp:posOffset>
            </wp:positionV>
            <wp:extent cx="72466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540385</wp:posOffset>
            </wp:positionV>
            <wp:extent cx="72466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814705</wp:posOffset>
            </wp:positionV>
            <wp:extent cx="72466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1089025</wp:posOffset>
            </wp:positionV>
            <wp:extent cx="72466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1363345</wp:posOffset>
            </wp:positionV>
            <wp:extent cx="72466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1637665</wp:posOffset>
            </wp:positionV>
            <wp:extent cx="72466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1912620</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2186940</wp:posOffset>
            </wp:positionV>
            <wp:extent cx="7246620" cy="274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2598420</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2872740</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3147060</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3422015</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960" w:lineRule="exact"/>
        <w:rPr>
          <w:sz w:val="20"/>
          <w:szCs w:val="20"/>
          <w:color w:val="auto"/>
        </w:rPr>
      </w:pPr>
    </w:p>
    <w:p>
      <w:pPr>
        <w:sectPr>
          <w:pgSz w:w="11900" w:h="16838" w:orient="portrait"/>
          <w:cols w:equalWidth="0" w:num="2">
            <w:col w:w="4760" w:space="720"/>
            <w:col w:w="5940"/>
          </w:cols>
          <w:pgMar w:left="240" w:top="459" w:right="239" w:bottom="1440" w:gutter="0" w:footer="0" w:header="0"/>
          <w:type w:val="continuous"/>
        </w:sect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5" w:lineRule="exact"/>
        <w:rPr>
          <w:sz w:val="20"/>
          <w:szCs w:val="20"/>
          <w:color w:val="auto"/>
        </w:rPr>
      </w:pPr>
    </w:p>
    <w:p>
      <w:pPr>
        <w:spacing w:after="0"/>
        <w:tabs>
          <w:tab w:leader="none" w:pos="440" w:val="left"/>
          <w:tab w:leader="none" w:pos="2740" w:val="left"/>
        </w:tabs>
        <w:rPr>
          <w:sz w:val="20"/>
          <w:szCs w:val="20"/>
          <w:color w:val="auto"/>
        </w:rPr>
      </w:pPr>
      <w:r>
        <w:rPr>
          <w:rFonts w:ascii="Arial" w:cs="Arial" w:eastAsia="Arial" w:hAnsi="Arial"/>
          <w:sz w:val="18"/>
          <w:szCs w:val="18"/>
          <w:color w:val="auto"/>
        </w:rPr>
        <w:t>(1)</w:t>
        <w:tab/>
        <w:t>Based on the issuance of</w:t>
      </w:r>
      <w:r>
        <w:rPr>
          <w:sz w:val="20"/>
          <w:szCs w:val="20"/>
          <w:color w:val="auto"/>
        </w:rPr>
        <w:tab/>
      </w:r>
      <w:r>
        <w:rPr>
          <w:rFonts w:ascii="Arial" w:cs="Arial" w:eastAsia="Arial" w:hAnsi="Arial"/>
          <w:sz w:val="15"/>
          <w:szCs w:val="15"/>
          <w:color w:val="auto"/>
        </w:rPr>
        <w:t>shares offered by this prospectus.</w:t>
      </w:r>
    </w:p>
    <w:p>
      <w:pPr>
        <w:spacing w:after="0" w:line="9" w:lineRule="exact"/>
        <w:rPr>
          <w:sz w:val="20"/>
          <w:szCs w:val="20"/>
          <w:color w:val="auto"/>
        </w:rPr>
      </w:pPr>
    </w:p>
    <w:p>
      <w:pPr>
        <w:ind w:left="460" w:right="320" w:hanging="452"/>
        <w:spacing w:after="0" w:line="323"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Mr. Easterly is a TPG and TSSP Partner. TPG and TSSP are affiliated with Tarrant and Group Advisors (both as defined below). Mr. Easterly disclaims beneficial ownership of the shares that are or may be beneficially owned by Tarrant, Group Advisors or any of its affiliates.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54"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Fishman is employed by the Adviser, which is affiliated with Tarrant and Group Advisors. Mr. Fishman disclaims beneficial ownership of the shares that are or may be beneficially owned by Tarrant, Group Advisors or any of its affiliates.</w:t>
      </w:r>
    </w:p>
    <w:p>
      <w:pPr>
        <w:ind w:left="46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Cami is a TPG Partner. Mr. Cami disclaims beneficial ownership of the shares that are or may be beneficially owned by Tarrant, Group Advisors or any of its affiliates.</w:t>
      </w:r>
    </w:p>
    <w:p>
      <w:pPr>
        <w:ind w:left="460" w:right="40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ind w:left="46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Ms. Mello is the General Counsel of TSSP. Ms. Mello disclaims beneficial ownership of the shares that are or may be beneficially owned by Tarrant, Group Advisors or any of its affiliates.</w:t>
      </w:r>
    </w:p>
    <w:p>
      <w:pPr>
        <w:ind w:left="460" w:right="16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Pluss is a TPG and TSSP Partner and the Global Chief Financial Officer and Chief Risk Officer of TSSP. Mr. Pluss disclaims beneficial ownership of the shares that are or may be beneficially owned by Tarrant, Group Advisors or any of its affiliates.</w:t>
      </w:r>
    </w:p>
    <w:p>
      <w:pPr>
        <w:ind w:left="460" w:right="16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Reintjes is both TSL’s and TPG’s Chief Compliance Officer. Mr. Reintjes disclaims beneficial ownership of the shares that are or may be beneficially owned by Tarrant, Group Advisors or any of its affiliates.</w:t>
      </w:r>
    </w:p>
    <w:p>
      <w:pPr>
        <w:ind w:left="460" w:right="10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Stiepleman is a TPG and TSSP Partner. Mr. Stiepleman disclaims beneficial ownership of the shares that are or may be beneficially owned by Tarrant, Group Advisors or any of its affiliates.</w:t>
      </w:r>
    </w:p>
    <w:p>
      <w:pPr>
        <w:ind w:left="460" w:right="200" w:hanging="452"/>
        <w:spacing w:after="0" w:line="302"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common stock held by the TPG Funds (as defined below) includes (i) 2,604,620 shares of common stock, or the TSL shares, held by our Adviser; (ii) 435,346 shares of common stock, or the TSL FOF Shares, held by TSL FOF, L.P., a Delaware limited partnership, or TSL FOF; and (iii) 66 shares of common stock held by Tarrant Advisors, Inc., a Delaware corporation, or Tarrant, and, together with our Adviser and TSL FOF, the TPG Funds.</w:t>
      </w:r>
    </w:p>
    <w:p>
      <w:pPr>
        <w:spacing w:after="0" w:line="28"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The business and affairs of our Adviser are managed by its board of managers, whose sole members are Messrs. Bonderman, Coulter and Waxman. Any decision or determination by the board of managers requires the approval of each of Messrs. Bonderman, Coulter and Waxman.</w:t>
      </w:r>
    </w:p>
    <w:p>
      <w:pPr>
        <w:spacing w:after="0" w:line="4"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our Adviser. Because of the relationship between Holdings II Sub and our Adviser, Group Advisors may be deemed to beneficially own the TSL Shares. The principal business of Group Advisors is serving as the sole ultimate general partner, managing member or similar entity of related entities (including our Adviser) engaged in making or recommending investments in securities of public and private companies.</w:t>
      </w:r>
    </w:p>
    <w:p>
      <w:pPr>
        <w:spacing w:after="0" w:line="39"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our Adviser. Because of the investment by Equity Partners in our Adviser, Tarrant Capital may be deemed to beneficially own 2,206,629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Capital,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Our Adviser is required to solicit voting instructions from Equity Partners and Holdings II Sub in respect of the shares of common stock beneficially owned by Equity Partners and Holdings II Sub, respectively, in connection with any matter on which our Adviser is entitled to vote the TSL Shares. Our Adviser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our Adviser to vote proxies in respect of its TSL Shares proportionately in accordance with such instructions.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283" w:lineRule="auto"/>
        <w:rPr>
          <w:sz w:val="20"/>
          <w:szCs w:val="20"/>
          <w:color w:val="auto"/>
        </w:rPr>
      </w:pPr>
      <w:r>
        <w:rPr>
          <w:rFonts w:ascii="Arial" w:cs="Arial" w:eastAsia="Arial" w:hAnsi="Arial"/>
          <w:sz w:val="16"/>
          <w:szCs w:val="16"/>
          <w:color w:val="auto"/>
        </w:rPr>
        <w:t>Messrs. Bonderman and Coulter are the officers and sole stockholders of each of Tarrant Capital and Group Advisors. As the directors, officers and sole stockholders of Group Advisors, Mr. Bonderman and Mr. Coulter may indirectly issue voting instructions to our Adviser in respect of the shares of common stock beneficially owned by Holdings II Sub.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w:t>
      </w:r>
    </w:p>
    <w:p>
      <w:pPr>
        <w:spacing w:after="0" w:line="2" w:lineRule="exact"/>
        <w:rPr>
          <w:sz w:val="20"/>
          <w:szCs w:val="20"/>
          <w:color w:val="auto"/>
        </w:rPr>
      </w:pPr>
    </w:p>
    <w:p>
      <w:pPr>
        <w:ind w:left="460" w:right="180"/>
        <w:spacing w:after="0" w:line="281" w:lineRule="auto"/>
        <w:rPr>
          <w:sz w:val="20"/>
          <w:szCs w:val="20"/>
          <w:color w:val="auto"/>
        </w:rPr>
      </w:pPr>
      <w:r>
        <w:rPr>
          <w:rFonts w:ascii="Arial" w:cs="Arial" w:eastAsia="Arial" w:hAnsi="Arial"/>
          <w:sz w:val="16"/>
          <w:szCs w:val="16"/>
          <w:color w:val="auto"/>
        </w:rPr>
        <w:t>Mr. Waxman is a member of the board of managers of our Adviser, he may be deemed to beneficially own the TSL Shares. 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spacing w:after="0" w:line="2" w:lineRule="exact"/>
        <w:rPr>
          <w:sz w:val="20"/>
          <w:szCs w:val="20"/>
          <w:color w:val="auto"/>
        </w:rPr>
      </w:pPr>
    </w:p>
    <w:p>
      <w:pPr>
        <w:ind w:left="460" w:hanging="452"/>
        <w:spacing w:after="0" w:line="281"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December 12, 2012, although MSSB Onshore Feeder Fund beneficially owns 76,377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address of the State of New Jersey Common Pension Fund B is New Jersey Division of Investment 50 West State Street, 9th Floor Trenton, NJ 08608.</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Arizona State Retirement System is 3300 N. Central Avenue Phoenix, AZ 85012.</w:t>
      </w:r>
    </w:p>
    <w:p>
      <w:pPr>
        <w:spacing w:after="0" w:line="9"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2013 by Silver Creek Capital Management LLC, Silver Creek Advisory Partners LLC, Silver Creek Special Opportunities Fund III, L.P., Silver Creek Special Opportunities Fund Cayman III, L.P, Silver Creek Credit Opportunities II Fund A, L.P. and Silver Creek Credit Opportunities III Fund B, L.P. (collectively, the Silver Creek Group).</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following completion of the offering. We are not part of a “family of investment companies,” as that term is defined in the 1940 Act.</w:t>
      </w:r>
    </w:p>
    <w:p>
      <w:pPr>
        <w:spacing w:after="0" w:line="14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900" w:type="dxa"/>
            <w:vAlign w:val="bottom"/>
            <w:gridSpan w:val="2"/>
          </w:tcPr>
          <w:p>
            <w:pPr>
              <w:jc w:val="center"/>
              <w:ind w:left="1722"/>
              <w:spacing w:after="0"/>
              <w:rPr>
                <w:sz w:val="20"/>
                <w:szCs w:val="20"/>
                <w:color w:val="auto"/>
              </w:rPr>
            </w:pPr>
            <w:r>
              <w:rPr>
                <w:rFonts w:ascii="Arial" w:cs="Arial" w:eastAsia="Arial" w:hAnsi="Arial"/>
                <w:sz w:val="14"/>
                <w:szCs w:val="14"/>
                <w:b w:val="1"/>
                <w:bCs w:val="1"/>
                <w:color w:val="auto"/>
                <w:w w:val="87"/>
              </w:rPr>
              <w:t>Dollar Range of our Common Stock</w:t>
            </w:r>
          </w:p>
        </w:tc>
      </w:tr>
      <w:tr>
        <w:trPr>
          <w:trHeight w:val="176"/>
        </w:trPr>
        <w:tc>
          <w:tcPr>
            <w:tcW w:w="386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Beneficially Owned</w:t>
            </w:r>
            <w:r>
              <w:rPr>
                <w:rFonts w:ascii="Arial" w:cs="Arial" w:eastAsia="Arial" w:hAnsi="Arial"/>
                <w:sz w:val="20"/>
                <w:szCs w:val="20"/>
                <w:b w:val="1"/>
                <w:bCs w:val="1"/>
                <w:color w:val="auto"/>
                <w:w w:val="90"/>
                <w:vertAlign w:val="superscript"/>
              </w:rPr>
              <w:t>(1)(2)</w:t>
            </w: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18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Joshua Easterly</w:t>
            </w:r>
          </w:p>
        </w:tc>
        <w:tc>
          <w:tcPr>
            <w:tcW w:w="3900" w:type="dxa"/>
            <w:vAlign w:val="bottom"/>
            <w:gridSpan w:val="2"/>
          </w:tcPr>
          <w:p>
            <w:pPr>
              <w:jc w:val="center"/>
              <w:ind w:left="1722"/>
              <w:spacing w:after="0"/>
              <w:rPr>
                <w:sz w:val="20"/>
                <w:szCs w:val="20"/>
                <w:color w:val="auto"/>
              </w:rPr>
            </w:pPr>
            <w:r>
              <w:rPr>
                <w:rFonts w:ascii="Arial" w:cs="Arial" w:eastAsia="Arial" w:hAnsi="Arial"/>
                <w:sz w:val="18"/>
                <w:szCs w:val="18"/>
                <w:color w:val="auto"/>
                <w:w w:val="88"/>
              </w:rPr>
              <w:t>$50,001 -$100,000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Michael Fishman</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18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Richard Higginbotham</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John Ross</w:t>
            </w:r>
          </w:p>
        </w:tc>
        <w:tc>
          <w:tcPr>
            <w:tcW w:w="18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Ronald Tanemura</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5"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September 30, 2013, multiplied by our net asset value per share as of September 30,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thereof will be required to make the determination that we are not selling shares of our common stock at a price below the then current net asset value of our common stock at the time at which the sale is made. Our Board or an authorized committee thereof will consider the following factors, among others, in making such a determination:</w:t>
      </w:r>
    </w:p>
    <w:p>
      <w:pPr>
        <w:spacing w:after="0" w:line="26"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80" w:hanging="325"/>
        <w:spacing w:after="0" w:line="306"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140" w:hanging="325"/>
        <w:spacing w:after="0" w:line="255"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declared by the Board on behalf of investors who do not elect to receive their dividends in cash as provided below. As a result, if the Board authorizes, and we declare, a cash dividend or other distribution, then our stockholders who have not elected to “opt out” of our dividend reinvestment plan will have their cash dividends automatically reinvested in additional common stock as described below.</w:t>
      </w:r>
    </w:p>
    <w:p>
      <w:pPr>
        <w:spacing w:after="0" w:line="14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Following this IPO, the number of shares to be issued to a stockholder under the dividend reinvestment plan will be determined by dividing the total dollar amount of the dividend payable to such stockholder by the market price of our common stock. Market price per share on that date will be the closing price for</w:t>
      </w:r>
    </w:p>
    <w:p>
      <w:pPr>
        <w:ind w:right="20"/>
        <w:spacing w:after="0" w:line="287" w:lineRule="auto"/>
        <w:rPr>
          <w:sz w:val="20"/>
          <w:szCs w:val="20"/>
          <w:color w:val="auto"/>
        </w:rPr>
      </w:pPr>
      <w:r>
        <w:rPr>
          <w:rFonts w:ascii="Arial" w:cs="Arial" w:eastAsia="Arial" w:hAnsi="Arial"/>
          <w:sz w:val="16"/>
          <w:szCs w:val="16"/>
          <w:color w:val="auto"/>
        </w:rPr>
        <w:t>such shares on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 The number of shares to be issued to the stockholder pursuant to the foregoing shall be rounded downward to the nearest whole share to avoid the issuance of fractional shares, with any fractional shares being paid in cash. Subject to the foregoing, for non-U.S. stockholders, the number of shares to be issued to the stockholder shall be the amount equal to the total dollar amount of the dividend payable, net of applicable withholding taxes. We intend to use primarily newly issued shares to implement the plan, whether our shares are trading at a premium or at a discount to net asset value. However, we reserve the right to direct the plan administrator to purchase shares in the open market in connection with our implementation of the plan.</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will be required on the part of a registered stockholder to have its cash dividend or other distribution reinvested in our common stock. A registered stockholder will be able to elect to receive an entire cash dividend in cash by notifying State Street Bank and Trust Company, the plan administrator and our transfer agent and registrar, in writing, so that such notice is received by the plan administrator no later than 10 days prior to the record date for dividends to the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distribution in an amount equal to the total dollar amount of the dividend payable to such stockholder, net of applicable withholding taxes, and then reinvesting that net cash for additional shares of our stock. Such a stockholder is subject to the same U.S. federal income tax consequences as stockholders who elect to receive their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additional shares of stock equal to the total dollar amount of the distribution payable to the stockholder divided by the total numbers of shares issued to such stockholder pursuant to such distribution. The stockholder’s holding period for such stock will commence on the day following the day on which the shares are credited to the stockholder’s account.</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Participants may terminate their accounts under the plan by filling out the transaction request form located at the bottom of their statement and sending it to the plan administrator. Such termination will be effective immediately if the participant’s notice is received by the plan administrator not less than 10 days prior to any dividend or distribution record date; otherwise, such termination will be effective only with respect to any subsequent dividend or distribution.</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All correspondence concerning the plan should be directed to the plan administrator by mail at TPG Specialty Lending Inc., c/o State Street Bank and Trust Company, 1 Lincoln Street, Boston, Massachusetts 02145.</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The following discussion is a summary of material U.S. federal income tax considerations applicable to us and to an investment in shares of our common stock. This summary does not purport to be a complete description of the income tax considerations applicable to such an investment. For example, we have not described tax consequences that may be relevant to certain types of stockholders subject to special treatment under U.S. federal income tax laws, including:</w:t>
      </w:r>
    </w:p>
    <w:p>
      <w:pPr>
        <w:spacing w:after="0" w:line="7"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entities taxed as partnerships and partners therein;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persons holding our stock as part of a “straddle”, “hedge”, “conversion transaction,” “synthetic security” or other integrated investment;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stockholders who have a “functional currency” other than the U.S. dollar.</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summary assumes that investors will hold our common stock as a capital asset, which generally means as property held for investment. The discussion is based upon the Code, U.S.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the IRS, regarding this offering or the statements made and the conclusions reached in this summary and we cannot assure you that the IRS will agree with such statements or conclusions. This summary does not discuss any aspects of:</w:t>
      </w:r>
    </w:p>
    <w:p>
      <w:pPr>
        <w:spacing w:after="0" w:line="35"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U.S. federal estate or gift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foreign, state or local tax; and</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does not address any aspects of the unearned income Medicare contribution tax pursuant to the Health Care and Education Reconciliation Act of 2010.</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discussion under the heading “Material U.S. Federal Income Tax Considerations,” a “U.S. stockholder” is a beneficial owner of shares of our common stock that is for U.S. federal income tax purposes:</w:t>
      </w:r>
    </w:p>
    <w:p>
      <w:pPr>
        <w:spacing w:after="0" w:line="51"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domestic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otherwise subject to U.S. federal income tax on a net income basis in respect of our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taxable earnings that we retain and do not distribute. In addition, certain distributions that we make to our Non-U.S. stockholders may be eligible for look-through tax treatment determined by reference to the earnings from which the distribution is made, for taxable years commencing on or prior to December 31, 2013.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90"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90" w:lineRule="exact"/>
        <w:rPr>
          <w:rFonts w:ascii="Arial" w:cs="Arial" w:eastAsia="Arial" w:hAnsi="Arial"/>
          <w:sz w:val="18"/>
          <w:szCs w:val="18"/>
          <w:color w:val="auto"/>
        </w:rPr>
      </w:pPr>
    </w:p>
    <w:p>
      <w:pPr>
        <w:ind w:left="1480" w:right="240" w:hanging="446"/>
        <w:spacing w:after="0" w:line="306" w:lineRule="auto"/>
        <w:tabs>
          <w:tab w:leader="none" w:pos="14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25" w:lineRule="exact"/>
        <w:rPr>
          <w:rFonts w:ascii="Arial" w:cs="Arial" w:eastAsia="Arial" w:hAnsi="Arial"/>
          <w:sz w:val="16"/>
          <w:szCs w:val="16"/>
          <w:color w:val="auto"/>
        </w:rPr>
      </w:pPr>
    </w:p>
    <w:p>
      <w:pPr>
        <w:ind w:left="1480" w:right="40" w:hanging="446"/>
        <w:spacing w:after="0" w:line="306" w:lineRule="auto"/>
        <w:tabs>
          <w:tab w:leader="none" w:pos="14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of an amount equal to at least 90% of our investment company taxable income (which includes, among other items, dividends, interest, the excess of any net short-term capital gains over net long-term capital losses, as well as other taxable income, excluding any net capital gain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39"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one-year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8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“Distributions”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“Dividend Reinvestment Plan” for a description of our dividend policy and obligations. One or more of the considerations described below, however, could result in the deferral of dividend distributions until the end of the fiscal year:</w:t>
      </w:r>
    </w:p>
    <w:p>
      <w:pPr>
        <w:spacing w:after="0" w:line="51" w:lineRule="exact"/>
        <w:rPr>
          <w:sz w:val="20"/>
          <w:szCs w:val="20"/>
          <w:color w:val="auto"/>
        </w:rPr>
      </w:pPr>
    </w:p>
    <w:p>
      <w:pPr>
        <w:ind w:left="900" w:right="60" w:hanging="325"/>
        <w:spacing w:after="0" w:line="306"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50"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2013.</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or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 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and, after the adjusted tax basis is reduced to zero, will constitute capital gains to such U.S. stockholder.</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Any dividends declared by us in October, November, or December of any calendar year, payable to holders of our common shares of record on a specified date in such a month, which are actually paid during January of the following calendar year, will be treated as if paid by us and received by such 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62" w:lineRule="exact"/>
        <w:rPr>
          <w:sz w:val="20"/>
          <w:szCs w:val="20"/>
          <w:color w:val="auto"/>
        </w:rPr>
      </w:pPr>
    </w:p>
    <w:p>
      <w:pPr>
        <w:ind w:left="900" w:right="180" w:hanging="325"/>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 not later than our first payment of the same type of dividend following such declaration; and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32"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Any such election will not alter the general rule that a holder of our common shares will be treated as receiving a dividend in the taxable year in which the dividend is distributed, subject to the October, November, or December dividend declaration rule discussed immediately above.</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If a U.S. stockholder sells or otherwise disposes of shares of our common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of such distributions on our common stock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U.S. stockholder that is an individual or estate, or a trust that does not fall into a special class of trusts that is exempt from such tax, will generally be subject to a 3.8% U.S. federal income tax on the lesser of (i) the U.S. stockholder’s “net investment income” for a taxable year and (ii) the excess of the U.S. stockholder’s modified adjusted gross income for such taxable year over $200,000 ($250,000 in the case of joint filers). For these purposes, “net investment income” will generally include taxable distributions and deemed distributions paid with respect to stock, including our common stock, and net gain attributable to the disposition of stock, including our common stock (in each case, unless such stock is held in connection with certain trades or businesses), but will be reduced by any deductions properly allocable to such distributions or net gain.</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applicable U.S. Treasury regulations, if a U.S. stockholder recognizes a loss with respect to our common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Limitation with respect to Certain U.S. Stockholders on Deductions for Certain Fees and Expenses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expect to be treated as a “publicly offered regulated investment company” (within the meaning of Section 67 of the Code) as a result of shares of our common stock being treated as regularly traded on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680" w:firstLine="456"/>
        <w:spacing w:after="0" w:line="306" w:lineRule="auto"/>
        <w:rPr>
          <w:sz w:val="20"/>
          <w:szCs w:val="20"/>
          <w:color w:val="auto"/>
        </w:rPr>
      </w:pPr>
      <w:r>
        <w:rPr>
          <w:rFonts w:ascii="Arial" w:cs="Arial" w:eastAsia="Arial" w:hAnsi="Arial"/>
          <w:sz w:val="16"/>
          <w:szCs w:val="16"/>
          <w:color w:val="auto"/>
        </w:rPr>
        <w:t>Whether an investment in the shares of our common stock is appropriate for a Non-U.S. stockholder will depend upon that person’s particular circumstances. An investment in the shares of our common stock by a Non-U.S. stockholder may have adverse tax consequences as compared to a direct investment in the assets in which we will invest. Non-U.S. stockholders should consult their tax advisors before investing in our common stock.</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holder could have received the underlying income free of tax; or (ii) such holder qualifies for, and complies with the procedures for claiming, an exemption or reduced rate under an applicable income tax treaty; or (iii) such holder qualifies, and complies with the procedures for claiming, an exemption by reason of its status as a foreign government-related entity.</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 rules expired for taxable years beginning after December 31, 2013. Further legislation is required to make the exemption available with respect to taxable years that commence after December 31, 2013. Congress has not yet extended the pass-through rules for taxable years that commence after December 31, 2013. </w:t>
      </w:r>
      <w:r>
        <w:rPr>
          <w:rFonts w:ascii="Arial" w:cs="Arial" w:eastAsia="Arial" w:hAnsi="Arial"/>
          <w:sz w:val="16"/>
          <w:szCs w:val="16"/>
          <w:b w:val="1"/>
          <w:bCs w:val="1"/>
          <w:color w:val="auto"/>
        </w:rPr>
        <w:t>We cannot assure you that Congress will enact an extension or that any such extension will apply to all dividends that</w:t>
      </w:r>
      <w:r>
        <w:rPr>
          <w:rFonts w:ascii="Arial" w:cs="Arial" w:eastAsia="Arial" w:hAnsi="Arial"/>
          <w:sz w:val="16"/>
          <w:szCs w:val="16"/>
          <w:color w:val="auto"/>
        </w:rPr>
        <w:t xml:space="preserve"> </w:t>
      </w:r>
      <w:r>
        <w:rPr>
          <w:rFonts w:ascii="Arial" w:cs="Arial" w:eastAsia="Arial" w:hAnsi="Arial"/>
          <w:sz w:val="16"/>
          <w:szCs w:val="16"/>
          <w:b w:val="1"/>
          <w:bCs w:val="1"/>
          <w:color w:val="auto"/>
        </w:rPr>
        <w:t>we distribute with respect to taxable years commencing after December 31, 2013</w:t>
      </w:r>
      <w:r>
        <w:rPr>
          <w:rFonts w:ascii="Arial" w:cs="Arial" w:eastAsia="Arial" w:hAnsi="Arial"/>
          <w:sz w:val="16"/>
          <w:szCs w:val="16"/>
          <w:color w:val="auto"/>
        </w:rPr>
        <w:t>. If Congress does extend the exemption, dividends that we designate as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2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 or other applicable tax certification establishing its entitlement to the exemption or reduced rate, or otherwise establishing an exemption from backup withholding.</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our certificate of incorporation, which was adopted on March 8, 2011, our authorized capital stock consists of 100,000,000 shares of</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common stock, par value $0.01 per share, of which shares are outstanding as of the date of this offering, and 100,000,000 shares of preferred stock, par value $0.01 per share, of which no shares are outstanding as of the date of this offering.</w:t>
      </w:r>
    </w:p>
    <w:p>
      <w:pPr>
        <w:spacing w:after="0" w:line="13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5, 2013, our issued and outstanding shares total 37,026,023, as adjusted for the stock split.</w:t>
      </w:r>
    </w:p>
    <w:p>
      <w:pPr>
        <w:spacing w:after="0" w:line="143"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We intend to apply to list our common stock on the NYSE under the symbol “TSLX.” There are no outstanding options or warrants to purchase our stock. No stock has been authorized for issuance under any equity compensation plans. Under Delaware law, our stockholders generally are not personally liable for our</w:t>
      </w:r>
    </w:p>
    <w:p>
      <w:pPr>
        <w:spacing w:after="0" w:line="261" w:lineRule="auto"/>
        <w:rPr>
          <w:sz w:val="20"/>
          <w:szCs w:val="20"/>
          <w:color w:val="auto"/>
        </w:rPr>
      </w:pPr>
      <w:r>
        <w:rPr>
          <w:rFonts w:ascii="Arial" w:cs="Arial" w:eastAsia="Arial" w:hAnsi="Arial"/>
          <w:sz w:val="18"/>
          <w:szCs w:val="18"/>
          <w:color w:val="auto"/>
        </w:rPr>
        <w:t>debts or obligations. Immediately prior to this offering, our only securities outstanding were shares of our common stock, as adjusted to reflect the stock split.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September 30, 2013:</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Amount Outstanding</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9"/>
              </w:rPr>
              <w:t>Amount Held by Us</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Exclusive of Amount</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3200" w:type="dxa"/>
            <w:vAlign w:val="bottom"/>
            <w:vMerge w:val="restart"/>
          </w:tcPr>
          <w:p>
            <w:pPr>
              <w:spacing w:after="0"/>
              <w:rPr>
                <w:sz w:val="12"/>
                <w:szCs w:val="12"/>
                <w:color w:val="auto"/>
              </w:rPr>
            </w:pPr>
          </w:p>
        </w:tc>
        <w:tc>
          <w:tcPr>
            <w:tcW w:w="19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0"/>
              </w:rPr>
              <w:t>Amount</w:t>
            </w:r>
          </w:p>
        </w:tc>
        <w:tc>
          <w:tcPr>
            <w:tcW w:w="22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or</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Held by Us or for Our</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96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7"/>
              </w:rPr>
              <w:t>Authorized</w:t>
            </w:r>
          </w:p>
        </w:tc>
        <w:tc>
          <w:tcPr>
            <w:tcW w:w="224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9"/>
              </w:rPr>
              <w:t>for Our Account</w:t>
            </w:r>
          </w:p>
        </w:tc>
        <w:tc>
          <w:tcPr>
            <w:tcW w:w="13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Account</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100,000,000</w:t>
            </w:r>
          </w:p>
        </w:tc>
        <w:tc>
          <w:tcPr>
            <w:tcW w:w="10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w:t>
            </w:r>
          </w:p>
        </w:tc>
        <w:tc>
          <w:tcPr>
            <w:tcW w:w="10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36,546,516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date, we have conducted private offerings of our common stock to investors in reliance on certain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investors, which includes a $100 million capital commitment by our Adviser. We have drawn $517 million of these capital commitments as of September 30, 2013, and $36 million has been invested through our dividend reinvestment program as of November 30, 2013. Our existing investors’ obligations to purchase additional shares from the undrawn portion of their capital commitments will terminate upon the completion of this IPO.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after the payment of all debts and other liabilities and will be subject to the prior rights of any outstanding preferred stock. Prior to this IPO, each share of common stock entitled the holder to a preemptive right, for a period of thirty days, to subscribe for purchase or otherwise acquire any shares of preferred stock (including rights or options to purchase shares of preferred stock or securities convertible into, or exchangeable for, shares of preferred stock) that we proposed to issue, but this provision no longer applies following this IPO.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our certificate of incorporation, our Board is authorized to issue shares of preferred stock in one or more series without stockholder approval. The Board has discretion to establish the number of shares to be included in each such series and to fix the voting powers (if any), designations, powers, preferences, and relative, participating, optional or other rights, if any, of the shares of each such series, and any qualifications, limitations, or restrictions thereof.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39" w:lineRule="exact"/>
        <w:rPr>
          <w:sz w:val="20"/>
          <w:szCs w:val="20"/>
          <w:color w:val="auto"/>
        </w:rPr>
      </w:pPr>
    </w:p>
    <w:p>
      <w:pPr>
        <w:ind w:left="900" w:hanging="325"/>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certification of incorporation limits our directors’ liability to the fullest extent permitted under Delaware corporate law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1940 Act. Specifically, our directors will not be personally liable to us or our stockholders for any breach of fiduciary duty as a director, except for any liability:</w:t>
      </w:r>
    </w:p>
    <w:p>
      <w:pPr>
        <w:spacing w:after="0" w:line="107"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 DGCL is amended to permit further elimination or limitation of the personal liability of directors, then the liability of our directors will be eliminated or limited to the fullest extent permitted by the DGCL. So long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registered or regulated under the 1940 Act, any limitation of liability of our directors and officers as described above is limited to the extent prohibited by the 1940 Act or by any valid rule, regulation or order of the SEC.</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90" w:lineRule="exact"/>
        <w:rPr>
          <w:sz w:val="20"/>
          <w:szCs w:val="20"/>
          <w:color w:val="auto"/>
        </w:rPr>
      </w:pPr>
    </w:p>
    <w:p>
      <w:pPr>
        <w:ind w:left="900" w:right="160" w:hanging="325"/>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90" w:lineRule="exact"/>
        <w:rPr>
          <w:sz w:val="20"/>
          <w:szCs w:val="20"/>
          <w:color w:val="auto"/>
        </w:rPr>
      </w:pPr>
    </w:p>
    <w:p>
      <w:pPr>
        <w:ind w:left="900" w:right="300" w:hanging="325"/>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90"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90" w:lineRule="exact"/>
        <w:rPr>
          <w:rFonts w:ascii="Arial" w:cs="Arial" w:eastAsia="Arial" w:hAnsi="Arial"/>
          <w:sz w:val="18"/>
          <w:szCs w:val="18"/>
          <w:color w:val="auto"/>
        </w:rPr>
      </w:pPr>
    </w:p>
    <w:p>
      <w:pPr>
        <w:ind w:left="900" w:right="240" w:hanging="325"/>
        <w:spacing w:after="0" w:line="306"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this IPO) or pursuant to any subscription agreement by and among us, the Adviser and such principal stockholder entered into prior to this IPO;</w:t>
      </w:r>
    </w:p>
    <w:p>
      <w:pPr>
        <w:spacing w:after="0" w:line="25"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59"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4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Following this offering, 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90" w:lineRule="exact"/>
        <w:rPr>
          <w:sz w:val="20"/>
          <w:szCs w:val="20"/>
          <w:color w:val="auto"/>
        </w:rPr>
      </w:pPr>
    </w:p>
    <w:p>
      <w:pPr>
        <w:ind w:left="900" w:right="60" w:hanging="325"/>
        <w:spacing w:after="0" w:line="268"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In addition,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such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Factors—Risks Related to Our Business and Structure—We borrow money, which magnifies the potential for gain or loss and increases the risk of investing in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2013 and December 31, 2012, our asset coverage was 265.9% and 244.6%, respectively. Following this IPO and the repayment of</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indebtedness as contemplated under “Use of Proceeds,” and based on the value of our total assets as of , we expect our asset coverage ratio to be approximately %.</w:t>
      </w:r>
    </w:p>
    <w:p>
      <w:pPr>
        <w:spacing w:after="0" w:line="13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59" w:lineRule="exact"/>
        <w:rPr>
          <w:sz w:val="20"/>
          <w:szCs w:val="20"/>
          <w:color w:val="auto"/>
        </w:rPr>
      </w:pPr>
    </w:p>
    <w:p>
      <w:pPr>
        <w:ind w:left="900" w:right="280" w:hanging="325"/>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194" w:lineRule="exact"/>
        <w:rPr>
          <w:sz w:val="20"/>
          <w:szCs w:val="20"/>
          <w:color w:val="auto"/>
        </w:rPr>
      </w:pPr>
    </w:p>
    <w:p>
      <w:pPr>
        <w:jc w:val="both"/>
        <w:ind w:right="140" w:firstLine="456"/>
        <w:spacing w:after="0" w:line="291"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time of the acquisition), unless these funds comply with an exemption under the 1940 Act. As a result, certain investors would be required to hold a smaller position in our shares than if they were not subject to these restrictions.</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currently do not intend to issue and sell our common stock, or warrants, options or rights to acquire our common stock, at a price below the then-current net asset value of our common stock but we may elect to do so if our Board determines that the sale is in our best interests and the best interests of our stockholders, and our stockholders have approved our policy and practice of making these sales within the preceding 12 months.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4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applied for an exemptive order from the SEC that would permit us to co-invest with funds or other pools of capital or persons managed by TPG or its affiliates where we believe that it will be advantageous for us to co-invest and where the investment is consistent with our investment objectives, investment positions, investment policies, investment strategies, investment restrictions, regulatory requirements and other pertinent factors. We believe that co-investment by us and funds or other pools of capital or persons managed by TPG or its affiliates may afford us additional investment opportunities and the ability to achieve more favorable asset allocation. This order, if granted, will be subject to certain terms and conditions.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granted exemptive relief, we would undertake that, in connection with any commitment to a co-investment, a “required majority” (as defined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57(o) of the 1940 Act) of our independent directors would make certain conclusions, including that:</w:t>
      </w:r>
    </w:p>
    <w:p>
      <w:pPr>
        <w:spacing w:after="0" w:line="84" w:lineRule="exact"/>
        <w:rPr>
          <w:sz w:val="20"/>
          <w:szCs w:val="20"/>
          <w:color w:val="auto"/>
        </w:rPr>
      </w:pPr>
    </w:p>
    <w:p>
      <w:pPr>
        <w:ind w:left="900" w:right="60" w:hanging="325"/>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terms of the proposed transaction are reasonable and fair to us and our stockholders and do not involve overreaching of us or our stockholders on the part of any person concerned;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is consistent with our investment strategies and policies.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assure you that this application for exemptive relief will be granted by the SEC or that, if granted, it will be on the terms set forth above. Accordingly, we cannot assure that we will be permitted to co-invest with funds managed by TPG, other than in the limited circumstances currently permitted by regulatory guidance. See “Related-Party Transactions and Certain Relationships.”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also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60" w:hanging="325"/>
        <w:spacing w:after="0" w:line="256"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264" w:lineRule="exact"/>
        <w:rPr>
          <w:rFonts w:ascii="Arial" w:cs="Arial" w:eastAsia="Arial" w:hAnsi="Arial"/>
          <w:sz w:val="18"/>
          <w:szCs w:val="18"/>
          <w:color w:val="auto"/>
        </w:rPr>
      </w:pPr>
    </w:p>
    <w:p>
      <w:pPr>
        <w:ind w:left="1480" w:hanging="446"/>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620" w:hanging="446"/>
        <w:spacing w:after="0" w:line="268"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0" w:lineRule="exact"/>
        <w:rPr>
          <w:rFonts w:ascii="Arial" w:cs="Arial" w:eastAsia="Arial" w:hAnsi="Arial"/>
          <w:sz w:val="18"/>
          <w:szCs w:val="18"/>
          <w:color w:val="auto"/>
        </w:rPr>
      </w:pPr>
    </w:p>
    <w:p>
      <w:pPr>
        <w:ind w:left="1920" w:right="400" w:hanging="318"/>
        <w:spacing w:after="0" w:line="268" w:lineRule="auto"/>
        <w:tabs>
          <w:tab w:leader="none" w:pos="192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50" w:lineRule="exact"/>
        <w:rPr>
          <w:rFonts w:ascii="Arial" w:cs="Arial" w:eastAsia="Arial" w:hAnsi="Arial"/>
          <w:sz w:val="18"/>
          <w:szCs w:val="18"/>
          <w:color w:val="auto"/>
        </w:rPr>
      </w:pPr>
    </w:p>
    <w:p>
      <w:pPr>
        <w:ind w:left="1920" w:hanging="318"/>
        <w:spacing w:after="0" w:line="259" w:lineRule="auto"/>
        <w:tabs>
          <w:tab w:leader="none" w:pos="192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59" w:lineRule="exact"/>
        <w:rPr>
          <w:rFonts w:ascii="Arial" w:cs="Arial" w:eastAsia="Arial" w:hAnsi="Arial"/>
          <w:sz w:val="18"/>
          <w:szCs w:val="18"/>
          <w:color w:val="auto"/>
        </w:rPr>
      </w:pPr>
    </w:p>
    <w:p>
      <w:pPr>
        <w:ind w:left="1920" w:hanging="318"/>
        <w:spacing w:after="0"/>
        <w:tabs>
          <w:tab w:leader="none" w:pos="192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is a small and solvent company having total assets of not more than $4 million and capital and surplus of not less than $2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90" w:lineRule="exact"/>
        <w:rPr>
          <w:rFonts w:ascii="Arial" w:cs="Arial" w:eastAsia="Arial" w:hAnsi="Arial"/>
          <w:sz w:val="18"/>
          <w:szCs w:val="18"/>
          <w:color w:val="auto"/>
        </w:rPr>
      </w:pPr>
    </w:p>
    <w:p>
      <w:pPr>
        <w:ind w:left="900" w:right="40" w:hanging="325"/>
        <w:spacing w:after="0" w:line="335" w:lineRule="auto"/>
        <w:tabs>
          <w:tab w:leader="none" w:pos="90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6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investment in the asset types described above, our investments may consist of other qualifying assets, such as cash, cash equivalents, U.S. Government securities or high-quality debt securities maturing in one year or less from the time of investment, which we refer to, collectively, as temporary investments, where at least 70% of our assets are qualifying assets. Our Adviser will monitor the creditworthiness of the counterparties with which we enter into repurchase agreement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to count portfolio securities as qualifying assets for the purpose of the 70% test, the BDC must either control the issuer of the securities or must offer to make available to the issuer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may make available such managerial assistance. Making available significant managerial assistance means, among other things,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As required by the Advisers Act and the 1940 Act, we and the Adviser have adopted a Code of Business Conduct and Ethics which applies to, among others, our and our Adviser’s executive officers, including our Chief Executive Officer and Chief Financial Officer, as well as our and our Adviser’s officers, directors and employees. The code of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1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You may read and copy the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SEC’s Internet site at http://www.sec.gov. In addition, the code may be found at http://www.tpgspecialtylending.com in the “Investor Relations” section of our website. You may also obtain copies of the code of ethics, after paying a duplicating fee, by electronic request at the following e-mail address: publicinfo@sec.gov, or by writing the SEC’s Public Reference Section at 100 F Street, Room 1580 N.E. Washington, D.C. 20549. We also hereby undertake to provide a copy of the code to any person, without charge, upon request. Requests for a copy of the code may be made in writing addressed to our Secretary, David Reintjes, 345 California Street, Suite 3300 San Francisco, CA 94104, Attention: Investor Relations, or by emailing us at </w:t>
      </w:r>
      <w:r>
        <w:rPr>
          <w:rFonts w:ascii="Arial" w:cs="Arial" w:eastAsia="Arial" w:hAnsi="Arial"/>
          <w:sz w:val="18"/>
          <w:szCs w:val="18"/>
          <w:i w:val="1"/>
          <w:iCs w:val="1"/>
          <w:color w:val="auto"/>
        </w:rPr>
        <w:t>IRTSL</w:t>
      </w:r>
      <w:r>
        <w:rPr>
          <w:rFonts w:ascii="Arial" w:cs="Arial" w:eastAsia="Arial" w:hAnsi="Arial"/>
          <w:sz w:val="18"/>
          <w:szCs w:val="18"/>
          <w:color w:val="auto"/>
        </w:rPr>
        <w:t xml:space="preserve"> </w:t>
      </w:r>
      <w:r>
        <w:rPr>
          <w:sz w:val="1"/>
          <w:szCs w:val="1"/>
          <w:color w:val="auto"/>
        </w:rPr>
        <w:drawing>
          <wp:inline distT="0" distB="0" distL="0" distR="0">
            <wp:extent cx="77470" cy="7747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to designate a Chief Compliance Officer to be responsible for administering the policies and procedures. The Chief Compliance Officer of TPG serves as our Chief Compliance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51" w:lineRule="exact"/>
        <w:rPr>
          <w:sz w:val="20"/>
          <w:szCs w:val="20"/>
          <w:color w:val="auto"/>
        </w:rPr>
      </w:pPr>
    </w:p>
    <w:p>
      <w:pPr>
        <w:ind w:left="900" w:right="420" w:hanging="325"/>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50"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and, depending on our accelerated filer or loss of emerging growth company status, this report may be required to be audited by our independent registered public accounting firm;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306"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qualify as an emerging growth company, as that term is used in the JOBS Act. An emerging growth company may take advantage of specified reduced reporting and other burdens that are otherwise applicable generally to public companies. These provisions include:</w:t>
      </w:r>
    </w:p>
    <w:p>
      <w:pPr>
        <w:spacing w:after="0" w:line="51" w:lineRule="exact"/>
        <w:rPr>
          <w:sz w:val="20"/>
          <w:szCs w:val="20"/>
          <w:color w:val="auto"/>
        </w:rPr>
      </w:pPr>
    </w:p>
    <w:p>
      <w:pPr>
        <w:ind w:left="900" w:right="100" w:hanging="325"/>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NYSE has adopted corporate governance rules that listed companies must comply with. We are in compliance with these regulations.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0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23"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 xml:space="preserve">You may obtain information about how the Adviser voted proxies, free of charge, by making a written request for proxy voting information to: TSL Adviser, 345 California Street, Suite 3300 San Francisco, CA 94104, Attention: Investor Relations, or by emailing us at </w:t>
      </w:r>
      <w:r>
        <w:rPr>
          <w:rFonts w:ascii="Arial" w:cs="Arial" w:eastAsia="Arial" w:hAnsi="Arial"/>
          <w:sz w:val="18"/>
          <w:szCs w:val="18"/>
          <w:i w:val="1"/>
          <w:iCs w:val="1"/>
          <w:color w:val="auto"/>
        </w:rPr>
        <w:t xml:space="preserve">IRTSL </w:t>
      </w:r>
      <w:r>
        <w:rPr>
          <w:sz w:val="1"/>
          <w:szCs w:val="1"/>
          <w:color w:val="auto"/>
        </w:rPr>
        <w:drawing>
          <wp:inline distT="0" distB="0" distL="0" distR="0">
            <wp:extent cx="77470" cy="7747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 </w:t>
      </w:r>
      <w:r>
        <w:rPr>
          <w:rFonts w:ascii="Arial" w:cs="Arial" w:eastAsia="Arial" w:hAnsi="Arial"/>
          <w:sz w:val="18"/>
          <w:szCs w:val="18"/>
          <w:color w:val="auto"/>
        </w:rPr>
        <w:t>The SEC also</w:t>
      </w:r>
      <w:r>
        <w:rPr>
          <w:rFonts w:ascii="Arial" w:cs="Arial" w:eastAsia="Arial" w:hAnsi="Arial"/>
          <w:sz w:val="18"/>
          <w:szCs w:val="18"/>
          <w:i w:val="1"/>
          <w:iCs w:val="1"/>
          <w:color w:val="auto"/>
        </w:rPr>
        <w:t xml:space="preserve"> maintains a website at http://www.sec.gov that contains such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generally will not receive any nonpublic personal information relating to stockholders who purchase common stock in this IPO. We may collect nonpublic personal information regarding our existing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for officers, employees and agents of ours and our affiliates, access to such information is restricted to those who need such access to provide services to us and investors. We maintain physical, electronic and procedural safeguards to seek to guard investor nonpublic personal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Prior to this offering, there has been no public market for our common stock. We cannot predict the effect, if any, that sales of shares or the availability of shares for sale will have on the market price of our common stock prevailing from time to time. Sales of substantial amounts of our common stock in the public market, or the perception that such sales could occur, could adversely affect the prevailing market price of our common stock.</w:t>
      </w:r>
    </w:p>
    <w:p>
      <w:pPr>
        <w:sectPr>
          <w:pgSz w:w="11900" w:h="16838" w:orient="portrait"/>
          <w:cols w:equalWidth="0" w:num="1">
            <w:col w:w="11400"/>
          </w:cols>
          <w:pgMar w:left="240" w:top="459" w:right="259" w:bottom="1440" w:gutter="0" w:footer="0" w:header="0"/>
        </w:sectPr>
      </w:pP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this offering, we had shares of our common stock outstanding. Upon completion of this offering issued and outstanding. If the underwriters exercise their over-allotment option to purchase additional shares in full, issued and outstanding immediately after the completion of this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20" w:firstLine="166"/>
        <w:spacing w:after="0" w:line="370" w:lineRule="auto"/>
        <w:rPr>
          <w:sz w:val="20"/>
          <w:szCs w:val="20"/>
          <w:color w:val="auto"/>
        </w:rPr>
      </w:pPr>
      <w:r>
        <w:rPr>
          <w:rFonts w:ascii="Arial" w:cs="Arial" w:eastAsia="Arial" w:hAnsi="Arial"/>
          <w:sz w:val="15"/>
          <w:szCs w:val="15"/>
          <w:color w:val="auto"/>
        </w:rPr>
        <w:t>shares of our common stock will be shares of our common stock will be</w:t>
      </w:r>
    </w:p>
    <w:p>
      <w:pPr>
        <w:spacing w:after="0" w:line="656" w:lineRule="exact"/>
        <w:rPr>
          <w:sz w:val="20"/>
          <w:szCs w:val="20"/>
          <w:color w:val="auto"/>
        </w:rPr>
      </w:pPr>
    </w:p>
    <w:p>
      <w:pPr>
        <w:sectPr>
          <w:pgSz w:w="11900" w:h="16838" w:orient="portrait"/>
          <w:cols w:equalWidth="0" w:num="2">
            <w:col w:w="8300" w:space="420"/>
            <w:col w:w="2680"/>
          </w:cols>
          <w:pgMar w:left="240" w:top="459" w:right="259" w:bottom="1440" w:gutter="0" w:footer="0" w:header="0"/>
          <w:type w:val="continuous"/>
        </w:sectPr>
      </w:pPr>
    </w:p>
    <w:p>
      <w:pPr>
        <w:ind w:left="460"/>
        <w:spacing w:after="0"/>
        <w:tabs>
          <w:tab w:leader="none" w:pos="4460" w:val="left"/>
        </w:tabs>
        <w:rPr>
          <w:sz w:val="20"/>
          <w:szCs w:val="20"/>
          <w:color w:val="auto"/>
        </w:rPr>
      </w:pPr>
      <w:r>
        <w:rPr>
          <w:rFonts w:ascii="Arial" w:cs="Arial" w:eastAsia="Arial" w:hAnsi="Arial"/>
          <w:sz w:val="18"/>
          <w:szCs w:val="18"/>
          <w:color w:val="auto"/>
        </w:rPr>
        <w:t>Prior to the consummation of this offering, up to</w:t>
      </w:r>
      <w:r>
        <w:rPr>
          <w:sz w:val="20"/>
          <w:szCs w:val="20"/>
          <w:color w:val="auto"/>
        </w:rPr>
        <w:tab/>
      </w:r>
      <w:r>
        <w:rPr>
          <w:rFonts w:ascii="Arial" w:cs="Arial" w:eastAsia="Arial" w:hAnsi="Arial"/>
          <w:sz w:val="15"/>
          <w:szCs w:val="15"/>
          <w:color w:val="auto"/>
        </w:rPr>
        <w:t>shares of our common stock outstanding will not be considered “restricted” securities under the</w:t>
      </w:r>
    </w:p>
    <w:p>
      <w:pPr>
        <w:spacing w:after="0" w:line="15" w:lineRule="exact"/>
        <w:rPr>
          <w:sz w:val="20"/>
          <w:szCs w:val="20"/>
          <w:color w:val="auto"/>
        </w:rPr>
      </w:pPr>
    </w:p>
    <w:p>
      <w:pPr>
        <w:spacing w:after="0"/>
        <w:tabs>
          <w:tab w:leader="none" w:pos="5980" w:val="left"/>
        </w:tabs>
        <w:rPr>
          <w:sz w:val="20"/>
          <w:szCs w:val="20"/>
          <w:color w:val="auto"/>
        </w:rPr>
      </w:pPr>
      <w:r>
        <w:rPr>
          <w:rFonts w:ascii="Arial" w:cs="Arial" w:eastAsia="Arial" w:hAnsi="Arial"/>
          <w:sz w:val="18"/>
          <w:szCs w:val="18"/>
          <w:color w:val="auto"/>
        </w:rPr>
        <w:t>meaning of Rule 144 and will be eligible for resale pursuant to Rule 144 and</w:t>
      </w:r>
      <w:r>
        <w:rPr>
          <w:sz w:val="20"/>
          <w:szCs w:val="20"/>
          <w:color w:val="auto"/>
        </w:rPr>
        <w:tab/>
      </w:r>
      <w:r>
        <w:rPr>
          <w:rFonts w:ascii="Arial" w:cs="Arial" w:eastAsia="Arial" w:hAnsi="Arial"/>
          <w:sz w:val="16"/>
          <w:szCs w:val="16"/>
          <w:color w:val="auto"/>
        </w:rPr>
        <w:t>shares of our common stock outstanding will be “restricted” securities under</w:t>
      </w:r>
    </w:p>
    <w:p>
      <w:pPr>
        <w:spacing w:after="0" w:line="9"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the meaning of Rule 144 under the Securities Act, and may not be sold in the absence of registration under the Securities Act unless an exemption from registration is available, including the exemption provided by Rule 144. Additionally, any shares purchased in this offering by our affiliates, as that term is defined in Rule 144 under the Securities Act, would only be able to be sold in compliance with the Rule 144 limitations described below. See “Risk Factors— Risks Related to this Offering—Prior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11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our directors, executive officers and all of our existing stockholders have agreed with the underwriters that, without the prior written consent of J.P. Morgan Securities LLC, Merrill Lynch, Pierce, Fenner &amp; Smith Incorporated and Goldman, Sachs &amp; Co., we and they will not, subject to certain exceptions and extensions, during the period ending days after the date of this prospectus, offer, pledge, announce the intention to sell, sell, contract to sell, sell any option or contract to purchase, purchase any option or contract to sell, grant any option, right or warrant to purchase or otherwise dispose of, directly or indirectly, any shares of our common stock or securities convertible into or exchangeable or exercisable for any shares of our common stock, or publicly disclose the intention to make any offer, sale, pledge or disposition, or (ii) enter into any swap or other arrangement that transfers all or a portion of the economic consequences associated with the ownership of 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shares of common stock or any such other securities (regardless of whether any of these transactions are to be settled by the delivery of shares of common stock or such other securities, in cash or otherwise). See “Underwriting.”</w:t>
      </w:r>
    </w:p>
    <w:p>
      <w:pPr>
        <w:sectPr>
          <w:pgSz w:w="11900" w:h="16838" w:orient="portrait"/>
          <w:cols w:equalWidth="0" w:num="1">
            <w:col w:w="11240"/>
          </w:cols>
          <w:pgMar w:left="240" w:top="459" w:right="419" w:bottom="1440" w:gutter="0" w:footer="0" w:header="0"/>
        </w:sectPr>
      </w:pP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Immediately upon the expiration of the lock-up period, an aggregate of the public market in accordance with Rule 144.</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subject to the lock-up will be eligible for sale in</w:t>
      </w:r>
    </w:p>
    <w:p>
      <w:pPr>
        <w:spacing w:after="0" w:line="396" w:lineRule="exact"/>
        <w:rPr>
          <w:sz w:val="20"/>
          <w:szCs w:val="20"/>
          <w:color w:val="auto"/>
        </w:rPr>
      </w:pPr>
    </w:p>
    <w:p>
      <w:pPr>
        <w:sectPr>
          <w:pgSz w:w="11900" w:h="16838" w:orient="portrait"/>
          <w:cols w:equalWidth="0" w:num="2">
            <w:col w:w="5460" w:space="600"/>
            <w:col w:w="518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1240"/>
          </w:cols>
          <w:pgMar w:left="240" w:top="459" w:right="41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left="460"/>
        <w:spacing w:after="0"/>
        <w:tabs>
          <w:tab w:leader="none" w:pos="7760" w:val="left"/>
        </w:tabs>
        <w:rPr>
          <w:sz w:val="20"/>
          <w:szCs w:val="20"/>
          <w:color w:val="auto"/>
        </w:rPr>
      </w:pPr>
      <w:r>
        <w:rPr>
          <w:rFonts w:ascii="Arial" w:cs="Arial" w:eastAsia="Arial" w:hAnsi="Arial"/>
          <w:sz w:val="18"/>
          <w:szCs w:val="18"/>
          <w:color w:val="auto"/>
        </w:rPr>
        <w:t>We are offering the shares of common stock described in this prospectus through a number of</w:t>
      </w:r>
      <w:r>
        <w:rPr>
          <w:sz w:val="20"/>
          <w:szCs w:val="20"/>
          <w:color w:val="auto"/>
        </w:rPr>
        <w:tab/>
      </w:r>
      <w:r>
        <w:rPr>
          <w:rFonts w:ascii="Arial" w:cs="Arial" w:eastAsia="Arial" w:hAnsi="Arial"/>
          <w:sz w:val="16"/>
          <w:szCs w:val="16"/>
          <w:color w:val="auto"/>
        </w:rPr>
        <w:t>underwriters. J.P. Morgan Securities LLC, Merrill</w:t>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Lynch, Pierce, Fenner &amp; Smith Incorporated, Goldman, Sachs &amp; Co., Citigroup Global Markets Inc., Wells Fargo Securities, LLC and Barclays Capital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ind w:left="100"/>
              <w:spacing w:after="0"/>
              <w:rPr>
                <w:sz w:val="20"/>
                <w:szCs w:val="20"/>
                <w:color w:val="auto"/>
              </w:rPr>
            </w:pPr>
            <w:r>
              <w:rPr>
                <w:rFonts w:ascii="Arial" w:cs="Arial" w:eastAsia="Arial" w:hAnsi="Arial"/>
                <w:sz w:val="14"/>
                <w:szCs w:val="14"/>
                <w:b w:val="1"/>
                <w:bCs w:val="1"/>
                <w:color w:val="auto"/>
                <w:w w:val="94"/>
              </w:rPr>
              <w:t>Number of Shares</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J.P. Morgan Securities LLC</w:t>
            </w:r>
          </w:p>
        </w:tc>
        <w:tc>
          <w:tcPr>
            <w:tcW w:w="126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12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140" w:type="dxa"/>
            <w:vAlign w:val="bottom"/>
          </w:tcPr>
          <w:p>
            <w:pPr>
              <w:ind w:left="560"/>
              <w:spacing w:after="0"/>
              <w:rPr>
                <w:sz w:val="20"/>
                <w:szCs w:val="20"/>
                <w:color w:val="auto"/>
              </w:rPr>
            </w:pPr>
            <w:r>
              <w:rPr>
                <w:rFonts w:ascii="Arial" w:cs="Arial" w:eastAsia="Arial" w:hAnsi="Arial"/>
                <w:sz w:val="18"/>
                <w:szCs w:val="18"/>
                <w:color w:val="auto"/>
              </w:rPr>
              <w:t>Incorporated</w:t>
            </w:r>
          </w:p>
        </w:tc>
        <w:tc>
          <w:tcPr>
            <w:tcW w:w="126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2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2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common shares directly to the public at the initial public offering price set forth on the cover page of this prospectus</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to certain dealers at that price less a concession not in excess of $ per share. Any such dealers may resell shares to certain other brokers or dealers at a discount of up to $ per share from the initial public offering price. After the initial public offering of the shares, the offering price and other selling terms may be changed by the underwriters.</w:t>
      </w:r>
    </w:p>
    <w:p>
      <w:pPr>
        <w:spacing w:after="0" w:line="144"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color w:val="auto"/>
        </w:rPr>
        <w:t>The underwriters have an option to buy up to</w:t>
      </w:r>
      <w:r>
        <w:rPr>
          <w:sz w:val="20"/>
          <w:szCs w:val="20"/>
          <w:color w:val="auto"/>
        </w:rPr>
        <w:tab/>
      </w:r>
      <w:r>
        <w:rPr>
          <w:rFonts w:ascii="Arial" w:cs="Arial" w:eastAsia="Arial" w:hAnsi="Arial"/>
          <w:sz w:val="15"/>
          <w:szCs w:val="15"/>
          <w:color w:val="auto"/>
        </w:rPr>
        <w:t>additional shares of common stock from us to cover sales of shares by the underwriters which</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exceed the number of shares specified in the table above. The underwriters have 30 days from the date of this prospectus to exercise this over-allotment option. If any shares are purchased with this over-allotment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w:t>
      </w:r>
    </w:p>
    <w:p>
      <w:pPr>
        <w:spacing w:after="0" w:line="3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Without</w:t>
            </w:r>
          </w:p>
        </w:tc>
        <w:tc>
          <w:tcPr>
            <w:tcW w:w="13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With full</w:t>
            </w:r>
          </w:p>
        </w:tc>
      </w:tr>
      <w:tr>
        <w:trPr>
          <w:trHeight w:val="149"/>
        </w:trPr>
        <w:tc>
          <w:tcPr>
            <w:tcW w:w="3120" w:type="dxa"/>
            <w:vAlign w:val="bottom"/>
          </w:tcPr>
          <w:p>
            <w:pPr>
              <w:spacing w:after="0"/>
              <w:rPr>
                <w:sz w:val="12"/>
                <w:szCs w:val="12"/>
                <w:color w:val="auto"/>
              </w:rPr>
            </w:pPr>
          </w:p>
        </w:tc>
        <w:tc>
          <w:tcPr>
            <w:tcW w:w="3280" w:type="dxa"/>
            <w:vAlign w:val="bottom"/>
            <w:gridSpan w:val="2"/>
          </w:tcPr>
          <w:p>
            <w:pPr>
              <w:jc w:val="center"/>
              <w:ind w:left="2362"/>
              <w:spacing w:after="0" w:line="149" w:lineRule="exact"/>
              <w:rPr>
                <w:sz w:val="20"/>
                <w:szCs w:val="20"/>
                <w:color w:val="auto"/>
              </w:rPr>
            </w:pPr>
            <w:r>
              <w:rPr>
                <w:rFonts w:ascii="Arial" w:cs="Arial" w:eastAsia="Arial" w:hAnsi="Arial"/>
                <w:sz w:val="14"/>
                <w:szCs w:val="14"/>
                <w:b w:val="1"/>
                <w:bCs w:val="1"/>
                <w:color w:val="auto"/>
                <w:w w:val="87"/>
              </w:rPr>
              <w:t>over-allotment</w:t>
            </w:r>
          </w:p>
        </w:tc>
        <w:tc>
          <w:tcPr>
            <w:tcW w:w="2280" w:type="dxa"/>
            <w:vAlign w:val="bottom"/>
            <w:gridSpan w:val="3"/>
          </w:tcPr>
          <w:p>
            <w:pPr>
              <w:jc w:val="center"/>
              <w:ind w:left="1142"/>
              <w:spacing w:after="0" w:line="149" w:lineRule="exact"/>
              <w:rPr>
                <w:sz w:val="20"/>
                <w:szCs w:val="20"/>
                <w:color w:val="auto"/>
              </w:rPr>
            </w:pPr>
            <w:r>
              <w:rPr>
                <w:rFonts w:ascii="Arial" w:cs="Arial" w:eastAsia="Arial" w:hAnsi="Arial"/>
                <w:sz w:val="14"/>
                <w:szCs w:val="14"/>
                <w:b w:val="1"/>
                <w:bCs w:val="1"/>
                <w:color w:val="auto"/>
                <w:w w:val="89"/>
              </w:rPr>
              <w:t>over-allotment</w:t>
            </w:r>
          </w:p>
        </w:tc>
      </w:tr>
      <w:tr>
        <w:trPr>
          <w:trHeight w:val="161"/>
        </w:trPr>
        <w:tc>
          <w:tcPr>
            <w:tcW w:w="3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13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exercise</w:t>
            </w:r>
          </w:p>
        </w:tc>
      </w:tr>
      <w:tr>
        <w:trPr>
          <w:trHeight w:val="210"/>
        </w:trPr>
        <w:tc>
          <w:tcPr>
            <w:tcW w:w="3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2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w:t>
      </w:r>
    </w:p>
    <w:p>
      <w:pPr>
        <w:spacing w:after="0" w:line="38" w:lineRule="exact"/>
        <w:rPr>
          <w:sz w:val="20"/>
          <w:szCs w:val="20"/>
          <w:color w:val="auto"/>
        </w:rPr>
      </w:pPr>
    </w:p>
    <w:p>
      <w:pPr>
        <w:spacing w:after="0"/>
        <w:tabs>
          <w:tab w:leader="none" w:pos="6140" w:val="left"/>
        </w:tabs>
        <w:rPr>
          <w:sz w:val="20"/>
          <w:szCs w:val="20"/>
          <w:color w:val="auto"/>
        </w:rPr>
      </w:pPr>
      <w:r>
        <w:rPr>
          <w:rFonts w:ascii="Arial" w:cs="Arial" w:eastAsia="Arial" w:hAnsi="Arial"/>
          <w:sz w:val="16"/>
          <w:szCs w:val="16"/>
          <w:color w:val="auto"/>
        </w:rPr>
        <w:t>excluding the underwriting discounts and commissions, will be approximately $</w:t>
      </w:r>
      <w:r>
        <w:rPr>
          <w:sz w:val="20"/>
          <w:szCs w:val="20"/>
          <w:color w:val="auto"/>
        </w:rPr>
        <w:tab/>
      </w:r>
      <w:r>
        <w:rPr>
          <w:rFonts w:ascii="Arial" w:cs="Arial" w:eastAsia="Arial" w:hAnsi="Arial"/>
          <w:sz w:val="14"/>
          <w:szCs w:val="14"/>
          <w:color w:val="auto"/>
        </w:rPr>
        <w: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We have agreed that we will not, subject to certain exceptions,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Merrill Lynch, Pierce, Fenner &amp; Smith Incorporated and Goldman,</w:t>
      </w:r>
    </w:p>
    <w:p>
      <w:pPr>
        <w:ind w:right="100"/>
        <w:spacing w:after="0" w:line="292" w:lineRule="auto"/>
        <w:rPr>
          <w:sz w:val="20"/>
          <w:szCs w:val="20"/>
          <w:color w:val="auto"/>
        </w:rPr>
      </w:pPr>
      <w:r>
        <w:rPr>
          <w:rFonts w:ascii="Arial" w:cs="Arial" w:eastAsia="Arial" w:hAnsi="Arial"/>
          <w:sz w:val="16"/>
          <w:szCs w:val="16"/>
          <w:color w:val="auto"/>
        </w:rPr>
        <w:t>Sachs &amp; Co. for a period of days after the date of this prospectus, other than the shares of our common stock to be sold hereunder. Notwithstanding the foregoing, to the extent we are not an emerging growth company, if (1) during the last 17 days of the day restricted period, we issue an earnings release or material news or a material event relating to our company occurs; or (2) prior to the expiration of the day restricted period, we announce that we will release earnings results during the 16-day period beginning on the last day of the day period, the restrictions described above shall continue to apply until the expiration of the 18-day period beginning on the issuance of the earnings release or the occurrence of the material news or material event.</w:t>
      </w:r>
    </w:p>
    <w:p>
      <w:pPr>
        <w:spacing w:after="0" w:line="117" w:lineRule="exact"/>
        <w:rPr>
          <w:sz w:val="20"/>
          <w:szCs w:val="20"/>
          <w:color w:val="auto"/>
        </w:rPr>
      </w:pPr>
    </w:p>
    <w:p>
      <w:pPr>
        <w:jc w:val="center"/>
        <w:ind w:right="640"/>
        <w:spacing w:after="0" w:line="286" w:lineRule="auto"/>
        <w:rPr>
          <w:sz w:val="20"/>
          <w:szCs w:val="20"/>
          <w:color w:val="auto"/>
        </w:rPr>
      </w:pPr>
      <w:r>
        <w:rPr>
          <w:rFonts w:ascii="Arial" w:cs="Arial" w:eastAsia="Arial" w:hAnsi="Arial"/>
          <w:sz w:val="16"/>
          <w:szCs w:val="16"/>
          <w:color w:val="auto"/>
        </w:rPr>
        <w:t>Our directors, executive officers and all of our existing stockholders have entered into lock-up agreements with the underwriters prior to the commencement of this offering pursuant to which each of these persons or entities, with limited exceptions, for a period of    days after the date of this</w:t>
      </w:r>
    </w:p>
    <w:p>
      <w:pPr>
        <w:spacing w:after="0" w:line="281" w:lineRule="auto"/>
        <w:rPr>
          <w:sz w:val="20"/>
          <w:szCs w:val="20"/>
          <w:color w:val="auto"/>
        </w:rPr>
      </w:pPr>
      <w:r>
        <w:rPr>
          <w:rFonts w:ascii="Arial" w:cs="Arial" w:eastAsia="Arial" w:hAnsi="Arial"/>
          <w:sz w:val="16"/>
          <w:szCs w:val="16"/>
          <w:color w:val="auto"/>
        </w:rPr>
        <w:t>prospectus, may not, subject to certain exceptions, without the prior written consent of J.P. Morgan Securities LLC, Merrill Lynch, Pierce, Fenner &amp; Smith Incorporated and Goldman, Sachs &amp; Co.,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6"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Notwithstanding the foregoing, to the extent we are not an emerging growth company, if (1) during the last 17 days of the day restricted period, we issue an earnings release or material news or a material event relating to our company occurs; or (2) prior to the expiration of the day restricted period, we announce that we will release earnings results during the 16-day period beginning on the last day of the day period, the restrictions described above shall continue to apply until the expiration of the 18-day period beginning on the issuance of the earnings release or the occurrence of the material news or material event.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apply to have our common stock approved for listing/quotation on the NYSE under the symbol “TSLX”.</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59" w:lineRule="exact"/>
        <w:rPr>
          <w:sz w:val="20"/>
          <w:szCs w:val="20"/>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6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intend to use 100% of the net proceeds of this offering, together with our cash and cash equivalents, to pay down outstanding indebtedness under the Revolving Credit Facility (SunTrust). We do not, however, intend to terminate the facility and may reborrow the amount we repay, subject to certain conditions.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Addresses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principal business address of J.P. Morgan Securities LLC is 383 Madison Avenue, New York, New York 10179. The principal business address of Merrill Lynch, Pierce, Fenner &amp; Smith Incorporated is One Bryant Park, New York, New York 10036. The principal business address of Goldman, Sachs &amp; Co. is 200 West Street, New York, New York 10282. The principal business address of Citigroup Global Markets Inc. is 388 Greenwich Street, New York, New York 10013. The principal business address of Wells Fargo Securities, LLC is 550 South Tryon Street, Charlotte, North Carolina 28202. The principal business address of Barclays Capital Inc. is 745 Seventh Avenue New York, NY 10019.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Corporations Act, and does not purport to include the information required for a prospectus, product disclosure statement or other disclosure document under the Corporations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offer in Australia of the common stock may only be made to persons known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common stock without disclosure to investors under Chapter 6D of the Corporations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common stock must observe such Australian on-sale restrictions.</w:t>
      </w:r>
    </w:p>
    <w:p>
      <w:pPr>
        <w:spacing w:after="0" w:line="11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 subject to restrictions on their resale. Prospective purchasers of the common stock offered should conduct their own due diligence on the common stock. If you do not understand the contents of this prospectus you should consult an authorized financial advisor.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common stock may be made to the public in that Relevant Member State other than:</w:t>
      </w:r>
    </w:p>
    <w:p>
      <w:pPr>
        <w:spacing w:after="0" w:line="51" w:lineRule="exact"/>
        <w:rPr>
          <w:sz w:val="20"/>
          <w:szCs w:val="20"/>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provided that no such offer of common stock shall require us or the underwriters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Each person in a Relevant Member State who initially acquires any common stock or to whom any offer is made will be deemed to have represented, acknowledged and agreed that it is a “qualified investor” within the meaning of the law in that Relevant Member State implementing Article 2(1)(e) of the Prospectus Directive. In the case of any common stock being offered to a financial intermediary, as that term is used in Article 3(2) of the Prospectus Directive,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common stock to the public other than their offer or resale in a Relevant Member State to qualified investors as so defined or in circumstances in which the prior consent of the underwriters has been obtained to each such proposed offer or resale.</w:t>
      </w:r>
    </w:p>
    <w:p>
      <w:pPr>
        <w:spacing w:after="0" w:line="118"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We, the underwriters and our respective affiliates will rely upon the truth and accuracy of the foregoing representations, acknowledgements and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This prospectus has been prepared on the basis that any offer of common stock in any Relevant Member State will be made pursuant to an exemption under the Prospectus Directive from the requirement to publish a prospectus for offers of common stock. Accordingly any person making or intending to make an offer in that Relevant Member State of common stock which is the subject of the offering contemplated in this prospectus may only do so in circumstances in which no obligation arises for the us or any of the underwriters to publish a prospectus pursuant to Article 3 of the Prospectus Directive in relation to such offer. Neither we nor the underwriters have authorized, nor do they authorize, the making of any offer of common stock in circumstances in which an obligation arises for us or the underwriters to publish a prospectus for such offer.</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purpose of the above provisions, the expression “an offer to the public” in relation to any common stock in any Relevant Member State means the communication in any form and by any means of sufficient information on the terms of the offer and the common stock to be offered so as to enable an investor to decide to purchase or subscribe the common stock,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common stock has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w:t>
      </w:r>
    </w:p>
    <w:p>
      <w:pPr>
        <w:spacing w:after="0" w:line="118"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This prospectus and any other materials relating to the common stock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validity of the common stock offered hereby will be passed upon for us by Cleary Gottlieb Steen &amp; Hamilton LLP, New York, New York. In addition, Sutherland Asbill &amp; Brennan LLP and Morris, Nichols, Arsht &amp; Tunnell LLP will pass on certain legal matters for us in connection with the offering. Cleary Gottlieb Steen &amp; Hamilton LLP also represents the Adviser. Certain legal matters in connection with the offering will be passed upon for the underwriters by Fried, Frank, Harris, Shriver &amp; Jacobson LLP.</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consolidated financial statements of TPG Specialty Lending, Inc. (and subsidiaries) as of December 31, 2012 and 2011, and for the years then ended and the Senior Securities table as of December 31, 2012 and 2011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 The SEC maintains a website that contains reports, proxy</w:t>
      </w:r>
      <w:r>
        <w:rPr>
          <w:rFonts w:ascii="Arial" w:cs="Arial" w:eastAsia="Arial" w:hAnsi="Arial"/>
          <w:sz w:val="16"/>
          <w:szCs w:val="16"/>
          <w:i w:val="1"/>
          <w:iCs w:val="1"/>
          <w:color w:val="auto"/>
        </w:rPr>
        <w:t xml:space="preserve">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180" w:type="dxa"/>
            <w:vAlign w:val="bottom"/>
            <w:gridSpan w:val="11"/>
          </w:tcPr>
          <w:p>
            <w:pPr>
              <w:jc w:val="center"/>
              <w:ind w:right="1980"/>
              <w:spacing w:after="0"/>
              <w:rPr>
                <w:sz w:val="20"/>
                <w:szCs w:val="20"/>
                <w:color w:val="auto"/>
              </w:rPr>
            </w:pPr>
            <w:r>
              <w:rPr>
                <w:rFonts w:ascii="Arial" w:cs="Arial" w:eastAsia="Arial" w:hAnsi="Arial"/>
                <w:sz w:val="18"/>
                <w:szCs w:val="18"/>
                <w:b w:val="1"/>
                <w:bCs w:val="1"/>
                <w:color w:val="auto"/>
                <w:w w:val="99"/>
              </w:rPr>
              <w:t>INDEX TO FINANCIAL STATEMENTS</w:t>
            </w:r>
          </w:p>
        </w:tc>
        <w:tc>
          <w:tcPr>
            <w:tcW w:w="2020" w:type="dxa"/>
            <w:vAlign w:val="bottom"/>
          </w:tcPr>
          <w:p>
            <w:pPr>
              <w:spacing w:after="0"/>
              <w:rPr>
                <w:sz w:val="19"/>
                <w:szCs w:val="19"/>
                <w:color w:val="auto"/>
              </w:rPr>
            </w:pPr>
          </w:p>
        </w:tc>
      </w:tr>
      <w:tr>
        <w:trPr>
          <w:trHeight w:val="366"/>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80" w:type="dxa"/>
            <w:vAlign w:val="bottom"/>
            <w:gridSpan w:val="11"/>
          </w:tcPr>
          <w:p>
            <w:pPr>
              <w:jc w:val="center"/>
              <w:ind w:right="2000"/>
              <w:spacing w:after="0"/>
              <w:rPr>
                <w:sz w:val="20"/>
                <w:szCs w:val="20"/>
                <w:color w:val="auto"/>
              </w:rPr>
            </w:pPr>
            <w:r>
              <w:rPr>
                <w:rFonts w:ascii="Arial" w:cs="Arial" w:eastAsia="Arial" w:hAnsi="Arial"/>
                <w:sz w:val="18"/>
                <w:szCs w:val="18"/>
                <w:b w:val="1"/>
                <w:bCs w:val="1"/>
                <w:color w:val="auto"/>
                <w:w w:val="98"/>
              </w:rPr>
              <w:t>TPG SPECIALTY LENDING, INC.</w:t>
            </w:r>
          </w:p>
        </w:tc>
        <w:tc>
          <w:tcPr>
            <w:tcW w:w="2020" w:type="dxa"/>
            <w:vAlign w:val="bottom"/>
          </w:tcPr>
          <w:p>
            <w:pPr>
              <w:spacing w:after="0"/>
              <w:rPr>
                <w:sz w:val="24"/>
                <w:szCs w:val="24"/>
                <w:color w:val="auto"/>
              </w:rPr>
            </w:pPr>
          </w:p>
        </w:tc>
      </w:tr>
      <w:tr>
        <w:trPr>
          <w:trHeight w:val="222"/>
        </w:trPr>
        <w:tc>
          <w:tcPr>
            <w:tcW w:w="9300" w:type="dxa"/>
            <w:vAlign w:val="bottom"/>
            <w:gridSpan w:val="15"/>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2020" w:type="dxa"/>
            <w:vAlign w:val="bottom"/>
          </w:tcPr>
          <w:p>
            <w:pPr>
              <w:spacing w:after="0"/>
              <w:rPr>
                <w:sz w:val="19"/>
                <w:szCs w:val="19"/>
                <w:color w:val="auto"/>
              </w:rPr>
            </w:pPr>
          </w:p>
        </w:tc>
      </w:tr>
      <w:tr>
        <w:trPr>
          <w:trHeight w:val="184"/>
        </w:trPr>
        <w:tc>
          <w:tcPr>
            <w:tcW w:w="9300" w:type="dxa"/>
            <w:vAlign w:val="bottom"/>
            <w:gridSpan w:val="15"/>
          </w:tcPr>
          <w:p>
            <w:pPr>
              <w:spacing w:after="0" w:line="184" w:lineRule="exact"/>
              <w:rPr>
                <w:rFonts w:ascii="Arial" w:cs="Arial" w:eastAsia="Arial" w:hAnsi="Arial"/>
                <w:sz w:val="18"/>
                <w:szCs w:val="18"/>
                <w:color w:val="0000EE"/>
              </w:rPr>
            </w:pPr>
            <w:hyperlink w:anchor="page164">
              <w:r>
                <w:rPr>
                  <w:rFonts w:ascii="Arial" w:cs="Arial" w:eastAsia="Arial" w:hAnsi="Arial"/>
                  <w:sz w:val="18"/>
                  <w:szCs w:val="18"/>
                  <w:color w:val="0000EE"/>
                </w:rPr>
                <w:t>Report of Independent Registered Public Accounting Firm</w:t>
              </w:r>
            </w:hyperlink>
          </w:p>
        </w:tc>
        <w:tc>
          <w:tcPr>
            <w:tcW w:w="202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45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165">
              <w:r>
                <w:rPr>
                  <w:rFonts w:ascii="Arial" w:cs="Arial" w:eastAsia="Arial" w:hAnsi="Arial"/>
                  <w:sz w:val="18"/>
                  <w:szCs w:val="18"/>
                  <w:color w:val="0000EE"/>
                  <w:w w:val="86"/>
                </w:rPr>
                <w:t>Consolidated Balance Sheets as of December 31, 2012 and 2011</w:t>
              </w:r>
            </w:hyperlink>
          </w:p>
        </w:tc>
        <w:tc>
          <w:tcPr>
            <w:tcW w:w="4760" w:type="dxa"/>
            <w:vAlign w:val="bottom"/>
            <w:gridSpan w:val="1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9300" w:type="dxa"/>
            <w:vAlign w:val="bottom"/>
            <w:gridSpan w:val="15"/>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Consolidated Statements of Operations for the years ended December 31, 2012 and 2011</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2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Consolidated Schedules of Investments as of December 31, 2012 and 2011</w:t>
              </w:r>
            </w:hyperlink>
          </w:p>
        </w:tc>
        <w:tc>
          <w:tcPr>
            <w:tcW w:w="3060" w:type="dxa"/>
            <w:vAlign w:val="bottom"/>
            <w:gridSpan w:val="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300" w:type="dxa"/>
            <w:vAlign w:val="bottom"/>
            <w:gridSpan w:val="15"/>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Consolidated Statements of Changes in Net Assets for the years ended December 31, 2012 and 2011</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196"/>
        </w:trPr>
        <w:tc>
          <w:tcPr>
            <w:tcW w:w="7060" w:type="dxa"/>
            <w:vAlign w:val="bottom"/>
            <w:tcBorders>
              <w:top w:val="single" w:sz="8" w:color="0000EE"/>
            </w:tcBorders>
            <w:gridSpan w:val="12"/>
          </w:tcPr>
          <w:p>
            <w:pPr>
              <w:spacing w:after="0" w:line="196" w:lineRule="exact"/>
              <w:rPr>
                <w:rFonts w:ascii="Arial" w:cs="Arial" w:eastAsia="Arial" w:hAnsi="Arial"/>
                <w:sz w:val="18"/>
                <w:szCs w:val="18"/>
                <w:color w:val="0000EE"/>
                <w:w w:val="97"/>
              </w:rPr>
            </w:pPr>
            <w:hyperlink w:anchor="page173">
              <w:r>
                <w:rPr>
                  <w:rFonts w:ascii="Arial" w:cs="Arial" w:eastAsia="Arial" w:hAnsi="Arial"/>
                  <w:sz w:val="18"/>
                  <w:szCs w:val="18"/>
                  <w:color w:val="0000EE"/>
                  <w:w w:val="97"/>
                </w:rPr>
                <w:t>Consolidated Statements of Cash Flows for the years ended December 31, 2012 and 2011</w:t>
              </w:r>
            </w:hyperlink>
          </w:p>
        </w:tc>
        <w:tc>
          <w:tcPr>
            <w:tcW w:w="2240" w:type="dxa"/>
            <w:vAlign w:val="bottom"/>
            <w:gridSpan w:val="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r>
      <w:tr>
        <w:trPr>
          <w:trHeight w:val="196"/>
        </w:trPr>
        <w:tc>
          <w:tcPr>
            <w:tcW w:w="6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Notes to Consolidated Financial Statements</w:t>
              </w:r>
            </w:hyperlink>
          </w:p>
        </w:tc>
        <w:tc>
          <w:tcPr>
            <w:tcW w:w="3000" w:type="dxa"/>
            <w:vAlign w:val="bottom"/>
            <w:gridSpan w:val="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36"/>
        </w:trPr>
        <w:tc>
          <w:tcPr>
            <w:tcW w:w="9300" w:type="dxa"/>
            <w:vAlign w:val="bottom"/>
            <w:gridSpan w:val="15"/>
          </w:tcPr>
          <w:p>
            <w:pPr>
              <w:spacing w:after="0"/>
              <w:rPr>
                <w:sz w:val="20"/>
                <w:szCs w:val="20"/>
                <w:color w:val="auto"/>
              </w:rPr>
            </w:pPr>
            <w:r>
              <w:rPr>
                <w:rFonts w:ascii="Arial" w:cs="Arial" w:eastAsia="Arial" w:hAnsi="Arial"/>
                <w:sz w:val="18"/>
                <w:szCs w:val="18"/>
                <w:b w:val="1"/>
                <w:bCs w:val="1"/>
                <w:color w:val="auto"/>
              </w:rPr>
              <w:t>Unaudited Consolidated Financial Statements</w:t>
            </w:r>
          </w:p>
        </w:tc>
        <w:tc>
          <w:tcPr>
            <w:tcW w:w="2020" w:type="dxa"/>
            <w:vAlign w:val="bottom"/>
          </w:tcPr>
          <w:p>
            <w:pPr>
              <w:spacing w:after="0"/>
              <w:rPr>
                <w:sz w:val="24"/>
                <w:szCs w:val="24"/>
                <w:color w:val="auto"/>
              </w:rPr>
            </w:pPr>
          </w:p>
        </w:tc>
      </w:tr>
      <w:tr>
        <w:trPr>
          <w:trHeight w:val="184"/>
        </w:trPr>
        <w:tc>
          <w:tcPr>
            <w:tcW w:w="9300" w:type="dxa"/>
            <w:vAlign w:val="bottom"/>
            <w:gridSpan w:val="15"/>
          </w:tcPr>
          <w:p>
            <w:pPr>
              <w:spacing w:after="0" w:line="184" w:lineRule="exact"/>
              <w:rPr>
                <w:rFonts w:ascii="Arial" w:cs="Arial" w:eastAsia="Arial" w:hAnsi="Arial"/>
                <w:sz w:val="18"/>
                <w:szCs w:val="18"/>
                <w:color w:val="0000EE"/>
              </w:rPr>
            </w:pPr>
            <w:hyperlink w:anchor="page193">
              <w:r>
                <w:rPr>
                  <w:rFonts w:ascii="Arial" w:cs="Arial" w:eastAsia="Arial" w:hAnsi="Arial"/>
                  <w:sz w:val="18"/>
                  <w:szCs w:val="18"/>
                  <w:color w:val="0000EE"/>
                </w:rPr>
                <w:t>Consolidated Balance Sheets as of September 30, 2013 and December 31, 2012</w:t>
              </w:r>
            </w:hyperlink>
          </w:p>
        </w:tc>
        <w:tc>
          <w:tcPr>
            <w:tcW w:w="2020" w:type="dxa"/>
            <w:vAlign w:val="bottom"/>
          </w:tcPr>
          <w:p>
            <w:pPr>
              <w:jc w:val="right"/>
              <w:spacing w:after="0" w:line="184" w:lineRule="exact"/>
              <w:rPr>
                <w:sz w:val="20"/>
                <w:szCs w:val="20"/>
                <w:color w:val="auto"/>
              </w:rPr>
            </w:pPr>
            <w:r>
              <w:rPr>
                <w:rFonts w:ascii="Arial" w:cs="Arial" w:eastAsia="Arial" w:hAnsi="Arial"/>
                <w:sz w:val="18"/>
                <w:szCs w:val="18"/>
                <w:color w:val="auto"/>
              </w:rPr>
              <w:t>F-31</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300" w:type="dxa"/>
            <w:vAlign w:val="bottom"/>
            <w:gridSpan w:val="15"/>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Consolidated Statements of Operations for the three and nine months ended September 30, 2013 and</w:t>
              </w:r>
            </w:hyperlink>
          </w:p>
        </w:tc>
        <w:tc>
          <w:tcPr>
            <w:tcW w:w="202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194">
              <w:r>
                <w:rPr>
                  <w:rFonts w:ascii="Arial" w:cs="Arial" w:eastAsia="Arial" w:hAnsi="Arial"/>
                  <w:sz w:val="18"/>
                  <w:szCs w:val="18"/>
                  <w:color w:val="0000EE"/>
                  <w:w w:val="84"/>
                </w:rPr>
                <w:t>2012</w:t>
              </w:r>
            </w:hyperlink>
          </w:p>
        </w:tc>
        <w:tc>
          <w:tcPr>
            <w:tcW w:w="25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196"/>
        </w:trPr>
        <w:tc>
          <w:tcPr>
            <w:tcW w:w="9300" w:type="dxa"/>
            <w:vAlign w:val="bottom"/>
            <w:gridSpan w:val="15"/>
          </w:tcPr>
          <w:p>
            <w:pPr>
              <w:spacing w:after="0" w:line="196" w:lineRule="exact"/>
              <w:rPr>
                <w:sz w:val="20"/>
                <w:szCs w:val="20"/>
                <w:color w:val="auto"/>
              </w:rPr>
            </w:pPr>
            <w:r>
              <w:rPr>
                <w:rFonts w:ascii="Arial" w:cs="Arial" w:eastAsia="Arial" w:hAnsi="Arial"/>
                <w:sz w:val="18"/>
                <w:szCs w:val="18"/>
                <w:color w:val="0000EE"/>
              </w:rPr>
              <w:t>Consolidated Schedules of Investments as of September 30, 2013 and December 31, 2012</w:t>
            </w: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20"/>
        </w:trPr>
        <w:tc>
          <w:tcPr>
            <w:tcW w:w="3080" w:type="dxa"/>
            <w:vAlign w:val="bottom"/>
            <w:gridSpan w:val="3"/>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201">
              <w:r>
                <w:rPr>
                  <w:rFonts w:ascii="Arial" w:cs="Arial" w:eastAsia="Arial" w:hAnsi="Arial"/>
                  <w:sz w:val="18"/>
                  <w:szCs w:val="18"/>
                  <w:color w:val="0000EE"/>
                  <w:w w:val="86"/>
                </w:rPr>
                <w:t>Consolidated Statements of Changes in Net Assets for the nine months ended September 30, 2013 and 2012</w:t>
              </w:r>
            </w:hyperlink>
          </w:p>
        </w:tc>
        <w:tc>
          <w:tcPr>
            <w:tcW w:w="170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9300" w:type="dxa"/>
            <w:vAlign w:val="bottom"/>
            <w:gridSpan w:val="15"/>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Consolidated Statements of Cash Flows for the nine months ended September 30, 2013 and 2012</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196"/>
        </w:trPr>
        <w:tc>
          <w:tcPr>
            <w:tcW w:w="6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Notes to Consolidated Financial Statements</w:t>
              </w:r>
            </w:hyperlink>
          </w:p>
        </w:tc>
        <w:tc>
          <w:tcPr>
            <w:tcW w:w="248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F-41</w:t>
            </w: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50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40" w:type="dxa"/>
            <w:vAlign w:val="bottom"/>
            <w:gridSpan w:val="9"/>
          </w:tcPr>
          <w:p>
            <w:pPr>
              <w:jc w:val="center"/>
              <w:ind w:right="3120"/>
              <w:spacing w:after="0"/>
              <w:rPr>
                <w:sz w:val="20"/>
                <w:szCs w:val="20"/>
                <w:color w:val="auto"/>
              </w:rPr>
            </w:pPr>
            <w:r>
              <w:rPr>
                <w:rFonts w:ascii="Arial" w:cs="Arial" w:eastAsia="Arial" w:hAnsi="Arial"/>
                <w:sz w:val="18"/>
                <w:szCs w:val="18"/>
                <w:color w:val="auto"/>
                <w:w w:val="88"/>
              </w:rPr>
              <w:t>F-1</w:t>
            </w:r>
          </w:p>
        </w:tc>
        <w:tc>
          <w:tcPr>
            <w:tcW w:w="202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TPG Specialty Lending, Inc. (and subsidiaries) (the Company), including the consolidated schedules of investments as of December 31, 2012 and 2011, and the related consolidated statements of operations, changes in net assets, cash flows, and the financial highlights (included in Note 12) for the years then ended. These consolidated financial statements and financial highlights are the responsibility of the Company’s management. Our responsibility is to express an opinion on these consolidated financial statements and financial highlights based on our audits.</w:t>
      </w:r>
    </w:p>
    <w:p>
      <w:pPr>
        <w:spacing w:after="0" w:line="9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and financial highlights are free of material misstatement. An audit includes examining, on a test basis, evidence supporting the amounts and disclosures in the financial statements. Our procedures included confirmation of securities owned as of December 31, 2012 and 2011,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our opinion, the consolidated financial statements and financial highlights referred to above present fairly, in all material respects, the financial position of TPG Specialty Lending, Inc. (and subsidiaries) as of December 31, 2012 and 2011, the results of their operations and their cash flows, the changes in net assets, and the financial highlights for the years then ended, in conformity with U.S. generally accepted accounting principles.</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2013, except for Note 8 and Note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are as of December 10,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$644,421 and $140,255, respectively)</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653,944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Non-controlled, affiliated investments (amortized cost of $0 and $41,781, respectively)</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investments at fair value (amortized cost of $644,421 and $182,036, respectively)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653,944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161,825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833,149</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332,249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331,836</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353,346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159,157</w:t>
            </w:r>
          </w:p>
        </w:tc>
        <w:tc>
          <w:tcPr>
            <w:tcW w:w="0" w:type="dxa"/>
            <w:vAlign w:val="bottom"/>
          </w:tcPr>
          <w:p>
            <w:pPr>
              <w:spacing w:after="0"/>
              <w:rPr>
                <w:sz w:val="1"/>
                <w:szCs w:val="1"/>
                <w:color w:val="auto"/>
              </w:rPr>
            </w:pPr>
          </w:p>
        </w:tc>
      </w:tr>
      <w:tr>
        <w:trPr>
          <w:trHeight w:val="221"/>
        </w:trPr>
        <w:tc>
          <w:tcPr>
            <w:tcW w:w="896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w w:val="88"/>
              </w:rPr>
              <w:t>Common stock, $0.01 par value; 100,000,000 shares authorized; 31,583,953 and 11,771,513 shares issued, respectively; and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31,582,954 and 11,770,514 shares outstanding, respectively</w:t>
            </w:r>
            <w:r>
              <w:rPr>
                <w:rFonts w:ascii="Arial" w:cs="Arial" w:eastAsia="Arial" w:hAnsi="Arial"/>
                <w:sz w:val="11"/>
                <w:szCs w:val="11"/>
                <w:color w:val="auto"/>
              </w:rPr>
              <w:t>(1)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1"/>
                <w:szCs w:val="11"/>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469,398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Undistributed net realized gains on investments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479,803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833,149</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332,249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Asset Value Per Share</w:t>
            </w:r>
            <w:r>
              <w:rPr>
                <w:rFonts w:ascii="Arial" w:cs="Arial" w:eastAsia="Arial" w:hAnsi="Arial"/>
                <w:sz w:val="11"/>
                <w:szCs w:val="11"/>
                <w:b w:val="1"/>
                <w:bCs w:val="1"/>
                <w:color w:val="auto"/>
              </w:rPr>
              <w:t>(1)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680" w:hanging="452"/>
        <w:spacing w:after="0" w:line="268"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Year Ended</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6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7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2012</w:t>
            </w:r>
          </w:p>
        </w:tc>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46,402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80" w:type="dxa"/>
            <w:vAlign w:val="bottom"/>
            <w:gridSpan w:val="2"/>
          </w:tcPr>
          <w:p>
            <w:pPr>
              <w:ind w:left="86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10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47,046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2,724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 income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investment income from non-controlled, affiliated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740" w:type="dxa"/>
            <w:vAlign w:val="bottom"/>
          </w:tcPr>
          <w:p>
            <w:pPr>
              <w:ind w:left="14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51,011</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6,020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organization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8,892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6,996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2,881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gridSpan w:val="3"/>
          </w:tcPr>
          <w:p>
            <w:pPr>
              <w:spacing w:after="0"/>
              <w:rPr>
                <w:sz w:val="20"/>
                <w:szCs w:val="20"/>
                <w:color w:val="auto"/>
              </w:rPr>
            </w:pPr>
            <w:r>
              <w:rPr>
                <w:rFonts w:ascii="Arial" w:cs="Arial" w:eastAsia="Arial" w:hAnsi="Arial"/>
                <w:sz w:val="18"/>
                <w:szCs w:val="18"/>
                <w:color w:val="auto"/>
              </w:rPr>
              <w:t>Management fees waived (Note 3)</w:t>
            </w:r>
          </w:p>
        </w:tc>
        <w:tc>
          <w:tcPr>
            <w:tcW w:w="10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(3,704)</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10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28,075</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Net Investment Income (Loss)</w:t>
            </w:r>
          </w:p>
        </w:tc>
        <w:tc>
          <w:tcPr>
            <w:tcW w:w="10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28,029</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Gains on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4,255</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740" w:type="dxa"/>
            <w:vAlign w:val="bottom"/>
          </w:tcPr>
          <w:p>
            <w:pPr>
              <w:ind w:left="140"/>
              <w:spacing w:after="0"/>
              <w:rPr>
                <w:sz w:val="20"/>
                <w:szCs w:val="20"/>
                <w:color w:val="auto"/>
              </w:rPr>
            </w:pPr>
            <w:r>
              <w:rPr>
                <w:rFonts w:ascii="Arial" w:cs="Arial" w:eastAsia="Arial" w:hAnsi="Arial"/>
                <w:sz w:val="18"/>
                <w:szCs w:val="18"/>
                <w:b w:val="1"/>
                <w:bCs w:val="1"/>
                <w:color w:val="auto"/>
              </w:rPr>
              <w:t>Total Net Gains on Investments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3"/>
            <w:vMerge w:val="restart"/>
          </w:tcPr>
          <w:p>
            <w:pPr>
              <w:spacing w:after="0"/>
              <w:rPr>
                <w:sz w:val="20"/>
                <w:szCs w:val="20"/>
                <w:color w:val="auto"/>
              </w:rPr>
            </w:pPr>
            <w:r>
              <w:rPr>
                <w:rFonts w:ascii="Arial" w:cs="Arial" w:eastAsia="Arial" w:hAnsi="Arial"/>
                <w:sz w:val="18"/>
                <w:szCs w:val="18"/>
                <w:color w:val="auto"/>
              </w:rPr>
              <w:t>Earnings per common share – basic and diluted</w:t>
            </w:r>
            <w:r>
              <w:rPr>
                <w:rFonts w:ascii="Arial" w:cs="Arial" w:eastAsia="Arial" w:hAnsi="Arial"/>
                <w:sz w:val="11"/>
                <w:szCs w:val="11"/>
                <w:color w:val="auto"/>
              </w:rPr>
              <w:t>(1)</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 – basic and diluted</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20,541,475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3,347,602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68"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3780" w:type="dxa"/>
            <w:vAlign w:val="bottom"/>
            <w:vMerge w:val="restart"/>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Interest</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Acquisition</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Amortized</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1860" w:type="dxa"/>
            <w:vAlign w:val="bottom"/>
            <w:gridSpan w:val="2"/>
          </w:tcPr>
          <w:p>
            <w:pPr>
              <w:ind w:left="44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Rate</w:t>
            </w: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Date</w:t>
            </w:r>
          </w:p>
        </w:tc>
        <w:tc>
          <w:tcPr>
            <w:tcW w:w="620" w:type="dxa"/>
            <w:vAlign w:val="bottom"/>
          </w:tcPr>
          <w:p>
            <w:pPr>
              <w:jc w:val="right"/>
              <w:ind w:right="13"/>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3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22"/>
        </w:trPr>
        <w:tc>
          <w:tcPr>
            <w:tcW w:w="45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Debt Investments</w:t>
            </w:r>
          </w:p>
        </w:tc>
        <w:tc>
          <w:tcPr>
            <w:tcW w:w="154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4"/>
                <w:szCs w:val="14"/>
                <w:b w:val="1"/>
                <w:bCs w:val="1"/>
                <w:color w:val="auto"/>
              </w:rPr>
              <w:t>Aerospace and defense</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MSC.Software Corporation </w:t>
            </w:r>
            <w:r>
              <w:rPr>
                <w:rFonts w:ascii="Arial" w:cs="Arial" w:eastAsia="Arial" w:hAnsi="Arial"/>
                <w:sz w:val="16"/>
                <w:szCs w:val="16"/>
                <w:color w:val="auto"/>
                <w:vertAlign w:val="superscript"/>
              </w:rPr>
              <w:t>(3)(4)(5)</w:t>
            </w:r>
          </w:p>
        </w:tc>
        <w:tc>
          <w:tcPr>
            <w:tcW w:w="18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First-lien loan ($56,266 par,</w:t>
            </w: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11/2017)</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7.75%</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w w:val="91"/>
              </w:rPr>
              <w:t>12/23/2011</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   55,423</w:t>
            </w:r>
          </w:p>
        </w:tc>
        <w:tc>
          <w:tcPr>
            <w:tcW w:w="13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   55,984</w:t>
            </w: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4"/>
                <w:szCs w:val="14"/>
                <w:b w:val="1"/>
                <w:bCs w:val="1"/>
                <w:color w:val="auto"/>
              </w:rPr>
              <w:t>Automotive</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Heartland Automotive Holdings, LLC </w:t>
            </w:r>
            <w:r>
              <w:rPr>
                <w:rFonts w:ascii="Arial" w:cs="Arial" w:eastAsia="Arial" w:hAnsi="Arial"/>
                <w:sz w:val="16"/>
                <w:szCs w:val="16"/>
                <w:color w:val="auto"/>
                <w:vertAlign w:val="superscript"/>
              </w:rPr>
              <w:t>(3)(5)</w:t>
            </w:r>
          </w:p>
        </w:tc>
        <w:tc>
          <w:tcPr>
            <w:tcW w:w="18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First-lien loan ($38,951 par,</w:t>
            </w: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6/2017)</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9.00%</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8/28/2012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37,998</w:t>
            </w:r>
          </w:p>
        </w:tc>
        <w:tc>
          <w:tcPr>
            <w:tcW w:w="13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38,075</w:t>
            </w: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First-lien revolving loan</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($555 par, due 6/2017)</w:t>
            </w: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10.00%</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8/28/2012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413</w:t>
            </w: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431</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Sage Automotive Interiors, Inc. </w:t>
            </w:r>
            <w:r>
              <w:rPr>
                <w:rFonts w:ascii="Arial" w:cs="Arial" w:eastAsia="Arial" w:hAnsi="Arial"/>
                <w:sz w:val="15"/>
                <w:szCs w:val="15"/>
                <w:color w:val="auto"/>
                <w:vertAlign w:val="superscript"/>
              </w:rPr>
              <w:t>(3)(4)(5)</w:t>
            </w:r>
          </w:p>
        </w:tc>
        <w:tc>
          <w:tcPr>
            <w:tcW w:w="1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($19,878 par,</w:t>
            </w: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12/2016)</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9.50%</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w w:val="91"/>
              </w:rPr>
              <w:t>12/31/2012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19,717</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19,679</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58,128</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58,185</w:t>
            </w:r>
          </w:p>
        </w:tc>
        <w:tc>
          <w:tcPr>
            <w:tcW w:w="3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Beverage, food and tobacco</w:t>
            </w: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AFS Technologies, Inc. </w:t>
            </w:r>
            <w:r>
              <w:rPr>
                <w:rFonts w:ascii="Arial" w:cs="Arial" w:eastAsia="Arial" w:hAnsi="Arial"/>
                <w:sz w:val="15"/>
                <w:szCs w:val="15"/>
                <w:color w:val="auto"/>
                <w:vertAlign w:val="superscript"/>
              </w:rPr>
              <w:t>(3)(4)(5)</w:t>
            </w: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($46,884 par,</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due 8/2015)</w:t>
            </w: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7.75%</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8/31/2011</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45,987</w:t>
            </w: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46,532</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Checkers Drive-In Restaurants, Inc. </w:t>
            </w:r>
            <w:r>
              <w:rPr>
                <w:rFonts w:ascii="Arial" w:cs="Arial" w:eastAsia="Arial" w:hAnsi="Arial"/>
                <w:sz w:val="15"/>
                <w:szCs w:val="15"/>
                <w:color w:val="auto"/>
                <w:vertAlign w:val="superscript"/>
              </w:rPr>
              <w:t>(5)</w:t>
            </w:r>
          </w:p>
        </w:tc>
        <w:tc>
          <w:tcPr>
            <w:tcW w:w="1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Second-lien bond ($10,000</w:t>
            </w: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par, due 12/2017)</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11.00%</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w w:val="91"/>
              </w:rPr>
              <w:t>11/16/2012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10,017</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10,025</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56,004</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56,557</w:t>
            </w:r>
          </w:p>
        </w:tc>
        <w:tc>
          <w:tcPr>
            <w:tcW w:w="3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Business services</w:t>
            </w: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Consona Holdings, Inc. </w:t>
            </w:r>
            <w:r>
              <w:rPr>
                <w:rFonts w:ascii="Arial" w:cs="Arial" w:eastAsia="Arial" w:hAnsi="Arial"/>
                <w:sz w:val="15"/>
                <w:szCs w:val="15"/>
                <w:color w:val="auto"/>
                <w:vertAlign w:val="superscript"/>
              </w:rPr>
              <w:t>(3)(5)</w:t>
            </w: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($29,925 par,</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due 8/2018)</w:t>
            </w: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7.25%</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8/13/2012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29,514</w:t>
            </w: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29,925</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Attachmate Corporation </w:t>
            </w:r>
            <w:r>
              <w:rPr>
                <w:rFonts w:ascii="Arial" w:cs="Arial" w:eastAsia="Arial" w:hAnsi="Arial"/>
                <w:sz w:val="15"/>
                <w:szCs w:val="15"/>
                <w:color w:val="auto"/>
                <w:vertAlign w:val="superscript"/>
              </w:rPr>
              <w:t>(3)(5)</w:t>
            </w:r>
          </w:p>
        </w:tc>
        <w:tc>
          <w:tcPr>
            <w:tcW w:w="1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($926 par,</w:t>
            </w: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11/2017)</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7.25%</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6/25/2012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944</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894</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30,458</w:t>
            </w:r>
          </w:p>
        </w:tc>
        <w:tc>
          <w:tcPr>
            <w:tcW w:w="3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30,819</w:t>
            </w:r>
          </w:p>
        </w:tc>
        <w:tc>
          <w:tcPr>
            <w:tcW w:w="38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75"/>
        </w:trPr>
        <w:tc>
          <w:tcPr>
            <w:tcW w:w="760" w:type="dxa"/>
            <w:vAlign w:val="bottom"/>
          </w:tcPr>
          <w:p>
            <w:pPr>
              <w:spacing w:after="0"/>
              <w:rPr>
                <w:sz w:val="6"/>
                <w:szCs w:val="6"/>
                <w:color w:val="auto"/>
              </w:rPr>
            </w:pPr>
          </w:p>
        </w:tc>
        <w:tc>
          <w:tcPr>
            <w:tcW w:w="37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Capital equipment</w:t>
            </w: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Federal Signal Corporation </w:t>
            </w:r>
            <w:r>
              <w:rPr>
                <w:rFonts w:ascii="Arial" w:cs="Arial" w:eastAsia="Arial" w:hAnsi="Arial"/>
                <w:sz w:val="15"/>
                <w:szCs w:val="15"/>
                <w:color w:val="auto"/>
                <w:vertAlign w:val="superscript"/>
              </w:rPr>
              <w:t>(3)(5)</w:t>
            </w: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($41,608 par,</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due 2/2017)</w:t>
            </w: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12.00%</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2/22/2012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40,897</w:t>
            </w: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43,064</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International Equipment Solutions, Inc. </w:t>
            </w:r>
            <w:r>
              <w:rPr>
                <w:rFonts w:ascii="Arial" w:cs="Arial" w:eastAsia="Arial" w:hAnsi="Arial"/>
                <w:sz w:val="15"/>
                <w:szCs w:val="15"/>
                <w:color w:val="auto"/>
                <w:vertAlign w:val="superscript"/>
              </w:rPr>
              <w:t>(3)(5)</w:t>
            </w:r>
          </w:p>
        </w:tc>
        <w:tc>
          <w:tcPr>
            <w:tcW w:w="1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($29,391 par,</w:t>
            </w: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9/2016)</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8.50%</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9/18/2012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28,732</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28,876</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69,629</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71,940</w:t>
            </w:r>
          </w:p>
        </w:tc>
        <w:tc>
          <w:tcPr>
            <w:tcW w:w="3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Construction and building</w:t>
            </w: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Mannington Mills, Inc. </w:t>
            </w:r>
            <w:r>
              <w:rPr>
                <w:rFonts w:ascii="Arial" w:cs="Arial" w:eastAsia="Arial" w:hAnsi="Arial"/>
                <w:sz w:val="15"/>
                <w:szCs w:val="15"/>
                <w:color w:val="auto"/>
                <w:vertAlign w:val="superscript"/>
              </w:rPr>
              <w:t>(3)(5)</w:t>
            </w: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Second-lien loan ($50,537</w:t>
            </w:r>
          </w:p>
        </w:tc>
        <w:tc>
          <w:tcPr>
            <w:tcW w:w="106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14.00%</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par, due 3/2017)</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2"/>
              </w:rPr>
              <w:t>(incl. 2.00%</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PIK)</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3/2/2012</w:t>
            </w:r>
          </w:p>
        </w:tc>
        <w:tc>
          <w:tcPr>
            <w:tcW w:w="620" w:type="dxa"/>
            <w:vAlign w:val="bottom"/>
          </w:tcPr>
          <w:p>
            <w:pPr>
              <w:jc w:val="right"/>
              <w:spacing w:after="0"/>
              <w:rPr>
                <w:sz w:val="20"/>
                <w:szCs w:val="20"/>
                <w:color w:val="auto"/>
              </w:rPr>
            </w:pPr>
            <w:r>
              <w:rPr>
                <w:rFonts w:ascii="Arial" w:cs="Arial" w:eastAsia="Arial" w:hAnsi="Arial"/>
                <w:sz w:val="14"/>
                <w:szCs w:val="14"/>
                <w:color w:val="auto"/>
              </w:rPr>
              <w:t>49,551</w:t>
            </w:r>
          </w:p>
        </w:tc>
        <w:tc>
          <w:tcPr>
            <w:tcW w:w="1380" w:type="dxa"/>
            <w:vAlign w:val="bottom"/>
            <w:gridSpan w:val="3"/>
          </w:tcPr>
          <w:p>
            <w:pPr>
              <w:jc w:val="right"/>
              <w:ind w:right="380"/>
              <w:spacing w:after="0"/>
              <w:rPr>
                <w:sz w:val="20"/>
                <w:szCs w:val="20"/>
                <w:color w:val="auto"/>
              </w:rPr>
            </w:pPr>
            <w:r>
              <w:rPr>
                <w:rFonts w:ascii="Arial" w:cs="Arial" w:eastAsia="Arial" w:hAnsi="Arial"/>
                <w:sz w:val="14"/>
                <w:szCs w:val="14"/>
                <w:color w:val="auto"/>
              </w:rPr>
              <w:t>53,190</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Environmental Services</w:t>
            </w: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Synagro Technologies, Inc. </w:t>
            </w:r>
            <w:r>
              <w:rPr>
                <w:rFonts w:ascii="Arial" w:cs="Arial" w:eastAsia="Arial" w:hAnsi="Arial"/>
                <w:sz w:val="15"/>
                <w:szCs w:val="15"/>
                <w:color w:val="auto"/>
                <w:vertAlign w:val="superscript"/>
              </w:rPr>
              <w:t>(3)</w:t>
            </w: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($3,134 par,</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due 10/2014)</w:t>
            </w: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2.31%</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11/8/2012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2,759</w:t>
            </w: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2,813</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8"/>
        </w:trPr>
        <w:tc>
          <w:tcPr>
            <w:tcW w:w="760" w:type="dxa"/>
            <w:vAlign w:val="bottom"/>
            <w:shd w:val="clear" w:color="auto" w:fill="CCEEFF"/>
          </w:tcPr>
          <w:p>
            <w:pPr>
              <w:spacing w:after="0"/>
              <w:rPr>
                <w:sz w:val="11"/>
                <w:szCs w:val="11"/>
                <w:color w:val="auto"/>
              </w:rPr>
            </w:pPr>
          </w:p>
        </w:tc>
        <w:tc>
          <w:tcPr>
            <w:tcW w:w="37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Second-lien loan ($5,670</w:t>
            </w: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par, due 10/2014)</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9/14/2012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2,814</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1,517</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5,573</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4,330</w:t>
            </w:r>
          </w:p>
        </w:tc>
        <w:tc>
          <w:tcPr>
            <w:tcW w:w="3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Financial services</w:t>
            </w: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Embarcadero Technologies, Inc. </w:t>
            </w:r>
            <w:r>
              <w:rPr>
                <w:rFonts w:ascii="Arial" w:cs="Arial" w:eastAsia="Arial" w:hAnsi="Arial"/>
                <w:sz w:val="15"/>
                <w:szCs w:val="15"/>
                <w:color w:val="auto"/>
                <w:vertAlign w:val="superscript"/>
              </w:rPr>
              <w:t>(3)(4)(5)</w:t>
            </w: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($59,714 par,</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due 12/2017)</w:t>
            </w: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8.00%</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91"/>
              </w:rPr>
              <w:t>12/28/2012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58,223</w:t>
            </w: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58,221</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Rogue Wave Holdings, Inc. </w:t>
            </w:r>
            <w:r>
              <w:rPr>
                <w:rFonts w:ascii="Arial" w:cs="Arial" w:eastAsia="Arial" w:hAnsi="Arial"/>
                <w:sz w:val="15"/>
                <w:szCs w:val="15"/>
                <w:color w:val="auto"/>
                <w:vertAlign w:val="superscript"/>
              </w:rPr>
              <w:t>(3)(4)(5)</w:t>
            </w:r>
          </w:p>
        </w:tc>
        <w:tc>
          <w:tcPr>
            <w:tcW w:w="1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($40,000 par,</w:t>
            </w: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11/2017)</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8.25%</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w w:val="91"/>
              </w:rPr>
              <w:t>11/21/2012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38,947</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39,600</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97,170</w:t>
            </w:r>
          </w:p>
        </w:tc>
        <w:tc>
          <w:tcPr>
            <w:tcW w:w="3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97,821</w:t>
            </w:r>
          </w:p>
        </w:tc>
        <w:tc>
          <w:tcPr>
            <w:tcW w:w="38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Interest</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Acquisition</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82"/>
        </w:trPr>
        <w:tc>
          <w:tcPr>
            <w:tcW w:w="5000" w:type="dxa"/>
            <w:vAlign w:val="bottom"/>
            <w:gridSpan w:val="3"/>
            <w:vMerge w:val="continue"/>
          </w:tcPr>
          <w:p>
            <w:pPr>
              <w:spacing w:after="0"/>
              <w:rPr>
                <w:sz w:val="15"/>
                <w:szCs w:val="15"/>
                <w:color w:val="auto"/>
              </w:rPr>
            </w:pPr>
          </w:p>
        </w:tc>
        <w:tc>
          <w:tcPr>
            <w:tcW w:w="1820" w:type="dxa"/>
            <w:vAlign w:val="bottom"/>
            <w:gridSpan w:val="2"/>
          </w:tcPr>
          <w:p>
            <w:pPr>
              <w:ind w:left="480"/>
              <w:spacing w:after="0"/>
              <w:rPr>
                <w:sz w:val="20"/>
                <w:szCs w:val="20"/>
                <w:color w:val="auto"/>
              </w:rPr>
            </w:pPr>
            <w:r>
              <w:rPr>
                <w:rFonts w:ascii="Arial" w:cs="Arial" w:eastAsia="Arial" w:hAnsi="Arial"/>
                <w:sz w:val="14"/>
                <w:szCs w:val="14"/>
                <w:b w:val="1"/>
                <w:bCs w:val="1"/>
                <w:color w:val="auto"/>
              </w:rPr>
              <w:t>Investment</w:t>
            </w: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Rate</w:t>
            </w: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5"/>
                <w:szCs w:val="15"/>
                <w:color w:val="auto"/>
              </w:rPr>
            </w:pPr>
          </w:p>
        </w:tc>
        <w:tc>
          <w:tcPr>
            <w:tcW w:w="820" w:type="dxa"/>
            <w:vAlign w:val="bottom"/>
            <w:gridSpan w:val="2"/>
          </w:tcPr>
          <w:p>
            <w:pPr>
              <w:jc w:val="right"/>
              <w:ind w:right="360"/>
              <w:spacing w:after="0" w:line="162" w:lineRule="exact"/>
              <w:rPr>
                <w:sz w:val="20"/>
                <w:szCs w:val="20"/>
                <w:color w:val="auto"/>
              </w:rPr>
            </w:pPr>
            <w:r>
              <w:rPr>
                <w:rFonts w:ascii="Arial" w:cs="Arial" w:eastAsia="Arial" w:hAnsi="Arial"/>
                <w:sz w:val="12"/>
                <w:szCs w:val="12"/>
                <w:b w:val="1"/>
                <w:bCs w:val="1"/>
                <w:color w:val="auto"/>
                <w:w w:val="98"/>
              </w:rPr>
              <w:t xml:space="preserve">Cost </w:t>
            </w:r>
            <w:r>
              <w:rPr>
                <w:rFonts w:ascii="Arial" w:cs="Arial" w:eastAsia="Arial" w:hAnsi="Arial"/>
                <w:sz w:val="18"/>
                <w:szCs w:val="18"/>
                <w:b w:val="1"/>
                <w:bCs w:val="1"/>
                <w:color w:val="auto"/>
                <w:w w:val="98"/>
                <w:vertAlign w:val="superscript"/>
              </w:rPr>
              <w:t>(2)</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424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Healthcare and pharmaceuticals</w:t>
            </w:r>
          </w:p>
        </w:tc>
        <w:tc>
          <w:tcPr>
            <w:tcW w:w="1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eResearch Technology, Inc. </w:t>
            </w:r>
            <w:r>
              <w:rPr>
                <w:rFonts w:ascii="Arial" w:cs="Arial" w:eastAsia="Arial" w:hAnsi="Arial"/>
                <w:sz w:val="15"/>
                <w:szCs w:val="15"/>
                <w:color w:val="auto"/>
                <w:vertAlign w:val="superscript"/>
              </w:rPr>
              <w:t>(3)(5)</w:t>
            </w:r>
          </w:p>
        </w:tc>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($24,937 par,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20" w:type="dxa"/>
            <w:vAlign w:val="bottom"/>
            <w:gridSpan w:val="2"/>
          </w:tcPr>
          <w:p>
            <w:pPr>
              <w:spacing w:after="0" w:line="159" w:lineRule="exact"/>
              <w:rPr>
                <w:sz w:val="20"/>
                <w:szCs w:val="20"/>
                <w:color w:val="auto"/>
              </w:rPr>
            </w:pPr>
            <w:r>
              <w:rPr>
                <w:rFonts w:ascii="Arial" w:cs="Arial" w:eastAsia="Arial" w:hAnsi="Arial"/>
                <w:sz w:val="14"/>
                <w:szCs w:val="14"/>
                <w:color w:val="auto"/>
              </w:rPr>
              <w:t>due 5/2018)</w:t>
            </w:r>
          </w:p>
        </w:tc>
        <w:tc>
          <w:tcPr>
            <w:tcW w:w="9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8.00%</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7/3/2012</w:t>
            </w: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24,006</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24,626</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Mediware Information Systems, Inc. </w:t>
            </w:r>
            <w:r>
              <w:rPr>
                <w:rFonts w:ascii="Arial" w:cs="Arial" w:eastAsia="Arial" w:hAnsi="Arial"/>
                <w:sz w:val="15"/>
                <w:szCs w:val="15"/>
                <w:color w:val="auto"/>
                <w:vertAlign w:val="superscript"/>
              </w:rPr>
              <w:t>(3)(4)(5)</w:t>
            </w:r>
          </w:p>
        </w:tc>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($50,500 par,</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5/2018)</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11/9/2012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49,230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49,218</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SRS Software, LLC </w:t>
            </w:r>
            <w:r>
              <w:rPr>
                <w:rFonts w:ascii="Arial" w:cs="Arial" w:eastAsia="Arial" w:hAnsi="Arial"/>
                <w:sz w:val="15"/>
                <w:szCs w:val="15"/>
                <w:color w:val="auto"/>
                <w:vertAlign w:val="superscript"/>
              </w:rPr>
              <w:t>(3)(5)</w:t>
            </w:r>
          </w:p>
        </w:tc>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($37,500 par,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20" w:type="dxa"/>
            <w:vAlign w:val="bottom"/>
            <w:gridSpan w:val="2"/>
          </w:tcPr>
          <w:p>
            <w:pPr>
              <w:spacing w:after="0" w:line="159" w:lineRule="exact"/>
              <w:rPr>
                <w:sz w:val="20"/>
                <w:szCs w:val="20"/>
                <w:color w:val="auto"/>
              </w:rPr>
            </w:pPr>
            <w:r>
              <w:rPr>
                <w:rFonts w:ascii="Arial" w:cs="Arial" w:eastAsia="Arial" w:hAnsi="Arial"/>
                <w:sz w:val="14"/>
                <w:szCs w:val="14"/>
                <w:color w:val="auto"/>
              </w:rPr>
              <w:t>due 12/2017)</w:t>
            </w:r>
          </w:p>
        </w:tc>
        <w:tc>
          <w:tcPr>
            <w:tcW w:w="9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8.75%</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1"/>
              </w:rPr>
              <w:t>12/28/2012</w:t>
            </w: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36,439</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36,563</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109,675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4"/>
              </w:rPr>
              <w:t>110,407</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40" w:type="dxa"/>
            <w:vAlign w:val="bottom"/>
          </w:tcPr>
          <w:p>
            <w:pPr>
              <w:ind w:left="120"/>
              <w:spacing w:after="0"/>
              <w:rPr>
                <w:sz w:val="20"/>
                <w:szCs w:val="20"/>
                <w:color w:val="auto"/>
              </w:rPr>
            </w:pPr>
            <w:r>
              <w:rPr>
                <w:rFonts w:ascii="Arial" w:cs="Arial" w:eastAsia="Arial" w:hAnsi="Arial"/>
                <w:sz w:val="14"/>
                <w:szCs w:val="14"/>
                <w:b w:val="1"/>
                <w:bCs w:val="1"/>
                <w:color w:val="auto"/>
              </w:rPr>
              <w:t>Hotel, gaming, and leisure</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Mandalay Baseball Properties, LLC </w:t>
            </w:r>
            <w:r>
              <w:rPr>
                <w:rFonts w:ascii="Arial" w:cs="Arial" w:eastAsia="Arial" w:hAnsi="Arial"/>
                <w:sz w:val="16"/>
                <w:szCs w:val="16"/>
                <w:color w:val="auto"/>
                <w:vertAlign w:val="superscript"/>
              </w:rPr>
              <w:t>(3)(5)</w:t>
            </w:r>
          </w:p>
        </w:tc>
        <w:tc>
          <w:tcPr>
            <w:tcW w:w="1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First-lien loan ($28,414 par,</w:t>
            </w:r>
          </w:p>
        </w:tc>
        <w:tc>
          <w:tcPr>
            <w:tcW w:w="96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due 3/2017)</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2"/>
              </w:rPr>
              <w:t>(incl. 4.00%</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4/12/2012</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27,684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28,556</w:t>
            </w: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4"/>
                <w:szCs w:val="14"/>
                <w:b w:val="1"/>
                <w:bCs w:val="1"/>
                <w:color w:val="auto"/>
              </w:rPr>
              <w:t>Human resource support services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SumTotal Systems, LLC </w:t>
            </w:r>
            <w:r>
              <w:rPr>
                <w:rFonts w:ascii="Arial" w:cs="Arial" w:eastAsia="Arial" w:hAnsi="Arial"/>
                <w:sz w:val="15"/>
                <w:szCs w:val="15"/>
                <w:color w:val="auto"/>
                <w:vertAlign w:val="superscript"/>
              </w:rPr>
              <w:t>(3)</w:t>
            </w:r>
          </w:p>
        </w:tc>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($10,000 par,</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11/2018)</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6.25%</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1"/>
              </w:rPr>
              <w:t>11/16/2012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9,867</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9,925</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Second-lien loan ($5,000</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20" w:type="dxa"/>
            <w:vAlign w:val="bottom"/>
            <w:gridSpan w:val="2"/>
          </w:tcPr>
          <w:p>
            <w:pPr>
              <w:spacing w:after="0" w:line="159" w:lineRule="exact"/>
              <w:rPr>
                <w:sz w:val="20"/>
                <w:szCs w:val="20"/>
                <w:color w:val="auto"/>
              </w:rPr>
            </w:pPr>
            <w:r>
              <w:rPr>
                <w:rFonts w:ascii="Arial" w:cs="Arial" w:eastAsia="Arial" w:hAnsi="Arial"/>
                <w:sz w:val="14"/>
                <w:szCs w:val="14"/>
                <w:color w:val="auto"/>
              </w:rPr>
              <w:t>par, due 5/2018)</w:t>
            </w:r>
          </w:p>
        </w:tc>
        <w:tc>
          <w:tcPr>
            <w:tcW w:w="9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10.25%</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1"/>
              </w:rPr>
              <w:t>11/16/2012</w:t>
            </w: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4,950</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4,925</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14,817</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14,850</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Insurance</w:t>
            </w: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Infogix, Inc. </w:t>
            </w:r>
            <w:r>
              <w:rPr>
                <w:rFonts w:ascii="Arial" w:cs="Arial" w:eastAsia="Arial" w:hAnsi="Arial"/>
                <w:sz w:val="15"/>
                <w:szCs w:val="15"/>
                <w:color w:val="auto"/>
                <w:vertAlign w:val="superscript"/>
              </w:rPr>
              <w:t>(3)(5)</w:t>
            </w:r>
          </w:p>
        </w:tc>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($30,613 par,</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6/2017)</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6/1/2012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29,974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30,346</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Office products</w:t>
            </w: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Ecommerce Industries, Inc. </w:t>
            </w:r>
            <w:r>
              <w:rPr>
                <w:rFonts w:ascii="Arial" w:cs="Arial" w:eastAsia="Arial" w:hAnsi="Arial"/>
                <w:sz w:val="15"/>
                <w:szCs w:val="15"/>
                <w:color w:val="auto"/>
                <w:vertAlign w:val="superscript"/>
              </w:rPr>
              <w:t>(3)(4)(5)</w:t>
            </w:r>
          </w:p>
        </w:tc>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($21,562 par,</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10/2016)</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1"/>
              </w:rPr>
              <w:t>10/17/2011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21,286</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21,808</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Transportation</w:t>
            </w: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Teletrac, Inc. </w:t>
            </w:r>
            <w:r>
              <w:rPr>
                <w:rFonts w:ascii="Arial" w:cs="Arial" w:eastAsia="Arial" w:hAnsi="Arial"/>
                <w:sz w:val="15"/>
                <w:szCs w:val="15"/>
                <w:color w:val="auto"/>
                <w:vertAlign w:val="superscript"/>
              </w:rPr>
              <w:t>(3)(4)(5)</w:t>
            </w:r>
          </w:p>
        </w:tc>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($17,413 par,</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7/2017)</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6.65%</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7/23/2012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17,049</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17,151</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Debt Investments</w:t>
            </w: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gridSpan w:val="2"/>
            <w:vMerge w:val="continue"/>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642,421</w:t>
            </w:r>
          </w:p>
        </w:tc>
        <w:tc>
          <w:tcPr>
            <w:tcW w:w="120" w:type="dxa"/>
            <w:vAlign w:val="bottom"/>
          </w:tcPr>
          <w:p>
            <w:pPr>
              <w:spacing w:after="0"/>
              <w:rPr>
                <w:sz w:val="14"/>
                <w:szCs w:val="14"/>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651,944</w:t>
            </w:r>
          </w:p>
        </w:tc>
        <w:tc>
          <w:tcPr>
            <w:tcW w:w="2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Investment</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4"/>
                <w:szCs w:val="14"/>
                <w:b w:val="1"/>
                <w:bCs w:val="1"/>
                <w:color w:val="auto"/>
              </w:rPr>
              <w:t>Healthcare and pharmaceuticals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SRS Parent Corp.</w:t>
            </w:r>
          </w:p>
        </w:tc>
        <w:tc>
          <w:tcPr>
            <w:tcW w:w="1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Common Shares Class A</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(1,980 shares)</w:t>
            </w: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1"/>
              </w:rPr>
              <w:t>12/28/2012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1,980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1,980</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Common Shares Class B</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20" w:type="dxa"/>
            <w:vAlign w:val="bottom"/>
            <w:gridSpan w:val="2"/>
          </w:tcPr>
          <w:p>
            <w:pPr>
              <w:spacing w:after="0" w:line="159" w:lineRule="exact"/>
              <w:rPr>
                <w:sz w:val="20"/>
                <w:szCs w:val="20"/>
                <w:color w:val="auto"/>
              </w:rPr>
            </w:pPr>
            <w:r>
              <w:rPr>
                <w:rFonts w:ascii="Arial" w:cs="Arial" w:eastAsia="Arial" w:hAnsi="Arial"/>
                <w:sz w:val="14"/>
                <w:szCs w:val="14"/>
                <w:color w:val="auto"/>
              </w:rPr>
              <w:t>(2,953,020 shares)</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1"/>
              </w:rPr>
              <w:t>12/28/2012</w:t>
            </w: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Equity Investments</w:t>
            </w: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2,000</w:t>
            </w: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2,000</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644,421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653,944</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2"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ind w:left="460" w:right="500" w:hanging="452"/>
        <w:spacing w:after="0" w:line="250"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160" w:hanging="452"/>
        <w:spacing w:after="0" w:line="255"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254"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the Company may be entitled to receive additional amounts as a result of an arrangement between the Company and other lenders in any syndication.</w:t>
      </w:r>
    </w:p>
    <w:p>
      <w:pPr>
        <w:ind w:left="460" w:right="60" w:hanging="452"/>
        <w:spacing w:after="0" w:line="261"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6).</w:t>
      </w:r>
    </w:p>
    <w:p>
      <w:pPr>
        <w:spacing w:after="0" w:line="13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Transactions during the year ended December 31, 2012 in which the issuer was an affiliated company (but not a portfolio company that we “control”) are as follows: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of and for the Year</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Ended December 31, 2012</w:t>
      </w:r>
    </w:p>
    <w:tbl>
      <w:tblPr>
        <w:tblLayout w:type="fixed"/>
        <w:tblInd w:w="0" w:type="dxa"/>
        <w:tblCellMar>
          <w:top w:w="0" w:type="dxa"/>
          <w:left w:w="0" w:type="dxa"/>
          <w:bottom w:w="0" w:type="dxa"/>
          <w:right w:w="0" w:type="dxa"/>
        </w:tblCellMar>
      </w:tblPr>
      <w:tr>
        <w:trPr>
          <w:trHeight w:val="143"/>
        </w:trPr>
        <w:tc>
          <w:tcPr>
            <w:tcW w:w="56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right="500"/>
              <w:spacing w:after="0" w:line="143" w:lineRule="exact"/>
              <w:rPr>
                <w:sz w:val="20"/>
                <w:szCs w:val="20"/>
                <w:color w:val="auto"/>
              </w:rPr>
            </w:pPr>
            <w:r>
              <w:rPr>
                <w:rFonts w:ascii="Arial" w:cs="Arial" w:eastAsia="Arial" w:hAnsi="Arial"/>
                <w:sz w:val="14"/>
                <w:szCs w:val="14"/>
                <w:b w:val="1"/>
                <w:bCs w:val="1"/>
                <w:color w:val="auto"/>
              </w:rPr>
              <w:t>Fair</w:t>
            </w:r>
          </w:p>
        </w:tc>
        <w:tc>
          <w:tcPr>
            <w:tcW w:w="5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78"/>
              </w:rPr>
              <w:t>Gross</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98"/>
              <w:spacing w:after="0" w:line="14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378"/>
              <w:spacing w:after="0" w:line="14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22"/>
              <w:spacing w:after="0" w:line="143"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Value at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320" w:type="dxa"/>
            <w:vAlign w:val="bottom"/>
          </w:tcPr>
          <w:p>
            <w:pPr>
              <w:spacing w:after="0"/>
              <w:rPr>
                <w:sz w:val="12"/>
                <w:szCs w:val="12"/>
                <w:color w:val="auto"/>
              </w:rPr>
            </w:pPr>
          </w:p>
        </w:tc>
        <w:tc>
          <w:tcPr>
            <w:tcW w:w="84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83"/>
              </w:rPr>
              <w:t>Reductions</w:t>
            </w:r>
          </w:p>
        </w:tc>
        <w:tc>
          <w:tcPr>
            <w:tcW w:w="140" w:type="dxa"/>
            <w:vAlign w:val="bottom"/>
          </w:tcPr>
          <w:p>
            <w:pPr>
              <w:spacing w:after="0"/>
              <w:rPr>
                <w:sz w:val="12"/>
                <w:szCs w:val="12"/>
                <w:color w:val="auto"/>
              </w:rPr>
            </w:pPr>
          </w:p>
        </w:tc>
        <w:tc>
          <w:tcPr>
            <w:tcW w:w="960" w:type="dxa"/>
            <w:vAlign w:val="bottom"/>
            <w:gridSpan w:val="3"/>
          </w:tcPr>
          <w:p>
            <w:pPr>
              <w:jc w:val="center"/>
              <w:ind w:right="258"/>
              <w:spacing w:after="0" w:line="14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2"/>
                <w:szCs w:val="12"/>
                <w:color w:val="auto"/>
              </w:rPr>
            </w:pPr>
          </w:p>
        </w:tc>
        <w:tc>
          <w:tcPr>
            <w:tcW w:w="88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9"/>
              </w:rPr>
              <w:t>Value at</w:t>
            </w:r>
          </w:p>
        </w:tc>
        <w:tc>
          <w:tcPr>
            <w:tcW w:w="3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Interest</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32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28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December 31, 2011</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8"/>
              </w:rPr>
              <w:t>(a)</w:t>
            </w:r>
          </w:p>
        </w:tc>
        <w:tc>
          <w:tcPr>
            <w:tcW w:w="320" w:type="dxa"/>
            <w:vAlign w:val="bottom"/>
          </w:tcPr>
          <w:p>
            <w:pPr>
              <w:spacing w:after="0"/>
              <w:rPr>
                <w:sz w:val="11"/>
                <w:szCs w:val="11"/>
                <w:color w:val="auto"/>
              </w:rPr>
            </w:pPr>
          </w:p>
        </w:tc>
        <w:tc>
          <w:tcPr>
            <w:tcW w:w="840" w:type="dxa"/>
            <w:vAlign w:val="bottom"/>
            <w:gridSpan w:val="2"/>
          </w:tcPr>
          <w:p>
            <w:pPr>
              <w:jc w:val="center"/>
              <w:ind w:right="98"/>
              <w:spacing w:after="0"/>
              <w:rPr>
                <w:sz w:val="20"/>
                <w:szCs w:val="20"/>
                <w:color w:val="auto"/>
              </w:rPr>
            </w:pPr>
            <w:r>
              <w:rPr>
                <w:rFonts w:ascii="Arial" w:cs="Arial" w:eastAsia="Arial" w:hAnsi="Arial"/>
                <w:sz w:val="11"/>
                <w:szCs w:val="11"/>
                <w:b w:val="1"/>
                <w:bCs w:val="1"/>
                <w:color w:val="auto"/>
                <w:w w:val="99"/>
              </w:rPr>
              <w:t>(b)</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78"/>
              <w:spacing w:after="0" w:line="135" w:lineRule="exact"/>
              <w:rPr>
                <w:sz w:val="20"/>
                <w:szCs w:val="20"/>
                <w:color w:val="auto"/>
              </w:rPr>
            </w:pPr>
            <w:r>
              <w:rPr>
                <w:rFonts w:ascii="Arial" w:cs="Arial" w:eastAsia="Arial" w:hAnsi="Arial"/>
                <w:sz w:val="14"/>
                <w:szCs w:val="14"/>
                <w:b w:val="1"/>
                <w:bCs w:val="1"/>
                <w:color w:val="auto"/>
                <w:w w:val="79"/>
              </w:rPr>
              <w:t>Loss</w:t>
            </w:r>
          </w:p>
        </w:tc>
        <w:tc>
          <w:tcPr>
            <w:tcW w:w="10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4"/>
              </w:rPr>
              <w:t>December 31, 2012</w:t>
            </w:r>
          </w:p>
        </w:tc>
        <w:tc>
          <w:tcPr>
            <w:tcW w:w="3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1"/>
                <w:szCs w:val="11"/>
                <w:color w:val="auto"/>
              </w:rPr>
            </w:pPr>
          </w:p>
        </w:tc>
        <w:tc>
          <w:tcPr>
            <w:tcW w:w="8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Income</w:t>
            </w:r>
          </w:p>
        </w:tc>
        <w:tc>
          <w:tcPr>
            <w:tcW w:w="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Income</w:t>
            </w:r>
          </w:p>
        </w:tc>
        <w:tc>
          <w:tcPr>
            <w:tcW w:w="320" w:type="dxa"/>
            <w:vAlign w:val="bottom"/>
          </w:tcPr>
          <w:p>
            <w:pPr>
              <w:spacing w:after="0"/>
              <w:rPr>
                <w:sz w:val="11"/>
                <w:szCs w:val="11"/>
                <w:color w:val="auto"/>
              </w:rPr>
            </w:pPr>
          </w:p>
        </w:tc>
        <w:tc>
          <w:tcPr>
            <w:tcW w:w="5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(c)</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42,663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3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(58,316</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2,724</w:t>
            </w:r>
          </w:p>
        </w:tc>
        <w:tc>
          <w:tcPr>
            <w:tcW w:w="3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$ 1,231</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42,663</w:t>
            </w:r>
          </w:p>
        </w:tc>
        <w:tc>
          <w:tcPr>
            <w:tcW w:w="2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1160" w:type="dxa"/>
            <w:vAlign w:val="bottom"/>
            <w:gridSpan w:val="3"/>
          </w:tcPr>
          <w:p>
            <w:pPr>
              <w:jc w:val="right"/>
              <w:ind w:right="5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(58,316)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960" w:type="dxa"/>
            <w:vAlign w:val="bottom"/>
            <w:gridSpan w:val="3"/>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2,724</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$ 1,231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50"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ind w:left="460" w:right="540" w:hanging="452"/>
        <w:spacing w:after="0" w:line="261"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connection with the redemption of the Company’s preferred equity investment, AFS Technologies, Inc. was no longer an affiliated company as of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Schedule of Investments as of December 31,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Interest</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Acquisition</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4460" w:type="dxa"/>
            <w:vAlign w:val="bottom"/>
            <w:gridSpan w:val="3"/>
            <w:vMerge w:val="continue"/>
          </w:tcPr>
          <w:p>
            <w:pPr>
              <w:spacing w:after="0"/>
              <w:rPr>
                <w:sz w:val="14"/>
                <w:szCs w:val="14"/>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Investment</w:t>
            </w:r>
          </w:p>
        </w:tc>
        <w:tc>
          <w:tcPr>
            <w:tcW w:w="10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Rate</w:t>
            </w: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00" w:type="dxa"/>
            <w:vAlign w:val="bottom"/>
            <w:gridSpan w:val="2"/>
          </w:tcPr>
          <w:p>
            <w:pPr>
              <w:jc w:val="right"/>
              <w:ind w:right="340"/>
              <w:spacing w:after="0" w:line="162" w:lineRule="exact"/>
              <w:rPr>
                <w:sz w:val="20"/>
                <w:szCs w:val="20"/>
                <w:color w:val="auto"/>
              </w:rPr>
            </w:pPr>
            <w:r>
              <w:rPr>
                <w:rFonts w:ascii="Arial" w:cs="Arial" w:eastAsia="Arial" w:hAnsi="Arial"/>
                <w:sz w:val="12"/>
                <w:szCs w:val="12"/>
                <w:b w:val="1"/>
                <w:bCs w:val="1"/>
                <w:color w:val="auto"/>
                <w:w w:val="98"/>
              </w:rPr>
              <w:t xml:space="preserve">Cost </w:t>
            </w:r>
            <w:r>
              <w:rPr>
                <w:rFonts w:ascii="Arial" w:cs="Arial" w:eastAsia="Arial" w:hAnsi="Arial"/>
                <w:sz w:val="18"/>
                <w:szCs w:val="18"/>
                <w:b w:val="1"/>
                <w:bCs w:val="1"/>
                <w:color w:val="auto"/>
                <w:w w:val="98"/>
                <w:vertAlign w:val="superscript"/>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Aerospace and defense</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MSC.Software Corporation </w:t>
            </w:r>
            <w:r>
              <w:rPr>
                <w:rFonts w:ascii="Arial" w:cs="Arial" w:eastAsia="Arial" w:hAnsi="Arial"/>
                <w:sz w:val="11"/>
                <w:szCs w:val="11"/>
                <w:color w:val="auto"/>
              </w:rPr>
              <w:t>(3)(4)</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($35,000 par</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12/23/2011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35,000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Beverage, food and tobacco</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(3)(4)(6)</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($32,662 par</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7.25%</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8/31/2011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31,876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32,663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316"/>
        </w:trPr>
        <w:tc>
          <w:tcPr>
            <w:tcW w:w="4460" w:type="dxa"/>
            <w:vAlign w:val="bottom"/>
            <w:gridSpan w:val="3"/>
          </w:tcPr>
          <w:p>
            <w:pPr>
              <w:spacing w:after="0"/>
              <w:rPr>
                <w:sz w:val="20"/>
                <w:szCs w:val="20"/>
                <w:color w:val="auto"/>
              </w:rPr>
            </w:pPr>
            <w:r>
              <w:rPr>
                <w:rFonts w:ascii="Arial" w:cs="Arial" w:eastAsia="Arial" w:hAnsi="Arial"/>
                <w:sz w:val="18"/>
                <w:szCs w:val="18"/>
                <w:color w:val="auto"/>
              </w:rPr>
              <w:t xml:space="preserve">Center Cut Hospitality, Inc. </w:t>
            </w:r>
            <w:r>
              <w:rPr>
                <w:rFonts w:ascii="Arial" w:cs="Arial" w:eastAsia="Arial" w:hAnsi="Arial"/>
                <w:sz w:val="11"/>
                <w:szCs w:val="11"/>
                <w:color w:val="auto"/>
              </w:rPr>
              <w:t>(3)</w:t>
            </w:r>
          </w:p>
        </w:tc>
        <w:tc>
          <w:tcPr>
            <w:tcW w:w="144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($26,250 par</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due 8/2016)</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6.75%</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8/15/2011</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25,717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25,987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Second-lien</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 ($16,462</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5/2014)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9.25%</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11/7/2011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13,170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Second-lien</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bond ($1,250</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5/2014)</w:t>
            </w:r>
          </w:p>
        </w:tc>
        <w:tc>
          <w:tcPr>
            <w:tcW w:w="3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9.25%</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11/9/2011</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1,000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72,820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Financial services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($14,672 par</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11.75%</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10/31/2011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14,550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14,635</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Manufacturing</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line="163" w:lineRule="exact"/>
              <w:rPr>
                <w:sz w:val="20"/>
                <w:szCs w:val="20"/>
                <w:color w:val="auto"/>
              </w:rPr>
            </w:pPr>
            <w:r>
              <w:rPr>
                <w:rFonts w:ascii="Arial" w:cs="Arial" w:eastAsia="Arial" w:hAnsi="Arial"/>
                <w:sz w:val="18"/>
                <w:szCs w:val="18"/>
                <w:color w:val="auto"/>
              </w:rPr>
              <w:t xml:space="preserve">Solarsoft, LP (f/k/a CMS-XKO Holding Company, LP </w:t>
            </w:r>
            <w:r>
              <w:rPr>
                <w:rFonts w:ascii="Arial" w:cs="Arial" w:eastAsia="Arial" w:hAnsi="Arial"/>
                <w:sz w:val="11"/>
                <w:szCs w:val="11"/>
                <w:color w:val="auto"/>
              </w:rPr>
              <w:t>(3)</w:t>
            </w:r>
          </w:p>
        </w:tc>
        <w:tc>
          <w:tcPr>
            <w:tcW w:w="1440" w:type="dxa"/>
            <w:vAlign w:val="bottom"/>
            <w:gridSpan w:val="2"/>
            <w:shd w:val="clear" w:color="auto" w:fill="CCEEFF"/>
          </w:tcPr>
          <w:p>
            <w:pPr>
              <w:spacing w:after="0" w:line="163" w:lineRule="exact"/>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(4)(5)</w:t>
            </w:r>
          </w:p>
        </w:tc>
        <w:tc>
          <w:tcPr>
            <w:tcW w:w="3700" w:type="dxa"/>
            <w:vAlign w:val="bottom"/>
            <w:shd w:val="clear" w:color="auto" w:fill="CCEEFF"/>
          </w:tcPr>
          <w:p>
            <w:pPr>
              <w:spacing w:after="0"/>
              <w:rPr>
                <w:sz w:val="12"/>
                <w:szCs w:val="12"/>
                <w:color w:val="auto"/>
              </w:rPr>
            </w:pPr>
          </w:p>
        </w:tc>
        <w:tc>
          <w:tcPr>
            <w:tcW w:w="1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($29,625 par</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700" w:type="dxa"/>
            <w:vAlign w:val="bottom"/>
            <w:shd w:val="clear" w:color="auto" w:fill="CCEEFF"/>
          </w:tcPr>
          <w:p>
            <w:pPr>
              <w:spacing w:after="0"/>
              <w:rPr>
                <w:sz w:val="10"/>
                <w:szCs w:val="10"/>
                <w:color w:val="auto"/>
              </w:rPr>
            </w:pPr>
          </w:p>
        </w:tc>
        <w:tc>
          <w:tcPr>
            <w:tcW w:w="1440" w:type="dxa"/>
            <w:vAlign w:val="bottom"/>
            <w:gridSpan w:val="2"/>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7/2016)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8.50%</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7/8/2011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29,052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29,181</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Office products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($22,713 par</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10/17/2011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22,712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Debt Investments</w:t>
            </w: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172,131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174,348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Beverage, food and tobacco</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B-1</w:t>
            </w: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(6)(7)</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(311,760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4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8/31/2011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1,309</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Series B-2</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(2,069,193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8/31/2011</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8,608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8,691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Equity Investments</w:t>
            </w: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6"/>
              </w:rPr>
              <w:t>182,036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6"/>
              </w:rPr>
              <w:t>184,348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420"/>
          </w:cols>
          <w:pgMar w:left="240" w:top="459" w:right="23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2"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1940 Act, the Company would “control” a portfolio company if the Company owned more than 25% of its outstanding voting securities and/or had the power to exercise control over the management or policies of such portfolio company. As of December 31, 2011, the Company does not “control” any of the portfolio companies. Certain portfolio company investments are subject to contractual restrictions on sales.</w:t>
      </w:r>
    </w:p>
    <w:p>
      <w:pPr>
        <w:spacing w:after="0" w:line="1"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160" w:hanging="452"/>
        <w:spacing w:after="0" w:line="250"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the Company may be entitled to receive additional amounts as a result of an arrangement between the Company and other lenders in any syndication.</w:t>
      </w:r>
    </w:p>
    <w:p>
      <w:pPr>
        <w:jc w:val="both"/>
        <w:ind w:left="460" w:right="40" w:hanging="452"/>
        <w:spacing w:after="0" w:line="300" w:lineRule="auto"/>
        <w:tabs>
          <w:tab w:leader="none" w:pos="4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This portfolio company is a non-U.S. limited partnership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80" w:hanging="452"/>
        <w:spacing w:after="0" w:line="250"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 defined in the Investment Company Act, we are deemed to be an “affiliated person” of this portfolio company because we own 5% or more of the portfolio company’s outstanding voting securities. We do not have the power to exercise control over the management or policies of such portfolio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This preferred equity investment has an optional redemption feature which, if exercised, entitles the Company to a 1.5 times liquidation preference.</w:t>
      </w:r>
    </w:p>
    <w:p>
      <w:pPr>
        <w:spacing w:after="0" w:line="18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Transactions during the year ended December 31, 2011, in which the issuer was an affiliated company (but not a portfolio company that we “control”) are as follows: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of and for the Year</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Ended December 31, 2011</w:t>
      </w:r>
    </w:p>
    <w:tbl>
      <w:tblPr>
        <w:tblLayout w:type="fixed"/>
        <w:tblInd w:w="0" w:type="dxa"/>
        <w:tblCellMar>
          <w:top w:w="0" w:type="dxa"/>
          <w:left w:w="0" w:type="dxa"/>
          <w:bottom w:w="0" w:type="dxa"/>
          <w:right w:w="0" w:type="dxa"/>
        </w:tblCellMar>
      </w:tblPr>
      <w:tr>
        <w:trPr>
          <w:trHeight w:val="130"/>
        </w:trPr>
        <w:tc>
          <w:tcPr>
            <w:tcW w:w="600" w:type="dxa"/>
            <w:vAlign w:val="bottom"/>
            <w:tcBorders>
              <w:top w:val="single" w:sz="8" w:color="auto"/>
            </w:tcBorders>
          </w:tcPr>
          <w:p>
            <w:pPr>
              <w:spacing w:after="0"/>
              <w:rPr>
                <w:sz w:val="11"/>
                <w:szCs w:val="11"/>
                <w:color w:val="auto"/>
              </w:rPr>
            </w:pPr>
          </w:p>
        </w:tc>
        <w:tc>
          <w:tcPr>
            <w:tcW w:w="3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64"/>
              <w:spacing w:after="0" w:line="130" w:lineRule="exact"/>
              <w:rPr>
                <w:sz w:val="20"/>
                <w:szCs w:val="20"/>
                <w:color w:val="auto"/>
              </w:rPr>
            </w:pPr>
            <w:r>
              <w:rPr>
                <w:rFonts w:ascii="Arial" w:cs="Arial" w:eastAsia="Arial" w:hAnsi="Arial"/>
                <w:sz w:val="14"/>
                <w:szCs w:val="14"/>
                <w:b w:val="1"/>
                <w:bCs w:val="1"/>
                <w:color w:val="auto"/>
              </w:rPr>
              <w:t>Fair</w:t>
            </w:r>
          </w:p>
        </w:tc>
        <w:tc>
          <w:tcPr>
            <w:tcW w:w="5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660"/>
              <w:spacing w:after="0" w:line="130" w:lineRule="exact"/>
              <w:rPr>
                <w:sz w:val="20"/>
                <w:szCs w:val="20"/>
                <w:color w:val="auto"/>
              </w:rPr>
            </w:pPr>
            <w:r>
              <w:rPr>
                <w:rFonts w:ascii="Arial" w:cs="Arial" w:eastAsia="Arial" w:hAnsi="Arial"/>
                <w:sz w:val="14"/>
                <w:szCs w:val="14"/>
                <w:b w:val="1"/>
                <w:bCs w:val="1"/>
                <w:color w:val="auto"/>
                <w:w w:val="93"/>
              </w:rPr>
              <w:t>Fair</w:t>
            </w:r>
          </w:p>
        </w:tc>
        <w:tc>
          <w:tcPr>
            <w:tcW w:w="5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4"/>
              <w:spacing w:after="0"/>
              <w:rPr>
                <w:sz w:val="20"/>
                <w:szCs w:val="20"/>
                <w:color w:val="auto"/>
              </w:rPr>
            </w:pPr>
            <w:r>
              <w:rPr>
                <w:rFonts w:ascii="Arial" w:cs="Arial" w:eastAsia="Arial" w:hAnsi="Arial"/>
                <w:sz w:val="14"/>
                <w:szCs w:val="14"/>
                <w:b w:val="1"/>
                <w:bCs w:val="1"/>
                <w:color w:val="auto"/>
                <w:w w:val="85"/>
              </w:rPr>
              <w:t>Value at</w:t>
            </w:r>
          </w:p>
        </w:tc>
        <w:tc>
          <w:tcPr>
            <w:tcW w:w="54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1060" w:type="dxa"/>
            <w:vAlign w:val="bottom"/>
            <w:gridSpan w:val="2"/>
          </w:tcPr>
          <w:p>
            <w:pPr>
              <w:jc w:val="right"/>
              <w:ind w:right="618"/>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Value at</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3100" w:type="dxa"/>
            <w:vAlign w:val="bottom"/>
            <w:vMerge w:val="restart"/>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Additions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3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0"/>
              </w:rPr>
              <w:t>Interest</w:t>
            </w:r>
          </w:p>
        </w:tc>
        <w:tc>
          <w:tcPr>
            <w:tcW w:w="54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55"/>
        </w:trPr>
        <w:tc>
          <w:tcPr>
            <w:tcW w:w="600" w:type="dxa"/>
            <w:vAlign w:val="bottom"/>
            <w:tcBorders>
              <w:bottom w:val="single" w:sz="8" w:color="auto"/>
            </w:tcBorders>
            <w:vMerge w:val="continue"/>
          </w:tcPr>
          <w:p>
            <w:pPr>
              <w:spacing w:after="0"/>
              <w:rPr>
                <w:sz w:val="13"/>
                <w:szCs w:val="13"/>
                <w:color w:val="auto"/>
              </w:rPr>
            </w:pPr>
          </w:p>
        </w:tc>
        <w:tc>
          <w:tcPr>
            <w:tcW w:w="3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83"/>
              </w:rPr>
              <w:t>2010</w:t>
            </w:r>
          </w:p>
        </w:tc>
        <w:tc>
          <w:tcPr>
            <w:tcW w:w="540" w:type="dxa"/>
            <w:vAlign w:val="bottom"/>
          </w:tcPr>
          <w:p>
            <w:pPr>
              <w:spacing w:after="0"/>
              <w:rPr>
                <w:sz w:val="13"/>
                <w:szCs w:val="1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88"/>
              </w:rPr>
              <w:t>(a)</w:t>
            </w:r>
          </w:p>
        </w:tc>
        <w:tc>
          <w:tcPr>
            <w:tcW w:w="120" w:type="dxa"/>
            <w:vAlign w:val="bottom"/>
          </w:tcPr>
          <w:p>
            <w:pPr>
              <w:spacing w:after="0"/>
              <w:rPr>
                <w:sz w:val="13"/>
                <w:szCs w:val="13"/>
                <w:color w:val="auto"/>
              </w:rPr>
            </w:pPr>
          </w:p>
        </w:tc>
        <w:tc>
          <w:tcPr>
            <w:tcW w:w="1060" w:type="dxa"/>
            <w:vAlign w:val="bottom"/>
            <w:gridSpan w:val="2"/>
          </w:tcPr>
          <w:p>
            <w:pPr>
              <w:jc w:val="right"/>
              <w:ind w:right="718"/>
              <w:spacing w:after="0"/>
              <w:rPr>
                <w:sz w:val="20"/>
                <w:szCs w:val="20"/>
                <w:color w:val="auto"/>
              </w:rPr>
            </w:pPr>
            <w:r>
              <w:rPr>
                <w:rFonts w:ascii="Arial" w:cs="Arial" w:eastAsia="Arial" w:hAnsi="Arial"/>
                <w:sz w:val="11"/>
                <w:szCs w:val="11"/>
                <w:b w:val="1"/>
                <w:bCs w:val="1"/>
                <w:color w:val="auto"/>
              </w:rPr>
              <w:t>(b)</w:t>
            </w:r>
          </w:p>
        </w:tc>
        <w:tc>
          <w:tcPr>
            <w:tcW w:w="120" w:type="dxa"/>
            <w:vAlign w:val="bottom"/>
          </w:tcPr>
          <w:p>
            <w:pPr>
              <w:spacing w:after="0"/>
              <w:rPr>
                <w:sz w:val="13"/>
                <w:szCs w:val="13"/>
                <w:color w:val="auto"/>
              </w:rPr>
            </w:pPr>
          </w:p>
        </w:tc>
        <w:tc>
          <w:tcPr>
            <w:tcW w:w="106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82"/>
              </w:rPr>
              <w:t>Gains</w:t>
            </w:r>
          </w:p>
        </w:tc>
        <w:tc>
          <w:tcPr>
            <w:tcW w:w="120" w:type="dxa"/>
            <w:vAlign w:val="bottom"/>
          </w:tcPr>
          <w:p>
            <w:pPr>
              <w:spacing w:after="0"/>
              <w:rPr>
                <w:sz w:val="13"/>
                <w:szCs w:val="13"/>
                <w:color w:val="auto"/>
              </w:rPr>
            </w:pPr>
          </w:p>
        </w:tc>
        <w:tc>
          <w:tcPr>
            <w:tcW w:w="68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3"/>
                <w:szCs w:val="13"/>
                <w:color w:val="auto"/>
              </w:rPr>
            </w:pPr>
          </w:p>
        </w:tc>
        <w:tc>
          <w:tcPr>
            <w:tcW w:w="50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3"/>
              </w:rPr>
              <w:t>Income</w:t>
            </w:r>
          </w:p>
        </w:tc>
        <w:tc>
          <w:tcPr>
            <w:tcW w:w="540" w:type="dxa"/>
            <w:vAlign w:val="bottom"/>
          </w:tcPr>
          <w:p>
            <w:pPr>
              <w:spacing w:after="0"/>
              <w:rPr>
                <w:sz w:val="13"/>
                <w:szCs w:val="13"/>
                <w:color w:val="auto"/>
              </w:rPr>
            </w:pPr>
          </w:p>
        </w:tc>
        <w:tc>
          <w:tcPr>
            <w:tcW w:w="5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42,618</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(837</w:t>
            </w:r>
          </w:p>
        </w:tc>
        <w:tc>
          <w:tcPr>
            <w:tcW w:w="540" w:type="dxa"/>
            <w:vAlign w:val="bottom"/>
            <w:tcBorders>
              <w:top w:val="single" w:sz="8" w:color="CCEEFF"/>
            </w:tcBorders>
            <w:shd w:val="clear" w:color="auto" w:fill="CCEEFF"/>
          </w:tcPr>
          <w:p>
            <w:pPr>
              <w:jc w:val="right"/>
              <w:ind w:right="39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882</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42,663</w:t>
            </w: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1,231</w:t>
            </w: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7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98"/>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882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42,663</w:t>
            </w:r>
          </w:p>
        </w:tc>
        <w:tc>
          <w:tcPr>
            <w:tcW w:w="500" w:type="dxa"/>
            <w:vAlign w:val="bottom"/>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1,231</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0"/>
              </w:rPr>
              <w:t>Year Ended</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77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28,029</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1"/>
        </w:trPr>
        <w:tc>
          <w:tcPr>
            <w:tcW w:w="774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287,692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172,928</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Dividends declared from:</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investment income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(26,997)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Net realized gains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(2,773)</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(29,770)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7740" w:type="dxa"/>
            <w:vAlign w:val="bottom"/>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267,116</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172,278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306,711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173,091</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173,092</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479,803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173,092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 End of the Period</w:t>
            </w: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740" w:type="dxa"/>
            <w:vAlign w:val="bottom"/>
            <w:vMerge w:val="continue"/>
          </w:tcPr>
          <w:p>
            <w:pPr>
              <w:spacing w:after="0"/>
              <w:rPr>
                <w:sz w:val="24"/>
                <w:szCs w:val="24"/>
                <w:color w:val="auto"/>
              </w:rPr>
            </w:pP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Year Ended</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900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9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2012</w:t>
            </w: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39,595</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increase in net assets resulting from operations to net cash used in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(7,211)</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gains on investments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(4,355)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(760,668)</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(184,196)</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investments,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190,594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(6,292)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Incentive fees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23"/>
        </w:trPr>
        <w:tc>
          <w:tcPr>
            <w:tcW w:w="900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(430,099)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(182,128)</w:t>
            </w:r>
          </w:p>
        </w:tc>
      </w:tr>
      <w:tr>
        <w:trPr>
          <w:trHeight w:val="221"/>
        </w:trPr>
        <w:tc>
          <w:tcPr>
            <w:tcW w:w="9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1,332,688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(1,155,852)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(149,000)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(5,328)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287,692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172,928</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Dividend paid to stockholders</w:t>
            </w:r>
          </w:p>
        </w:tc>
        <w:tc>
          <w:tcPr>
            <w:tcW w:w="10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(10,968)</w:t>
            </w: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448,232</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325,819</w:t>
            </w:r>
          </w:p>
        </w:tc>
        <w:tc>
          <w:tcPr>
            <w:tcW w:w="100" w:type="dxa"/>
            <w:vAlign w:val="bottom"/>
            <w:shd w:val="clear" w:color="auto" w:fill="CCEEFF"/>
          </w:tcPr>
          <w:p>
            <w:pPr>
              <w:spacing w:after="0"/>
              <w:rPr>
                <w:sz w:val="18"/>
                <w:szCs w:val="18"/>
                <w:color w:val="auto"/>
              </w:rPr>
            </w:pPr>
          </w:p>
        </w:tc>
      </w:tr>
      <w:tr>
        <w:trPr>
          <w:trHeight w:val="221"/>
        </w:trPr>
        <w:tc>
          <w:tcPr>
            <w:tcW w:w="9000" w:type="dxa"/>
            <w:vAlign w:val="bottom"/>
          </w:tcPr>
          <w:p>
            <w:pPr>
              <w:ind w:left="880"/>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18,133</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143,691</w:t>
            </w:r>
          </w:p>
        </w:tc>
      </w:tr>
      <w:tr>
        <w:trPr>
          <w:trHeight w:val="218"/>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161,825</w:t>
            </w: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143,692</w:t>
            </w:r>
          </w:p>
        </w:tc>
      </w:tr>
      <w:tr>
        <w:trPr>
          <w:trHeight w:val="20"/>
        </w:trPr>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3,580</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declared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Reinvestment of dividends during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9,194</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Subscription receivable from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159" w:lineRule="exact"/>
        <w:rPr>
          <w:sz w:val="20"/>
          <w:szCs w:val="20"/>
          <w:color w:val="auto"/>
        </w:rPr>
      </w:pPr>
    </w:p>
    <w:p>
      <w:pPr>
        <w:ind w:right="8220" w:firstLine="8"/>
        <w:spacing w:after="0" w:line="347" w:lineRule="auto"/>
        <w:tabs>
          <w:tab w:leader="none" w:pos="176"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six months ended June 30,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significant intercompany balances and transactions have been eliminated in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840" w:firstLine="8"/>
        <w:spacing w:after="0" w:line="347" w:lineRule="auto"/>
        <w:tabs>
          <w:tab w:leader="none" w:pos="176"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40"/>
          </w:cols>
          <w:pgMar w:left="240" w:top="460" w:right="3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an independent third-party valuation firm engaged at the direction of the Board.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Company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Company considers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debt and equity securities that were valued at fair value in good faith by the Board, the Board has engaged an independent third-party valuation firm to perform certain limited procedures that the Board identified and requested it to perform. As of December 31, 2012, the independent third-party valuation firm performed its procedures on the majority (determined by fair value) of investments that were valued in good faith by the Board which have been outstanding for greater than 45 days. Upon completion of such limited procedures, the third-party valuation firm determined that the fair value, as determined by the Board, of those investments subjected to their limited procedures was reasonable.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Loan fees received at the closing of a loan where no services have been provided are deferred and amortized into interest income over the investment’s contractual life using the effective yield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Cash advances received in respect of transaction-related expenses are recorded as Cash and cash equivalents with an offset to Other accrued expenses and payables to affiliates. Other accrued expenses and payables to affiliates is relieved as reimbursable expenses are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2012.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the Adviser. Net realized long-term capital gains, if any, would be generally distributed at least annually, although the Company may decide to retain such capital gains for investment.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plans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340" w:firstLine="456"/>
        <w:spacing w:after="0" w:line="283"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 </w:t>
      </w:r>
      <w:r>
        <w:rPr>
          <w:rFonts w:ascii="Arial" w:cs="Arial" w:eastAsia="Arial" w:hAnsi="Arial"/>
          <w:sz w:val="16"/>
          <w:szCs w:val="16"/>
          <w:color w:val="auto"/>
        </w:rPr>
        <w:t>(“ASU 2011-04”) which largely aligns fair value measurement and disclosure requirements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Financial Reporting Standards and U.S. GAAP. ASU 2011-04 mainly represents clarifications to ASC 820 as well as some instances where a particular principle or requirement for measuring fair value or disclosing information about fair value measurements has changed. ASU 2011-04 clarifies that</w:t>
      </w:r>
    </w:p>
    <w:p>
      <w:pPr>
        <w:spacing w:after="0" w:line="3" w:lineRule="exact"/>
        <w:rPr>
          <w:sz w:val="20"/>
          <w:szCs w:val="20"/>
          <w:color w:val="auto"/>
        </w:rPr>
      </w:pPr>
    </w:p>
    <w:p>
      <w:pPr>
        <w:ind w:right="100" w:firstLine="8"/>
        <w:spacing w:after="0" w:line="287" w:lineRule="auto"/>
        <w:tabs>
          <w:tab w:leader="none" w:pos="21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highest and best use concept only applies to nonfinancial assets; (ii) an instrument classified in shareholders’ equity should be measured from the perspective of a market participant holding that instrument as an asset; and, (iii) quantitative disclosure is required for unobservable inputs used in Level 3 measurements. ASU 2011-04 amends ASC 820 so that (i) the fair value of a group of financial assets and financial liabilities with similar risk exposures may be measured on the basis of the entity’s net risk exposure; (ii) premiums or discounts may be applied in a fair value measurement under certain circumstances but blockage factor discounts are not permitted; and, (iii) additional Level 3 disclosures are required, including a narrative description of the sensitivity of the fair value measurement to changes in unobservable inputs. ASU 2011-04 is effective for interim and annual periods beginning after December 15, 2011. The Company has adopted ASU 2011-04 as of January 1, 2012. The adoption of ASU 2011-04 did not have a material impact on the Company’s financial position or results of operations.</w:t>
      </w:r>
    </w:p>
    <w:p>
      <w:pPr>
        <w:spacing w:after="0" w:line="199" w:lineRule="exact"/>
        <w:rPr>
          <w:sz w:val="20"/>
          <w:szCs w:val="20"/>
          <w:color w:val="auto"/>
        </w:rPr>
      </w:pPr>
    </w:p>
    <w:p>
      <w:pPr>
        <w:ind w:right="7900" w:firstLine="8"/>
        <w:spacing w:after="0" w:line="347" w:lineRule="auto"/>
        <w:tabs>
          <w:tab w:leader="none" w:pos="176"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Administration Agreement also provides for reimbursement of certain initial organization costs incurred prior to the commencement of the Company’s operations (up to an aggregate of $1.5 million). During the year ended December 31, 2011, initial organization costs exceeded $1.5 million and accordingly, a corresponding amount was recorded in the consolidated financial statements and paid to the Adviser.</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the years ended December 31, 2012 and 2011, the Company incurred expenses of $1.0 million and $0.3 million, respectively, for administrative services payable to the Adviser under the terms of the Administration Agreement.</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earlier terminated as described below, the Administration Agreement will remain in effect until March 15, 2013, and may be extended subject to required approvals. The Administration Agreement may be terminated by either party without penalty upon at least 60 days’ written notice to the other party.</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15, 2011, the Company entered into an Advisory Agreement (the “Advisory Agreement”) with the Adviser. The Advisory Agreement was subsequently amended on December 12, 2011. Under the terms of the 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16" w:lineRule="exact"/>
        <w:rPr>
          <w:sz w:val="20"/>
          <w:szCs w:val="20"/>
          <w:color w:val="auto"/>
        </w:rPr>
      </w:pPr>
    </w:p>
    <w:p>
      <w:pPr>
        <w:jc w:val="both"/>
        <w:ind w:right="100" w:firstLine="456"/>
        <w:spacing w:after="0" w:line="318" w:lineRule="auto"/>
        <w:rPr>
          <w:sz w:val="20"/>
          <w:szCs w:val="20"/>
          <w:color w:val="auto"/>
        </w:rPr>
      </w:pPr>
      <w:r>
        <w:rPr>
          <w:rFonts w:ascii="Arial" w:cs="Arial" w:eastAsia="Arial" w:hAnsi="Arial"/>
          <w:sz w:val="15"/>
          <w:szCs w:val="15"/>
          <w:color w:val="auto"/>
        </w:rPr>
        <w:t>For the quarterly periods ended September 30, 2011, and June 30, 2011, the Management Fee was calculated at an annual rate of 1.5% based on the value of the Company’s gross assets at the end of such calendar quarter, adjusted for share issuances and repurchases during such period. Beginning October 1, 2011, and until the Company has an initial public offering of its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2012 and 2011, Management Fees were $8.9 million and $1.6 million, respectively.</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Until such time that the Company has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2012 and 2011, Management Fees of $3.7 million and $7 thousand, respectively, were waived.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460" w:right="2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jc w:val="both"/>
        <w:ind w:left="900" w:hanging="446"/>
        <w:spacing w:after="0" w:line="306"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net of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The Company accrues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 For the year ended December 31, 2012, Incentive Fees were $7.0 million of which $5.7 million were realized and payable to the Adviser.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2011, Incentive Fees were $0.3 million none of which were realized and payable to the Adviser.</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earlier terminated, the Advisory Agreement will remain in effect until December 12, 2013, and may be extended subject to required approvals.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2012 and 2011, were $3.8 million and $2.3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basis, without regard to whether they are non-controlled non-affiliated, non-controlled affiliated or controlled investments.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2012 and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2012</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4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337"/>
              <w:spacing w:after="0"/>
              <w:rPr>
                <w:sz w:val="20"/>
                <w:szCs w:val="20"/>
                <w:color w:val="auto"/>
              </w:rPr>
            </w:pPr>
            <w:r>
              <w:rPr>
                <w:rFonts w:ascii="Arial" w:cs="Arial" w:eastAsia="Arial" w:hAnsi="Arial"/>
                <w:sz w:val="11"/>
                <w:szCs w:val="11"/>
                <w:b w:val="1"/>
                <w:bCs w:val="1"/>
                <w:color w:val="auto"/>
              </w:rPr>
              <w:t>(1)</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67,332</w:t>
            </w:r>
          </w:p>
        </w:tc>
        <w:tc>
          <w:tcPr>
            <w:tcW w:w="1720" w:type="dxa"/>
            <w:vAlign w:val="bottom"/>
            <w:gridSpan w:val="3"/>
          </w:tcPr>
          <w:p>
            <w:pPr>
              <w:jc w:val="right"/>
              <w:ind w:right="500"/>
              <w:spacing w:after="0"/>
              <w:rPr>
                <w:sz w:val="20"/>
                <w:szCs w:val="20"/>
                <w:color w:val="auto"/>
              </w:rPr>
            </w:pPr>
            <w:r>
              <w:rPr>
                <w:rFonts w:ascii="Arial" w:cs="Arial" w:eastAsia="Arial" w:hAnsi="Arial"/>
                <w:sz w:val="18"/>
                <w:szCs w:val="18"/>
                <w:color w:val="auto"/>
              </w:rPr>
              <w:t>69,657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644,421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653,944</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2011</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4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337"/>
              <w:spacing w:after="0"/>
              <w:rPr>
                <w:sz w:val="20"/>
                <w:szCs w:val="20"/>
                <w:color w:val="auto"/>
              </w:rPr>
            </w:pPr>
            <w:r>
              <w:rPr>
                <w:rFonts w:ascii="Arial" w:cs="Arial" w:eastAsia="Arial" w:hAnsi="Arial"/>
                <w:sz w:val="11"/>
                <w:szCs w:val="11"/>
                <w:b w:val="1"/>
                <w:bCs w:val="1"/>
                <w:color w:val="auto"/>
              </w:rPr>
              <w:t>(1)</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157,869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$160,178</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14,262</w:t>
            </w:r>
          </w:p>
        </w:tc>
        <w:tc>
          <w:tcPr>
            <w:tcW w:w="1720" w:type="dxa"/>
            <w:vAlign w:val="bottom"/>
            <w:gridSpan w:val="3"/>
          </w:tcPr>
          <w:p>
            <w:pPr>
              <w:jc w:val="right"/>
              <w:ind w:right="500"/>
              <w:spacing w:after="0"/>
              <w:rPr>
                <w:sz w:val="20"/>
                <w:szCs w:val="20"/>
                <w:color w:val="auto"/>
              </w:rPr>
            </w:pPr>
            <w:r>
              <w:rPr>
                <w:rFonts w:ascii="Arial" w:cs="Arial" w:eastAsia="Arial" w:hAnsi="Arial"/>
                <w:sz w:val="18"/>
                <w:szCs w:val="18"/>
                <w:color w:val="auto"/>
              </w:rPr>
              <w:t>14,170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182,036</w:t>
            </w:r>
          </w:p>
        </w:tc>
        <w:tc>
          <w:tcPr>
            <w:tcW w:w="1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line="268" w:lineRule="auto"/>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2012 and 2011,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5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2012</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7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w:t>
            </w:r>
          </w:p>
        </w:tc>
        <w:tc>
          <w:tcPr>
            <w:tcW w:w="6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Automotive</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8.6%</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Business services</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11.0%</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1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Education</w:t>
            </w:r>
          </w:p>
        </w:tc>
        <w:tc>
          <w:tcPr>
            <w:tcW w:w="1700" w:type="dxa"/>
            <w:vAlign w:val="bottom"/>
          </w:tcPr>
          <w:p>
            <w:pPr>
              <w:spacing w:after="0"/>
              <w:rPr>
                <w:sz w:val="18"/>
                <w:szCs w:val="18"/>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Financial services</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15.0%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17.2%</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Insurance</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Office products</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3.3%</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1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Transportation</w:t>
            </w:r>
          </w:p>
        </w:tc>
        <w:tc>
          <w:tcPr>
            <w:tcW w:w="1700" w:type="dxa"/>
            <w:vAlign w:val="bottom"/>
          </w:tcPr>
          <w:p>
            <w:pPr>
              <w:spacing w:after="0"/>
              <w:rPr>
                <w:sz w:val="18"/>
                <w:szCs w:val="18"/>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60" w:type="dxa"/>
            <w:vAlign w:val="bottom"/>
          </w:tcPr>
          <w:p>
            <w:pPr>
              <w:spacing w:after="0"/>
              <w:rPr>
                <w:sz w:val="24"/>
                <w:szCs w:val="24"/>
                <w:color w:val="auto"/>
              </w:rPr>
            </w:pPr>
          </w:p>
        </w:tc>
        <w:tc>
          <w:tcPr>
            <w:tcW w:w="3520" w:type="dxa"/>
            <w:vAlign w:val="bottom"/>
            <w:gridSpan w:val="3"/>
          </w:tcPr>
          <w:p>
            <w:pPr>
              <w:jc w:val="right"/>
              <w:ind w:right="2280"/>
              <w:spacing w:after="0"/>
              <w:rPr>
                <w:sz w:val="20"/>
                <w:szCs w:val="20"/>
                <w:color w:val="auto"/>
              </w:rPr>
            </w:pPr>
            <w:r>
              <w:rPr>
                <w:rFonts w:ascii="Arial" w:cs="Arial" w:eastAsia="Arial" w:hAnsi="Arial"/>
                <w:sz w:val="18"/>
                <w:szCs w:val="18"/>
                <w:color w:val="auto"/>
              </w:rPr>
              <w:t>F-19</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2012 and 2011,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6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4"/>
              </w:rPr>
              <w:t>December 31, 2012</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2011</w:t>
            </w: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Midwest</w:t>
            </w:r>
          </w:p>
        </w:tc>
        <w:tc>
          <w:tcPr>
            <w:tcW w:w="2460" w:type="dxa"/>
            <w:vAlign w:val="bottom"/>
            <w:gridSpan w:val="2"/>
          </w:tcPr>
          <w:p>
            <w:pPr>
              <w:jc w:val="right"/>
              <w:ind w:right="1220"/>
              <w:spacing w:after="0"/>
              <w:rPr>
                <w:sz w:val="20"/>
                <w:szCs w:val="20"/>
                <w:color w:val="auto"/>
              </w:rPr>
            </w:pPr>
            <w:r>
              <w:rPr>
                <w:rFonts w:ascii="Arial" w:cs="Arial" w:eastAsia="Arial" w:hAnsi="Arial"/>
                <w:sz w:val="18"/>
                <w:szCs w:val="18"/>
                <w:color w:val="auto"/>
              </w:rPr>
              <w:t>18.8%</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24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17.8%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South</w:t>
            </w:r>
          </w:p>
        </w:tc>
        <w:tc>
          <w:tcPr>
            <w:tcW w:w="2460" w:type="dxa"/>
            <w:vAlign w:val="bottom"/>
            <w:gridSpan w:val="2"/>
          </w:tcPr>
          <w:p>
            <w:pPr>
              <w:jc w:val="right"/>
              <w:ind w:right="1220"/>
              <w:spacing w:after="0"/>
              <w:rPr>
                <w:sz w:val="20"/>
                <w:szCs w:val="20"/>
                <w:color w:val="auto"/>
              </w:rPr>
            </w:pPr>
            <w:r>
              <w:rPr>
                <w:rFonts w:ascii="Arial" w:cs="Arial" w:eastAsia="Arial" w:hAnsi="Arial"/>
                <w:sz w:val="18"/>
                <w:szCs w:val="18"/>
                <w:color w:val="auto"/>
              </w:rPr>
              <w:t>25.7%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24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37.7%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Canada</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7"/>
        </w:trPr>
        <w:tc>
          <w:tcPr>
            <w:tcW w:w="58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300" w:firstLine="8"/>
        <w:spacing w:after="0" w:line="347" w:lineRule="auto"/>
        <w:tabs>
          <w:tab w:leader="none" w:pos="176"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fair value measurements of investments as of December 31, 2012 and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88"/>
              </w:rPr>
              <w:t>Fair Value Hierarchy at December 31, 2012</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00" w:type="dxa"/>
            <w:vAlign w:val="bottom"/>
          </w:tcPr>
          <w:p>
            <w:pPr>
              <w:spacing w:after="0"/>
              <w:rPr>
                <w:sz w:val="12"/>
                <w:szCs w:val="12"/>
                <w:color w:val="auto"/>
              </w:rPr>
            </w:pPr>
          </w:p>
        </w:tc>
        <w:tc>
          <w:tcPr>
            <w:tcW w:w="110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11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66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$68,183</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$582,287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16,467</w:t>
            </w:r>
          </w:p>
        </w:tc>
        <w:tc>
          <w:tcPr>
            <w:tcW w:w="4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53,190</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69,657</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Equity</w:t>
            </w: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5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84,650</w:t>
            </w:r>
          </w:p>
        </w:tc>
        <w:tc>
          <w:tcPr>
            <w:tcW w:w="4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569,294</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653,944</w:t>
            </w:r>
          </w:p>
        </w:tc>
        <w:tc>
          <w:tcPr>
            <w:tcW w:w="100" w:type="dxa"/>
            <w:vAlign w:val="bottom"/>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5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88"/>
              </w:rPr>
              <w:t>Fair Value Hierarchy at December 31, 2011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5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11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66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$160,178</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$160,178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14,170</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Equity</w:t>
            </w: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5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 —</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184,348</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184,348</w:t>
            </w:r>
          </w:p>
        </w:tc>
        <w:tc>
          <w:tcPr>
            <w:tcW w:w="100" w:type="dxa"/>
            <w:vAlign w:val="bottom"/>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December 31, 2012</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2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Debt</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3"/>
              </w:rPr>
              <w:t>Equity</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Investments</w:t>
            </w:r>
          </w:p>
        </w:tc>
        <w:tc>
          <w:tcPr>
            <w:tcW w:w="420" w:type="dxa"/>
            <w:vAlign w:val="bottom"/>
          </w:tcPr>
          <w:p>
            <w:pPr>
              <w:spacing w:after="0"/>
              <w:rPr>
                <w:sz w:val="14"/>
                <w:szCs w:val="14"/>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Investments</w:t>
            </w:r>
          </w:p>
        </w:tc>
        <w:tc>
          <w:tcPr>
            <w:tcW w:w="2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$ 174,348</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Purchases</w:t>
            </w:r>
          </w:p>
        </w:tc>
        <w:tc>
          <w:tcPr>
            <w:tcW w:w="3840" w:type="dxa"/>
            <w:vAlign w:val="bottom"/>
            <w:gridSpan w:val="3"/>
          </w:tcPr>
          <w:p>
            <w:pPr>
              <w:jc w:val="right"/>
              <w:ind w:right="280"/>
              <w:spacing w:after="0"/>
              <w:rPr>
                <w:sz w:val="20"/>
                <w:szCs w:val="20"/>
                <w:color w:val="auto"/>
              </w:rPr>
            </w:pPr>
            <w:r>
              <w:rPr>
                <w:rFonts w:ascii="Arial" w:cs="Arial" w:eastAsia="Arial" w:hAnsi="Arial"/>
                <w:sz w:val="18"/>
                <w:szCs w:val="18"/>
                <w:color w:val="auto"/>
              </w:rPr>
              <w:t>670,544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672,544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3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(97,090)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3840" w:type="dxa"/>
            <w:vAlign w:val="bottom"/>
            <w:gridSpan w:val="3"/>
          </w:tcPr>
          <w:p>
            <w:pPr>
              <w:jc w:val="right"/>
              <w:ind w:right="240"/>
              <w:spacing w:after="0"/>
              <w:rPr>
                <w:sz w:val="20"/>
                <w:szCs w:val="20"/>
                <w:color w:val="auto"/>
              </w:rPr>
            </w:pPr>
            <w:r>
              <w:rPr>
                <w:rFonts w:ascii="Arial" w:cs="Arial" w:eastAsia="Arial" w:hAnsi="Arial"/>
                <w:sz w:val="18"/>
                <w:szCs w:val="18"/>
                <w:color w:val="auto"/>
              </w:rPr>
              <w:t>(180,343)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(10,000)</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(190,343)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3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3840" w:type="dxa"/>
            <w:vAlign w:val="bottom"/>
            <w:gridSpan w:val="3"/>
          </w:tcPr>
          <w:p>
            <w:pPr>
              <w:jc w:val="right"/>
              <w:ind w:right="280"/>
              <w:spacing w:after="0"/>
              <w:rPr>
                <w:sz w:val="20"/>
                <w:szCs w:val="20"/>
                <w:color w:val="auto"/>
              </w:rPr>
            </w:pPr>
            <w:r>
              <w:rPr>
                <w:rFonts w:ascii="Arial" w:cs="Arial" w:eastAsia="Arial" w:hAnsi="Arial"/>
                <w:sz w:val="18"/>
                <w:szCs w:val="18"/>
                <w:color w:val="auto"/>
              </w:rPr>
              <w:t>7,434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3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3840" w:type="dxa"/>
            <w:vAlign w:val="bottom"/>
            <w:gridSpan w:val="3"/>
          </w:tcPr>
          <w:p>
            <w:pPr>
              <w:jc w:val="right"/>
              <w:ind w:right="280"/>
              <w:spacing w:after="0"/>
              <w:rPr>
                <w:sz w:val="20"/>
                <w:szCs w:val="20"/>
                <w:color w:val="auto"/>
              </w:rPr>
            </w:pPr>
            <w:r>
              <w:rPr>
                <w:rFonts w:ascii="Arial" w:cs="Arial" w:eastAsia="Arial" w:hAnsi="Arial"/>
                <w:sz w:val="18"/>
                <w:szCs w:val="18"/>
                <w:color w:val="auto"/>
              </w:rPr>
              <w:t>3,940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2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vMerge w:val="continue"/>
          </w:tcPr>
          <w:p>
            <w:pPr>
              <w:spacing w:after="0"/>
              <w:rPr>
                <w:sz w:val="19"/>
                <w:szCs w:val="19"/>
                <w:color w:val="auto"/>
              </w:rPr>
            </w:pPr>
          </w:p>
        </w:tc>
        <w:tc>
          <w:tcPr>
            <w:tcW w:w="2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$ 567,294</w:t>
            </w:r>
          </w:p>
        </w:tc>
        <w:tc>
          <w:tcPr>
            <w:tcW w:w="2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$ 569,294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3840" w:type="dxa"/>
            <w:vAlign w:val="bottom"/>
            <w:gridSpan w:val="3"/>
          </w:tcPr>
          <w:p>
            <w:pPr>
              <w:jc w:val="right"/>
              <w:ind w:right="2440"/>
              <w:spacing w:after="0"/>
              <w:rPr>
                <w:sz w:val="20"/>
                <w:szCs w:val="20"/>
                <w:color w:val="auto"/>
              </w:rPr>
            </w:pPr>
            <w:r>
              <w:rPr>
                <w:rFonts w:ascii="Arial" w:cs="Arial" w:eastAsia="Arial" w:hAnsi="Arial"/>
                <w:sz w:val="18"/>
                <w:szCs w:val="18"/>
                <w:color w:val="auto"/>
              </w:rPr>
              <w:t>F-20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60"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 2011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8"/>
              </w:rPr>
              <w:t>Equity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02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Investments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6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Purchases, net</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174,291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9,905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184,196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(2,503)</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2,217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2,312</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r>
      <w:tr>
        <w:trPr>
          <w:trHeight w:val="222"/>
        </w:trPr>
        <w:tc>
          <w:tcPr>
            <w:tcW w:w="6020" w:type="dxa"/>
            <w:vAlign w:val="bottom"/>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174,348</w:t>
            </w:r>
          </w:p>
        </w:tc>
        <w:tc>
          <w:tcPr>
            <w:tcW w:w="2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184,348</w:t>
            </w: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Rare Restaurant Group, LLC transferred out of Level 3 during the year ended December 31, 2012, as a result of changes in the observability of inputs into its valuation. Other than Rare Restaurant Group, LLC, there were no transfers between levels in the fair value hierarchy during the year ended December 31, 2012. There were no transfers between levels in the fair value hierarchy during the year ended December 31, 2011.</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2012 and 2011:</w:t>
      </w:r>
    </w:p>
    <w:p>
      <w:pPr>
        <w:sectPr>
          <w:pgSz w:w="11900" w:h="16838" w:orient="portrait"/>
          <w:cols w:equalWidth="0" w:num="1">
            <w:col w:w="11420"/>
          </w:cols>
          <w:pgMar w:left="240" w:top="460" w:right="239" w:bottom="1440" w:gutter="0" w:footer="0" w:header="0"/>
        </w:sectPr>
      </w:pPr>
    </w:p>
    <w:p>
      <w:pPr>
        <w:spacing w:after="0" w:line="168" w:lineRule="exact"/>
        <w:rPr>
          <w:sz w:val="20"/>
          <w:szCs w:val="20"/>
          <w:color w:val="auto"/>
        </w:rPr>
      </w:pPr>
    </w:p>
    <w:p>
      <w:pPr>
        <w:jc w:val="center"/>
        <w:ind w:left="4640"/>
        <w:spacing w:after="0"/>
        <w:rPr>
          <w:sz w:val="20"/>
          <w:szCs w:val="20"/>
          <w:color w:val="auto"/>
        </w:rPr>
      </w:pPr>
      <w:r>
        <w:rPr>
          <w:rFonts w:ascii="Arial" w:cs="Arial" w:eastAsia="Arial" w:hAnsi="Arial"/>
          <w:sz w:val="12"/>
          <w:szCs w:val="12"/>
          <w:b w:val="1"/>
          <w:bCs w:val="1"/>
          <w:color w:val="auto"/>
        </w:rPr>
        <w:t>Net Change in Unrealized</w:t>
      </w:r>
    </w:p>
    <w:p>
      <w:pPr>
        <w:spacing w:after="0" w:line="25" w:lineRule="exact"/>
        <w:rPr>
          <w:sz w:val="20"/>
          <w:szCs w:val="20"/>
          <w:color w:val="auto"/>
        </w:rPr>
      </w:pPr>
    </w:p>
    <w:p>
      <w:pPr>
        <w:jc w:val="center"/>
        <w:ind w:left="4640"/>
        <w:spacing w:after="0"/>
        <w:rPr>
          <w:sz w:val="20"/>
          <w:szCs w:val="20"/>
          <w:color w:val="auto"/>
        </w:rPr>
      </w:pPr>
      <w:r>
        <w:rPr>
          <w:rFonts w:ascii="Arial" w:cs="Arial" w:eastAsia="Arial" w:hAnsi="Arial"/>
          <w:sz w:val="12"/>
          <w:szCs w:val="12"/>
          <w:b w:val="1"/>
          <w:bCs w:val="1"/>
          <w:color w:val="auto"/>
        </w:rPr>
        <w:t>Appreciation or Depreciation</w:t>
      </w:r>
    </w:p>
    <w:p>
      <w:pPr>
        <w:jc w:val="center"/>
        <w:ind w:left="4640"/>
        <w:spacing w:after="0" w:line="237" w:lineRule="auto"/>
        <w:rPr>
          <w:sz w:val="20"/>
          <w:szCs w:val="20"/>
          <w:color w:val="auto"/>
        </w:rPr>
      </w:pPr>
      <w:r>
        <w:rPr>
          <w:rFonts w:ascii="Arial" w:cs="Arial" w:eastAsia="Arial" w:hAnsi="Arial"/>
          <w:sz w:val="14"/>
          <w:szCs w:val="14"/>
          <w:b w:val="1"/>
          <w:bCs w:val="1"/>
          <w:color w:val="auto"/>
        </w:rPr>
        <w:t>for the Year Ended</w:t>
      </w:r>
    </w:p>
    <w:p>
      <w:pPr>
        <w:ind w:left="5680"/>
        <w:spacing w:after="0" w:line="221" w:lineRule="auto"/>
        <w:rPr>
          <w:sz w:val="20"/>
          <w:szCs w:val="20"/>
          <w:color w:val="auto"/>
        </w:rPr>
      </w:pPr>
      <w:r>
        <w:rPr>
          <w:rFonts w:ascii="Arial" w:cs="Arial" w:eastAsia="Arial" w:hAnsi="Arial"/>
          <w:sz w:val="14"/>
          <w:szCs w:val="14"/>
          <w:b w:val="1"/>
          <w:bCs w:val="1"/>
          <w:color w:val="auto"/>
        </w:rPr>
        <w:t>December 31, 2012 on</w:t>
      </w:r>
    </w:p>
    <w:p>
      <w:pPr>
        <w:ind w:left="5740"/>
        <w:spacing w:after="0" w:line="222" w:lineRule="auto"/>
        <w:rPr>
          <w:sz w:val="20"/>
          <w:szCs w:val="20"/>
          <w:color w:val="auto"/>
        </w:rPr>
      </w:pPr>
      <w:r>
        <w:rPr>
          <w:rFonts w:ascii="Arial" w:cs="Arial" w:eastAsia="Arial" w:hAnsi="Arial"/>
          <w:sz w:val="14"/>
          <w:szCs w:val="14"/>
          <w:b w:val="1"/>
          <w:bCs w:val="1"/>
          <w:color w:val="auto"/>
        </w:rPr>
        <w:t>Investments Held at</w:t>
      </w:r>
    </w:p>
    <w:p>
      <w:pPr>
        <w:ind w:left="5780"/>
        <w:spacing w:after="0" w:line="216" w:lineRule="auto"/>
        <w:rPr>
          <w:sz w:val="20"/>
          <w:szCs w:val="20"/>
          <w:color w:val="auto"/>
        </w:rPr>
      </w:pPr>
      <w:r>
        <w:rPr>
          <w:rFonts w:ascii="Arial" w:cs="Arial" w:eastAsia="Arial" w:hAnsi="Arial"/>
          <w:sz w:val="14"/>
          <w:szCs w:val="14"/>
          <w:b w:val="1"/>
          <w:bCs w:val="1"/>
          <w:color w:val="auto"/>
        </w:rPr>
        <w:t>December 31, 2012</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020"/>
        <w:spacing w:after="0"/>
        <w:rPr>
          <w:sz w:val="20"/>
          <w:szCs w:val="20"/>
          <w:color w:val="auto"/>
        </w:rPr>
      </w:pPr>
      <w:r>
        <w:rPr>
          <w:rFonts w:ascii="Arial" w:cs="Arial" w:eastAsia="Arial" w:hAnsi="Arial"/>
          <w:sz w:val="12"/>
          <w:szCs w:val="12"/>
          <w:b w:val="1"/>
          <w:bCs w:val="1"/>
          <w:color w:val="auto"/>
        </w:rPr>
        <w:t>Net Change in Unrealized</w:t>
      </w:r>
    </w:p>
    <w:p>
      <w:pPr>
        <w:spacing w:after="0" w:line="25" w:lineRule="exact"/>
        <w:rPr>
          <w:sz w:val="20"/>
          <w:szCs w:val="20"/>
          <w:color w:val="auto"/>
        </w:rPr>
      </w:pPr>
    </w:p>
    <w:p>
      <w:pPr>
        <w:jc w:val="center"/>
        <w:ind w:right="1020"/>
        <w:spacing w:after="0"/>
        <w:rPr>
          <w:sz w:val="20"/>
          <w:szCs w:val="20"/>
          <w:color w:val="auto"/>
        </w:rPr>
      </w:pPr>
      <w:r>
        <w:rPr>
          <w:rFonts w:ascii="Arial" w:cs="Arial" w:eastAsia="Arial" w:hAnsi="Arial"/>
          <w:sz w:val="12"/>
          <w:szCs w:val="12"/>
          <w:b w:val="1"/>
          <w:bCs w:val="1"/>
          <w:color w:val="auto"/>
        </w:rPr>
        <w:t>Appreciation or Depreciation</w:t>
      </w:r>
    </w:p>
    <w:p>
      <w:pPr>
        <w:jc w:val="center"/>
        <w:ind w:right="1020"/>
        <w:spacing w:after="0" w:line="237" w:lineRule="auto"/>
        <w:rPr>
          <w:sz w:val="20"/>
          <w:szCs w:val="20"/>
          <w:color w:val="auto"/>
        </w:rPr>
      </w:pPr>
      <w:r>
        <w:rPr>
          <w:rFonts w:ascii="Arial" w:cs="Arial" w:eastAsia="Arial" w:hAnsi="Arial"/>
          <w:sz w:val="14"/>
          <w:szCs w:val="14"/>
          <w:b w:val="1"/>
          <w:bCs w:val="1"/>
          <w:color w:val="auto"/>
        </w:rPr>
        <w:t>for the Year Ended</w:t>
      </w:r>
    </w:p>
    <w:p>
      <w:pPr>
        <w:ind w:left="220"/>
        <w:spacing w:after="0"/>
        <w:rPr>
          <w:sz w:val="20"/>
          <w:szCs w:val="20"/>
          <w:color w:val="auto"/>
        </w:rPr>
      </w:pPr>
      <w:r>
        <w:rPr>
          <w:rFonts w:ascii="Arial" w:cs="Arial" w:eastAsia="Arial" w:hAnsi="Arial"/>
          <w:sz w:val="12"/>
          <w:szCs w:val="12"/>
          <w:b w:val="1"/>
          <w:bCs w:val="1"/>
          <w:color w:val="auto"/>
        </w:rPr>
        <w:t>December 31, 2011 on</w:t>
      </w:r>
    </w:p>
    <w:p>
      <w:pPr>
        <w:ind w:left="260"/>
        <w:spacing w:after="0" w:line="237" w:lineRule="auto"/>
        <w:rPr>
          <w:sz w:val="20"/>
          <w:szCs w:val="20"/>
          <w:color w:val="auto"/>
        </w:rPr>
      </w:pPr>
      <w:r>
        <w:rPr>
          <w:rFonts w:ascii="Arial" w:cs="Arial" w:eastAsia="Arial" w:hAnsi="Arial"/>
          <w:sz w:val="14"/>
          <w:szCs w:val="14"/>
          <w:b w:val="1"/>
          <w:bCs w:val="1"/>
          <w:color w:val="auto"/>
        </w:rPr>
        <w:t>Investments Held at</w:t>
      </w:r>
    </w:p>
    <w:p>
      <w:pPr>
        <w:ind w:left="300"/>
        <w:spacing w:after="0" w:line="216" w:lineRule="auto"/>
        <w:rPr>
          <w:sz w:val="20"/>
          <w:szCs w:val="20"/>
          <w:color w:val="auto"/>
        </w:rPr>
      </w:pPr>
      <w:r>
        <w:rPr>
          <w:rFonts w:ascii="Arial" w:cs="Arial" w:eastAsia="Arial" w:hAnsi="Arial"/>
          <w:sz w:val="14"/>
          <w:szCs w:val="14"/>
          <w:b w:val="1"/>
          <w:bCs w:val="1"/>
          <w:color w:val="auto"/>
        </w:rPr>
        <w:t>December 31, 2011</w:t>
      </w:r>
    </w:p>
    <w:p>
      <w:pPr>
        <w:spacing w:after="0" w:line="1" w:lineRule="exact"/>
        <w:rPr>
          <w:sz w:val="20"/>
          <w:szCs w:val="20"/>
          <w:color w:val="auto"/>
        </w:rPr>
      </w:pPr>
    </w:p>
    <w:p>
      <w:pPr>
        <w:sectPr>
          <w:pgSz w:w="11900" w:h="16838" w:orient="portrait"/>
          <w:cols w:equalWidth="0" w:num="2">
            <w:col w:w="8000" w:space="720"/>
            <w:col w:w="2700"/>
          </w:cols>
          <w:pgMar w:left="240" w:top="460" w:right="239" w:bottom="1440" w:gutter="0" w:footer="0" w:header="0"/>
          <w:type w:val="continuous"/>
        </w:sectPr>
      </w:pPr>
    </w:p>
    <w:tbl>
      <w:tblPr>
        <w:tblLayout w:type="fixed"/>
        <w:tblInd w:w="920" w:type="dxa"/>
        <w:tblCellMar>
          <w:top w:w="0" w:type="dxa"/>
          <w:left w:w="0" w:type="dxa"/>
          <w:bottom w:w="0" w:type="dxa"/>
          <w:right w:w="0" w:type="dxa"/>
        </w:tblCellMar>
      </w:tblPr>
      <w:tr>
        <w:trPr>
          <w:trHeight w:val="212"/>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Equity Investments</w:t>
            </w:r>
          </w:p>
        </w:tc>
        <w:tc>
          <w:tcPr>
            <w:tcW w:w="16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16"/>
        </w:trPr>
        <w:tc>
          <w:tcPr>
            <w:tcW w:w="29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280" w:type="dxa"/>
            <w:vAlign w:val="bottom"/>
            <w:gridSpan w:val="2"/>
            <w:shd w:val="clear" w:color="auto" w:fill="CCEEFF"/>
          </w:tcPr>
          <w:p>
            <w:pPr>
              <w:jc w:val="right"/>
              <w:ind w:right="52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2240" w:type="dxa"/>
            <w:vAlign w:val="bottom"/>
            <w:gridSpan w:val="2"/>
            <w:shd w:val="clear" w:color="auto" w:fill="CCEEFF"/>
          </w:tcPr>
          <w:p>
            <w:pPr>
              <w:jc w:val="right"/>
              <w:ind w:right="52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CCEEFF"/>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1"/>
              </w:rPr>
              <w:t>December 31, 2012</w:t>
            </w:r>
          </w:p>
        </w:tc>
        <w:tc>
          <w:tcPr>
            <w:tcW w:w="1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Valuation</w:t>
            </w:r>
          </w:p>
        </w:tc>
        <w:tc>
          <w:tcPr>
            <w:tcW w:w="15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4"/>
              </w:rPr>
              <w:t>Unobservable</w:t>
            </w:r>
          </w:p>
        </w:tc>
        <w:tc>
          <w:tcPr>
            <w:tcW w:w="1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gridSpan w:val="2"/>
            <w:vMerge w:val="continue"/>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2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5"/>
              </w:rPr>
              <w:t>Range (Weighted</w:t>
            </w: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Fair Value</w:t>
            </w:r>
          </w:p>
        </w:tc>
        <w:tc>
          <w:tcPr>
            <w:tcW w:w="2140" w:type="dxa"/>
            <w:vAlign w:val="bottom"/>
            <w:gridSpan w:val="2"/>
          </w:tcPr>
          <w:p>
            <w:pPr>
              <w:ind w:left="660"/>
              <w:spacing w:after="0"/>
              <w:rPr>
                <w:sz w:val="20"/>
                <w:szCs w:val="20"/>
                <w:color w:val="auto"/>
              </w:rPr>
            </w:pPr>
            <w:r>
              <w:rPr>
                <w:rFonts w:ascii="Arial" w:cs="Arial" w:eastAsia="Arial" w:hAnsi="Arial"/>
                <w:sz w:val="14"/>
                <w:szCs w:val="14"/>
                <w:b w:val="1"/>
                <w:bCs w:val="1"/>
                <w:color w:val="auto"/>
              </w:rPr>
              <w:t>Technique</w:t>
            </w: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Input</w:t>
            </w:r>
          </w:p>
        </w:tc>
        <w:tc>
          <w:tcPr>
            <w:tcW w:w="2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Average)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514,104</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1"/>
                <w:szCs w:val="11"/>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9"/>
              </w:rPr>
              <w:t>Market Yield</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7.00% — 11.29% (9.71%)</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3"/>
              </w:rPr>
              <w:t>Decrease</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53,190</w:t>
            </w:r>
          </w:p>
        </w:tc>
        <w:tc>
          <w:tcPr>
            <w:tcW w:w="214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580" w:type="dxa"/>
            <w:vAlign w:val="bottom"/>
            <w:gridSpan w:val="3"/>
          </w:tcPr>
          <w:p>
            <w:pPr>
              <w:ind w:left="320"/>
              <w:spacing w:after="0"/>
              <w:rPr>
                <w:sz w:val="20"/>
                <w:szCs w:val="20"/>
                <w:color w:val="auto"/>
              </w:rPr>
            </w:pPr>
            <w:r>
              <w:rPr>
                <w:rFonts w:ascii="Arial" w:cs="Arial" w:eastAsia="Arial" w:hAnsi="Arial"/>
                <w:sz w:val="18"/>
                <w:szCs w:val="18"/>
                <w:color w:val="auto"/>
              </w:rPr>
              <w:t>Market Yield</w:t>
            </w:r>
          </w:p>
        </w:tc>
        <w:tc>
          <w:tcPr>
            <w:tcW w:w="2220" w:type="dxa"/>
            <w:vAlign w:val="bottom"/>
            <w:gridSpan w:val="2"/>
          </w:tcPr>
          <w:p>
            <w:pPr>
              <w:jc w:val="right"/>
              <w:ind w:right="320"/>
              <w:spacing w:after="0"/>
              <w:rPr>
                <w:sz w:val="20"/>
                <w:szCs w:val="20"/>
                <w:color w:val="auto"/>
              </w:rPr>
            </w:pPr>
            <w:r>
              <w:rPr>
                <w:rFonts w:ascii="Arial" w:cs="Arial" w:eastAsia="Arial" w:hAnsi="Arial"/>
                <w:sz w:val="18"/>
                <w:szCs w:val="18"/>
                <w:color w:val="auto"/>
              </w:rPr>
              <w:t>10.78%</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w w:val="96"/>
              </w:rPr>
              <w:t>Decrease</w:t>
            </w: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2140" w:type="dxa"/>
            <w:vAlign w:val="bottom"/>
            <w:gridSpan w:val="2"/>
          </w:tcPr>
          <w:p>
            <w:pPr>
              <w:ind w:left="660"/>
              <w:spacing w:after="0"/>
              <w:rPr>
                <w:sz w:val="20"/>
                <w:szCs w:val="20"/>
                <w:color w:val="auto"/>
              </w:rPr>
            </w:pPr>
            <w:r>
              <w:rPr>
                <w:rFonts w:ascii="Arial" w:cs="Arial" w:eastAsia="Arial" w:hAnsi="Arial"/>
                <w:sz w:val="18"/>
                <w:szCs w:val="18"/>
                <w:color w:val="auto"/>
              </w:rPr>
              <w:t>Market Approach</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220" w:hanging="452"/>
        <w:spacing w:after="0" w:line="268"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Includes $114.5 million of first-lien debt investments which, due to the proximity of the transactions relative to the measurement date, were valued using the cost of the investment.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2012 and 2011, approximates its carrying value as the outstanding balances are callable at carrying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2012 and 2011, the Company’s asset coverage was 244.6% and 211.7%,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2012 and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4"/>
              </w:rPr>
              <w:t>Borrowings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7"/>
              <w:spacing w:after="0" w:line="129"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86"/>
              </w:rPr>
              <w:t>Total Facility</w:t>
            </w:r>
          </w:p>
        </w:tc>
        <w:tc>
          <w:tcPr>
            <w:tcW w:w="62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60" w:type="dxa"/>
            <w:vAlign w:val="bottom"/>
            <w:gridSpan w:val="3"/>
          </w:tcPr>
          <w:p>
            <w:pPr>
              <w:jc w:val="center"/>
              <w:ind w:left="225"/>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250,000</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100,000</w:t>
            </w:r>
          </w:p>
        </w:tc>
        <w:tc>
          <w:tcPr>
            <w:tcW w:w="12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66,836</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200,000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550,000</w:t>
            </w:r>
          </w:p>
        </w:tc>
        <w:tc>
          <w:tcPr>
            <w:tcW w:w="120" w:type="dxa"/>
            <w:vAlign w:val="bottom"/>
          </w:tcPr>
          <w:p>
            <w:pPr>
              <w:spacing w:after="0"/>
              <w:rPr>
                <w:sz w:val="19"/>
                <w:szCs w:val="19"/>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$ 331,836</w:t>
            </w:r>
          </w:p>
        </w:tc>
        <w:tc>
          <w:tcPr>
            <w:tcW w:w="3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left="100"/>
              <w:spacing w:after="0"/>
              <w:rPr>
                <w:sz w:val="20"/>
                <w:szCs w:val="20"/>
                <w:color w:val="auto"/>
              </w:rPr>
            </w:pPr>
            <w:r>
              <w:rPr>
                <w:rFonts w:ascii="Arial" w:cs="Arial" w:eastAsia="Arial" w:hAnsi="Arial"/>
                <w:sz w:val="14"/>
                <w:szCs w:val="14"/>
                <w:b w:val="1"/>
                <w:bCs w:val="1"/>
                <w:color w:val="auto"/>
                <w:w w:val="85"/>
              </w:rPr>
              <w:t>December 31, 2011</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7"/>
              </w:rPr>
              <w:t>Borrowings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84"/>
              </w:rPr>
              <w:t>Total Facility</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Available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60" w:type="dxa"/>
            <w:vAlign w:val="bottom"/>
            <w:gridSpan w:val="3"/>
          </w:tcPr>
          <w:p>
            <w:pPr>
              <w:jc w:val="center"/>
              <w:ind w:left="325"/>
              <w:spacing w:after="0"/>
              <w:rPr>
                <w:sz w:val="20"/>
                <w:szCs w:val="20"/>
                <w:color w:val="auto"/>
              </w:rPr>
            </w:pPr>
            <w:r>
              <w:rPr>
                <w:rFonts w:ascii="Arial" w:cs="Arial" w:eastAsia="Arial" w:hAnsi="Arial"/>
                <w:sz w:val="11"/>
                <w:szCs w:val="11"/>
                <w:b w:val="1"/>
                <w:bCs w:val="1"/>
                <w:color w:val="auto"/>
                <w:w w:val="88"/>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74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74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$ 155,000</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820" w:type="dxa"/>
            <w:vAlign w:val="bottom"/>
            <w:gridSpan w:val="5"/>
          </w:tcPr>
          <w:p>
            <w:pPr>
              <w:jc w:val="center"/>
              <w:ind w:left="300"/>
              <w:spacing w:after="0"/>
              <w:rPr>
                <w:sz w:val="20"/>
                <w:szCs w:val="20"/>
                <w:color w:val="auto"/>
              </w:rPr>
            </w:pPr>
            <w:r>
              <w:rPr>
                <w:rFonts w:ascii="Arial" w:cs="Arial" w:eastAsia="Arial" w:hAnsi="Arial"/>
                <w:sz w:val="18"/>
                <w:szCs w:val="18"/>
                <w:color w:val="auto"/>
                <w:w w:val="89"/>
              </w:rPr>
              <w:t>$ 155,000</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Average debt outstanding during the years ended December 31, 2012 and 2011, was $111.2 million and $11.4 million, respectively. The weighted average interest rate for outstanding borrowings during the year ended December 31, 2012 and 2011 was 2.9% and 3.0%,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2012 and 2011, the components of interest expense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10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92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3"/>
              </w:rPr>
              <w:t>December 31,</w:t>
            </w:r>
          </w:p>
        </w:tc>
        <w:tc>
          <w:tcPr>
            <w:tcW w:w="196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1"/>
        </w:trPr>
        <w:tc>
          <w:tcPr>
            <w:tcW w:w="5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Commitment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1,252</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gridSpan w:val="2"/>
          </w:tcPr>
          <w:p>
            <w:pPr>
              <w:jc w:val="right"/>
              <w:ind w:right="2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6,020</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23, 2012, the Company entered into a Senior Secured Revolving Credit Agreement (the “Revolving Credit Facility (SunTrust)”). The parties to the Revolving Credit Facility (SunTrust) include the Company, as Borrower, the lenders from time to time parties thereto (each a “Lender” and collectively, the “Lenders”) and SunTrust Bank, as Administrative Agent.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40"/>
          </w:cols>
          <w:pgMar w:left="240" w:top="459" w:right="3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(SunTrust) is guaranteed by TC Lending, LLC and certain domestic subsidiaries of the Company that are formed or acquired by the Company in the future (collectively, the “Guarantors”). Proceeds from borrowings may be used for general corporate purposes, including the funding of portfolio investments.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maximum principal amount of the facility is $200 million, subject to availability under the borrowing base, which is based on the Company’s portfolio investments and other outstanding indebtedness. Maximum capacity may be increased to $300 million through the exercise by the Borrower of an uncommitted accordion feature through which existing and new lenders may, at their option, agree to provide additional financing. The Revolving Credit Facility (SunTrust) includes a $30 million limit for swingline loans and a $20 million limit for letters of credit and is secured by a perfected first-priority interest in substantially the entire portfolio of investments held by the Company and each Guarantor.</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availability period under the Revolving Credit Facility (SunTrust) will terminate on August 24, 2015 (the “SunTrust Commitment Termination Date”) and it will mature on August 23, 2016 (the “SunTrust Maturity Date”). During the period from the SunTrust Commitment Termination Date to the SunTrust Maturity Date, the Company will be obligated to make mandatory prepayments out of the proceeds of certain asset sales, and other recovery events and equity and debt issuances.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will bear interest at either LIBOR plus a margin, or the prime rate plus a margin. The Company may elect either the LIBOR or prime rate at the time of drawdown, and loans may be converted from one rate to another at any time, subject to certain conditions. The Company will also pay a fee of 0.50%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covenants, including certain financial covenants related to asset coverage and liquidity and other maintenance covenants, as well as customary 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May 8, 2012 (the “Natixis Closing Date”), the Company’s wholly-owned subsidiary TPG SL SPV, LLC (the “Subsidiary”), a Delaware limited liability company, entered into a Revolving Credit and Security Agreement (the “Revolving Credit Facility (Natixis)”). Parties to the agreement include TPG SL SPV, LLC, as Borrower, and the lenders from time to time parties thereto, Natixis, New York Branch, as Facility Agent and The Bank of New York Mellon Trust Company, N.A., as Collateral Agent. Also on May 8, 2012, the Company contributed certain investments to the Subsidiary pursuant to the terms of a Master Sale and Contribution Agreement by and between the Company and the Subsidiary. No gain or loss was recognized as a result of the contribution. Proceeds from the Revolving Credit Facility (Natixis) may be used to finance the acquisition of eligible assets by the Subsidiary, including the purchase of such assets from the Company. The Company retains a residual interest in assets contributed to or acquired by the Subsidiary through its ownership of the Subsidiary. The maximum principal amount of the facility is $100 million, subject to availability under the borrowing base, which is based on the amount of the Subsidiary’s assets from time to time, and satisfaction of certain conditions, including an asset coverage test, an asset quality test and certain concentration limits.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agreement provides for a contribution and reinvestment period for up to 18 months after the Natixis Closing Date (the “Natixis Commitment Termination Date”). Prior to the Natixis Commitment Termination Date, proceeds received by the Subsidiary from interest, dividends, or fees on assets must be used to pay expenses and interest on outstanding borrowings, and the excess may be returned to the Company, subject to certain conditions. Proceeds received from principal on assets prior to the Natixis Commitment Termination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must be used to make quarterly payments of principal on outstanding borrowings. Following the Natixis Commitment Termination Date, proceeds received by the Subsidiary from interest and principal on collateral assets must be used to make quarterly payments of principal on outstanding borrowings. Proceeds received from interest and principal at the end of a reporting period that have not gone through a settlement process are considered to be restricted cash. As of December 31, 2012, the Subsidiary had $4.3 million in restricted cash, a component of Prepaid expenses and other assets, in the accompanying consolidated financial statements.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Revolving Credit Facility (Natixis) will mature on May 8, 2020. Amounts drawn bear interest at LIBOR plus a margin and the undrawn portion of the commitment bears an unutilized commitment fee of 0.75%. The Revolving Credit Facility (Natixis) contains customary covenants, including certain maintenance covenants, and events of default. The Revolving Credit Facility (Natixis) is secured by a perfected first priority security interest in the assets of the Subsidiary and on any payments received by the Subsidiary in respect of such assets and, as such, are not available to pay the debts of the Company. As of December 31, 2012, the Subsidiary had $163.8 million in assets, including $154.4 million in investments, and $67.3 million in liabilities, including the outstanding borrowings, on its balance sheet.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the Subsidiary are considered borrowings of the Company for purposes of complying with the asset coverage requirements under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September 28, 2011, the Company entered into a revolving credit facility (the “Initial DBTCA Revolving Credit Facility”) with Deutsche Bank Trust Company Americas (“DBTCA”) as administrative agent (the “Administrative Agent”), and DBTCA and certain of its affiliates as lenders. At closing, the maximum principal amount of the Initial DTBCA Revolving Credit Facility was $150 million, subject to availability under the borrowing base. On December 22, 2011, the Initial DBTCA Revolving Credit Facility was amended and restated (the “Revolving Credit Facility (DBTCA)”). Under the Revolving Credit Facility (DBTCA), the maximum principal amount was increased from $150 million to $250 million, including up to $75 million available for standby letters of credit, subject in each case to availability under a borrowing base which is based on unfunded capital commitments and outstanding indebtedness. The maximum principal amount of the Revolving Credit Facility (DBTCA) may be increased to up to $300 million upon request of the Company within twelve months of closing and subject to payment of an additional fee. The option to increase the facility expired on September 28, 2012. Proceeds from the Revolving Credit Facility (DBTCA) may be used for investment activities, expenses, working capital requirements and general corporate purposes.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Revolving Credit Facility (DBTCA) matures upon the earlier of December 20, 2013, and 25 days prior to a qualifying initial public offering of the Company.</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Revolving Credit Facility (DBTCA) is secured by a perfected first priority security interest in the unfunded capital commitments of the Company’s private investors, including assignment of the right to make capital calls, receive and apply capital contributions, enforce remedies and claims related thereto, and a pledge of the collateral account into which all capital calls flow.</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rates on obligations under the Revolving Credit Facility (DBTCA) are based on prevailing LIBOR or prime lending rate plus an applicable margin. We may elect either the LIBOR or prime rate at the time of draw-down, and loans may be converted from one rate to another at any time, subject to certain conditions. We also pay a fee of 0.375% on undrawn amounts of the Revolving Credit Facility. In respect of each letter of credit, the Company will pay a fee and a fixed rate while the letter of credit is outstanding.</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Revolving Credit Facility (DBTCA) contains customary covenants on us and our subsidiaries, including requirements to deposit all capital call proceeds into a collateral account, restrict certain distributions, and restrict certain types and amounts of indebtedness. The Revolving Credit Facility (DBTCA) includes customary events of default.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Transfers of interests in the Company by investors will require the prior consent of the Administrative Agent, which shall not be unreasonably withheld or delayed. Such transfers may trigger mandatory prepayment obligations.</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connection with the closing of all three revolving credit facilities, the Company paid fees totaling $7.6 million. Such fees have been capitalized as debt issuance costs, included in Prepaid expenses and other assets, and are being amortized over the life of the respective facility.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and 2011, the Company was in compliance with the terms of its debt arrangements.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Subsequent to December 31, 2012, the Company repaid a portion of its debt and borrowed additional amounts to fund investments. As of March 14, 2013, there was $132.7 million outstanding.</w:t>
      </w:r>
    </w:p>
    <w:p>
      <w:pPr>
        <w:spacing w:after="0" w:line="207" w:lineRule="exact"/>
        <w:rPr>
          <w:sz w:val="20"/>
          <w:szCs w:val="20"/>
          <w:color w:val="auto"/>
        </w:rPr>
      </w:pPr>
    </w:p>
    <w:p>
      <w:pPr>
        <w:ind w:right="8720" w:firstLine="8"/>
        <w:spacing w:after="0" w:line="417" w:lineRule="auto"/>
        <w:tabs>
          <w:tab w:leader="none" w:pos="176" w:val="left"/>
        </w:tabs>
        <w:numPr>
          <w:ilvl w:val="0"/>
          <w:numId w:val="1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December 31, 2012 and 2011, the Company had the following commitments to fund loans: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7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17,500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14,500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r>
      <w:tr>
        <w:trPr>
          <w:trHeight w:val="27"/>
        </w:trPr>
        <w:tc>
          <w:tcPr>
            <w:tcW w:w="7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32,000</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December 31, 2012 and 2011, the Company had $1.4 billion and $1.2 billion, respectively, in total capital commitments from investors ($0.9 billion and $1.0 billion unfunded, respectively), of which $114.1 million and $70.4 million, respectively, is from the Adviser and its affiliates ($76.6 million and $60.3 million unfunded,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2012,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Assets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its formation, the Company had the authority to issue 10,000 shares of common stock at $0.01 per share par value (“Common Stock”). The Company also had the authority to issue 100,000,000 shares of preferred stock at $0.01 per share par value. The Company’s preferred stock is non-convertible.</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December 21, 2010, the Company issued 1,000 shares of Common Stock for $1,000 to Tarrant Advisors, Inc., an affiliate of the Company and its Adviser.</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March 8, 2011, the Company increased the number of shares of Common Stock authorized to be issued to 100,000,000, par value $0.01 per share. The authorized preferred stock was unchanged and no preferred stock was outstanding as of December 31,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years ended December 31 2012 and 2011,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2012 and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7"/>
              </w:rPr>
              <w:t>December 31, 2012</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740" w:type="dxa"/>
            <w:vAlign w:val="bottom"/>
          </w:tcPr>
          <w:p>
            <w:pPr>
              <w:spacing w:after="0"/>
              <w:rPr>
                <w:sz w:val="10"/>
                <w:szCs w:val="10"/>
                <w:color w:val="auto"/>
              </w:rPr>
            </w:pPr>
          </w:p>
        </w:tc>
        <w:tc>
          <w:tcPr>
            <w:tcW w:w="840" w:type="dxa"/>
            <w:vAlign w:val="bottom"/>
          </w:tcPr>
          <w:p>
            <w:pPr>
              <w:jc w:val="right"/>
              <w:ind w:right="177"/>
              <w:spacing w:after="0" w:line="115" w:lineRule="exact"/>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5740" w:type="dxa"/>
            <w:vAlign w:val="bottom"/>
          </w:tcPr>
          <w:p>
            <w:pPr>
              <w:spacing w:after="0"/>
              <w:rPr>
                <w:sz w:val="15"/>
                <w:szCs w:val="15"/>
                <w:color w:val="auto"/>
              </w:rPr>
            </w:pPr>
          </w:p>
        </w:tc>
        <w:tc>
          <w:tcPr>
            <w:tcW w:w="840" w:type="dxa"/>
            <w:vAlign w:val="bottom"/>
          </w:tcPr>
          <w:p>
            <w:pPr>
              <w:jc w:val="right"/>
              <w:ind w:right="97"/>
              <w:spacing w:after="0" w:line="176" w:lineRule="exact"/>
              <w:rPr>
                <w:sz w:val="20"/>
                <w:szCs w:val="20"/>
                <w:color w:val="auto"/>
              </w:rPr>
            </w:pPr>
            <w:r>
              <w:rPr>
                <w:rFonts w:ascii="Arial" w:cs="Arial" w:eastAsia="Arial" w:hAnsi="Arial"/>
                <w:sz w:val="13"/>
                <w:szCs w:val="13"/>
                <w:b w:val="1"/>
                <w:bCs w:val="1"/>
                <w:color w:val="auto"/>
              </w:rPr>
              <w:t>Issued</w:t>
            </w:r>
            <w:r>
              <w:rPr>
                <w:rFonts w:ascii="Arial" w:cs="Arial" w:eastAsia="Arial" w:hAnsi="Arial"/>
                <w:sz w:val="20"/>
                <w:szCs w:val="20"/>
                <w:b w:val="1"/>
                <w:bCs w:val="1"/>
                <w:color w:val="auto"/>
                <w:vertAlign w:val="superscript"/>
              </w:rPr>
              <w:t>(2)</w:t>
            </w:r>
          </w:p>
        </w:tc>
        <w:tc>
          <w:tcPr>
            <w:tcW w:w="2100" w:type="dxa"/>
            <w:vAlign w:val="bottom"/>
            <w:gridSpan w:val="4"/>
          </w:tcPr>
          <w:p>
            <w:pPr>
              <w:ind w:left="920"/>
              <w:spacing w:after="0"/>
              <w:rPr>
                <w:sz w:val="20"/>
                <w:szCs w:val="20"/>
                <w:color w:val="auto"/>
              </w:rPr>
            </w:pPr>
            <w:r>
              <w:rPr>
                <w:rFonts w:ascii="Arial" w:cs="Arial" w:eastAsia="Arial" w:hAnsi="Arial"/>
                <w:sz w:val="14"/>
                <w:szCs w:val="14"/>
                <w:b w:val="1"/>
                <w:bCs w:val="1"/>
                <w:color w:val="auto"/>
                <w:w w:val="90"/>
              </w:rPr>
              <w:t>Proceeds Received</w:t>
            </w: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February 22, 2012</w:t>
            </w:r>
          </w:p>
        </w:tc>
        <w:tc>
          <w:tcPr>
            <w:tcW w:w="840" w:type="dxa"/>
            <w:vAlign w:val="bottom"/>
          </w:tcPr>
          <w:p>
            <w:pPr>
              <w:jc w:val="right"/>
              <w:spacing w:after="0"/>
              <w:rPr>
                <w:sz w:val="20"/>
                <w:szCs w:val="20"/>
                <w:color w:val="auto"/>
              </w:rPr>
            </w:pPr>
            <w:r>
              <w:rPr>
                <w:rFonts w:ascii="Arial" w:cs="Arial" w:eastAsia="Arial" w:hAnsi="Arial"/>
                <w:sz w:val="18"/>
                <w:szCs w:val="18"/>
                <w:color w:val="auto"/>
              </w:rPr>
              <w:t>2,368,398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May 31, 2012</w:t>
            </w:r>
          </w:p>
        </w:tc>
        <w:tc>
          <w:tcPr>
            <w:tcW w:w="840" w:type="dxa"/>
            <w:vAlign w:val="bottom"/>
          </w:tcPr>
          <w:p>
            <w:pPr>
              <w:jc w:val="right"/>
              <w:spacing w:after="0"/>
              <w:rPr>
                <w:sz w:val="20"/>
                <w:szCs w:val="20"/>
                <w:color w:val="auto"/>
              </w:rPr>
            </w:pPr>
            <w:r>
              <w:rPr>
                <w:rFonts w:ascii="Arial" w:cs="Arial" w:eastAsia="Arial" w:hAnsi="Arial"/>
                <w:sz w:val="18"/>
                <w:szCs w:val="18"/>
                <w:color w:val="auto"/>
              </w:rPr>
              <w:t>892,058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September 26, 2012</w:t>
            </w:r>
          </w:p>
        </w:tc>
        <w:tc>
          <w:tcPr>
            <w:tcW w:w="840" w:type="dxa"/>
            <w:vAlign w:val="bottom"/>
          </w:tcPr>
          <w:p>
            <w:pPr>
              <w:jc w:val="right"/>
              <w:spacing w:after="0"/>
              <w:rPr>
                <w:sz w:val="20"/>
                <w:szCs w:val="20"/>
                <w:color w:val="auto"/>
              </w:rPr>
            </w:pPr>
            <w:r>
              <w:rPr>
                <w:rFonts w:ascii="Arial" w:cs="Arial" w:eastAsia="Arial" w:hAnsi="Arial"/>
                <w:sz w:val="18"/>
                <w:szCs w:val="18"/>
                <w:color w:val="auto"/>
              </w:rPr>
              <w:t>1,496,143</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December 10, 2012 </w:t>
            </w:r>
            <w:r>
              <w:rPr>
                <w:rFonts w:ascii="Arial" w:cs="Arial" w:eastAsia="Arial" w:hAnsi="Arial"/>
                <w:sz w:val="11"/>
                <w:szCs w:val="11"/>
                <w:color w:val="auto"/>
              </w:rPr>
              <w:t>(1)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6,611,659</w:t>
            </w:r>
          </w:p>
        </w:tc>
        <w:tc>
          <w:tcPr>
            <w:tcW w:w="9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22"/>
        </w:trPr>
        <w:tc>
          <w:tcPr>
            <w:tcW w:w="574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19,199,421</w:t>
            </w:r>
          </w:p>
        </w:tc>
        <w:tc>
          <w:tcPr>
            <w:tcW w:w="126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920" w:right="620" w:hanging="440"/>
        <w:spacing w:after="0" w:line="268" w:lineRule="auto"/>
        <w:tabs>
          <w:tab w:leader="none" w:pos="19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7"/>
              </w:rPr>
              <w:t>December 31, 2011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740" w:type="dxa"/>
            <w:vAlign w:val="bottom"/>
          </w:tcPr>
          <w:p>
            <w:pPr>
              <w:spacing w:after="0"/>
              <w:rPr>
                <w:sz w:val="10"/>
                <w:szCs w:val="10"/>
                <w:color w:val="auto"/>
              </w:rPr>
            </w:pPr>
          </w:p>
        </w:tc>
        <w:tc>
          <w:tcPr>
            <w:tcW w:w="840" w:type="dxa"/>
            <w:vAlign w:val="bottom"/>
          </w:tcPr>
          <w:p>
            <w:pPr>
              <w:jc w:val="right"/>
              <w:ind w:right="180"/>
              <w:spacing w:after="0" w:line="115" w:lineRule="exact"/>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5740" w:type="dxa"/>
            <w:vAlign w:val="bottom"/>
          </w:tcPr>
          <w:p>
            <w:pPr>
              <w:spacing w:after="0"/>
              <w:rPr>
                <w:sz w:val="15"/>
                <w:szCs w:val="15"/>
                <w:color w:val="auto"/>
              </w:rPr>
            </w:pPr>
          </w:p>
        </w:tc>
        <w:tc>
          <w:tcPr>
            <w:tcW w:w="840" w:type="dxa"/>
            <w:vAlign w:val="bottom"/>
          </w:tcPr>
          <w:p>
            <w:pPr>
              <w:jc w:val="right"/>
              <w:ind w:right="100"/>
              <w:spacing w:after="0" w:line="176" w:lineRule="exact"/>
              <w:rPr>
                <w:sz w:val="20"/>
                <w:szCs w:val="20"/>
                <w:color w:val="auto"/>
              </w:rPr>
            </w:pPr>
            <w:r>
              <w:rPr>
                <w:rFonts w:ascii="Arial" w:cs="Arial" w:eastAsia="Arial" w:hAnsi="Arial"/>
                <w:sz w:val="13"/>
                <w:szCs w:val="13"/>
                <w:b w:val="1"/>
                <w:bCs w:val="1"/>
                <w:color w:val="auto"/>
              </w:rPr>
              <w:t>Issued</w:t>
            </w:r>
            <w:r>
              <w:rPr>
                <w:rFonts w:ascii="Arial" w:cs="Arial" w:eastAsia="Arial" w:hAnsi="Arial"/>
                <w:sz w:val="20"/>
                <w:szCs w:val="20"/>
                <w:b w:val="1"/>
                <w:bCs w:val="1"/>
                <w:color w:val="auto"/>
                <w:vertAlign w:val="superscript"/>
              </w:rPr>
              <w:t>(2)</w:t>
            </w:r>
          </w:p>
        </w:tc>
        <w:tc>
          <w:tcPr>
            <w:tcW w:w="2100" w:type="dxa"/>
            <w:vAlign w:val="bottom"/>
            <w:gridSpan w:val="4"/>
          </w:tcPr>
          <w:p>
            <w:pPr>
              <w:ind w:left="920"/>
              <w:spacing w:after="0"/>
              <w:rPr>
                <w:sz w:val="20"/>
                <w:szCs w:val="20"/>
                <w:color w:val="auto"/>
              </w:rPr>
            </w:pPr>
            <w:r>
              <w:rPr>
                <w:rFonts w:ascii="Arial" w:cs="Arial" w:eastAsia="Arial" w:hAnsi="Arial"/>
                <w:sz w:val="14"/>
                <w:szCs w:val="14"/>
                <w:b w:val="1"/>
                <w:bCs w:val="1"/>
                <w:color w:val="auto"/>
                <w:w w:val="90"/>
              </w:rPr>
              <w:t>Proceeds Received</w:t>
            </w: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June 30, 2011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2,333,660</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August 12, 2011</w:t>
            </w:r>
          </w:p>
        </w:tc>
        <w:tc>
          <w:tcPr>
            <w:tcW w:w="840" w:type="dxa"/>
            <w:vAlign w:val="bottom"/>
          </w:tcPr>
          <w:p>
            <w:pPr>
              <w:jc w:val="right"/>
              <w:spacing w:after="0"/>
              <w:rPr>
                <w:sz w:val="20"/>
                <w:szCs w:val="20"/>
                <w:color w:val="auto"/>
              </w:rPr>
            </w:pPr>
            <w:r>
              <w:rPr>
                <w:rFonts w:ascii="Arial" w:cs="Arial" w:eastAsia="Arial" w:hAnsi="Arial"/>
                <w:sz w:val="18"/>
                <w:szCs w:val="18"/>
                <w:color w:val="auto"/>
              </w:rPr>
              <w:t>5,044,173</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73,000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December 15,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3,543,563</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52,534</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December 30, 2011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849,052</w:t>
            </w:r>
          </w:p>
        </w:tc>
        <w:tc>
          <w:tcPr>
            <w:tcW w:w="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11,770,448</w:t>
            </w:r>
          </w:p>
        </w:tc>
        <w:tc>
          <w:tcPr>
            <w:tcW w:w="12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173,034</w:t>
            </w:r>
          </w:p>
        </w:tc>
        <w:tc>
          <w:tcPr>
            <w:tcW w:w="100" w:type="dxa"/>
            <w:vAlign w:val="bottom"/>
            <w:shd w:val="clear" w:color="auto" w:fill="CCEEFF"/>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addition to the drawdowns noted above, on June 29, 2011, the Company repurchased 999 shares of its Common Stock issued as part of its formation from Tarrant Advisors, Inc. for $999. The repurchased shares are held in treasury shares, at cost, as of December 31, 2012 and 2011. Treasury shares were not included in the stock split in the form of a stock dividend on December 4,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8"/>
              </w:rPr>
              <w:t>Year Ended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Dividend Declared</w:t>
            </w:r>
          </w:p>
        </w:tc>
        <w:tc>
          <w:tcPr>
            <w:tcW w:w="2360" w:type="dxa"/>
            <w:vAlign w:val="bottom"/>
            <w:vMerge w:val="restart"/>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jc w:val="center"/>
              <w:ind w:right="1180"/>
              <w:spacing w:after="0"/>
              <w:rPr>
                <w:sz w:val="20"/>
                <w:szCs w:val="20"/>
                <w:color w:val="auto"/>
              </w:rPr>
            </w:pPr>
            <w:r>
              <w:rPr>
                <w:rFonts w:ascii="Arial" w:cs="Arial" w:eastAsia="Arial" w:hAnsi="Arial"/>
                <w:sz w:val="14"/>
                <w:szCs w:val="14"/>
                <w:b w:val="1"/>
                <w:bCs w:val="1"/>
                <w:color w:val="auto"/>
                <w:w w:val="85"/>
              </w:rPr>
              <w:t>December 31, 2012</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2360" w:type="dxa"/>
            <w:vAlign w:val="bottom"/>
            <w:vMerge w:val="continue"/>
          </w:tcPr>
          <w:p>
            <w:pPr>
              <w:spacing w:after="0"/>
              <w:rPr>
                <w:sz w:val="12"/>
                <w:szCs w:val="12"/>
                <w:color w:val="auto"/>
              </w:rPr>
            </w:pPr>
          </w:p>
        </w:tc>
        <w:tc>
          <w:tcPr>
            <w:tcW w:w="2280" w:type="dxa"/>
            <w:vAlign w:val="bottom"/>
            <w:gridSpan w:val="2"/>
          </w:tcPr>
          <w:p>
            <w:pPr>
              <w:ind w:left="500"/>
              <w:spacing w:after="0" w:line="129" w:lineRule="exact"/>
              <w:rPr>
                <w:sz w:val="20"/>
                <w:szCs w:val="20"/>
                <w:color w:val="auto"/>
              </w:rPr>
            </w:pPr>
            <w:r>
              <w:rPr>
                <w:rFonts w:ascii="Arial" w:cs="Arial" w:eastAsia="Arial" w:hAnsi="Arial"/>
                <w:sz w:val="14"/>
                <w:szCs w:val="14"/>
                <w:b w:val="1"/>
                <w:bCs w:val="1"/>
                <w:color w:val="auto"/>
              </w:rPr>
              <w:t>Record Date</w:t>
            </w:r>
          </w:p>
        </w:tc>
        <w:tc>
          <w:tcPr>
            <w:tcW w:w="2260" w:type="dxa"/>
            <w:vAlign w:val="bottom"/>
            <w:gridSpan w:val="2"/>
          </w:tcPr>
          <w:p>
            <w:pPr>
              <w:ind w:left="280"/>
              <w:spacing w:after="0" w:line="129" w:lineRule="exact"/>
              <w:rPr>
                <w:sz w:val="20"/>
                <w:szCs w:val="20"/>
                <w:color w:val="auto"/>
              </w:rPr>
            </w:pPr>
            <w:r>
              <w:rPr>
                <w:rFonts w:ascii="Arial" w:cs="Arial" w:eastAsia="Arial" w:hAnsi="Arial"/>
                <w:sz w:val="14"/>
                <w:szCs w:val="14"/>
                <w:b w:val="1"/>
                <w:bCs w:val="1"/>
                <w:color w:val="auto"/>
              </w:rPr>
              <w:t>Date Shares Issued</w:t>
            </w:r>
          </w:p>
        </w:tc>
        <w:tc>
          <w:tcPr>
            <w:tcW w:w="110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Shares Issued</w:t>
            </w:r>
            <w:r>
              <w:rPr>
                <w:rFonts w:ascii="Arial" w:cs="Arial" w:eastAsia="Arial" w:hAnsi="Arial"/>
                <w:sz w:val="14"/>
                <w:szCs w:val="14"/>
                <w:b w:val="1"/>
                <w:bCs w:val="1"/>
                <w:color w:val="auto"/>
                <w:vertAlign w:val="superscript"/>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8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5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16, 2012</w:t>
            </w:r>
          </w:p>
        </w:tc>
        <w:tc>
          <w:tcPr>
            <w:tcW w:w="5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97,214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May 9, 2012</w:t>
            </w:r>
          </w:p>
        </w:tc>
        <w:tc>
          <w:tcPr>
            <w:tcW w:w="2280" w:type="dxa"/>
            <w:vAlign w:val="bottom"/>
            <w:gridSpan w:val="2"/>
          </w:tcPr>
          <w:p>
            <w:pPr>
              <w:jc w:val="right"/>
              <w:ind w:right="580"/>
              <w:spacing w:after="0"/>
              <w:rPr>
                <w:sz w:val="20"/>
                <w:szCs w:val="20"/>
                <w:color w:val="auto"/>
              </w:rPr>
            </w:pPr>
            <w:r>
              <w:rPr>
                <w:rFonts w:ascii="Arial" w:cs="Arial" w:eastAsia="Arial" w:hAnsi="Arial"/>
                <w:sz w:val="18"/>
                <w:szCs w:val="18"/>
                <w:color w:val="auto"/>
              </w:rPr>
              <w:t>June 30, 2012</w:t>
            </w:r>
          </w:p>
        </w:tc>
        <w:tc>
          <w:tcPr>
            <w:tcW w:w="2260" w:type="dxa"/>
            <w:vAlign w:val="bottom"/>
            <w:gridSpan w:val="2"/>
          </w:tcPr>
          <w:p>
            <w:pPr>
              <w:jc w:val="right"/>
              <w:ind w:right="580"/>
              <w:spacing w:after="0"/>
              <w:rPr>
                <w:sz w:val="20"/>
                <w:szCs w:val="20"/>
                <w:color w:val="auto"/>
              </w:rPr>
            </w:pPr>
            <w:r>
              <w:rPr>
                <w:rFonts w:ascii="Arial" w:cs="Arial" w:eastAsia="Arial" w:hAnsi="Arial"/>
                <w:sz w:val="18"/>
                <w:szCs w:val="18"/>
                <w:color w:val="auto"/>
              </w:rPr>
              <w:t>August 7, 2012</w:t>
            </w:r>
          </w:p>
        </w:tc>
        <w:tc>
          <w:tcPr>
            <w:tcW w:w="1100" w:type="dxa"/>
            <w:vAlign w:val="bottom"/>
          </w:tcPr>
          <w:p>
            <w:pPr>
              <w:jc w:val="right"/>
              <w:spacing w:after="0"/>
              <w:rPr>
                <w:sz w:val="20"/>
                <w:szCs w:val="20"/>
                <w:color w:val="auto"/>
              </w:rPr>
            </w:pPr>
            <w:r>
              <w:rPr>
                <w:rFonts w:ascii="Arial" w:cs="Arial" w:eastAsia="Arial" w:hAnsi="Arial"/>
                <w:sz w:val="18"/>
                <w:szCs w:val="18"/>
                <w:color w:val="auto"/>
              </w:rPr>
              <w:t>221,098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September 30, 2012</w:t>
            </w:r>
          </w:p>
        </w:tc>
        <w:tc>
          <w:tcPr>
            <w:tcW w:w="2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November 13, 2012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December 31, 2012</w:t>
            </w:r>
          </w:p>
        </w:tc>
        <w:tc>
          <w:tcPr>
            <w:tcW w:w="2280" w:type="dxa"/>
            <w:vAlign w:val="bottom"/>
            <w:gridSpan w:val="2"/>
          </w:tcPr>
          <w:p>
            <w:pPr>
              <w:jc w:val="right"/>
              <w:ind w:right="580"/>
              <w:spacing w:after="0"/>
              <w:rPr>
                <w:sz w:val="20"/>
                <w:szCs w:val="20"/>
                <w:color w:val="auto"/>
              </w:rPr>
            </w:pPr>
            <w:r>
              <w:rPr>
                <w:rFonts w:ascii="Arial" w:cs="Arial" w:eastAsia="Arial" w:hAnsi="Arial"/>
                <w:sz w:val="18"/>
                <w:szCs w:val="18"/>
                <w:color w:val="auto"/>
              </w:rPr>
              <w:t>December 31, 2012</w:t>
            </w:r>
          </w:p>
        </w:tc>
        <w:tc>
          <w:tcPr>
            <w:tcW w:w="2260" w:type="dxa"/>
            <w:vAlign w:val="bottom"/>
            <w:gridSpan w:val="2"/>
          </w:tcPr>
          <w:p>
            <w:pPr>
              <w:jc w:val="right"/>
              <w:ind w:right="580"/>
              <w:spacing w:after="0"/>
              <w:rPr>
                <w:sz w:val="20"/>
                <w:szCs w:val="20"/>
                <w:color w:val="auto"/>
              </w:rPr>
            </w:pPr>
            <w:r>
              <w:rPr>
                <w:rFonts w:ascii="Arial" w:cs="Arial" w:eastAsia="Arial" w:hAnsi="Arial"/>
                <w:sz w:val="18"/>
                <w:szCs w:val="18"/>
                <w:color w:val="auto"/>
              </w:rPr>
              <w:t>March 12, 2013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Shares Issued</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40" w:hanging="452"/>
        <w:spacing w:after="0" w:line="268"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80"/>
          </w:cols>
          <w:pgMar w:left="240" w:top="460" w:right="3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Year Ended</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Dividend Declared</w:t>
            </w:r>
          </w:p>
        </w:tc>
        <w:tc>
          <w:tcPr>
            <w:tcW w:w="3420" w:type="dxa"/>
            <w:vAlign w:val="bottom"/>
            <w:vMerge w:val="restart"/>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85"/>
              </w:rPr>
              <w:t>December 31, 2011</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640" w:type="dxa"/>
            <w:vAlign w:val="bottom"/>
            <w:gridSpan w:val="2"/>
          </w:tcPr>
          <w:p>
            <w:pPr>
              <w:ind w:left="400"/>
              <w:spacing w:after="0" w:line="129" w:lineRule="exact"/>
              <w:rPr>
                <w:sz w:val="20"/>
                <w:szCs w:val="20"/>
                <w:color w:val="auto"/>
              </w:rPr>
            </w:pPr>
            <w:r>
              <w:rPr>
                <w:rFonts w:ascii="Arial" w:cs="Arial" w:eastAsia="Arial" w:hAnsi="Arial"/>
                <w:sz w:val="14"/>
                <w:szCs w:val="14"/>
                <w:b w:val="1"/>
                <w:bCs w:val="1"/>
                <w:color w:val="auto"/>
              </w:rPr>
              <w:t>Record Date</w:t>
            </w:r>
          </w:p>
        </w:tc>
        <w:tc>
          <w:tcPr>
            <w:tcW w:w="260" w:type="dxa"/>
            <w:vAlign w:val="bottom"/>
          </w:tcPr>
          <w:p>
            <w:pPr>
              <w:spacing w:after="0"/>
              <w:rPr>
                <w:sz w:val="12"/>
                <w:szCs w:val="12"/>
                <w:color w:val="auto"/>
              </w:rPr>
            </w:pPr>
          </w:p>
        </w:tc>
        <w:tc>
          <w:tcPr>
            <w:tcW w:w="16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Date Shares Issued</w:t>
            </w:r>
          </w:p>
        </w:tc>
        <w:tc>
          <w:tcPr>
            <w:tcW w:w="106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Shares Issued</w:t>
            </w:r>
            <w:r>
              <w:rPr>
                <w:rFonts w:ascii="Arial" w:cs="Arial" w:eastAsia="Arial" w:hAnsi="Arial"/>
                <w:sz w:val="14"/>
                <w:szCs w:val="14"/>
                <w:b w:val="1"/>
                <w:bCs w:val="1"/>
                <w:color w:val="auto"/>
                <w:vertAlign w:val="superscript"/>
              </w:rPr>
              <w:t>(2)</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December 31, 2011 </w:t>
            </w:r>
            <w:r>
              <w:rPr>
                <w:rFonts w:ascii="Arial" w:cs="Arial" w:eastAsia="Arial" w:hAnsi="Arial"/>
                <w:sz w:val="11"/>
                <w:szCs w:val="11"/>
                <w:color w:val="auto"/>
              </w:rPr>
              <w:t>(1)</w:t>
            </w:r>
          </w:p>
        </w:tc>
        <w:tc>
          <w:tcPr>
            <w:tcW w:w="15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4"/>
              </w:rPr>
              <w:t>December 31, 2011</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7"/>
              </w:rPr>
              <w:t>March 20, 2012</w:t>
            </w:r>
          </w:p>
        </w:tc>
        <w:tc>
          <w:tcPr>
            <w:tcW w:w="3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22,870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On March 20, 2012, 1,933</w:t>
      </w:r>
      <w:r>
        <w:rPr>
          <w:rFonts w:ascii="Arial" w:cs="Arial" w:eastAsia="Arial" w:hAnsi="Arial"/>
          <w:sz w:val="10"/>
          <w:szCs w:val="10"/>
          <w:color w:val="auto"/>
        </w:rPr>
        <w:t>(2)</w:t>
      </w:r>
      <w:r>
        <w:rPr>
          <w:rFonts w:ascii="Arial" w:cs="Arial" w:eastAsia="Arial" w:hAnsi="Arial"/>
          <w:sz w:val="16"/>
          <w:szCs w:val="16"/>
          <w:color w:val="auto"/>
        </w:rPr>
        <w:t xml:space="preserve"> shares were issued to the Adviser in connection with its then participation in the dividend reinvestment plan.</w:t>
      </w:r>
    </w:p>
    <w:p>
      <w:pPr>
        <w:spacing w:after="0" w:line="194"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5, 2013, the Company’s issued and outstanding shares total 37,026,023, as adjusted for the stock split.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2012</w:t>
            </w:r>
          </w:p>
        </w:tc>
        <w:tc>
          <w:tcPr>
            <w:tcW w:w="2360" w:type="dxa"/>
            <w:vAlign w:val="bottom"/>
            <w:gridSpan w:val="3"/>
          </w:tcPr>
          <w:p>
            <w:pPr>
              <w:ind w:left="1260"/>
              <w:spacing w:after="0" w:line="142" w:lineRule="exact"/>
              <w:rPr>
                <w:sz w:val="20"/>
                <w:szCs w:val="20"/>
                <w:color w:val="auto"/>
              </w:rPr>
            </w:pPr>
            <w:r>
              <w:rPr>
                <w:rFonts w:ascii="Arial" w:cs="Arial" w:eastAsia="Arial" w:hAnsi="Arial"/>
                <w:sz w:val="14"/>
                <w:szCs w:val="14"/>
                <w:b w:val="1"/>
                <w:bCs w:val="1"/>
                <w:color w:val="auto"/>
                <w:w w:val="85"/>
              </w:rPr>
              <w:t>December 31, 2011</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500" w:type="dxa"/>
            <w:vAlign w:val="bottom"/>
          </w:tcPr>
          <w:p>
            <w:pPr>
              <w:ind w:left="220"/>
              <w:spacing w:after="0"/>
              <w:rPr>
                <w:sz w:val="20"/>
                <w:szCs w:val="20"/>
                <w:color w:val="auto"/>
              </w:rPr>
            </w:pPr>
            <w:r>
              <w:rPr>
                <w:rFonts w:ascii="Arial" w:cs="Arial" w:eastAsia="Arial" w:hAnsi="Arial"/>
                <w:sz w:val="18"/>
                <w:szCs w:val="18"/>
                <w:color w:val="auto"/>
              </w:rPr>
              <w:t xml:space="preserve">– basic and diluted </w:t>
            </w:r>
            <w:r>
              <w:rPr>
                <w:rFonts w:ascii="Arial" w:cs="Arial" w:eastAsia="Arial" w:hAnsi="Arial"/>
                <w:sz w:val="11"/>
                <w:szCs w:val="11"/>
                <w:color w:val="auto"/>
              </w:rPr>
              <w:t>(2)</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20,541,475</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3,347,602</w:t>
            </w:r>
          </w:p>
        </w:tc>
        <w:tc>
          <w:tcPr>
            <w:tcW w:w="100" w:type="dxa"/>
            <w:vAlign w:val="bottom"/>
          </w:tcPr>
          <w:p>
            <w:pPr>
              <w:spacing w:after="0"/>
              <w:rPr>
                <w:sz w:val="19"/>
                <w:szCs w:val="19"/>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 – basic and diluted </w:t>
            </w:r>
            <w:r>
              <w:rPr>
                <w:rFonts w:ascii="Arial" w:cs="Arial" w:eastAsia="Arial" w:hAnsi="Arial"/>
                <w:sz w:val="11"/>
                <w:szCs w:val="11"/>
                <w:color w:val="auto"/>
              </w:rPr>
              <w:t>(2)</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5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2012 and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780"/>
              <w:spacing w:after="0"/>
              <w:rPr>
                <w:sz w:val="20"/>
                <w:szCs w:val="20"/>
                <w:color w:val="auto"/>
              </w:rPr>
            </w:pPr>
            <w:r>
              <w:rPr>
                <w:rFonts w:ascii="Arial" w:cs="Arial" w:eastAsia="Arial" w:hAnsi="Arial"/>
                <w:sz w:val="14"/>
                <w:szCs w:val="14"/>
                <w:b w:val="1"/>
                <w:bCs w:val="1"/>
                <w:color w:val="auto"/>
                <w:w w:val="85"/>
              </w:rPr>
              <w:t>December 31, 2012</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8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gridSpan w:val="2"/>
          </w:tcPr>
          <w:p>
            <w:pPr>
              <w:jc w:val="center"/>
              <w:spacing w:after="0" w:line="115" w:lineRule="exact"/>
              <w:rPr>
                <w:sz w:val="20"/>
                <w:szCs w:val="20"/>
                <w:color w:val="auto"/>
              </w:rPr>
            </w:pPr>
            <w:r>
              <w:rPr>
                <w:rFonts w:ascii="Arial" w:cs="Arial" w:eastAsia="Arial" w:hAnsi="Arial"/>
                <w:sz w:val="12"/>
                <w:szCs w:val="12"/>
                <w:b w:val="1"/>
                <w:bCs w:val="1"/>
                <w:color w:val="auto"/>
              </w:rPr>
              <w:t>Dividend per</w:t>
            </w:r>
          </w:p>
        </w:tc>
        <w:tc>
          <w:tcPr>
            <w:tcW w:w="100" w:type="dxa"/>
            <w:vAlign w:val="bottom"/>
          </w:tcPr>
          <w:p>
            <w:pPr>
              <w:spacing w:after="0"/>
              <w:rPr>
                <w:sz w:val="10"/>
                <w:szCs w:val="10"/>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4000" w:type="dxa"/>
            <w:vAlign w:val="bottom"/>
          </w:tcPr>
          <w:p>
            <w:pPr>
              <w:spacing w:after="0"/>
              <w:rPr>
                <w:sz w:val="15"/>
                <w:szCs w:val="15"/>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Record Date</w:t>
            </w:r>
          </w:p>
        </w:tc>
        <w:tc>
          <w:tcPr>
            <w:tcW w:w="300" w:type="dxa"/>
            <w:vAlign w:val="bottom"/>
          </w:tcPr>
          <w:p>
            <w:pPr>
              <w:spacing w:after="0"/>
              <w:rPr>
                <w:sz w:val="15"/>
                <w:szCs w:val="15"/>
                <w:color w:val="auto"/>
              </w:rPr>
            </w:pPr>
          </w:p>
        </w:tc>
        <w:tc>
          <w:tcPr>
            <w:tcW w:w="1760" w:type="dxa"/>
            <w:vAlign w:val="bottom"/>
            <w:gridSpan w:val="2"/>
          </w:tcPr>
          <w:p>
            <w:pPr>
              <w:ind w:left="28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5"/>
                <w:szCs w:val="15"/>
                <w:color w:val="auto"/>
              </w:rPr>
            </w:pPr>
          </w:p>
        </w:tc>
        <w:tc>
          <w:tcPr>
            <w:tcW w:w="840" w:type="dxa"/>
            <w:vAlign w:val="bottom"/>
            <w:gridSpan w:val="2"/>
          </w:tcPr>
          <w:p>
            <w:pPr>
              <w:jc w:val="center"/>
              <w:ind w:right="260"/>
              <w:spacing w:after="0" w:line="162" w:lineRule="exact"/>
              <w:rPr>
                <w:sz w:val="20"/>
                <w:szCs w:val="20"/>
                <w:color w:val="auto"/>
              </w:rPr>
            </w:pPr>
            <w:r>
              <w:rPr>
                <w:rFonts w:ascii="Arial" w:cs="Arial" w:eastAsia="Arial" w:hAnsi="Arial"/>
                <w:sz w:val="12"/>
                <w:szCs w:val="12"/>
                <w:b w:val="1"/>
                <w:bCs w:val="1"/>
                <w:color w:val="auto"/>
                <w:w w:val="95"/>
              </w:rPr>
              <w:t>Share</w:t>
            </w:r>
            <w:r>
              <w:rPr>
                <w:rFonts w:ascii="Arial" w:cs="Arial" w:eastAsia="Arial" w:hAnsi="Arial"/>
                <w:sz w:val="18"/>
                <w:szCs w:val="18"/>
                <w:b w:val="1"/>
                <w:bCs w:val="1"/>
                <w:color w:val="auto"/>
                <w:w w:val="95"/>
                <w:vertAlign w:val="superscript"/>
              </w:rPr>
              <w:t>(2)</w:t>
            </w:r>
          </w:p>
        </w:tc>
      </w:tr>
      <w:tr>
        <w:trPr>
          <w:trHeight w:val="203"/>
        </w:trPr>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June 30, 2012</w:t>
            </w:r>
          </w:p>
        </w:tc>
        <w:tc>
          <w:tcPr>
            <w:tcW w:w="300" w:type="dxa"/>
            <w:vAlign w:val="bottom"/>
          </w:tcPr>
          <w:p>
            <w:pPr>
              <w:spacing w:after="0"/>
              <w:rPr>
                <w:sz w:val="18"/>
                <w:szCs w:val="18"/>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September 30, 2012</w:t>
            </w: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October 30, 2012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December 31, 2012</w:t>
            </w:r>
          </w:p>
        </w:tc>
        <w:tc>
          <w:tcPr>
            <w:tcW w:w="300" w:type="dxa"/>
            <w:vAlign w:val="bottom"/>
          </w:tcPr>
          <w:p>
            <w:pPr>
              <w:spacing w:after="0"/>
              <w:rPr>
                <w:sz w:val="19"/>
                <w:szCs w:val="19"/>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January 31, 2013</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r>
      <w:tr>
        <w:trPr>
          <w:trHeight w:val="216"/>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0"/>
        </w:trPr>
        <w:tc>
          <w:tcPr>
            <w:tcW w:w="8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w:t>
      </w:r>
      <w:r>
        <w:rPr>
          <w:rFonts w:ascii="Arial" w:cs="Arial" w:eastAsia="Arial" w:hAnsi="Arial"/>
          <w:sz w:val="11"/>
          <w:szCs w:val="11"/>
          <w:color w:val="auto"/>
        </w:rPr>
        <w:t>(2)</w:t>
      </w:r>
      <w:r>
        <w:rPr>
          <w:rFonts w:ascii="Arial" w:cs="Arial" w:eastAsia="Arial" w:hAnsi="Arial"/>
          <w:sz w:val="18"/>
          <w:szCs w:val="18"/>
          <w:color w:val="auto"/>
        </w:rPr>
        <w:t xml:space="preserve"> per share.</w:t>
      </w:r>
    </w:p>
    <w:p>
      <w:pPr>
        <w:spacing w:after="0" w:line="157" w:lineRule="exact"/>
        <w:rPr>
          <w:rFonts w:ascii="Arial" w:cs="Arial" w:eastAsia="Arial" w:hAnsi="Arial"/>
          <w:sz w:val="18"/>
          <w:szCs w:val="18"/>
          <w:color w:val="auto"/>
        </w:rPr>
      </w:pPr>
    </w:p>
    <w:p>
      <w:pPr>
        <w:ind w:left="460" w:right="640" w:hanging="452"/>
        <w:spacing w:after="0" w:line="268"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89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4"/>
                <w:szCs w:val="14"/>
                <w:b w:val="1"/>
                <w:bCs w:val="1"/>
                <w:color w:val="auto"/>
                <w:w w:val="85"/>
              </w:rPr>
              <w:t>December 31, 2011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5"/>
        </w:trPr>
        <w:tc>
          <w:tcPr>
            <w:tcW w:w="8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Dividend per</w:t>
            </w:r>
          </w:p>
        </w:tc>
        <w:tc>
          <w:tcPr>
            <w:tcW w:w="100" w:type="dxa"/>
            <w:vAlign w:val="bottom"/>
            <w:gridSpan w:val="2"/>
          </w:tcPr>
          <w:p>
            <w:pPr>
              <w:spacing w:after="0"/>
              <w:rPr>
                <w:sz w:val="10"/>
                <w:szCs w:val="10"/>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4280" w:type="dxa"/>
            <w:vAlign w:val="bottom"/>
          </w:tcPr>
          <w:p>
            <w:pPr>
              <w:spacing w:after="0"/>
              <w:rPr>
                <w:sz w:val="15"/>
                <w:szCs w:val="15"/>
                <w:color w:val="auto"/>
              </w:rPr>
            </w:pPr>
          </w:p>
        </w:tc>
        <w:tc>
          <w:tcPr>
            <w:tcW w:w="154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5"/>
                <w:szCs w:val="15"/>
                <w:color w:val="auto"/>
              </w:rPr>
            </w:pP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Payment Date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ind w:left="40"/>
              <w:spacing w:after="0" w:line="162" w:lineRule="exact"/>
              <w:rPr>
                <w:sz w:val="20"/>
                <w:szCs w:val="20"/>
                <w:color w:val="auto"/>
              </w:rPr>
            </w:pPr>
            <w:r>
              <w:rPr>
                <w:rFonts w:ascii="Arial" w:cs="Arial" w:eastAsia="Arial" w:hAnsi="Arial"/>
                <w:sz w:val="12"/>
                <w:szCs w:val="12"/>
                <w:b w:val="1"/>
                <w:bCs w:val="1"/>
                <w:color w:val="auto"/>
              </w:rPr>
              <w:t>Share</w:t>
            </w:r>
            <w:r>
              <w:rPr>
                <w:rFonts w:ascii="Arial" w:cs="Arial" w:eastAsia="Arial" w:hAnsi="Arial"/>
                <w:sz w:val="18"/>
                <w:szCs w:val="18"/>
                <w:b w:val="1"/>
                <w:bCs w:val="1"/>
                <w:color w:val="auto"/>
                <w:vertAlign w:val="superscript"/>
              </w:rPr>
              <w:t>(1)</w:t>
            </w:r>
          </w:p>
        </w:tc>
      </w:tr>
      <w:tr>
        <w:trPr>
          <w:trHeight w:val="203"/>
        </w:trPr>
        <w:tc>
          <w:tcPr>
            <w:tcW w:w="5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46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December 31, 2011</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January 30, 2012</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22"/>
        </w:trPr>
        <w:tc>
          <w:tcPr>
            <w:tcW w:w="51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2012 and 2011, to undistributed taxable income at December 31, 2012 and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8"/>
              </w:rPr>
              <w:t>Year Ended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4"/>
        </w:trPr>
        <w:tc>
          <w:tcPr>
            <w:tcW w:w="518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December 31, 2012</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3"/>
              </w:rPr>
              <w:t>Year Ended</w:t>
            </w:r>
          </w:p>
        </w:tc>
      </w:tr>
      <w:tr>
        <w:trPr>
          <w:trHeight w:val="176"/>
        </w:trPr>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760"/>
              <w:spacing w:after="0" w:line="176" w:lineRule="exact"/>
              <w:rPr>
                <w:sz w:val="20"/>
                <w:szCs w:val="20"/>
                <w:color w:val="auto"/>
              </w:rPr>
            </w:pPr>
            <w:r>
              <w:rPr>
                <w:rFonts w:ascii="Arial" w:cs="Arial" w:eastAsia="Arial" w:hAnsi="Arial"/>
                <w:sz w:val="13"/>
                <w:szCs w:val="13"/>
                <w:b w:val="1"/>
                <w:bCs w:val="1"/>
                <w:color w:val="auto"/>
                <w:w w:val="92"/>
              </w:rPr>
              <w:t xml:space="preserve">(Estimated) </w:t>
            </w:r>
            <w:r>
              <w:rPr>
                <w:rFonts w:ascii="Arial" w:cs="Arial" w:eastAsia="Arial" w:hAnsi="Arial"/>
                <w:sz w:val="20"/>
                <w:szCs w:val="20"/>
                <w:b w:val="1"/>
                <w:bCs w:val="1"/>
                <w:color w:val="auto"/>
                <w:w w:val="92"/>
                <w:vertAlign w:val="superscript"/>
              </w:rPr>
              <w:t>(1)</w:t>
            </w:r>
          </w:p>
        </w:tc>
        <w:tc>
          <w:tcPr>
            <w:tcW w:w="1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(7,211)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(2,312)</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Other income (expense) for tax purposes, not book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(670)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organization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Other expenses not currently deductible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book-tax differences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r>
      <w:tr>
        <w:trPr>
          <w:trHeight w:val="222"/>
        </w:trPr>
        <w:tc>
          <w:tcPr>
            <w:tcW w:w="5180" w:type="dxa"/>
            <w:vAlign w:val="bottom"/>
          </w:tcPr>
          <w:p>
            <w:pPr>
              <w:ind w:left="440"/>
              <w:spacing w:after="0"/>
              <w:rPr>
                <w:sz w:val="20"/>
                <w:szCs w:val="20"/>
                <w:color w:val="auto"/>
              </w:rPr>
            </w:pPr>
            <w:r>
              <w:rPr>
                <w:rFonts w:ascii="Arial" w:cs="Arial" w:eastAsia="Arial" w:hAnsi="Arial"/>
                <w:sz w:val="18"/>
                <w:szCs w:val="18"/>
                <w:b w:val="1"/>
                <w:bCs w:val="1"/>
                <w:color w:val="auto"/>
              </w:rPr>
              <w:t>Undistributed Taxable Income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31,755</w:t>
            </w:r>
          </w:p>
        </w:tc>
        <w:tc>
          <w:tcPr>
            <w:tcW w:w="6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1920" w:hanging="440"/>
        <w:spacing w:after="0"/>
        <w:tabs>
          <w:tab w:leader="none" w:pos="19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Taxable income is an estimate and will not be fully determined until the Company’s 2012 tax return is filed in 2013.</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losses, among other items. To the extent these differences are permanent, they are charged or credited to additional paid-in capital or accumulated net investment income (loss), as appropriate, in the period that the differences arise. These adjustments have no effect on the Company’s net assets or results of operations.</w:t>
      </w:r>
    </w:p>
    <w:p>
      <w:pPr>
        <w:spacing w:after="0" w:line="113"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During the year ended December 31, 2012, permanent differences of $46 thousand were principally attributable to accrued U.S. federal excise taxes and $441 thousand of distributions from the Company’s net short-term capital gains generally characterized as ordinary dividend income to Company shareholders.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660" w:hanging="452"/>
        <w:spacing w:after="0" w:line="268"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2012 and 2011, approximates their amortized cost.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3"/>
              </w:rPr>
              <w:t>Year Ended</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2012</w:t>
            </w:r>
          </w:p>
        </w:tc>
        <w:tc>
          <w:tcPr>
            <w:tcW w:w="5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1"/>
                <w:szCs w:val="11"/>
                <w:color w:val="auto"/>
              </w:rPr>
              <w:t>(3)(4)</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14.71</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at prices above net asset value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1.36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420"/>
              <w:spacing w:after="0"/>
              <w:rPr>
                <w:sz w:val="20"/>
                <w:szCs w:val="20"/>
                <w:color w:val="auto"/>
              </w:rPr>
            </w:pPr>
            <w:r>
              <w:rPr>
                <w:rFonts w:ascii="Arial" w:cs="Arial" w:eastAsia="Arial" w:hAnsi="Arial"/>
                <w:sz w:val="18"/>
                <w:szCs w:val="18"/>
                <w:color w:val="auto"/>
              </w:rPr>
              <w:t>Total from investment operations</w:t>
            </w: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1.65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(0.11)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dividends declared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420"/>
              <w:spacing w:after="0"/>
              <w:rPr>
                <w:sz w:val="20"/>
                <w:szCs w:val="20"/>
                <w:color w:val="auto"/>
              </w:rPr>
            </w:pPr>
            <w:r>
              <w:rPr>
                <w:rFonts w:ascii="Arial" w:cs="Arial" w:eastAsia="Arial" w:hAnsi="Arial"/>
                <w:sz w:val="18"/>
                <w:szCs w:val="18"/>
                <w:color w:val="auto"/>
              </w:rPr>
              <w:t>Total increase in net assets</w:t>
            </w: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0.48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15.19</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1"/>
                <w:szCs w:val="11"/>
                <w:color w:val="auto"/>
              </w:rPr>
              <w:t>(3)</w:t>
            </w: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31,582,954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11,770,514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1"/>
                <w:szCs w:val="11"/>
                <w:color w:val="auto"/>
              </w:rPr>
              <w:t>(1)</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2"/>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Ratios / Supplemental Data</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Ratio of net investment income (loss) to average net assets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8.4%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assets, end of period</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479,803</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20,541,475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3,347,602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1"/>
                <w:szCs w:val="11"/>
                <w:color w:val="auto"/>
              </w:rPr>
              <w:t>(2)</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1,402,970</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32.8%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Year of formation</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2010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00" w:hanging="446"/>
        <w:spacing w:after="0" w:line="283" w:lineRule="auto"/>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$0.01</w:t>
      </w:r>
      <w:r>
        <w:rPr>
          <w:rFonts w:ascii="Arial" w:cs="Arial" w:eastAsia="Arial" w:hAnsi="Arial"/>
          <w:sz w:val="10"/>
          <w:szCs w:val="10"/>
          <w:color w:val="auto"/>
        </w:rPr>
        <w:t>(3)</w:t>
      </w:r>
      <w:r>
        <w:rPr>
          <w:rFonts w:ascii="Arial" w:cs="Arial" w:eastAsia="Arial" w:hAnsi="Arial"/>
          <w:sz w:val="16"/>
          <w:szCs w:val="16"/>
          <w:color w:val="auto"/>
        </w:rPr>
        <w:t xml:space="preserve"> per share) and accordingly the information is not meaningful. Excluding the effect of the initial seed funding, total return for the period July 1, 2011 through December 31, 2011 would be (1.58%).</w:t>
      </w:r>
    </w:p>
    <w:p>
      <w:pPr>
        <w:spacing w:after="0" w:line="2" w:lineRule="exact"/>
        <w:rPr>
          <w:rFonts w:ascii="Arial" w:cs="Arial" w:eastAsia="Arial" w:hAnsi="Arial"/>
          <w:sz w:val="16"/>
          <w:szCs w:val="16"/>
          <w:color w:val="auto"/>
        </w:rPr>
      </w:pPr>
    </w:p>
    <w:p>
      <w:pPr>
        <w:ind w:left="900" w:hanging="446"/>
        <w:spacing w:after="0"/>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As of December 31, 2012 and 2011, the amount includes commitments from the Adviser and its affiliates of $114.1 and $70.4 million, respectively.</w:t>
      </w:r>
    </w:p>
    <w:p>
      <w:pPr>
        <w:spacing w:after="0" w:line="32" w:lineRule="exact"/>
        <w:rPr>
          <w:rFonts w:ascii="Arial" w:cs="Arial" w:eastAsia="Arial" w:hAnsi="Arial"/>
          <w:sz w:val="16"/>
          <w:szCs w:val="16"/>
          <w:color w:val="auto"/>
        </w:rPr>
      </w:pPr>
    </w:p>
    <w:p>
      <w:pPr>
        <w:ind w:left="900" w:right="160" w:hanging="446"/>
        <w:spacing w:after="0" w:line="250"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ind w:left="900" w:right="380" w:hanging="446"/>
        <w:spacing w:after="0" w:line="261"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 as appropriate.</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40"/>
          </w:cols>
          <w:pgMar w:left="240" w:top="459" w:right="3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w w:val="85"/>
              </w:rPr>
              <w:t>Q3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2"/>
                <w:szCs w:val="12"/>
                <w:color w:val="auto"/>
              </w:rPr>
            </w:pP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$18,169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$14,554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11,314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$6,974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7,231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4"/>
          </w:tcPr>
          <w:p>
            <w:pPr>
              <w:ind w:left="60"/>
              <w:spacing w:after="0"/>
              <w:rPr>
                <w:sz w:val="20"/>
                <w:szCs w:val="20"/>
                <w:color w:val="auto"/>
              </w:rPr>
            </w:pPr>
            <w:r>
              <w:rPr>
                <w:rFonts w:ascii="Arial" w:cs="Arial" w:eastAsia="Arial" w:hAnsi="Arial"/>
                <w:sz w:val="18"/>
                <w:szCs w:val="18"/>
                <w:color w:val="auto"/>
              </w:rPr>
              <w:t>6,637</w:t>
            </w:r>
          </w:p>
        </w:tc>
        <w:tc>
          <w:tcPr>
            <w:tcW w:w="4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4,711</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$4,357</w:t>
            </w: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$10,892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7,917</w:t>
            </w:r>
          </w:p>
        </w:tc>
        <w:tc>
          <w:tcPr>
            <w:tcW w:w="4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6,603</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2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1,568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4"/>
          </w:tcPr>
          <w:p>
            <w:pPr>
              <w:ind w:left="60"/>
              <w:spacing w:after="0"/>
              <w:rPr>
                <w:sz w:val="20"/>
                <w:szCs w:val="20"/>
                <w:color w:val="auto"/>
              </w:rPr>
            </w:pPr>
            <w:r>
              <w:rPr>
                <w:rFonts w:ascii="Arial" w:cs="Arial" w:eastAsia="Arial" w:hAnsi="Arial"/>
                <w:sz w:val="18"/>
                <w:szCs w:val="18"/>
                <w:color w:val="auto"/>
              </w:rPr>
              <w:t>5,664</w:t>
            </w:r>
          </w:p>
        </w:tc>
        <w:tc>
          <w:tcPr>
            <w:tcW w:w="4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1,165</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$3,169</w:t>
            </w: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$12,460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$13,581</w:t>
            </w:r>
          </w:p>
        </w:tc>
        <w:tc>
          <w:tcPr>
            <w:tcW w:w="4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7,768</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2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 xml:space="preserve">Net Assets Value per Share as of the End of the Quarter </w:t>
            </w: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15.19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4"/>
          </w:tcPr>
          <w:p>
            <w:pPr>
              <w:ind w:left="60"/>
              <w:spacing w:after="0"/>
              <w:rPr>
                <w:sz w:val="20"/>
                <w:szCs w:val="20"/>
                <w:color w:val="auto"/>
              </w:rPr>
            </w:pPr>
            <w:r>
              <w:rPr>
                <w:rFonts w:ascii="Arial" w:cs="Arial" w:eastAsia="Arial" w:hAnsi="Arial"/>
                <w:sz w:val="18"/>
                <w:szCs w:val="18"/>
                <w:color w:val="auto"/>
              </w:rPr>
              <w:t>15.12</w:t>
            </w:r>
          </w:p>
        </w:tc>
        <w:tc>
          <w:tcPr>
            <w:tcW w:w="4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14.92</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$14.88</w:t>
            </w:r>
          </w:p>
        </w:tc>
        <w:tc>
          <w:tcPr>
            <w:tcW w:w="200" w:type="dxa"/>
            <w:vAlign w:val="bottom"/>
          </w:tcPr>
          <w:p>
            <w:pPr>
              <w:spacing w:after="0"/>
              <w:rPr>
                <w:sz w:val="19"/>
                <w:szCs w:val="19"/>
                <w:color w:val="auto"/>
              </w:rPr>
            </w:pPr>
          </w:p>
        </w:tc>
      </w:tr>
      <w:tr>
        <w:trPr>
          <w:trHeight w:val="345"/>
        </w:trPr>
        <w:tc>
          <w:tcPr>
            <w:tcW w:w="6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2"/>
                <w:szCs w:val="12"/>
                <w:color w:val="auto"/>
              </w:rPr>
            </w:pP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3,764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1,551</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Expenses</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2,835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w w:val="84"/>
              </w:rPr>
              <w:t>1,789</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center"/>
              <w:ind w:left="75"/>
              <w:spacing w:after="0"/>
              <w:rPr>
                <w:sz w:val="20"/>
                <w:szCs w:val="20"/>
                <w:color w:val="auto"/>
              </w:rPr>
            </w:pPr>
            <w:r>
              <w:rPr>
                <w:rFonts w:ascii="Arial" w:cs="Arial" w:eastAsia="Arial" w:hAnsi="Arial"/>
                <w:sz w:val="18"/>
                <w:szCs w:val="18"/>
                <w:color w:val="auto"/>
                <w:w w:val="86"/>
              </w:rPr>
              <w:t>636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$ 1,554</w:t>
            </w: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(238)</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0"/>
              </w:rPr>
              <w:t>(636)</w:t>
            </w:r>
          </w:p>
        </w:tc>
        <w:tc>
          <w:tcPr>
            <w:tcW w:w="1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$(1,554)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Unrealized Gains</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w w:val="84"/>
              </w:rPr>
              <w:t>1,375</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1,866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4"/>
              </w:rPr>
              <w:t>1,137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0"/>
              </w:rPr>
              <w:t>(636)</w:t>
            </w:r>
          </w:p>
        </w:tc>
        <w:tc>
          <w:tcPr>
            <w:tcW w:w="1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$(1,554)</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Net Assets (Liabilities) Value per Share as of the End of the Quarter</w:t>
            </w:r>
            <w:r>
              <w:rPr>
                <w:rFonts w:ascii="Arial" w:cs="Arial" w:eastAsia="Arial" w:hAnsi="Arial"/>
                <w:sz w:val="11"/>
                <w:szCs w:val="11"/>
                <w:color w:val="auto"/>
              </w:rPr>
              <w:t>(1)</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14.71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w w:val="84"/>
              </w:rPr>
              <w:t>14.50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$(23.30)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31, 2013, the Company concluded its Private Offerings by reaching $1.5 billion in committed capital.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12, 2013, the Board renewed the Administration Agreement which will now remain in effect until March 15, 2014, unless earlier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1" w:lineRule="exact"/>
        <w:rPr>
          <w:sz w:val="20"/>
          <w:szCs w:val="20"/>
          <w:color w:val="auto"/>
        </w:rPr>
      </w:pPr>
    </w:p>
    <w:p>
      <w:pPr>
        <w:ind w:left="460" w:right="380" w:hanging="452"/>
        <w:spacing w:after="0" w:line="268" w:lineRule="auto"/>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240" w:top="459" w:right="5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$874,580 and $644,421,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889,330</w:t>
            </w: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19,643</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Receivable for investments sold</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865</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w:t>
            </w:r>
          </w:p>
        </w:tc>
        <w:tc>
          <w:tcPr>
            <w:tcW w:w="1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926,154</w:t>
            </w:r>
          </w:p>
        </w:tc>
        <w:tc>
          <w:tcPr>
            <w:tcW w:w="11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Revolving credit facilities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338,267</w:t>
            </w:r>
          </w:p>
        </w:tc>
        <w:tc>
          <w:tcPr>
            <w:tcW w:w="11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Incentive fees payable to affiliate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5,051</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Payable for investments purchased</w:t>
            </w:r>
          </w:p>
        </w:tc>
        <w:tc>
          <w:tcPr>
            <w:tcW w:w="320" w:type="dxa"/>
            <w:vAlign w:val="bottom"/>
          </w:tcPr>
          <w:p>
            <w:pPr>
              <w:spacing w:after="0"/>
              <w:rPr>
                <w:sz w:val="18"/>
                <w:szCs w:val="18"/>
                <w:color w:val="auto"/>
              </w:rPr>
            </w:pPr>
          </w:p>
        </w:tc>
        <w:tc>
          <w:tcPr>
            <w:tcW w:w="192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Payables to affiliate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1,682</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365,065</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Common stock, $0.01 par value; 100,000,000 shares authorized; 36,547,515 and 31,583,953</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shares issued, respectively; and 36,546,516 and 31,582,954 shares outstanding, respectively</w:t>
            </w:r>
            <w:r>
              <w:rPr>
                <w:rFonts w:ascii="Arial" w:cs="Arial" w:eastAsia="Arial" w:hAnsi="Arial"/>
                <w:sz w:val="11"/>
                <w:szCs w:val="11"/>
                <w:color w:val="auto"/>
              </w:rPr>
              <w:t>(1)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1"/>
                <w:szCs w:val="11"/>
                <w:color w:val="auto"/>
              </w:rPr>
              <w:t>(1)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545,283</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Treasury stock at cost; 999 shares</w:t>
            </w:r>
          </w:p>
        </w:tc>
        <w:tc>
          <w:tcPr>
            <w:tcW w:w="320" w:type="dxa"/>
            <w:vAlign w:val="bottom"/>
          </w:tcPr>
          <w:p>
            <w:pPr>
              <w:spacing w:after="0"/>
              <w:rPr>
                <w:sz w:val="18"/>
                <w:szCs w:val="18"/>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(1,083)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Net unrealized gains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13,527</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net realized gains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Net Assets</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561,089</w:t>
            </w: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926,154</w:t>
            </w:r>
          </w:p>
        </w:tc>
        <w:tc>
          <w:tcPr>
            <w:tcW w:w="1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r>
              <w:rPr>
                <w:rFonts w:ascii="Arial" w:cs="Arial" w:eastAsia="Arial" w:hAnsi="Arial"/>
                <w:sz w:val="11"/>
                <w:szCs w:val="11"/>
                <w:color w:val="auto"/>
              </w:rPr>
              <w:t>(1)</w:t>
            </w: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gridSpan w:val="2"/>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15.35</w:t>
            </w:r>
          </w:p>
        </w:tc>
        <w:tc>
          <w:tcPr>
            <w:tcW w:w="11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68"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ind w:lef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1240" w:type="dxa"/>
            <w:vAlign w:val="bottom"/>
            <w:tcBorders>
              <w:top w:val="single" w:sz="8" w:color="auto"/>
            </w:tcBorders>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Borders>
              <w:top w:val="single" w:sz="8" w:color="auto"/>
            </w:tcBorders>
            <w:gridSpan w:val="3"/>
          </w:tcPr>
          <w:p>
            <w:pPr>
              <w:jc w:val="right"/>
              <w:ind w:right="66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23,298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13,620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65,040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30,109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affiliated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84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32,842</w:t>
            </w: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9,698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29,486</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Management fees waived (Note 3)</w:t>
            </w:r>
          </w:p>
        </w:tc>
        <w:tc>
          <w:tcPr>
            <w:tcW w:w="1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(1,853)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(1,189)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40,592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14,585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40,508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net change in unrealized gains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realized gains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Unrealized and Realized Gains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16,259</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13,581</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45,927</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 and diluted</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5"/>
        </w:trPr>
        <w:tc>
          <w:tcPr>
            <w:tcW w:w="586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 – basic and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34,817,674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23,195,714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33,891,011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18,832,303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80" w:hanging="452"/>
        <w:spacing w:after="0" w:line="268"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Consolidated Schedule of Investments as of September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Interest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Acquisition</w:t>
            </w:r>
          </w:p>
        </w:tc>
        <w:tc>
          <w:tcPr>
            <w:tcW w:w="2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78"/>
              </w:rPr>
              <w:t>Amortized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382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Rate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560" w:type="dxa"/>
            <w:vAlign w:val="bottom"/>
          </w:tcPr>
          <w:p>
            <w:pPr>
              <w:jc w:val="right"/>
              <w:ind w:right="13"/>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2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66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Debt Investments</w:t>
            </w:r>
          </w:p>
        </w:tc>
        <w:tc>
          <w:tcPr>
            <w:tcW w:w="134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Aerospace and defense</w:t>
            </w:r>
          </w:p>
        </w:tc>
        <w:tc>
          <w:tcPr>
            <w:tcW w:w="1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MSC Software</w:t>
            </w:r>
          </w:p>
        </w:tc>
        <w:tc>
          <w:tcPr>
            <w:tcW w:w="3000" w:type="dxa"/>
            <w:vAlign w:val="bottom"/>
            <w:gridSpan w:val="3"/>
            <w:shd w:val="clear" w:color="auto" w:fill="CCEEFF"/>
          </w:tcPr>
          <w:p>
            <w:pPr>
              <w:ind w:left="1340"/>
              <w:spacing w:after="0" w:line="122" w:lineRule="exact"/>
              <w:rPr>
                <w:sz w:val="20"/>
                <w:szCs w:val="20"/>
                <w:color w:val="auto"/>
              </w:rPr>
            </w:pPr>
            <w:r>
              <w:rPr>
                <w:rFonts w:ascii="Arial" w:cs="Arial" w:eastAsia="Arial" w:hAnsi="Arial"/>
                <w:sz w:val="14"/>
                <w:szCs w:val="14"/>
                <w:color w:val="auto"/>
                <w:w w:val="95"/>
              </w:rPr>
              <w:t>First-lien loan ($54,156 par,</w:t>
            </w: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color w:val="auto"/>
              </w:rPr>
              <w:t>Corporation</w:t>
            </w:r>
            <w:r>
              <w:rPr>
                <w:rFonts w:ascii="Arial" w:cs="Arial" w:eastAsia="Arial" w:hAnsi="Arial"/>
                <w:sz w:val="20"/>
                <w:szCs w:val="20"/>
                <w:color w:val="auto"/>
                <w:vertAlign w:val="superscript"/>
              </w:rPr>
              <w:t>(3)(4)(5)</w:t>
            </w:r>
          </w:p>
        </w:tc>
        <w:tc>
          <w:tcPr>
            <w:tcW w:w="3000" w:type="dxa"/>
            <w:vAlign w:val="bottom"/>
            <w:gridSpan w:val="3"/>
            <w:shd w:val="clear" w:color="auto" w:fill="CCEEFF"/>
          </w:tcPr>
          <w:p>
            <w:pPr>
              <w:ind w:left="1340"/>
              <w:spacing w:after="0"/>
              <w:rPr>
                <w:sz w:val="20"/>
                <w:szCs w:val="20"/>
                <w:color w:val="auto"/>
              </w:rPr>
            </w:pPr>
            <w:r>
              <w:rPr>
                <w:rFonts w:ascii="Arial" w:cs="Arial" w:eastAsia="Arial" w:hAnsi="Arial"/>
                <w:sz w:val="14"/>
                <w:szCs w:val="14"/>
                <w:color w:val="auto"/>
              </w:rPr>
              <w:t>due 11/2017)</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7.75%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12/23/2011</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53,477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54,156</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Automotive</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Heartland Automotive Holdings, LLC </w:t>
            </w:r>
            <w:r>
              <w:rPr>
                <w:rFonts w:ascii="Arial" w:cs="Arial" w:eastAsia="Arial" w:hAnsi="Arial"/>
                <w:sz w:val="15"/>
                <w:szCs w:val="15"/>
                <w:color w:val="auto"/>
                <w:vertAlign w:val="superscript"/>
              </w:rPr>
              <w:t>(3)(5)</w:t>
            </w:r>
          </w:p>
        </w:tc>
        <w:tc>
          <w:tcPr>
            <w:tcW w:w="3000" w:type="dxa"/>
            <w:vAlign w:val="bottom"/>
            <w:gridSpan w:val="3"/>
            <w:shd w:val="clear" w:color="auto" w:fill="CCEEFF"/>
          </w:tcPr>
          <w:p>
            <w:pPr>
              <w:ind w:left="1340"/>
              <w:spacing w:after="0" w:line="138" w:lineRule="exact"/>
              <w:rPr>
                <w:sz w:val="20"/>
                <w:szCs w:val="20"/>
                <w:color w:val="auto"/>
              </w:rPr>
            </w:pPr>
            <w:r>
              <w:rPr>
                <w:rFonts w:ascii="Arial" w:cs="Arial" w:eastAsia="Arial" w:hAnsi="Arial"/>
                <w:sz w:val="14"/>
                <w:szCs w:val="14"/>
                <w:color w:val="auto"/>
                <w:w w:val="95"/>
              </w:rPr>
              <w:t>First-lien loan ($37,472 par,</w:t>
            </w: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3000" w:type="dxa"/>
            <w:vAlign w:val="bottom"/>
            <w:gridSpan w:val="3"/>
            <w:shd w:val="clear" w:color="auto" w:fill="CCEEFF"/>
          </w:tcPr>
          <w:p>
            <w:pPr>
              <w:ind w:left="1340"/>
              <w:spacing w:after="0" w:line="159" w:lineRule="exact"/>
              <w:rPr>
                <w:sz w:val="20"/>
                <w:szCs w:val="20"/>
                <w:color w:val="auto"/>
              </w:rPr>
            </w:pPr>
            <w:r>
              <w:rPr>
                <w:rFonts w:ascii="Arial" w:cs="Arial" w:eastAsia="Arial" w:hAnsi="Arial"/>
                <w:sz w:val="14"/>
                <w:szCs w:val="14"/>
                <w:color w:val="auto"/>
              </w:rPr>
              <w:t>due 6/2017)</w:t>
            </w:r>
          </w:p>
        </w:tc>
        <w:tc>
          <w:tcPr>
            <w:tcW w:w="9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9.00%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8/28/2012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36,682</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36,723</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3000" w:type="dxa"/>
            <w:vAlign w:val="bottom"/>
            <w:gridSpan w:val="3"/>
          </w:tcPr>
          <w:p>
            <w:pPr>
              <w:ind w:left="1340"/>
              <w:spacing w:after="0" w:line="138" w:lineRule="exact"/>
              <w:rPr>
                <w:sz w:val="20"/>
                <w:szCs w:val="20"/>
                <w:color w:val="auto"/>
              </w:rPr>
            </w:pPr>
            <w:r>
              <w:rPr>
                <w:rFonts w:ascii="Arial" w:cs="Arial" w:eastAsia="Arial" w:hAnsi="Arial"/>
                <w:sz w:val="14"/>
                <w:szCs w:val="14"/>
                <w:color w:val="auto"/>
              </w:rPr>
              <w:t>First-lien revolving loan</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000" w:type="dxa"/>
            <w:vAlign w:val="bottom"/>
            <w:gridSpan w:val="3"/>
          </w:tcPr>
          <w:p>
            <w:pPr>
              <w:ind w:left="1340"/>
              <w:spacing w:after="0" w:line="159" w:lineRule="exact"/>
              <w:rPr>
                <w:sz w:val="20"/>
                <w:szCs w:val="20"/>
                <w:color w:val="auto"/>
              </w:rPr>
            </w:pPr>
            <w:r>
              <w:rPr>
                <w:rFonts w:ascii="Arial" w:cs="Arial" w:eastAsia="Arial" w:hAnsi="Arial"/>
                <w:sz w:val="14"/>
                <w:szCs w:val="14"/>
                <w:color w:val="auto"/>
              </w:rPr>
              <w:t>($2,778 par, due 6/2017)</w:t>
            </w: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10.00%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8/28/2012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2,659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2,667</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Sage Automotive Interiors, Inc. </w:t>
            </w:r>
            <w:r>
              <w:rPr>
                <w:rFonts w:ascii="Arial" w:cs="Arial" w:eastAsia="Arial" w:hAnsi="Arial"/>
                <w:sz w:val="15"/>
                <w:szCs w:val="15"/>
                <w:color w:val="auto"/>
                <w:vertAlign w:val="superscript"/>
              </w:rPr>
              <w:t>(3)(4)(5)</w:t>
            </w:r>
          </w:p>
        </w:tc>
        <w:tc>
          <w:tcPr>
            <w:tcW w:w="3000" w:type="dxa"/>
            <w:vAlign w:val="bottom"/>
            <w:gridSpan w:val="3"/>
            <w:shd w:val="clear" w:color="auto" w:fill="CCEEFF"/>
          </w:tcPr>
          <w:p>
            <w:pPr>
              <w:ind w:left="1340"/>
              <w:spacing w:after="0" w:line="138" w:lineRule="exact"/>
              <w:rPr>
                <w:sz w:val="20"/>
                <w:szCs w:val="20"/>
                <w:color w:val="auto"/>
              </w:rPr>
            </w:pPr>
            <w:r>
              <w:rPr>
                <w:rFonts w:ascii="Arial" w:cs="Arial" w:eastAsia="Arial" w:hAnsi="Arial"/>
                <w:sz w:val="14"/>
                <w:szCs w:val="14"/>
                <w:color w:val="auto"/>
                <w:w w:val="95"/>
              </w:rPr>
              <w:t>First-lien loan ($21,775 par,</w:t>
            </w: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3000" w:type="dxa"/>
            <w:vAlign w:val="bottom"/>
            <w:gridSpan w:val="3"/>
            <w:shd w:val="clear" w:color="auto" w:fill="CCEEFF"/>
          </w:tcPr>
          <w:p>
            <w:pPr>
              <w:ind w:left="1340"/>
              <w:spacing w:after="0" w:line="159" w:lineRule="exact"/>
              <w:rPr>
                <w:sz w:val="20"/>
                <w:szCs w:val="20"/>
                <w:color w:val="auto"/>
              </w:rPr>
            </w:pPr>
            <w:r>
              <w:rPr>
                <w:rFonts w:ascii="Arial" w:cs="Arial" w:eastAsia="Arial" w:hAnsi="Arial"/>
                <w:sz w:val="14"/>
                <w:szCs w:val="14"/>
                <w:color w:val="auto"/>
              </w:rPr>
              <w:t>due 12/2016)</w:t>
            </w:r>
          </w:p>
        </w:tc>
        <w:tc>
          <w:tcPr>
            <w:tcW w:w="9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12/31/2012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21,541</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21,666</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60,882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61,056</w:t>
            </w:r>
          </w:p>
        </w:tc>
        <w:tc>
          <w:tcPr>
            <w:tcW w:w="2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31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Beverage, food and tobacco</w:t>
            </w:r>
          </w:p>
        </w:tc>
        <w:tc>
          <w:tcPr>
            <w:tcW w:w="1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AFS Technologies, Inc. </w:t>
            </w:r>
            <w:r>
              <w:rPr>
                <w:rFonts w:ascii="Arial" w:cs="Arial" w:eastAsia="Arial" w:hAnsi="Arial"/>
                <w:sz w:val="15"/>
                <w:szCs w:val="15"/>
                <w:color w:val="auto"/>
                <w:vertAlign w:val="superscript"/>
              </w:rPr>
              <w:t>(3)(4)(5)</w:t>
            </w:r>
          </w:p>
        </w:tc>
        <w:tc>
          <w:tcPr>
            <w:tcW w:w="3000" w:type="dxa"/>
            <w:vAlign w:val="bottom"/>
            <w:gridSpan w:val="3"/>
          </w:tcPr>
          <w:p>
            <w:pPr>
              <w:ind w:left="1340"/>
              <w:spacing w:after="0" w:line="138" w:lineRule="exact"/>
              <w:rPr>
                <w:sz w:val="20"/>
                <w:szCs w:val="20"/>
                <w:color w:val="auto"/>
              </w:rPr>
            </w:pPr>
            <w:r>
              <w:rPr>
                <w:rFonts w:ascii="Arial" w:cs="Arial" w:eastAsia="Arial" w:hAnsi="Arial"/>
                <w:sz w:val="14"/>
                <w:szCs w:val="14"/>
                <w:color w:val="auto"/>
                <w:w w:val="95"/>
              </w:rPr>
              <w:t>First-lien loan ($45,017 par,</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000" w:type="dxa"/>
            <w:vAlign w:val="bottom"/>
            <w:gridSpan w:val="3"/>
          </w:tcPr>
          <w:p>
            <w:pPr>
              <w:ind w:left="1340"/>
              <w:spacing w:after="0" w:line="159" w:lineRule="exact"/>
              <w:rPr>
                <w:sz w:val="20"/>
                <w:szCs w:val="20"/>
                <w:color w:val="auto"/>
              </w:rPr>
            </w:pPr>
            <w:r>
              <w:rPr>
                <w:rFonts w:ascii="Arial" w:cs="Arial" w:eastAsia="Arial" w:hAnsi="Arial"/>
                <w:sz w:val="14"/>
                <w:szCs w:val="14"/>
                <w:color w:val="auto"/>
              </w:rPr>
              <w:t>due 8/2015)</w:t>
            </w: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8/31/2011</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44,375</w:t>
            </w:r>
          </w:p>
        </w:tc>
        <w:tc>
          <w:tcPr>
            <w:tcW w:w="4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45,692</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31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Business services</w:t>
            </w:r>
          </w:p>
        </w:tc>
        <w:tc>
          <w:tcPr>
            <w:tcW w:w="1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20" w:type="dxa"/>
            <w:vAlign w:val="bottom"/>
            <w:gridSpan w:val="2"/>
          </w:tcPr>
          <w:p>
            <w:pPr>
              <w:spacing w:after="0" w:line="122" w:lineRule="exact"/>
              <w:rPr>
                <w:sz w:val="20"/>
                <w:szCs w:val="20"/>
                <w:color w:val="auto"/>
              </w:rPr>
            </w:pPr>
            <w:r>
              <w:rPr>
                <w:rFonts w:ascii="Arial" w:cs="Arial" w:eastAsia="Arial" w:hAnsi="Arial"/>
                <w:sz w:val="14"/>
                <w:szCs w:val="14"/>
                <w:color w:val="auto"/>
              </w:rPr>
              <w:t>Actian Corporation</w:t>
            </w:r>
          </w:p>
        </w:tc>
        <w:tc>
          <w:tcPr>
            <w:tcW w:w="3000" w:type="dxa"/>
            <w:vAlign w:val="bottom"/>
            <w:gridSpan w:val="3"/>
          </w:tcPr>
          <w:p>
            <w:pPr>
              <w:ind w:left="1340"/>
              <w:spacing w:after="0" w:line="122" w:lineRule="exact"/>
              <w:rPr>
                <w:sz w:val="20"/>
                <w:szCs w:val="20"/>
                <w:color w:val="auto"/>
              </w:rPr>
            </w:pPr>
            <w:r>
              <w:rPr>
                <w:rFonts w:ascii="Arial" w:cs="Arial" w:eastAsia="Arial" w:hAnsi="Arial"/>
                <w:sz w:val="14"/>
                <w:szCs w:val="14"/>
                <w:color w:val="auto"/>
                <w:w w:val="95"/>
              </w:rPr>
              <w:t>First-lien loan ($68,933 par,</w:t>
            </w: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60" w:type="dxa"/>
            <w:vAlign w:val="bottom"/>
          </w:tcPr>
          <w:p>
            <w:pPr>
              <w:ind w:left="220"/>
              <w:spacing w:after="0"/>
              <w:rPr>
                <w:sz w:val="20"/>
                <w:szCs w:val="20"/>
                <w:color w:val="auto"/>
              </w:rPr>
            </w:pPr>
            <w:r>
              <w:rPr>
                <w:rFonts w:ascii="Arial" w:cs="Arial" w:eastAsia="Arial" w:hAnsi="Arial"/>
                <w:sz w:val="11"/>
                <w:szCs w:val="11"/>
                <w:color w:val="auto"/>
              </w:rPr>
              <w:t>(3)(4)(5)</w:t>
            </w:r>
          </w:p>
        </w:tc>
        <w:tc>
          <w:tcPr>
            <w:tcW w:w="3160" w:type="dxa"/>
            <w:vAlign w:val="bottom"/>
          </w:tcPr>
          <w:p>
            <w:pPr>
              <w:spacing w:after="0"/>
              <w:rPr>
                <w:sz w:val="12"/>
                <w:szCs w:val="12"/>
                <w:color w:val="auto"/>
              </w:rPr>
            </w:pPr>
          </w:p>
        </w:tc>
        <w:tc>
          <w:tcPr>
            <w:tcW w:w="3000" w:type="dxa"/>
            <w:vAlign w:val="bottom"/>
            <w:gridSpan w:val="3"/>
            <w:vMerge w:val="restart"/>
          </w:tcPr>
          <w:p>
            <w:pPr>
              <w:ind w:left="1340"/>
              <w:spacing w:after="0"/>
              <w:rPr>
                <w:sz w:val="20"/>
                <w:szCs w:val="20"/>
                <w:color w:val="auto"/>
              </w:rPr>
            </w:pPr>
            <w:r>
              <w:rPr>
                <w:rFonts w:ascii="Arial" w:cs="Arial" w:eastAsia="Arial" w:hAnsi="Arial"/>
                <w:sz w:val="14"/>
                <w:szCs w:val="14"/>
                <w:color w:val="auto"/>
              </w:rPr>
              <w:t>due 4/2018)</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8.50%</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4/11/2013</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66,633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66,865</w:t>
            </w:r>
          </w:p>
        </w:tc>
        <w:tc>
          <w:tcPr>
            <w:tcW w:w="11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0" w:type="dxa"/>
            <w:vAlign w:val="bottom"/>
            <w:gridSpan w:val="3"/>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Consona Holdings,</w:t>
            </w:r>
          </w:p>
        </w:tc>
        <w:tc>
          <w:tcPr>
            <w:tcW w:w="3000" w:type="dxa"/>
            <w:vAlign w:val="bottom"/>
            <w:gridSpan w:val="3"/>
            <w:shd w:val="clear" w:color="auto" w:fill="CCEEFF"/>
          </w:tcPr>
          <w:p>
            <w:pPr>
              <w:ind w:left="1340"/>
              <w:spacing w:after="0" w:line="122" w:lineRule="exact"/>
              <w:rPr>
                <w:sz w:val="20"/>
                <w:szCs w:val="20"/>
                <w:color w:val="auto"/>
              </w:rPr>
            </w:pPr>
            <w:r>
              <w:rPr>
                <w:rFonts w:ascii="Arial" w:cs="Arial" w:eastAsia="Arial" w:hAnsi="Arial"/>
                <w:sz w:val="14"/>
                <w:szCs w:val="14"/>
                <w:color w:val="auto"/>
                <w:w w:val="95"/>
              </w:rPr>
              <w:t>First-lien loan ($29,700 par,</w:t>
            </w: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9"/>
                <w:szCs w:val="9"/>
                <w:color w:val="auto"/>
              </w:rPr>
              <w:t xml:space="preserve"> (3)(5)</w:t>
            </w:r>
          </w:p>
        </w:tc>
        <w:tc>
          <w:tcPr>
            <w:tcW w:w="3000" w:type="dxa"/>
            <w:vAlign w:val="bottom"/>
            <w:gridSpan w:val="3"/>
            <w:shd w:val="clear" w:color="auto" w:fill="CCEEFF"/>
          </w:tcPr>
          <w:p>
            <w:pPr>
              <w:ind w:left="1340"/>
              <w:spacing w:after="0"/>
              <w:rPr>
                <w:sz w:val="20"/>
                <w:szCs w:val="20"/>
                <w:color w:val="auto"/>
              </w:rPr>
            </w:pPr>
            <w:r>
              <w:rPr>
                <w:rFonts w:ascii="Arial" w:cs="Arial" w:eastAsia="Arial" w:hAnsi="Arial"/>
                <w:sz w:val="14"/>
                <w:szCs w:val="14"/>
                <w:color w:val="auto"/>
              </w:rPr>
              <w:t>due 8/2018)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8/13/2012</w:t>
            </w:r>
          </w:p>
        </w:tc>
        <w:tc>
          <w:tcPr>
            <w:tcW w:w="2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29,337</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22"/>
        </w:trPr>
        <w:tc>
          <w:tcPr>
            <w:tcW w:w="3820" w:type="dxa"/>
            <w:vAlign w:val="bottom"/>
            <w:gridSpan w:val="2"/>
          </w:tcPr>
          <w:p>
            <w:pPr>
              <w:spacing w:after="0" w:line="122" w:lineRule="exact"/>
              <w:rPr>
                <w:sz w:val="20"/>
                <w:szCs w:val="20"/>
                <w:color w:val="auto"/>
              </w:rPr>
            </w:pPr>
            <w:r>
              <w:rPr>
                <w:rFonts w:ascii="Arial" w:cs="Arial" w:eastAsia="Arial" w:hAnsi="Arial"/>
                <w:sz w:val="14"/>
                <w:szCs w:val="14"/>
                <w:color w:val="auto"/>
              </w:rPr>
              <w:t>Network Merchants,</w:t>
            </w:r>
          </w:p>
        </w:tc>
        <w:tc>
          <w:tcPr>
            <w:tcW w:w="3000" w:type="dxa"/>
            <w:vAlign w:val="bottom"/>
            <w:gridSpan w:val="3"/>
          </w:tcPr>
          <w:p>
            <w:pPr>
              <w:ind w:left="1340"/>
              <w:spacing w:after="0" w:line="122" w:lineRule="exact"/>
              <w:rPr>
                <w:sz w:val="20"/>
                <w:szCs w:val="20"/>
                <w:color w:val="auto"/>
              </w:rPr>
            </w:pPr>
            <w:r>
              <w:rPr>
                <w:rFonts w:ascii="Arial" w:cs="Arial" w:eastAsia="Arial" w:hAnsi="Arial"/>
                <w:sz w:val="14"/>
                <w:szCs w:val="14"/>
                <w:color w:val="auto"/>
                <w:w w:val="95"/>
              </w:rPr>
              <w:t>First-lien loan ($29,659 par,</w:t>
            </w: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20" w:type="dxa"/>
            <w:vAlign w:val="bottom"/>
            <w:gridSpan w:val="2"/>
          </w:tcPr>
          <w:p>
            <w:pPr>
              <w:ind w:left="220"/>
              <w:spacing w:after="0" w:line="176" w:lineRule="exact"/>
              <w:rPr>
                <w:sz w:val="20"/>
                <w:szCs w:val="20"/>
                <w:color w:val="auto"/>
              </w:rPr>
            </w:pPr>
            <w:r>
              <w:rPr>
                <w:rFonts w:ascii="Arial" w:cs="Arial" w:eastAsia="Arial" w:hAnsi="Arial"/>
                <w:sz w:val="13"/>
                <w:szCs w:val="13"/>
                <w:color w:val="auto"/>
              </w:rPr>
              <w:t xml:space="preserve">Inc </w:t>
            </w:r>
            <w:r>
              <w:rPr>
                <w:rFonts w:ascii="Arial" w:cs="Arial" w:eastAsia="Arial" w:hAnsi="Arial"/>
                <w:sz w:val="20"/>
                <w:szCs w:val="20"/>
                <w:color w:val="auto"/>
                <w:vertAlign w:val="superscript"/>
              </w:rPr>
              <w:t>(3)</w:t>
            </w:r>
          </w:p>
        </w:tc>
        <w:tc>
          <w:tcPr>
            <w:tcW w:w="3000" w:type="dxa"/>
            <w:vAlign w:val="bottom"/>
            <w:gridSpan w:val="3"/>
          </w:tcPr>
          <w:p>
            <w:pPr>
              <w:ind w:left="1340"/>
              <w:spacing w:after="0"/>
              <w:rPr>
                <w:sz w:val="20"/>
                <w:szCs w:val="20"/>
                <w:color w:val="auto"/>
              </w:rPr>
            </w:pPr>
            <w:r>
              <w:rPr>
                <w:rFonts w:ascii="Arial" w:cs="Arial" w:eastAsia="Arial" w:hAnsi="Arial"/>
                <w:sz w:val="14"/>
                <w:szCs w:val="14"/>
                <w:color w:val="auto"/>
              </w:rPr>
              <w:t>due 9/2018)</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8.75%</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9/12/2013</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29,055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29,050</w:t>
            </w:r>
          </w:p>
        </w:tc>
        <w:tc>
          <w:tcPr>
            <w:tcW w:w="28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125,025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125,318</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Construction and building</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Mannington Mills,</w:t>
            </w:r>
          </w:p>
        </w:tc>
        <w:tc>
          <w:tcPr>
            <w:tcW w:w="3000" w:type="dxa"/>
            <w:vAlign w:val="bottom"/>
            <w:gridSpan w:val="3"/>
            <w:shd w:val="clear" w:color="auto" w:fill="CCEEFF"/>
          </w:tcPr>
          <w:p>
            <w:pPr>
              <w:ind w:left="1340"/>
              <w:spacing w:after="0" w:line="122" w:lineRule="exact"/>
              <w:rPr>
                <w:sz w:val="20"/>
                <w:szCs w:val="20"/>
                <w:color w:val="auto"/>
              </w:rPr>
            </w:pPr>
            <w:r>
              <w:rPr>
                <w:rFonts w:ascii="Arial" w:cs="Arial" w:eastAsia="Arial" w:hAnsi="Arial"/>
                <w:sz w:val="14"/>
                <w:szCs w:val="14"/>
                <w:color w:val="auto"/>
              </w:rPr>
              <w:t>Second-lien loan ($47,488</w:t>
            </w:r>
          </w:p>
        </w:tc>
        <w:tc>
          <w:tcPr>
            <w:tcW w:w="96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4"/>
                <w:szCs w:val="14"/>
                <w:color w:val="auto"/>
              </w:rPr>
              <w:t>14.00%</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9"/>
                <w:szCs w:val="19"/>
                <w:color w:val="auto"/>
                <w:vertAlign w:val="subscript"/>
              </w:rPr>
              <w:t>Inc.</w:t>
            </w:r>
            <w:r>
              <w:rPr>
                <w:rFonts w:ascii="Arial" w:cs="Arial" w:eastAsia="Arial" w:hAnsi="Arial"/>
                <w:sz w:val="9"/>
                <w:szCs w:val="9"/>
                <w:color w:val="auto"/>
              </w:rPr>
              <w:t xml:space="preserve"> (3)(5)</w:t>
            </w:r>
          </w:p>
        </w:tc>
        <w:tc>
          <w:tcPr>
            <w:tcW w:w="3000" w:type="dxa"/>
            <w:vAlign w:val="bottom"/>
            <w:gridSpan w:val="3"/>
            <w:shd w:val="clear" w:color="auto" w:fill="CCEEFF"/>
          </w:tcPr>
          <w:p>
            <w:pPr>
              <w:ind w:left="1340"/>
              <w:spacing w:after="0"/>
              <w:rPr>
                <w:sz w:val="20"/>
                <w:szCs w:val="20"/>
                <w:color w:val="auto"/>
              </w:rPr>
            </w:pPr>
            <w:r>
              <w:rPr>
                <w:rFonts w:ascii="Arial" w:cs="Arial" w:eastAsia="Arial" w:hAnsi="Arial"/>
                <w:sz w:val="14"/>
                <w:szCs w:val="14"/>
                <w:color w:val="auto"/>
              </w:rPr>
              <w:t>par, due 3/2017)</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5"/>
              </w:rPr>
              <w:t>(incl. 2.00%</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6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3/2/2012</w:t>
            </w:r>
          </w:p>
        </w:tc>
        <w:tc>
          <w:tcPr>
            <w:tcW w:w="2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46,543</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52,238</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Containers and packaging</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The Newark Group, Inc. </w:t>
            </w:r>
            <w:r>
              <w:rPr>
                <w:rFonts w:ascii="Arial" w:cs="Arial" w:eastAsia="Arial" w:hAnsi="Arial"/>
                <w:sz w:val="15"/>
                <w:szCs w:val="15"/>
                <w:color w:val="auto"/>
                <w:vertAlign w:val="superscript"/>
              </w:rPr>
              <w:t>(3)(5)</w:t>
            </w:r>
          </w:p>
        </w:tc>
        <w:tc>
          <w:tcPr>
            <w:tcW w:w="3000" w:type="dxa"/>
            <w:vAlign w:val="bottom"/>
            <w:gridSpan w:val="3"/>
            <w:shd w:val="clear" w:color="auto" w:fill="CCEEFF"/>
          </w:tcPr>
          <w:p>
            <w:pPr>
              <w:ind w:left="1340"/>
              <w:spacing w:after="0" w:line="138" w:lineRule="exact"/>
              <w:rPr>
                <w:sz w:val="20"/>
                <w:szCs w:val="20"/>
                <w:color w:val="auto"/>
              </w:rPr>
            </w:pPr>
            <w:r>
              <w:rPr>
                <w:rFonts w:ascii="Arial" w:cs="Arial" w:eastAsia="Arial" w:hAnsi="Arial"/>
                <w:sz w:val="14"/>
                <w:szCs w:val="14"/>
                <w:color w:val="auto"/>
                <w:w w:val="95"/>
              </w:rPr>
              <w:t>First-lien loan ($47,040 par,</w:t>
            </w: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3000" w:type="dxa"/>
            <w:vAlign w:val="bottom"/>
            <w:gridSpan w:val="3"/>
            <w:shd w:val="clear" w:color="auto" w:fill="CCEEFF"/>
          </w:tcPr>
          <w:p>
            <w:pPr>
              <w:ind w:left="1340"/>
              <w:spacing w:after="0" w:line="159" w:lineRule="exact"/>
              <w:rPr>
                <w:sz w:val="20"/>
                <w:szCs w:val="20"/>
                <w:color w:val="auto"/>
              </w:rPr>
            </w:pPr>
            <w:r>
              <w:rPr>
                <w:rFonts w:ascii="Arial" w:cs="Arial" w:eastAsia="Arial" w:hAnsi="Arial"/>
                <w:sz w:val="14"/>
                <w:szCs w:val="14"/>
                <w:color w:val="auto"/>
              </w:rPr>
              <w:t>due 2/2018)</w:t>
            </w:r>
          </w:p>
        </w:tc>
        <w:tc>
          <w:tcPr>
            <w:tcW w:w="9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2/8/2013</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46,619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47,510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Education</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Campus Management,</w:t>
            </w:r>
          </w:p>
        </w:tc>
        <w:tc>
          <w:tcPr>
            <w:tcW w:w="3000" w:type="dxa"/>
            <w:vAlign w:val="bottom"/>
            <w:gridSpan w:val="3"/>
            <w:shd w:val="clear" w:color="auto" w:fill="CCEEFF"/>
          </w:tcPr>
          <w:p>
            <w:pPr>
              <w:ind w:left="1340"/>
              <w:spacing w:after="0" w:line="122" w:lineRule="exact"/>
              <w:rPr>
                <w:sz w:val="20"/>
                <w:szCs w:val="20"/>
                <w:color w:val="auto"/>
              </w:rPr>
            </w:pPr>
            <w:r>
              <w:rPr>
                <w:rFonts w:ascii="Arial" w:cs="Arial" w:eastAsia="Arial" w:hAnsi="Arial"/>
                <w:sz w:val="14"/>
                <w:szCs w:val="14"/>
                <w:color w:val="auto"/>
                <w:w w:val="95"/>
              </w:rPr>
              <w:t>First-lien loan ($30,000 par,</w:t>
            </w: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9"/>
                <w:szCs w:val="9"/>
                <w:color w:val="auto"/>
              </w:rPr>
              <w:t xml:space="preserve"> (3)(4)</w:t>
            </w:r>
          </w:p>
        </w:tc>
        <w:tc>
          <w:tcPr>
            <w:tcW w:w="3000" w:type="dxa"/>
            <w:vAlign w:val="bottom"/>
            <w:gridSpan w:val="3"/>
            <w:shd w:val="clear" w:color="auto" w:fill="CCEEFF"/>
          </w:tcPr>
          <w:p>
            <w:pPr>
              <w:ind w:left="1340"/>
              <w:spacing w:after="0"/>
              <w:rPr>
                <w:sz w:val="20"/>
                <w:szCs w:val="20"/>
                <w:color w:val="auto"/>
              </w:rPr>
            </w:pPr>
            <w:r>
              <w:rPr>
                <w:rFonts w:ascii="Arial" w:cs="Arial" w:eastAsia="Arial" w:hAnsi="Arial"/>
                <w:sz w:val="14"/>
                <w:szCs w:val="14"/>
                <w:color w:val="auto"/>
              </w:rPr>
              <w:t>due 9/2018)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8.75%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9/30/2013</w:t>
            </w:r>
          </w:p>
        </w:tc>
        <w:tc>
          <w:tcPr>
            <w:tcW w:w="2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29,250</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Financial services</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Embarcadero Technologies, Inc. </w:t>
            </w:r>
            <w:r>
              <w:rPr>
                <w:rFonts w:ascii="Arial" w:cs="Arial" w:eastAsia="Arial" w:hAnsi="Arial"/>
                <w:sz w:val="15"/>
                <w:szCs w:val="15"/>
                <w:color w:val="auto"/>
                <w:vertAlign w:val="superscript"/>
              </w:rPr>
              <w:t>(3)(4)(5)</w:t>
            </w:r>
          </w:p>
        </w:tc>
        <w:tc>
          <w:tcPr>
            <w:tcW w:w="3000" w:type="dxa"/>
            <w:vAlign w:val="bottom"/>
            <w:gridSpan w:val="3"/>
            <w:shd w:val="clear" w:color="auto" w:fill="CCEEFF"/>
          </w:tcPr>
          <w:p>
            <w:pPr>
              <w:ind w:left="1340"/>
              <w:spacing w:after="0" w:line="138" w:lineRule="exact"/>
              <w:rPr>
                <w:sz w:val="20"/>
                <w:szCs w:val="20"/>
                <w:color w:val="auto"/>
              </w:rPr>
            </w:pPr>
            <w:r>
              <w:rPr>
                <w:rFonts w:ascii="Arial" w:cs="Arial" w:eastAsia="Arial" w:hAnsi="Arial"/>
                <w:sz w:val="14"/>
                <w:szCs w:val="14"/>
                <w:color w:val="auto"/>
                <w:w w:val="95"/>
              </w:rPr>
              <w:t>First-lien loan ($43,596 par,</w:t>
            </w: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3000" w:type="dxa"/>
            <w:vAlign w:val="bottom"/>
            <w:gridSpan w:val="3"/>
            <w:shd w:val="clear" w:color="auto" w:fill="CCEEFF"/>
          </w:tcPr>
          <w:p>
            <w:pPr>
              <w:ind w:left="1340"/>
              <w:spacing w:after="0" w:line="159" w:lineRule="exact"/>
              <w:rPr>
                <w:sz w:val="20"/>
                <w:szCs w:val="20"/>
                <w:color w:val="auto"/>
              </w:rPr>
            </w:pPr>
            <w:r>
              <w:rPr>
                <w:rFonts w:ascii="Arial" w:cs="Arial" w:eastAsia="Arial" w:hAnsi="Arial"/>
                <w:sz w:val="14"/>
                <w:szCs w:val="14"/>
                <w:color w:val="auto"/>
              </w:rPr>
              <w:t>due 12/2017)</w:t>
            </w:r>
          </w:p>
        </w:tc>
        <w:tc>
          <w:tcPr>
            <w:tcW w:w="9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12/28/2012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42,644</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43,487</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8"/>
        </w:trPr>
        <w:tc>
          <w:tcPr>
            <w:tcW w:w="38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Rogue Wave Holdings, Inc. </w:t>
            </w:r>
            <w:r>
              <w:rPr>
                <w:rFonts w:ascii="Arial" w:cs="Arial" w:eastAsia="Arial" w:hAnsi="Arial"/>
                <w:sz w:val="15"/>
                <w:szCs w:val="15"/>
                <w:color w:val="auto"/>
                <w:vertAlign w:val="superscript"/>
              </w:rPr>
              <w:t>(3)(4)(5)</w:t>
            </w:r>
          </w:p>
        </w:tc>
        <w:tc>
          <w:tcPr>
            <w:tcW w:w="3000" w:type="dxa"/>
            <w:vAlign w:val="bottom"/>
            <w:gridSpan w:val="3"/>
          </w:tcPr>
          <w:p>
            <w:pPr>
              <w:ind w:left="1340"/>
              <w:spacing w:after="0" w:line="138" w:lineRule="exact"/>
              <w:rPr>
                <w:sz w:val="20"/>
                <w:szCs w:val="20"/>
                <w:color w:val="auto"/>
              </w:rPr>
            </w:pPr>
            <w:r>
              <w:rPr>
                <w:rFonts w:ascii="Arial" w:cs="Arial" w:eastAsia="Arial" w:hAnsi="Arial"/>
                <w:sz w:val="14"/>
                <w:szCs w:val="14"/>
                <w:color w:val="auto"/>
                <w:w w:val="95"/>
              </w:rPr>
              <w:t>First-lien loan ($45,975 par,</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000" w:type="dxa"/>
            <w:vAlign w:val="bottom"/>
            <w:gridSpan w:val="3"/>
          </w:tcPr>
          <w:p>
            <w:pPr>
              <w:ind w:left="1340"/>
              <w:spacing w:after="0" w:line="159" w:lineRule="exact"/>
              <w:rPr>
                <w:sz w:val="20"/>
                <w:szCs w:val="20"/>
                <w:color w:val="auto"/>
              </w:rPr>
            </w:pPr>
            <w:r>
              <w:rPr>
                <w:rFonts w:ascii="Arial" w:cs="Arial" w:eastAsia="Arial" w:hAnsi="Arial"/>
                <w:sz w:val="14"/>
                <w:szCs w:val="14"/>
                <w:color w:val="auto"/>
              </w:rPr>
              <w:t>due 11/2017)</w:t>
            </w: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11/21/2012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44,948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45,745</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87,592</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89,232</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7"/>
              </w:rPr>
              <w:t>Amortized</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5000" w:type="dxa"/>
            <w:vAlign w:val="bottom"/>
            <w:gridSpan w:val="2"/>
            <w:vMerge w:val="continue"/>
          </w:tcPr>
          <w:p>
            <w:pPr>
              <w:spacing w:after="0"/>
              <w:rPr>
                <w:sz w:val="15"/>
                <w:szCs w:val="15"/>
                <w:color w:val="auto"/>
              </w:rPr>
            </w:pPr>
          </w:p>
        </w:tc>
        <w:tc>
          <w:tcPr>
            <w:tcW w:w="1700" w:type="dxa"/>
            <w:vAlign w:val="bottom"/>
            <w:gridSpan w:val="2"/>
          </w:tcPr>
          <w:p>
            <w:pPr>
              <w:ind w:left="480"/>
              <w:spacing w:after="0"/>
              <w:rPr>
                <w:sz w:val="20"/>
                <w:szCs w:val="20"/>
                <w:color w:val="auto"/>
              </w:rPr>
            </w:pPr>
            <w:r>
              <w:rPr>
                <w:rFonts w:ascii="Arial" w:cs="Arial" w:eastAsia="Arial" w:hAnsi="Arial"/>
                <w:sz w:val="14"/>
                <w:szCs w:val="14"/>
                <w:b w:val="1"/>
                <w:bCs w:val="1"/>
                <w:color w:val="auto"/>
              </w:rPr>
              <w:t>Investment</w:t>
            </w: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Rate</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right"/>
              <w:ind w:right="33"/>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2"/>
              </w:rPr>
              <w:t>of Net Assets</w:t>
            </w:r>
          </w:p>
        </w:tc>
        <w:tc>
          <w:tcPr>
            <w:tcW w:w="0" w:type="dxa"/>
            <w:vAlign w:val="bottom"/>
          </w:tcPr>
          <w:p>
            <w:pPr>
              <w:spacing w:after="0"/>
              <w:rPr>
                <w:sz w:val="1"/>
                <w:szCs w:val="1"/>
                <w:color w:val="auto"/>
              </w:rPr>
            </w:pPr>
          </w:p>
        </w:tc>
      </w:tr>
      <w:tr>
        <w:trPr>
          <w:trHeight w:val="41"/>
        </w:trPr>
        <w:tc>
          <w:tcPr>
            <w:tcW w:w="660" w:type="dxa"/>
            <w:vAlign w:val="bottom"/>
            <w:tcBorders>
              <w:top w:val="single" w:sz="8" w:color="auto"/>
            </w:tcBorders>
          </w:tcPr>
          <w:p>
            <w:pPr>
              <w:spacing w:after="0"/>
              <w:rPr>
                <w:sz w:val="3"/>
                <w:szCs w:val="3"/>
                <w:color w:val="auto"/>
              </w:rPr>
            </w:pPr>
          </w:p>
        </w:tc>
        <w:tc>
          <w:tcPr>
            <w:tcW w:w="434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Healthcare and pharmaceuticals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Intelident Solutions, Inc. </w:t>
            </w:r>
            <w:r>
              <w:rPr>
                <w:rFonts w:ascii="Arial" w:cs="Arial" w:eastAsia="Arial" w:hAnsi="Arial"/>
                <w:sz w:val="15"/>
                <w:szCs w:val="15"/>
                <w:color w:val="auto"/>
                <w:vertAlign w:val="superscript"/>
              </w:rPr>
              <w:t>(3)</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8"/>
              </w:rPr>
              <w:t>First-lien loan ($27,555 par,</w:t>
            </w:r>
          </w:p>
        </w:tc>
        <w:tc>
          <w:tcPr>
            <w:tcW w:w="9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8.00%</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due 8/2016)</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(inc. 2.00%</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PIK)</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6/4/2013</w:t>
            </w:r>
          </w:p>
        </w:tc>
        <w:tc>
          <w:tcPr>
            <w:tcW w:w="640" w:type="dxa"/>
            <w:vAlign w:val="bottom"/>
          </w:tcPr>
          <w:p>
            <w:pPr>
              <w:jc w:val="right"/>
              <w:spacing w:after="0"/>
              <w:rPr>
                <w:sz w:val="20"/>
                <w:szCs w:val="20"/>
                <w:color w:val="auto"/>
              </w:rPr>
            </w:pPr>
            <w:r>
              <w:rPr>
                <w:rFonts w:ascii="Arial" w:cs="Arial" w:eastAsia="Arial" w:hAnsi="Arial"/>
                <w:sz w:val="14"/>
                <w:szCs w:val="14"/>
                <w:color w:val="auto"/>
              </w:rPr>
              <w:t>26,848</w:t>
            </w: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26,807</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8"/>
        </w:trPr>
        <w:tc>
          <w:tcPr>
            <w:tcW w:w="66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revolving loan</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($1,642 par, due 8/2016)</w:t>
            </w:r>
          </w:p>
        </w:tc>
        <w:tc>
          <w:tcPr>
            <w:tcW w:w="9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6/4/2013</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1,643</w:t>
            </w:r>
          </w:p>
        </w:tc>
        <w:tc>
          <w:tcPr>
            <w:tcW w:w="120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1,634</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Mediware Information Systems, Inc. </w:t>
            </w:r>
            <w:r>
              <w:rPr>
                <w:rFonts w:ascii="Arial" w:cs="Arial" w:eastAsia="Arial" w:hAnsi="Arial"/>
                <w:sz w:val="15"/>
                <w:szCs w:val="15"/>
                <w:color w:val="auto"/>
                <w:vertAlign w:val="superscript"/>
              </w:rPr>
              <w:t>(3)(4)(5)</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8"/>
              </w:rPr>
              <w:t>First-lien loan ($72,092 par,</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due 5/2018)</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8.00%</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11/9/2012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70,496</w:t>
            </w:r>
          </w:p>
        </w:tc>
        <w:tc>
          <w:tcPr>
            <w:tcW w:w="12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71,371</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38"/>
        </w:trPr>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SRS Software, LLC </w:t>
            </w:r>
            <w:r>
              <w:rPr>
                <w:rFonts w:ascii="Arial" w:cs="Arial" w:eastAsia="Arial" w:hAnsi="Arial"/>
                <w:sz w:val="15"/>
                <w:szCs w:val="15"/>
                <w:color w:val="auto"/>
                <w:vertAlign w:val="superscript"/>
              </w:rPr>
              <w:t>(3)(5)</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8"/>
              </w:rPr>
              <w:t>First-lien loan ($36,094 par,</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12/2017)</w:t>
            </w:r>
          </w:p>
        </w:tc>
        <w:tc>
          <w:tcPr>
            <w:tcW w:w="9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8.75%</w:t>
            </w: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4"/>
              </w:rPr>
              <w:t>12/28/2012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35,196</w:t>
            </w:r>
          </w:p>
        </w:tc>
        <w:tc>
          <w:tcPr>
            <w:tcW w:w="120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35,191</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First-lien revolving loan</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($2,000 par, due 12/2017)</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8.75%</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4"/>
              </w:rPr>
              <w:t>12/28/2012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2,000</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1,950</w:t>
            </w:r>
          </w:p>
        </w:tc>
        <w:tc>
          <w:tcPr>
            <w:tcW w:w="28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136,183</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136,953</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4340" w:type="dxa"/>
            <w:vAlign w:val="bottom"/>
          </w:tcPr>
          <w:p>
            <w:pPr>
              <w:ind w:left="220"/>
              <w:spacing w:after="0"/>
              <w:rPr>
                <w:sz w:val="20"/>
                <w:szCs w:val="20"/>
                <w:color w:val="auto"/>
              </w:rPr>
            </w:pPr>
            <w:r>
              <w:rPr>
                <w:rFonts w:ascii="Arial" w:cs="Arial" w:eastAsia="Arial" w:hAnsi="Arial"/>
                <w:sz w:val="14"/>
                <w:szCs w:val="14"/>
                <w:b w:val="1"/>
                <w:bCs w:val="1"/>
                <w:color w:val="auto"/>
              </w:rPr>
              <w:t>Hotel, Gaming, &amp; Leisure</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AMF Bowling Worldwide, Inc. </w:t>
            </w:r>
            <w:r>
              <w:rPr>
                <w:rFonts w:ascii="Arial" w:cs="Arial" w:eastAsia="Arial" w:hAnsi="Arial"/>
                <w:sz w:val="16"/>
                <w:szCs w:val="16"/>
                <w:color w:val="auto"/>
                <w:vertAlign w:val="superscript"/>
              </w:rPr>
              <w:t>(3)(5)</w:t>
            </w:r>
          </w:p>
        </w:tc>
        <w:tc>
          <w:tcPr>
            <w:tcW w:w="1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w w:val="98"/>
              </w:rPr>
              <w:t>First-lien loan ($14,906 par,</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6/2018)</w:t>
            </w:r>
          </w:p>
        </w:tc>
        <w:tc>
          <w:tcPr>
            <w:tcW w:w="9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8.78%</w:t>
            </w: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7/2/2013</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13,716</w:t>
            </w:r>
          </w:p>
        </w:tc>
        <w:tc>
          <w:tcPr>
            <w:tcW w:w="120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14,666</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Centaur, LLC </w:t>
            </w:r>
            <w:r>
              <w:rPr>
                <w:rFonts w:ascii="Arial" w:cs="Arial" w:eastAsia="Arial" w:hAnsi="Arial"/>
                <w:sz w:val="15"/>
                <w:szCs w:val="15"/>
                <w:color w:val="auto"/>
                <w:vertAlign w:val="superscript"/>
              </w:rPr>
              <w:t>(3)</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Second-lien loan ($10,000</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par, due 2/2020)</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8.75%</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2/15/2013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9,920</w:t>
            </w:r>
          </w:p>
        </w:tc>
        <w:tc>
          <w:tcPr>
            <w:tcW w:w="12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10,050</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8"/>
        </w:trPr>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Mandalay Baseball Properties, LLC </w:t>
            </w:r>
            <w:r>
              <w:rPr>
                <w:rFonts w:ascii="Arial" w:cs="Arial" w:eastAsia="Arial" w:hAnsi="Arial"/>
                <w:sz w:val="15"/>
                <w:szCs w:val="15"/>
                <w:color w:val="auto"/>
                <w:vertAlign w:val="superscript"/>
              </w:rPr>
              <w:t>(3)(5)</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8"/>
              </w:rPr>
              <w:t>First-lien loan ($34,489 par,</w:t>
            </w:r>
          </w:p>
        </w:tc>
        <w:tc>
          <w:tcPr>
            <w:tcW w:w="9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12.00%</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due 3/2017)</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(incl. 4.50%</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33,869</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35,362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Soho House </w:t>
            </w:r>
            <w:r>
              <w:rPr>
                <w:rFonts w:ascii="Arial" w:cs="Arial" w:eastAsia="Arial" w:hAnsi="Arial"/>
                <w:sz w:val="15"/>
                <w:szCs w:val="15"/>
                <w:color w:val="auto"/>
                <w:vertAlign w:val="superscript"/>
              </w:rPr>
              <w:t>(6)</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Second-lien bond (GBP</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7,000 par, due 10/2018)</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9.13%</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9/20/2013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11,200</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11,455</w:t>
            </w:r>
          </w:p>
        </w:tc>
        <w:tc>
          <w:tcPr>
            <w:tcW w:w="28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68,705</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71,533</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4340" w:type="dxa"/>
            <w:vAlign w:val="bottom"/>
          </w:tcPr>
          <w:p>
            <w:pPr>
              <w:ind w:left="220"/>
              <w:spacing w:after="0"/>
              <w:rPr>
                <w:sz w:val="20"/>
                <w:szCs w:val="20"/>
                <w:color w:val="auto"/>
              </w:rPr>
            </w:pPr>
            <w:r>
              <w:rPr>
                <w:rFonts w:ascii="Arial" w:cs="Arial" w:eastAsia="Arial" w:hAnsi="Arial"/>
                <w:sz w:val="14"/>
                <w:szCs w:val="14"/>
                <w:b w:val="1"/>
                <w:bCs w:val="1"/>
                <w:color w:val="auto"/>
              </w:rPr>
              <w:t>Human resource support services</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Pai Group, Inc. </w:t>
            </w:r>
            <w:r>
              <w:rPr>
                <w:rFonts w:ascii="Arial" w:cs="Arial" w:eastAsia="Arial" w:hAnsi="Arial"/>
                <w:sz w:val="16"/>
                <w:szCs w:val="16"/>
                <w:color w:val="auto"/>
                <w:vertAlign w:val="superscript"/>
              </w:rPr>
              <w:t>(3)(5)</w:t>
            </w:r>
          </w:p>
        </w:tc>
        <w:tc>
          <w:tcPr>
            <w:tcW w:w="1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w w:val="98"/>
              </w:rPr>
              <w:t>First-lien loan ($34,825 par,</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5/2018)</w:t>
            </w:r>
          </w:p>
        </w:tc>
        <w:tc>
          <w:tcPr>
            <w:tcW w:w="9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10.50%</w:t>
            </w: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5/8/2013</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34,031</w:t>
            </w:r>
          </w:p>
        </w:tc>
        <w:tc>
          <w:tcPr>
            <w:tcW w:w="120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34,029</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SumTotal Systems, LLC </w:t>
            </w:r>
            <w:r>
              <w:rPr>
                <w:rFonts w:ascii="Arial" w:cs="Arial" w:eastAsia="Arial" w:hAnsi="Arial"/>
                <w:sz w:val="15"/>
                <w:szCs w:val="15"/>
                <w:color w:val="auto"/>
                <w:vertAlign w:val="superscript"/>
              </w:rPr>
              <w:t>(3)</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($7,503 par,</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due 11/2018)</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6.25%</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4"/>
              </w:rPr>
              <w:t>11/16/2012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7,422</w:t>
            </w:r>
          </w:p>
        </w:tc>
        <w:tc>
          <w:tcPr>
            <w:tcW w:w="12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7,463</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66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Second-lien loan ($10,000</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par, due 5/2019)</w:t>
            </w:r>
          </w:p>
        </w:tc>
        <w:tc>
          <w:tcPr>
            <w:tcW w:w="9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10.25%</w:t>
            </w: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4"/>
              </w:rPr>
              <w:t>11/16/2012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9,945</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9,925</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51,398</w:t>
            </w:r>
          </w:p>
        </w:tc>
        <w:tc>
          <w:tcPr>
            <w:tcW w:w="2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51,417</w:t>
            </w:r>
          </w:p>
        </w:tc>
        <w:tc>
          <w:tcPr>
            <w:tcW w:w="280" w:type="dxa"/>
            <w:vAlign w:val="bottom"/>
          </w:tcPr>
          <w:p>
            <w:pPr>
              <w:spacing w:after="0"/>
              <w:rPr>
                <w:sz w:val="14"/>
                <w:szCs w:val="14"/>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Insurance</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Infogix, Inc. </w:t>
            </w:r>
            <w:r>
              <w:rPr>
                <w:rFonts w:ascii="Arial" w:cs="Arial" w:eastAsia="Arial" w:hAnsi="Arial"/>
                <w:sz w:val="15"/>
                <w:szCs w:val="15"/>
                <w:color w:val="auto"/>
                <w:vertAlign w:val="superscript"/>
              </w:rPr>
              <w:t>(3)(5)</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8"/>
              </w:rPr>
              <w:t>First-lien loan ($32,306 par,</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due 6/2017)</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10.00%</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6/1/2012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31,815</w:t>
            </w:r>
          </w:p>
        </w:tc>
        <w:tc>
          <w:tcPr>
            <w:tcW w:w="12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32,225</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8"/>
        </w:trPr>
        <w:tc>
          <w:tcPr>
            <w:tcW w:w="66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revolving loan</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($3,300 par, due 6/2017)</w:t>
            </w:r>
          </w:p>
        </w:tc>
        <w:tc>
          <w:tcPr>
            <w:tcW w:w="9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10.00%</w:t>
            </w: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6/1/2012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3,227</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3,288</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35,042</w:t>
            </w:r>
          </w:p>
        </w:tc>
        <w:tc>
          <w:tcPr>
            <w:tcW w:w="2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35,513</w:t>
            </w:r>
          </w:p>
        </w:tc>
        <w:tc>
          <w:tcPr>
            <w:tcW w:w="280" w:type="dxa"/>
            <w:vAlign w:val="bottom"/>
          </w:tcPr>
          <w:p>
            <w:pPr>
              <w:spacing w:after="0"/>
              <w:rPr>
                <w:sz w:val="14"/>
                <w:szCs w:val="14"/>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Manufacturing</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Jeeves Information Systems AB </w:t>
            </w:r>
            <w:r>
              <w:rPr>
                <w:rFonts w:ascii="Arial" w:cs="Arial" w:eastAsia="Arial" w:hAnsi="Arial"/>
                <w:sz w:val="15"/>
                <w:szCs w:val="15"/>
                <w:color w:val="auto"/>
                <w:vertAlign w:val="superscript"/>
              </w:rPr>
              <w:t>(3)(6)</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5"/>
              </w:rPr>
              <w:t>First-lien loan (SEK 177,608</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par, due 6/2018)</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9.25%</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6/5/2013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26,446</w:t>
            </w:r>
          </w:p>
        </w:tc>
        <w:tc>
          <w:tcPr>
            <w:tcW w:w="12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27,061</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Office Products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Ecommerce Industries, Inc. </w:t>
            </w:r>
            <w:r>
              <w:rPr>
                <w:rFonts w:ascii="Arial" w:cs="Arial" w:eastAsia="Arial" w:hAnsi="Arial"/>
                <w:sz w:val="15"/>
                <w:szCs w:val="15"/>
                <w:color w:val="auto"/>
                <w:vertAlign w:val="superscript"/>
              </w:rPr>
              <w:t>(3)(4)(5)</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8"/>
              </w:rPr>
              <w:t>First-lien loan ($20,217 par,</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due 10/2016)</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8.00%</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4"/>
              </w:rPr>
              <w:t>10/17/2011</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20,001</w:t>
            </w:r>
          </w:p>
        </w:tc>
        <w:tc>
          <w:tcPr>
            <w:tcW w:w="12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20,419</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Oil, Gas &amp; Consumable Fuels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Global Geophysical </w:t>
            </w:r>
            <w:r>
              <w:rPr>
                <w:rFonts w:ascii="Arial" w:cs="Arial" w:eastAsia="Arial" w:hAnsi="Arial"/>
                <w:sz w:val="15"/>
                <w:szCs w:val="15"/>
                <w:color w:val="auto"/>
                <w:vertAlign w:val="superscript"/>
              </w:rPr>
              <w:t>(3)(5)</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8"/>
              </w:rPr>
              <w:t>First-lien loan ($41,000 par,</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due 9/2016)</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10.75%</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9/30/2013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40,262</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40,262</w:t>
            </w:r>
          </w:p>
        </w:tc>
        <w:tc>
          <w:tcPr>
            <w:tcW w:w="28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Total Debt Investments</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871,800</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887,610</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Interest</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Acquisition</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Amortized</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4920" w:type="dxa"/>
            <w:vAlign w:val="bottom"/>
            <w:gridSpan w:val="3"/>
            <w:vMerge w:val="continue"/>
          </w:tcPr>
          <w:p>
            <w:pPr>
              <w:spacing w:after="0"/>
              <w:rPr>
                <w:sz w:val="15"/>
                <w:szCs w:val="15"/>
                <w:color w:val="auto"/>
              </w:rPr>
            </w:pPr>
          </w:p>
        </w:tc>
        <w:tc>
          <w:tcPr>
            <w:tcW w:w="176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Rate</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0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Fair Value</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Equity</w:t>
            </w:r>
          </w:p>
        </w:tc>
        <w:tc>
          <w:tcPr>
            <w:tcW w:w="426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60" w:type="dxa"/>
            <w:vAlign w:val="bottom"/>
          </w:tcPr>
          <w:p>
            <w:pPr>
              <w:ind w:left="220"/>
              <w:spacing w:after="0"/>
              <w:rPr>
                <w:sz w:val="20"/>
                <w:szCs w:val="20"/>
                <w:color w:val="auto"/>
              </w:rPr>
            </w:pPr>
            <w:r>
              <w:rPr>
                <w:rFonts w:ascii="Arial" w:cs="Arial" w:eastAsia="Arial" w:hAnsi="Arial"/>
                <w:sz w:val="14"/>
                <w:szCs w:val="14"/>
                <w:b w:val="1"/>
                <w:bCs w:val="1"/>
                <w:color w:val="auto"/>
              </w:rPr>
              <w:t>Business Services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9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Network Merchants, Inc</w:t>
            </w:r>
          </w:p>
        </w:tc>
        <w:tc>
          <w:tcPr>
            <w:tcW w:w="17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Non-Voting Preferred Units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(774,099 units)</w:t>
            </w: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9/12/2013</w:t>
            </w: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780</w:t>
            </w:r>
          </w:p>
        </w:tc>
        <w:tc>
          <w:tcPr>
            <w:tcW w:w="12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780</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60" w:type="dxa"/>
            <w:vAlign w:val="bottom"/>
          </w:tcPr>
          <w:p>
            <w:pPr>
              <w:ind w:left="220"/>
              <w:spacing w:after="0"/>
              <w:rPr>
                <w:sz w:val="20"/>
                <w:szCs w:val="20"/>
                <w:color w:val="auto"/>
              </w:rPr>
            </w:pPr>
            <w:r>
              <w:rPr>
                <w:rFonts w:ascii="Arial" w:cs="Arial" w:eastAsia="Arial" w:hAnsi="Arial"/>
                <w:sz w:val="14"/>
                <w:szCs w:val="14"/>
                <w:b w:val="1"/>
                <w:bCs w:val="1"/>
                <w:color w:val="auto"/>
              </w:rPr>
              <w:t>Healthcare and pharmaceuticals</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SRS Parent Corp.</w:t>
            </w:r>
          </w:p>
        </w:tc>
        <w:tc>
          <w:tcPr>
            <w:tcW w:w="17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Common Shares Class A</w:t>
            </w: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(1,980 shares)</w:t>
            </w: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w w:val="94"/>
              </w:rPr>
              <w:t>12/28/2012</w:t>
            </w: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1,980</w:t>
            </w:r>
          </w:p>
        </w:tc>
        <w:tc>
          <w:tcPr>
            <w:tcW w:w="12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931</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760" w:type="dxa"/>
            <w:vAlign w:val="bottom"/>
            <w:gridSpan w:val="2"/>
          </w:tcPr>
          <w:p>
            <w:pPr>
              <w:spacing w:after="0" w:line="138" w:lineRule="exact"/>
              <w:rPr>
                <w:sz w:val="20"/>
                <w:szCs w:val="20"/>
                <w:color w:val="auto"/>
              </w:rPr>
            </w:pPr>
            <w:r>
              <w:rPr>
                <w:rFonts w:ascii="Arial" w:cs="Arial" w:eastAsia="Arial" w:hAnsi="Arial"/>
                <w:sz w:val="14"/>
                <w:szCs w:val="14"/>
                <w:color w:val="auto"/>
              </w:rPr>
              <w:t>Common Shares Class B</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760" w:type="dxa"/>
            <w:vAlign w:val="bottom"/>
            <w:gridSpan w:val="2"/>
          </w:tcPr>
          <w:p>
            <w:pPr>
              <w:spacing w:after="0" w:line="159" w:lineRule="exact"/>
              <w:rPr>
                <w:sz w:val="20"/>
                <w:szCs w:val="20"/>
                <w:color w:val="auto"/>
              </w:rPr>
            </w:pPr>
            <w:r>
              <w:rPr>
                <w:rFonts w:ascii="Arial" w:cs="Arial" w:eastAsia="Arial" w:hAnsi="Arial"/>
                <w:sz w:val="14"/>
                <w:szCs w:val="14"/>
                <w:color w:val="auto"/>
              </w:rPr>
              <w:t>(2,953,020 shares)</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4"/>
              </w:rPr>
              <w:t>12/28/2012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9</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940</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Equity Investments</w:t>
            </w: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2,780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1,720</w:t>
            </w: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  874,580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  889,330</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right="340" w:hanging="572"/>
        <w:spacing w:after="0" w:line="253"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September 30, 2013, the Company does not “control” any of the portfolio companies nor are any of its portfolio companies considered to be “affiliates.” See Note 4. Certain portfolio company investments are subject to contractual restrictions on sales.</w:t>
      </w:r>
    </w:p>
    <w:p>
      <w:pPr>
        <w:ind w:left="580" w:right="380" w:hanging="572"/>
        <w:spacing w:after="0" w:line="250"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80" w:right="40" w:hanging="572"/>
        <w:spacing w:after="0" w:line="281" w:lineRule="auto"/>
        <w:tabs>
          <w:tab w:leader="none" w:pos="5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its arrangement with other lenders in a syndication.</w:t>
      </w:r>
    </w:p>
    <w:p>
      <w:pPr>
        <w:spacing w:after="0" w:line="2" w:lineRule="exact"/>
        <w:rPr>
          <w:rFonts w:ascii="Arial" w:cs="Arial" w:eastAsia="Arial" w:hAnsi="Arial"/>
          <w:sz w:val="16"/>
          <w:szCs w:val="16"/>
          <w:color w:val="auto"/>
        </w:rPr>
      </w:pPr>
    </w:p>
    <w:p>
      <w:pPr>
        <w:ind w:left="580" w:right="160" w:hanging="572"/>
        <w:spacing w:after="0" w:line="250"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the Company may be entitled to receive additional interest as a result of its arrangement with other lenders in a syndication.</w:t>
      </w:r>
    </w:p>
    <w:p>
      <w:pPr>
        <w:ind w:left="580" w:right="740" w:hanging="572"/>
        <w:spacing w:after="0" w:line="250"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jc w:val="both"/>
        <w:ind w:left="580" w:right="200" w:hanging="572"/>
        <w:spacing w:after="0" w:line="361" w:lineRule="auto"/>
        <w:tabs>
          <w:tab w:leader="none" w:pos="58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880" w:type="dxa"/>
            <w:vAlign w:val="bottom"/>
            <w:vMerge w:val="restart"/>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Interest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Acquisition</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Amortized</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76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Rate</w:t>
            </w: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center"/>
              <w:ind w:right="380"/>
              <w:spacing w:after="0" w:line="162" w:lineRule="exact"/>
              <w:rPr>
                <w:sz w:val="20"/>
                <w:szCs w:val="20"/>
                <w:color w:val="auto"/>
              </w:rPr>
            </w:pPr>
            <w:r>
              <w:rPr>
                <w:rFonts w:ascii="Arial" w:cs="Arial" w:eastAsia="Arial" w:hAnsi="Arial"/>
                <w:sz w:val="12"/>
                <w:szCs w:val="12"/>
                <w:b w:val="1"/>
                <w:bCs w:val="1"/>
                <w:color w:val="auto"/>
                <w:w w:val="93"/>
              </w:rPr>
              <w:t xml:space="preserve">Cost </w:t>
            </w:r>
            <w:r>
              <w:rPr>
                <w:rFonts w:ascii="Arial" w:cs="Arial" w:eastAsia="Arial" w:hAnsi="Arial"/>
                <w:sz w:val="18"/>
                <w:szCs w:val="18"/>
                <w:b w:val="1"/>
                <w:bCs w:val="1"/>
                <w:color w:val="auto"/>
                <w:w w:val="93"/>
                <w:vertAlign w:val="superscript"/>
              </w:rPr>
              <w:t>(2)</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3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22"/>
        </w:trPr>
        <w:tc>
          <w:tcPr>
            <w:tcW w:w="36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Debt Investments</w:t>
            </w:r>
          </w:p>
        </w:tc>
        <w:tc>
          <w:tcPr>
            <w:tcW w:w="10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880" w:type="dxa"/>
            <w:vAlign w:val="bottom"/>
          </w:tcPr>
          <w:p>
            <w:pPr>
              <w:ind w:left="240"/>
              <w:spacing w:after="0"/>
              <w:rPr>
                <w:sz w:val="20"/>
                <w:szCs w:val="20"/>
                <w:color w:val="auto"/>
              </w:rPr>
            </w:pPr>
            <w:r>
              <w:rPr>
                <w:rFonts w:ascii="Arial" w:cs="Arial" w:eastAsia="Arial" w:hAnsi="Arial"/>
                <w:sz w:val="14"/>
                <w:szCs w:val="14"/>
                <w:b w:val="1"/>
                <w:bCs w:val="1"/>
                <w:color w:val="auto"/>
              </w:rPr>
              <w:t>Aerospace and defense</w:t>
            </w: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MSC.Software Corporation </w:t>
            </w:r>
            <w:r>
              <w:rPr>
                <w:rFonts w:ascii="Arial" w:cs="Arial" w:eastAsia="Arial" w:hAnsi="Arial"/>
                <w:sz w:val="16"/>
                <w:szCs w:val="16"/>
                <w:color w:val="auto"/>
                <w:vertAlign w:val="superscript"/>
              </w:rPr>
              <w:t>(3)(4)(5)</w:t>
            </w:r>
          </w:p>
        </w:tc>
        <w:tc>
          <w:tcPr>
            <w:tcW w:w="2820" w:type="dxa"/>
            <w:vAlign w:val="bottom"/>
            <w:gridSpan w:val="3"/>
            <w:shd w:val="clear" w:color="auto" w:fill="CCEEFF"/>
          </w:tcPr>
          <w:p>
            <w:pPr>
              <w:ind w:left="1060"/>
              <w:spacing w:after="0" w:line="139" w:lineRule="exact"/>
              <w:rPr>
                <w:sz w:val="20"/>
                <w:szCs w:val="20"/>
                <w:color w:val="auto"/>
              </w:rPr>
            </w:pPr>
            <w:r>
              <w:rPr>
                <w:rFonts w:ascii="Arial" w:cs="Arial" w:eastAsia="Arial" w:hAnsi="Arial"/>
                <w:sz w:val="14"/>
                <w:szCs w:val="14"/>
                <w:color w:val="auto"/>
              </w:rPr>
              <w:t>First-lien loan ($56,266 par,</w:t>
            </w: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ind w:left="1060"/>
              <w:spacing w:after="0" w:line="159" w:lineRule="exact"/>
              <w:rPr>
                <w:sz w:val="20"/>
                <w:szCs w:val="20"/>
                <w:color w:val="auto"/>
              </w:rPr>
            </w:pPr>
            <w:r>
              <w:rPr>
                <w:rFonts w:ascii="Arial" w:cs="Arial" w:eastAsia="Arial" w:hAnsi="Arial"/>
                <w:sz w:val="14"/>
                <w:szCs w:val="14"/>
                <w:color w:val="auto"/>
              </w:rPr>
              <w:t>due 11/2017)</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7.75%</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w w:val="91"/>
              </w:rPr>
              <w:t>12/23/2011</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   55,423</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   55,984</w:t>
            </w:r>
          </w:p>
        </w:tc>
        <w:tc>
          <w:tcPr>
            <w:tcW w:w="12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2880" w:type="dxa"/>
            <w:vAlign w:val="bottom"/>
          </w:tcPr>
          <w:p>
            <w:pPr>
              <w:ind w:left="240"/>
              <w:spacing w:after="0"/>
              <w:rPr>
                <w:sz w:val="20"/>
                <w:szCs w:val="20"/>
                <w:color w:val="auto"/>
              </w:rPr>
            </w:pPr>
            <w:r>
              <w:rPr>
                <w:rFonts w:ascii="Arial" w:cs="Arial" w:eastAsia="Arial" w:hAnsi="Arial"/>
                <w:sz w:val="14"/>
                <w:szCs w:val="14"/>
                <w:b w:val="1"/>
                <w:bCs w:val="1"/>
                <w:color w:val="auto"/>
              </w:rPr>
              <w:t>Automotive</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Heartland Automotive Holdings, LLC </w:t>
            </w:r>
            <w:r>
              <w:rPr>
                <w:rFonts w:ascii="Arial" w:cs="Arial" w:eastAsia="Arial" w:hAnsi="Arial"/>
                <w:sz w:val="15"/>
                <w:szCs w:val="15"/>
                <w:color w:val="auto"/>
                <w:vertAlign w:val="superscript"/>
              </w:rPr>
              <w:t>(3)(5)</w:t>
            </w:r>
          </w:p>
        </w:tc>
        <w:tc>
          <w:tcPr>
            <w:tcW w:w="2820" w:type="dxa"/>
            <w:vAlign w:val="bottom"/>
            <w:gridSpan w:val="3"/>
            <w:shd w:val="clear" w:color="auto" w:fill="CCEEFF"/>
          </w:tcPr>
          <w:p>
            <w:pPr>
              <w:ind w:left="1060"/>
              <w:spacing w:after="0" w:line="138" w:lineRule="exact"/>
              <w:rPr>
                <w:sz w:val="20"/>
                <w:szCs w:val="20"/>
                <w:color w:val="auto"/>
              </w:rPr>
            </w:pPr>
            <w:r>
              <w:rPr>
                <w:rFonts w:ascii="Arial" w:cs="Arial" w:eastAsia="Arial" w:hAnsi="Arial"/>
                <w:sz w:val="14"/>
                <w:szCs w:val="14"/>
                <w:color w:val="auto"/>
              </w:rPr>
              <w:t>First-lien loan ($38,951 par,</w:t>
            </w: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ind w:left="1060"/>
              <w:spacing w:after="0" w:line="159" w:lineRule="exact"/>
              <w:rPr>
                <w:sz w:val="20"/>
                <w:szCs w:val="20"/>
                <w:color w:val="auto"/>
              </w:rPr>
            </w:pPr>
            <w:r>
              <w:rPr>
                <w:rFonts w:ascii="Arial" w:cs="Arial" w:eastAsia="Arial" w:hAnsi="Arial"/>
                <w:sz w:val="14"/>
                <w:szCs w:val="14"/>
                <w:color w:val="auto"/>
              </w:rPr>
              <w:t>due 6/2017)</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8/28/2012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37,998</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38,075</w:t>
            </w:r>
          </w:p>
        </w:tc>
        <w:tc>
          <w:tcPr>
            <w:tcW w:w="12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820" w:type="dxa"/>
            <w:vAlign w:val="bottom"/>
            <w:gridSpan w:val="3"/>
          </w:tcPr>
          <w:p>
            <w:pPr>
              <w:ind w:left="1060"/>
              <w:spacing w:after="0" w:line="138" w:lineRule="exact"/>
              <w:rPr>
                <w:sz w:val="20"/>
                <w:szCs w:val="20"/>
                <w:color w:val="auto"/>
              </w:rPr>
            </w:pPr>
            <w:r>
              <w:rPr>
                <w:rFonts w:ascii="Arial" w:cs="Arial" w:eastAsia="Arial" w:hAnsi="Arial"/>
                <w:sz w:val="14"/>
                <w:szCs w:val="14"/>
                <w:color w:val="auto"/>
              </w:rPr>
              <w:t>First-lien revolving loan</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20" w:type="dxa"/>
            <w:vAlign w:val="bottom"/>
            <w:gridSpan w:val="3"/>
          </w:tcPr>
          <w:p>
            <w:pPr>
              <w:ind w:left="1060"/>
              <w:spacing w:after="0" w:line="159" w:lineRule="exact"/>
              <w:rPr>
                <w:sz w:val="20"/>
                <w:szCs w:val="20"/>
                <w:color w:val="auto"/>
              </w:rPr>
            </w:pPr>
            <w:r>
              <w:rPr>
                <w:rFonts w:ascii="Arial" w:cs="Arial" w:eastAsia="Arial" w:hAnsi="Arial"/>
                <w:sz w:val="14"/>
                <w:szCs w:val="14"/>
                <w:color w:val="auto"/>
              </w:rPr>
              <w:t>($555 par, due 6/2017)</w:t>
            </w: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10.00%</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8/28/2012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413</w:t>
            </w:r>
          </w:p>
        </w:tc>
        <w:tc>
          <w:tcPr>
            <w:tcW w:w="3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431</w:t>
            </w:r>
          </w:p>
        </w:tc>
        <w:tc>
          <w:tcPr>
            <w:tcW w:w="12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8"/>
        </w:trPr>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Sage Automotive Interiors, Inc. </w:t>
            </w:r>
            <w:r>
              <w:rPr>
                <w:rFonts w:ascii="Arial" w:cs="Arial" w:eastAsia="Arial" w:hAnsi="Arial"/>
                <w:sz w:val="15"/>
                <w:szCs w:val="15"/>
                <w:color w:val="auto"/>
                <w:vertAlign w:val="superscript"/>
              </w:rPr>
              <w:t>(3)(4)(5)</w:t>
            </w:r>
          </w:p>
        </w:tc>
        <w:tc>
          <w:tcPr>
            <w:tcW w:w="2820" w:type="dxa"/>
            <w:vAlign w:val="bottom"/>
            <w:gridSpan w:val="3"/>
            <w:shd w:val="clear" w:color="auto" w:fill="CCEEFF"/>
          </w:tcPr>
          <w:p>
            <w:pPr>
              <w:ind w:left="1060"/>
              <w:spacing w:after="0" w:line="138" w:lineRule="exact"/>
              <w:rPr>
                <w:sz w:val="20"/>
                <w:szCs w:val="20"/>
                <w:color w:val="auto"/>
              </w:rPr>
            </w:pPr>
            <w:r>
              <w:rPr>
                <w:rFonts w:ascii="Arial" w:cs="Arial" w:eastAsia="Arial" w:hAnsi="Arial"/>
                <w:sz w:val="14"/>
                <w:szCs w:val="14"/>
                <w:color w:val="auto"/>
              </w:rPr>
              <w:t>First-lien loan ($19,878 par,</w:t>
            </w: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ind w:left="1060"/>
              <w:spacing w:after="0" w:line="159" w:lineRule="exact"/>
              <w:rPr>
                <w:sz w:val="20"/>
                <w:szCs w:val="20"/>
                <w:color w:val="auto"/>
              </w:rPr>
            </w:pPr>
            <w:r>
              <w:rPr>
                <w:rFonts w:ascii="Arial" w:cs="Arial" w:eastAsia="Arial" w:hAnsi="Arial"/>
                <w:sz w:val="14"/>
                <w:szCs w:val="14"/>
                <w:color w:val="auto"/>
              </w:rPr>
              <w:t>due 12/2016)</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9.50%</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w w:val="91"/>
              </w:rPr>
              <w:t>12/31/2012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19,717</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19,679</w:t>
            </w: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58,128</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58,185</w:t>
            </w:r>
          </w:p>
        </w:tc>
        <w:tc>
          <w:tcPr>
            <w:tcW w:w="36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Beverage, food and tobacco</w:t>
            </w:r>
          </w:p>
        </w:tc>
        <w:tc>
          <w:tcPr>
            <w:tcW w:w="10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AFS Technologies, Inc. </w:t>
            </w:r>
            <w:r>
              <w:rPr>
                <w:rFonts w:ascii="Arial" w:cs="Arial" w:eastAsia="Arial" w:hAnsi="Arial"/>
                <w:sz w:val="15"/>
                <w:szCs w:val="15"/>
                <w:color w:val="auto"/>
                <w:vertAlign w:val="superscript"/>
              </w:rPr>
              <w:t>(3)(4)(5)</w:t>
            </w:r>
          </w:p>
        </w:tc>
        <w:tc>
          <w:tcPr>
            <w:tcW w:w="2820" w:type="dxa"/>
            <w:vAlign w:val="bottom"/>
            <w:gridSpan w:val="3"/>
          </w:tcPr>
          <w:p>
            <w:pPr>
              <w:ind w:left="1060"/>
              <w:spacing w:after="0" w:line="138" w:lineRule="exact"/>
              <w:rPr>
                <w:sz w:val="20"/>
                <w:szCs w:val="20"/>
                <w:color w:val="auto"/>
              </w:rPr>
            </w:pPr>
            <w:r>
              <w:rPr>
                <w:rFonts w:ascii="Arial" w:cs="Arial" w:eastAsia="Arial" w:hAnsi="Arial"/>
                <w:sz w:val="14"/>
                <w:szCs w:val="14"/>
                <w:color w:val="auto"/>
              </w:rPr>
              <w:t>First-lien loan ($46,884</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20" w:type="dxa"/>
            <w:vAlign w:val="bottom"/>
            <w:gridSpan w:val="3"/>
          </w:tcPr>
          <w:p>
            <w:pPr>
              <w:ind w:left="1060"/>
              <w:spacing w:after="0" w:line="159" w:lineRule="exact"/>
              <w:rPr>
                <w:sz w:val="20"/>
                <w:szCs w:val="20"/>
                <w:color w:val="auto"/>
              </w:rPr>
            </w:pPr>
            <w:r>
              <w:rPr>
                <w:rFonts w:ascii="Arial" w:cs="Arial" w:eastAsia="Arial" w:hAnsi="Arial"/>
                <w:sz w:val="14"/>
                <w:szCs w:val="14"/>
                <w:color w:val="auto"/>
              </w:rPr>
              <w:t>par, due 8/2015)</w:t>
            </w: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7.75%</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8/31/2011</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45,987</w:t>
            </w:r>
          </w:p>
        </w:tc>
        <w:tc>
          <w:tcPr>
            <w:tcW w:w="3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46,532</w:t>
            </w:r>
          </w:p>
        </w:tc>
        <w:tc>
          <w:tcPr>
            <w:tcW w:w="12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Checkers Drive-In Restaurants,</w:t>
            </w:r>
          </w:p>
        </w:tc>
        <w:tc>
          <w:tcPr>
            <w:tcW w:w="2820" w:type="dxa"/>
            <w:vAlign w:val="bottom"/>
            <w:gridSpan w:val="3"/>
            <w:shd w:val="clear" w:color="auto" w:fill="CCEEFF"/>
          </w:tcPr>
          <w:p>
            <w:pPr>
              <w:ind w:left="1060"/>
              <w:spacing w:after="0" w:line="122" w:lineRule="exact"/>
              <w:rPr>
                <w:sz w:val="20"/>
                <w:szCs w:val="20"/>
                <w:color w:val="auto"/>
              </w:rPr>
            </w:pPr>
            <w:r>
              <w:rPr>
                <w:rFonts w:ascii="Arial" w:cs="Arial" w:eastAsia="Arial" w:hAnsi="Arial"/>
                <w:sz w:val="14"/>
                <w:szCs w:val="14"/>
                <w:color w:val="auto"/>
              </w:rPr>
              <w:t>Second-lien bond ($10,000</w:t>
            </w: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color w:val="auto"/>
              </w:rPr>
              <w:t xml:space="preserve">Inc. </w:t>
            </w:r>
            <w:r>
              <w:rPr>
                <w:rFonts w:ascii="Arial" w:cs="Arial" w:eastAsia="Arial" w:hAnsi="Arial"/>
                <w:sz w:val="20"/>
                <w:szCs w:val="20"/>
                <w:color w:val="auto"/>
                <w:vertAlign w:val="superscript"/>
              </w:rPr>
              <w:t>(5)</w:t>
            </w:r>
          </w:p>
        </w:tc>
        <w:tc>
          <w:tcPr>
            <w:tcW w:w="2820" w:type="dxa"/>
            <w:vAlign w:val="bottom"/>
            <w:gridSpan w:val="3"/>
            <w:shd w:val="clear" w:color="auto" w:fill="CCEEFF"/>
          </w:tcPr>
          <w:p>
            <w:pPr>
              <w:ind w:left="1060"/>
              <w:spacing w:after="0"/>
              <w:rPr>
                <w:sz w:val="20"/>
                <w:szCs w:val="20"/>
                <w:color w:val="auto"/>
              </w:rPr>
            </w:pPr>
            <w:r>
              <w:rPr>
                <w:rFonts w:ascii="Arial" w:cs="Arial" w:eastAsia="Arial" w:hAnsi="Arial"/>
                <w:sz w:val="14"/>
                <w:szCs w:val="14"/>
                <w:color w:val="auto"/>
              </w:rPr>
              <w:t>par, due 12/2017)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11.00%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w w:val="91"/>
              </w:rPr>
              <w:t>11/16/2012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10,017</w:t>
            </w: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10,025</w:t>
            </w: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56,004</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56,557</w:t>
            </w:r>
          </w:p>
        </w:tc>
        <w:tc>
          <w:tcPr>
            <w:tcW w:w="36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Business services</w:t>
            </w:r>
          </w:p>
        </w:tc>
        <w:tc>
          <w:tcPr>
            <w:tcW w:w="10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Consona Holdings, Inc. </w:t>
            </w:r>
            <w:r>
              <w:rPr>
                <w:rFonts w:ascii="Arial" w:cs="Arial" w:eastAsia="Arial" w:hAnsi="Arial"/>
                <w:sz w:val="15"/>
                <w:szCs w:val="15"/>
                <w:color w:val="auto"/>
                <w:vertAlign w:val="superscript"/>
              </w:rPr>
              <w:t>(3)(5)</w:t>
            </w:r>
          </w:p>
        </w:tc>
        <w:tc>
          <w:tcPr>
            <w:tcW w:w="2820" w:type="dxa"/>
            <w:vAlign w:val="bottom"/>
            <w:gridSpan w:val="3"/>
          </w:tcPr>
          <w:p>
            <w:pPr>
              <w:ind w:left="1060"/>
              <w:spacing w:after="0" w:line="138" w:lineRule="exact"/>
              <w:rPr>
                <w:sz w:val="20"/>
                <w:szCs w:val="20"/>
                <w:color w:val="auto"/>
              </w:rPr>
            </w:pPr>
            <w:r>
              <w:rPr>
                <w:rFonts w:ascii="Arial" w:cs="Arial" w:eastAsia="Arial" w:hAnsi="Arial"/>
                <w:sz w:val="14"/>
                <w:szCs w:val="14"/>
                <w:color w:val="auto"/>
              </w:rPr>
              <w:t>First-lien loan ($29,925 par,</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20" w:type="dxa"/>
            <w:vAlign w:val="bottom"/>
            <w:gridSpan w:val="3"/>
          </w:tcPr>
          <w:p>
            <w:pPr>
              <w:ind w:left="1060"/>
              <w:spacing w:after="0" w:line="159" w:lineRule="exact"/>
              <w:rPr>
                <w:sz w:val="20"/>
                <w:szCs w:val="20"/>
                <w:color w:val="auto"/>
              </w:rPr>
            </w:pPr>
            <w:r>
              <w:rPr>
                <w:rFonts w:ascii="Arial" w:cs="Arial" w:eastAsia="Arial" w:hAnsi="Arial"/>
                <w:sz w:val="14"/>
                <w:szCs w:val="14"/>
                <w:color w:val="auto"/>
              </w:rPr>
              <w:t>due 8/2018)</w:t>
            </w: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7.25%</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8/13/2012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29,514</w:t>
            </w:r>
          </w:p>
        </w:tc>
        <w:tc>
          <w:tcPr>
            <w:tcW w:w="3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29,925</w:t>
            </w:r>
          </w:p>
        </w:tc>
        <w:tc>
          <w:tcPr>
            <w:tcW w:w="12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8"/>
        </w:trPr>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Attachmate Corporation </w:t>
            </w:r>
            <w:r>
              <w:rPr>
                <w:rFonts w:ascii="Arial" w:cs="Arial" w:eastAsia="Arial" w:hAnsi="Arial"/>
                <w:sz w:val="15"/>
                <w:szCs w:val="15"/>
                <w:color w:val="auto"/>
                <w:vertAlign w:val="superscript"/>
              </w:rPr>
              <w:t>(3)(5)</w:t>
            </w:r>
          </w:p>
        </w:tc>
        <w:tc>
          <w:tcPr>
            <w:tcW w:w="2820" w:type="dxa"/>
            <w:vAlign w:val="bottom"/>
            <w:gridSpan w:val="3"/>
            <w:shd w:val="clear" w:color="auto" w:fill="CCEEFF"/>
          </w:tcPr>
          <w:p>
            <w:pPr>
              <w:ind w:left="1060"/>
              <w:spacing w:after="0" w:line="138" w:lineRule="exact"/>
              <w:rPr>
                <w:sz w:val="20"/>
                <w:szCs w:val="20"/>
                <w:color w:val="auto"/>
              </w:rPr>
            </w:pPr>
            <w:r>
              <w:rPr>
                <w:rFonts w:ascii="Arial" w:cs="Arial" w:eastAsia="Arial" w:hAnsi="Arial"/>
                <w:sz w:val="14"/>
                <w:szCs w:val="14"/>
                <w:color w:val="auto"/>
              </w:rPr>
              <w:t>First-lien loan ($926 par,</w:t>
            </w: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ind w:left="1060"/>
              <w:spacing w:after="0" w:line="159" w:lineRule="exact"/>
              <w:rPr>
                <w:sz w:val="20"/>
                <w:szCs w:val="20"/>
                <w:color w:val="auto"/>
              </w:rPr>
            </w:pPr>
            <w:r>
              <w:rPr>
                <w:rFonts w:ascii="Arial" w:cs="Arial" w:eastAsia="Arial" w:hAnsi="Arial"/>
                <w:sz w:val="14"/>
                <w:szCs w:val="14"/>
                <w:color w:val="auto"/>
              </w:rPr>
              <w:t>due 11/2017)</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7.25%</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6/25/2012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944</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894</w:t>
            </w: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30,458</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30,819</w:t>
            </w:r>
          </w:p>
        </w:tc>
        <w:tc>
          <w:tcPr>
            <w:tcW w:w="36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Capital equipment</w:t>
            </w:r>
          </w:p>
        </w:tc>
        <w:tc>
          <w:tcPr>
            <w:tcW w:w="10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Federal Signal Corporation </w:t>
            </w:r>
            <w:r>
              <w:rPr>
                <w:rFonts w:ascii="Arial" w:cs="Arial" w:eastAsia="Arial" w:hAnsi="Arial"/>
                <w:sz w:val="15"/>
                <w:szCs w:val="15"/>
                <w:color w:val="auto"/>
                <w:vertAlign w:val="superscript"/>
              </w:rPr>
              <w:t>(3)(5)</w:t>
            </w:r>
          </w:p>
        </w:tc>
        <w:tc>
          <w:tcPr>
            <w:tcW w:w="2820" w:type="dxa"/>
            <w:vAlign w:val="bottom"/>
            <w:gridSpan w:val="3"/>
          </w:tcPr>
          <w:p>
            <w:pPr>
              <w:ind w:left="1060"/>
              <w:spacing w:after="0" w:line="138" w:lineRule="exact"/>
              <w:rPr>
                <w:sz w:val="20"/>
                <w:szCs w:val="20"/>
                <w:color w:val="auto"/>
              </w:rPr>
            </w:pPr>
            <w:r>
              <w:rPr>
                <w:rFonts w:ascii="Arial" w:cs="Arial" w:eastAsia="Arial" w:hAnsi="Arial"/>
                <w:sz w:val="14"/>
                <w:szCs w:val="14"/>
                <w:color w:val="auto"/>
              </w:rPr>
              <w:t>First-lien loan ($41,608 par,</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20" w:type="dxa"/>
            <w:vAlign w:val="bottom"/>
            <w:gridSpan w:val="3"/>
          </w:tcPr>
          <w:p>
            <w:pPr>
              <w:ind w:left="1060"/>
              <w:spacing w:after="0" w:line="159" w:lineRule="exact"/>
              <w:rPr>
                <w:sz w:val="20"/>
                <w:szCs w:val="20"/>
                <w:color w:val="auto"/>
              </w:rPr>
            </w:pPr>
            <w:r>
              <w:rPr>
                <w:rFonts w:ascii="Arial" w:cs="Arial" w:eastAsia="Arial" w:hAnsi="Arial"/>
                <w:sz w:val="14"/>
                <w:szCs w:val="14"/>
                <w:color w:val="auto"/>
              </w:rPr>
              <w:t>due 2/2017)</w:t>
            </w: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12.00%</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2/22/2012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40,897</w:t>
            </w:r>
          </w:p>
        </w:tc>
        <w:tc>
          <w:tcPr>
            <w:tcW w:w="3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43,064</w:t>
            </w:r>
          </w:p>
        </w:tc>
        <w:tc>
          <w:tcPr>
            <w:tcW w:w="12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International Equipment Solutions,</w:t>
            </w:r>
          </w:p>
        </w:tc>
        <w:tc>
          <w:tcPr>
            <w:tcW w:w="2820" w:type="dxa"/>
            <w:vAlign w:val="bottom"/>
            <w:gridSpan w:val="3"/>
            <w:shd w:val="clear" w:color="auto" w:fill="CCEEFF"/>
          </w:tcPr>
          <w:p>
            <w:pPr>
              <w:ind w:left="1060"/>
              <w:spacing w:after="0" w:line="122" w:lineRule="exact"/>
              <w:rPr>
                <w:sz w:val="20"/>
                <w:szCs w:val="20"/>
                <w:color w:val="auto"/>
              </w:rPr>
            </w:pPr>
            <w:r>
              <w:rPr>
                <w:rFonts w:ascii="Arial" w:cs="Arial" w:eastAsia="Arial" w:hAnsi="Arial"/>
                <w:sz w:val="14"/>
                <w:szCs w:val="14"/>
                <w:color w:val="auto"/>
              </w:rPr>
              <w:t>First-lien loan ($29,391 par,</w:t>
            </w: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9"/>
                <w:szCs w:val="9"/>
                <w:color w:val="auto"/>
              </w:rPr>
              <w:t xml:space="preserve"> (3)(5)</w:t>
            </w:r>
          </w:p>
        </w:tc>
        <w:tc>
          <w:tcPr>
            <w:tcW w:w="2820" w:type="dxa"/>
            <w:vAlign w:val="bottom"/>
            <w:gridSpan w:val="3"/>
            <w:shd w:val="clear" w:color="auto" w:fill="CCEEFF"/>
          </w:tcPr>
          <w:p>
            <w:pPr>
              <w:ind w:left="1060"/>
              <w:spacing w:after="0"/>
              <w:rPr>
                <w:sz w:val="20"/>
                <w:szCs w:val="20"/>
                <w:color w:val="auto"/>
              </w:rPr>
            </w:pPr>
            <w:r>
              <w:rPr>
                <w:rFonts w:ascii="Arial" w:cs="Arial" w:eastAsia="Arial" w:hAnsi="Arial"/>
                <w:sz w:val="14"/>
                <w:szCs w:val="14"/>
                <w:color w:val="auto"/>
              </w:rPr>
              <w:t>due 9/2016)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8.50%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9/18/2012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28,732</w:t>
            </w: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28,876</w:t>
            </w: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69,629</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71,940</w:t>
            </w:r>
          </w:p>
        </w:tc>
        <w:tc>
          <w:tcPr>
            <w:tcW w:w="36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Construction and building</w:t>
            </w:r>
          </w:p>
        </w:tc>
        <w:tc>
          <w:tcPr>
            <w:tcW w:w="10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Mannington Mills, Inc. </w:t>
            </w:r>
            <w:r>
              <w:rPr>
                <w:rFonts w:ascii="Arial" w:cs="Arial" w:eastAsia="Arial" w:hAnsi="Arial"/>
                <w:sz w:val="15"/>
                <w:szCs w:val="15"/>
                <w:color w:val="auto"/>
                <w:vertAlign w:val="superscript"/>
              </w:rPr>
              <w:t>(3)(5)</w:t>
            </w:r>
          </w:p>
        </w:tc>
        <w:tc>
          <w:tcPr>
            <w:tcW w:w="1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14.00%</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820" w:type="dxa"/>
            <w:vAlign w:val="bottom"/>
            <w:gridSpan w:val="3"/>
          </w:tcPr>
          <w:p>
            <w:pPr>
              <w:ind w:left="1060"/>
              <w:spacing w:after="0" w:line="149" w:lineRule="exact"/>
              <w:rPr>
                <w:sz w:val="20"/>
                <w:szCs w:val="20"/>
                <w:color w:val="auto"/>
              </w:rPr>
            </w:pPr>
            <w:r>
              <w:rPr>
                <w:rFonts w:ascii="Arial" w:cs="Arial" w:eastAsia="Arial" w:hAnsi="Arial"/>
                <w:sz w:val="14"/>
                <w:szCs w:val="14"/>
                <w:color w:val="auto"/>
              </w:rPr>
              <w:t>Second-lien loan ($50,537</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2"/>
              </w:rPr>
              <w:t>(incl. 2.00%</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20" w:type="dxa"/>
            <w:vAlign w:val="bottom"/>
            <w:gridSpan w:val="3"/>
          </w:tcPr>
          <w:p>
            <w:pPr>
              <w:ind w:left="1060"/>
              <w:spacing w:after="0"/>
              <w:rPr>
                <w:sz w:val="20"/>
                <w:szCs w:val="20"/>
                <w:color w:val="auto"/>
              </w:rPr>
            </w:pPr>
            <w:r>
              <w:rPr>
                <w:rFonts w:ascii="Arial" w:cs="Arial" w:eastAsia="Arial" w:hAnsi="Arial"/>
                <w:sz w:val="14"/>
                <w:szCs w:val="14"/>
                <w:color w:val="auto"/>
              </w:rPr>
              <w:t>par, due 3/2017)</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PIK)</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3/2/2012</w:t>
            </w:r>
          </w:p>
        </w:tc>
        <w:tc>
          <w:tcPr>
            <w:tcW w:w="620" w:type="dxa"/>
            <w:vAlign w:val="bottom"/>
          </w:tcPr>
          <w:p>
            <w:pPr>
              <w:jc w:val="right"/>
              <w:spacing w:after="0"/>
              <w:rPr>
                <w:sz w:val="20"/>
                <w:szCs w:val="20"/>
                <w:color w:val="auto"/>
              </w:rPr>
            </w:pPr>
            <w:r>
              <w:rPr>
                <w:rFonts w:ascii="Arial" w:cs="Arial" w:eastAsia="Arial" w:hAnsi="Arial"/>
                <w:sz w:val="14"/>
                <w:szCs w:val="14"/>
                <w:color w:val="auto"/>
              </w:rPr>
              <w:t>49,551</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53,190</w:t>
            </w:r>
          </w:p>
        </w:tc>
        <w:tc>
          <w:tcPr>
            <w:tcW w:w="1260" w:type="dxa"/>
            <w:vAlign w:val="bottom"/>
            <w:gridSpan w:val="3"/>
          </w:tcPr>
          <w:p>
            <w:pPr>
              <w:jc w:val="right"/>
              <w:ind w:right="4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Environmental Services</w:t>
            </w:r>
          </w:p>
        </w:tc>
        <w:tc>
          <w:tcPr>
            <w:tcW w:w="10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Synagro Technologies, Inc. </w:t>
            </w:r>
            <w:r>
              <w:rPr>
                <w:rFonts w:ascii="Arial" w:cs="Arial" w:eastAsia="Arial" w:hAnsi="Arial"/>
                <w:sz w:val="15"/>
                <w:szCs w:val="15"/>
                <w:color w:val="auto"/>
                <w:vertAlign w:val="superscript"/>
              </w:rPr>
              <w:t>(3)</w:t>
            </w:r>
          </w:p>
        </w:tc>
        <w:tc>
          <w:tcPr>
            <w:tcW w:w="2820" w:type="dxa"/>
            <w:vAlign w:val="bottom"/>
            <w:gridSpan w:val="3"/>
          </w:tcPr>
          <w:p>
            <w:pPr>
              <w:ind w:left="1060"/>
              <w:spacing w:after="0" w:line="138" w:lineRule="exact"/>
              <w:rPr>
                <w:sz w:val="20"/>
                <w:szCs w:val="20"/>
                <w:color w:val="auto"/>
              </w:rPr>
            </w:pPr>
            <w:r>
              <w:rPr>
                <w:rFonts w:ascii="Arial" w:cs="Arial" w:eastAsia="Arial" w:hAnsi="Arial"/>
                <w:sz w:val="14"/>
                <w:szCs w:val="14"/>
                <w:color w:val="auto"/>
              </w:rPr>
              <w:t>First-lien loan ($3,134</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20" w:type="dxa"/>
            <w:vAlign w:val="bottom"/>
            <w:gridSpan w:val="3"/>
          </w:tcPr>
          <w:p>
            <w:pPr>
              <w:ind w:left="1060"/>
              <w:spacing w:after="0" w:line="159" w:lineRule="exact"/>
              <w:rPr>
                <w:sz w:val="20"/>
                <w:szCs w:val="20"/>
                <w:color w:val="auto"/>
              </w:rPr>
            </w:pPr>
            <w:r>
              <w:rPr>
                <w:rFonts w:ascii="Arial" w:cs="Arial" w:eastAsia="Arial" w:hAnsi="Arial"/>
                <w:sz w:val="14"/>
                <w:szCs w:val="14"/>
                <w:color w:val="auto"/>
              </w:rPr>
              <w:t>par, due 10/2014)</w:t>
            </w: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2.31%</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11/8/2012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2,759</w:t>
            </w:r>
          </w:p>
        </w:tc>
        <w:tc>
          <w:tcPr>
            <w:tcW w:w="3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2,813</w:t>
            </w:r>
          </w:p>
        </w:tc>
        <w:tc>
          <w:tcPr>
            <w:tcW w:w="12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8"/>
        </w:trPr>
        <w:tc>
          <w:tcPr>
            <w:tcW w:w="76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2820" w:type="dxa"/>
            <w:vAlign w:val="bottom"/>
            <w:gridSpan w:val="3"/>
            <w:shd w:val="clear" w:color="auto" w:fill="CCEEFF"/>
          </w:tcPr>
          <w:p>
            <w:pPr>
              <w:ind w:left="1060"/>
              <w:spacing w:after="0" w:line="138" w:lineRule="exact"/>
              <w:rPr>
                <w:sz w:val="20"/>
                <w:szCs w:val="20"/>
                <w:color w:val="auto"/>
              </w:rPr>
            </w:pPr>
            <w:r>
              <w:rPr>
                <w:rFonts w:ascii="Arial" w:cs="Arial" w:eastAsia="Arial" w:hAnsi="Arial"/>
                <w:sz w:val="14"/>
                <w:szCs w:val="14"/>
                <w:color w:val="auto"/>
              </w:rPr>
              <w:t>Second-lien loan ($5,670</w:t>
            </w: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ind w:left="1060"/>
              <w:spacing w:after="0" w:line="159" w:lineRule="exact"/>
              <w:rPr>
                <w:sz w:val="20"/>
                <w:szCs w:val="20"/>
                <w:color w:val="auto"/>
              </w:rPr>
            </w:pPr>
            <w:r>
              <w:rPr>
                <w:rFonts w:ascii="Arial" w:cs="Arial" w:eastAsia="Arial" w:hAnsi="Arial"/>
                <w:sz w:val="14"/>
                <w:szCs w:val="14"/>
                <w:color w:val="auto"/>
              </w:rPr>
              <w:t>par, due 10/2014)</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9/14/2012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2,814</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1,517</w:t>
            </w: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5,573</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4,330</w:t>
            </w:r>
          </w:p>
        </w:tc>
        <w:tc>
          <w:tcPr>
            <w:tcW w:w="36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Financial services</w:t>
            </w:r>
          </w:p>
        </w:tc>
        <w:tc>
          <w:tcPr>
            <w:tcW w:w="10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Embarcadero Technologies, Inc. </w:t>
            </w:r>
            <w:r>
              <w:rPr>
                <w:rFonts w:ascii="Arial" w:cs="Arial" w:eastAsia="Arial" w:hAnsi="Arial"/>
                <w:sz w:val="15"/>
                <w:szCs w:val="15"/>
                <w:color w:val="auto"/>
                <w:vertAlign w:val="superscript"/>
              </w:rPr>
              <w:t>(3)(4)(5)</w:t>
            </w:r>
          </w:p>
        </w:tc>
        <w:tc>
          <w:tcPr>
            <w:tcW w:w="2820" w:type="dxa"/>
            <w:vAlign w:val="bottom"/>
            <w:gridSpan w:val="3"/>
          </w:tcPr>
          <w:p>
            <w:pPr>
              <w:ind w:left="1060"/>
              <w:spacing w:after="0" w:line="138" w:lineRule="exact"/>
              <w:rPr>
                <w:sz w:val="20"/>
                <w:szCs w:val="20"/>
                <w:color w:val="auto"/>
              </w:rPr>
            </w:pPr>
            <w:r>
              <w:rPr>
                <w:rFonts w:ascii="Arial" w:cs="Arial" w:eastAsia="Arial" w:hAnsi="Arial"/>
                <w:sz w:val="14"/>
                <w:szCs w:val="14"/>
                <w:color w:val="auto"/>
              </w:rPr>
              <w:t>First-lien loan ($59,714 par,</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20" w:type="dxa"/>
            <w:vAlign w:val="bottom"/>
            <w:gridSpan w:val="3"/>
          </w:tcPr>
          <w:p>
            <w:pPr>
              <w:ind w:left="1060"/>
              <w:spacing w:after="0" w:line="159" w:lineRule="exact"/>
              <w:rPr>
                <w:sz w:val="20"/>
                <w:szCs w:val="20"/>
                <w:color w:val="auto"/>
              </w:rPr>
            </w:pPr>
            <w:r>
              <w:rPr>
                <w:rFonts w:ascii="Arial" w:cs="Arial" w:eastAsia="Arial" w:hAnsi="Arial"/>
                <w:sz w:val="14"/>
                <w:szCs w:val="14"/>
                <w:color w:val="auto"/>
              </w:rPr>
              <w:t>due 12/2017)</w:t>
            </w: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1"/>
              </w:rPr>
              <w:t>12/28/2012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58,223</w:t>
            </w:r>
          </w:p>
        </w:tc>
        <w:tc>
          <w:tcPr>
            <w:tcW w:w="3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58,221</w:t>
            </w:r>
          </w:p>
        </w:tc>
        <w:tc>
          <w:tcPr>
            <w:tcW w:w="12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38"/>
        </w:trPr>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Rogue Wave Holdings, Inc. </w:t>
            </w:r>
            <w:r>
              <w:rPr>
                <w:rFonts w:ascii="Arial" w:cs="Arial" w:eastAsia="Arial" w:hAnsi="Arial"/>
                <w:sz w:val="15"/>
                <w:szCs w:val="15"/>
                <w:color w:val="auto"/>
                <w:vertAlign w:val="superscript"/>
              </w:rPr>
              <w:t>(3)(4)(5)</w:t>
            </w:r>
          </w:p>
        </w:tc>
        <w:tc>
          <w:tcPr>
            <w:tcW w:w="2820" w:type="dxa"/>
            <w:vAlign w:val="bottom"/>
            <w:gridSpan w:val="3"/>
            <w:shd w:val="clear" w:color="auto" w:fill="CCEEFF"/>
          </w:tcPr>
          <w:p>
            <w:pPr>
              <w:ind w:left="1060"/>
              <w:spacing w:after="0" w:line="138" w:lineRule="exact"/>
              <w:rPr>
                <w:sz w:val="20"/>
                <w:szCs w:val="20"/>
                <w:color w:val="auto"/>
              </w:rPr>
            </w:pPr>
            <w:r>
              <w:rPr>
                <w:rFonts w:ascii="Arial" w:cs="Arial" w:eastAsia="Arial" w:hAnsi="Arial"/>
                <w:sz w:val="14"/>
                <w:szCs w:val="14"/>
                <w:color w:val="auto"/>
              </w:rPr>
              <w:t>First-lien loan ($40,000 par,</w:t>
            </w: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ind w:left="1060"/>
              <w:spacing w:after="0" w:line="159" w:lineRule="exact"/>
              <w:rPr>
                <w:sz w:val="20"/>
                <w:szCs w:val="20"/>
                <w:color w:val="auto"/>
              </w:rPr>
            </w:pPr>
            <w:r>
              <w:rPr>
                <w:rFonts w:ascii="Arial" w:cs="Arial" w:eastAsia="Arial" w:hAnsi="Arial"/>
                <w:sz w:val="14"/>
                <w:szCs w:val="14"/>
                <w:color w:val="auto"/>
              </w:rPr>
              <w:t>due 11/2017)</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8.25%</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w w:val="91"/>
              </w:rPr>
              <w:t>11/21/2012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38,947</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39,600</w:t>
            </w: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97,170</w:t>
            </w:r>
          </w:p>
        </w:tc>
        <w:tc>
          <w:tcPr>
            <w:tcW w:w="3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97,821</w:t>
            </w:r>
          </w:p>
        </w:tc>
        <w:tc>
          <w:tcPr>
            <w:tcW w:w="36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Interest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Acquisition</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400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5"/>
                <w:szCs w:val="15"/>
                <w:color w:val="auto"/>
              </w:rPr>
            </w:pPr>
          </w:p>
        </w:tc>
        <w:tc>
          <w:tcPr>
            <w:tcW w:w="680" w:type="dxa"/>
            <w:vAlign w:val="bottom"/>
            <w:gridSpan w:val="2"/>
          </w:tcPr>
          <w:p>
            <w:pPr>
              <w:jc w:val="right"/>
              <w:ind w:right="240"/>
              <w:spacing w:after="0" w:line="162" w:lineRule="exact"/>
              <w:rPr>
                <w:sz w:val="20"/>
                <w:szCs w:val="20"/>
                <w:color w:val="auto"/>
              </w:rPr>
            </w:pPr>
            <w:r>
              <w:rPr>
                <w:rFonts w:ascii="Arial" w:cs="Arial" w:eastAsia="Arial" w:hAnsi="Arial"/>
                <w:sz w:val="12"/>
                <w:szCs w:val="12"/>
                <w:b w:val="1"/>
                <w:bCs w:val="1"/>
                <w:color w:val="auto"/>
                <w:w w:val="93"/>
              </w:rPr>
              <w:t xml:space="preserve">Cost </w:t>
            </w:r>
            <w:r>
              <w:rPr>
                <w:rFonts w:ascii="Arial" w:cs="Arial" w:eastAsia="Arial" w:hAnsi="Arial"/>
                <w:sz w:val="18"/>
                <w:szCs w:val="18"/>
                <w:b w:val="1"/>
                <w:bCs w:val="1"/>
                <w:color w:val="auto"/>
                <w:w w:val="93"/>
                <w:vertAlign w:val="superscript"/>
              </w:rPr>
              <w:t>(2)</w:t>
            </w:r>
          </w:p>
        </w:tc>
        <w:tc>
          <w:tcPr>
            <w:tcW w:w="14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3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Healthcare and pharmaceuticals</w:t>
            </w:r>
          </w:p>
        </w:tc>
        <w:tc>
          <w:tcPr>
            <w:tcW w:w="10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eResearch Technology, Inc. </w:t>
            </w:r>
            <w:r>
              <w:rPr>
                <w:rFonts w:ascii="Arial" w:cs="Arial" w:eastAsia="Arial" w:hAnsi="Arial"/>
                <w:sz w:val="15"/>
                <w:szCs w:val="15"/>
                <w:color w:val="auto"/>
                <w:vertAlign w:val="superscript"/>
              </w:rPr>
              <w:t>(3)(5)</w:t>
            </w:r>
          </w:p>
        </w:tc>
        <w:tc>
          <w:tcPr>
            <w:tcW w:w="2840" w:type="dxa"/>
            <w:vAlign w:val="bottom"/>
            <w:gridSpan w:val="3"/>
          </w:tcPr>
          <w:p>
            <w:pPr>
              <w:ind w:left="1080"/>
              <w:spacing w:after="0" w:line="138" w:lineRule="exact"/>
              <w:rPr>
                <w:sz w:val="20"/>
                <w:szCs w:val="20"/>
                <w:color w:val="auto"/>
              </w:rPr>
            </w:pPr>
            <w:r>
              <w:rPr>
                <w:rFonts w:ascii="Arial" w:cs="Arial" w:eastAsia="Arial" w:hAnsi="Arial"/>
                <w:sz w:val="14"/>
                <w:szCs w:val="14"/>
                <w:color w:val="auto"/>
              </w:rPr>
              <w:t>First-lien loan ($24,937 par,</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840" w:type="dxa"/>
            <w:vAlign w:val="bottom"/>
            <w:gridSpan w:val="3"/>
          </w:tcPr>
          <w:p>
            <w:pPr>
              <w:ind w:left="1080"/>
              <w:spacing w:after="0" w:line="159" w:lineRule="exact"/>
              <w:rPr>
                <w:sz w:val="20"/>
                <w:szCs w:val="20"/>
                <w:color w:val="auto"/>
              </w:rPr>
            </w:pPr>
            <w:r>
              <w:rPr>
                <w:rFonts w:ascii="Arial" w:cs="Arial" w:eastAsia="Arial" w:hAnsi="Arial"/>
                <w:sz w:val="14"/>
                <w:szCs w:val="14"/>
                <w:color w:val="auto"/>
              </w:rPr>
              <w:t>due 5/2018)</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7/3/2012</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24,006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24,626</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Mediware Information Systems, Inc. </w:t>
            </w:r>
            <w:r>
              <w:rPr>
                <w:rFonts w:ascii="Arial" w:cs="Arial" w:eastAsia="Arial" w:hAnsi="Arial"/>
                <w:sz w:val="15"/>
                <w:szCs w:val="15"/>
                <w:color w:val="auto"/>
                <w:vertAlign w:val="superscript"/>
              </w:rPr>
              <w:t>(3)(4)(5)</w:t>
            </w:r>
          </w:p>
        </w:tc>
        <w:tc>
          <w:tcPr>
            <w:tcW w:w="2840" w:type="dxa"/>
            <w:vAlign w:val="bottom"/>
            <w:gridSpan w:val="3"/>
            <w:shd w:val="clear" w:color="auto" w:fill="CCEEFF"/>
          </w:tcPr>
          <w:p>
            <w:pPr>
              <w:ind w:left="1080"/>
              <w:spacing w:after="0" w:line="138" w:lineRule="exact"/>
              <w:rPr>
                <w:sz w:val="20"/>
                <w:szCs w:val="20"/>
                <w:color w:val="auto"/>
              </w:rPr>
            </w:pPr>
            <w:r>
              <w:rPr>
                <w:rFonts w:ascii="Arial" w:cs="Arial" w:eastAsia="Arial" w:hAnsi="Arial"/>
                <w:sz w:val="14"/>
                <w:szCs w:val="14"/>
                <w:color w:val="auto"/>
              </w:rPr>
              <w:t>First-lien loan ($50,500 par,</w:t>
            </w: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1080"/>
              <w:spacing w:after="0" w:line="159" w:lineRule="exact"/>
              <w:rPr>
                <w:sz w:val="20"/>
                <w:szCs w:val="20"/>
                <w:color w:val="auto"/>
              </w:rPr>
            </w:pPr>
            <w:r>
              <w:rPr>
                <w:rFonts w:ascii="Arial" w:cs="Arial" w:eastAsia="Arial" w:hAnsi="Arial"/>
                <w:sz w:val="14"/>
                <w:szCs w:val="14"/>
                <w:color w:val="auto"/>
              </w:rPr>
              <w:t>due 5/2018)</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11/9/2012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49,230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49,218</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SRS Software, LLC </w:t>
            </w:r>
            <w:r>
              <w:rPr>
                <w:rFonts w:ascii="Arial" w:cs="Arial" w:eastAsia="Arial" w:hAnsi="Arial"/>
                <w:sz w:val="15"/>
                <w:szCs w:val="15"/>
                <w:color w:val="auto"/>
                <w:vertAlign w:val="superscript"/>
              </w:rPr>
              <w:t>(3)(5)</w:t>
            </w:r>
          </w:p>
        </w:tc>
        <w:tc>
          <w:tcPr>
            <w:tcW w:w="2840" w:type="dxa"/>
            <w:vAlign w:val="bottom"/>
            <w:gridSpan w:val="3"/>
          </w:tcPr>
          <w:p>
            <w:pPr>
              <w:ind w:left="1080"/>
              <w:spacing w:after="0" w:line="138" w:lineRule="exact"/>
              <w:rPr>
                <w:sz w:val="20"/>
                <w:szCs w:val="20"/>
                <w:color w:val="auto"/>
              </w:rPr>
            </w:pPr>
            <w:r>
              <w:rPr>
                <w:rFonts w:ascii="Arial" w:cs="Arial" w:eastAsia="Arial" w:hAnsi="Arial"/>
                <w:sz w:val="14"/>
                <w:szCs w:val="14"/>
                <w:color w:val="auto"/>
              </w:rPr>
              <w:t>First-lien loan ($37,500 par,</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840" w:type="dxa"/>
            <w:vAlign w:val="bottom"/>
            <w:gridSpan w:val="3"/>
          </w:tcPr>
          <w:p>
            <w:pPr>
              <w:ind w:left="1080"/>
              <w:spacing w:after="0" w:line="159" w:lineRule="exact"/>
              <w:rPr>
                <w:sz w:val="20"/>
                <w:szCs w:val="20"/>
                <w:color w:val="auto"/>
              </w:rPr>
            </w:pPr>
            <w:r>
              <w:rPr>
                <w:rFonts w:ascii="Arial" w:cs="Arial" w:eastAsia="Arial" w:hAnsi="Arial"/>
                <w:sz w:val="14"/>
                <w:szCs w:val="14"/>
                <w:color w:val="auto"/>
              </w:rPr>
              <w:t>due 12/2017)</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8.75%</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1"/>
              </w:rPr>
              <w:t>12/28/2012</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36,439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36,563</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109,675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4"/>
              </w:rPr>
              <w:t>110,407</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ind w:left="240"/>
              <w:spacing w:after="0"/>
              <w:rPr>
                <w:sz w:val="20"/>
                <w:szCs w:val="20"/>
                <w:color w:val="auto"/>
              </w:rPr>
            </w:pPr>
            <w:r>
              <w:rPr>
                <w:rFonts w:ascii="Arial" w:cs="Arial" w:eastAsia="Arial" w:hAnsi="Arial"/>
                <w:sz w:val="14"/>
                <w:szCs w:val="14"/>
                <w:b w:val="1"/>
                <w:bCs w:val="1"/>
                <w:color w:val="auto"/>
              </w:rPr>
              <w:t>Hotel, gaming, and leisure</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Mandalay Baseball Properties, LLC </w:t>
            </w:r>
            <w:r>
              <w:rPr>
                <w:rFonts w:ascii="Arial" w:cs="Arial" w:eastAsia="Arial" w:hAnsi="Arial"/>
                <w:sz w:val="16"/>
                <w:szCs w:val="16"/>
                <w:color w:val="auto"/>
                <w:vertAlign w:val="superscript"/>
              </w:rPr>
              <w:t>(3)(5)</w:t>
            </w:r>
          </w:p>
        </w:tc>
        <w:tc>
          <w:tcPr>
            <w:tcW w:w="10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2840" w:type="dxa"/>
            <w:vAlign w:val="bottom"/>
            <w:gridSpan w:val="3"/>
            <w:shd w:val="clear" w:color="auto" w:fill="CCEEFF"/>
          </w:tcPr>
          <w:p>
            <w:pPr>
              <w:ind w:left="1080"/>
              <w:spacing w:after="0" w:line="149" w:lineRule="exact"/>
              <w:rPr>
                <w:sz w:val="20"/>
                <w:szCs w:val="20"/>
                <w:color w:val="auto"/>
              </w:rPr>
            </w:pPr>
            <w:r>
              <w:rPr>
                <w:rFonts w:ascii="Arial" w:cs="Arial" w:eastAsia="Arial" w:hAnsi="Arial"/>
                <w:sz w:val="14"/>
                <w:szCs w:val="14"/>
                <w:color w:val="auto"/>
              </w:rPr>
              <w:t>First-lien loan ($28,414 par,</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2"/>
              </w:rPr>
              <w:t>(incl. 4.00%</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840" w:type="dxa"/>
            <w:vAlign w:val="bottom"/>
            <w:gridSpan w:val="3"/>
            <w:shd w:val="clear" w:color="auto" w:fill="CCEEFF"/>
          </w:tcPr>
          <w:p>
            <w:pPr>
              <w:ind w:left="1080"/>
              <w:spacing w:after="0"/>
              <w:rPr>
                <w:sz w:val="20"/>
                <w:szCs w:val="20"/>
                <w:color w:val="auto"/>
              </w:rPr>
            </w:pPr>
            <w:r>
              <w:rPr>
                <w:rFonts w:ascii="Arial" w:cs="Arial" w:eastAsia="Arial" w:hAnsi="Arial"/>
                <w:sz w:val="14"/>
                <w:szCs w:val="14"/>
                <w:color w:val="auto"/>
              </w:rPr>
              <w:t>due 3/2017)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4/12/2012</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27,684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28,556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ind w:left="240"/>
              <w:spacing w:after="0"/>
              <w:rPr>
                <w:sz w:val="20"/>
                <w:szCs w:val="20"/>
                <w:color w:val="auto"/>
              </w:rPr>
            </w:pPr>
            <w:r>
              <w:rPr>
                <w:rFonts w:ascii="Arial" w:cs="Arial" w:eastAsia="Arial" w:hAnsi="Arial"/>
                <w:sz w:val="14"/>
                <w:szCs w:val="14"/>
                <w:b w:val="1"/>
                <w:bCs w:val="1"/>
                <w:color w:val="auto"/>
              </w:rPr>
              <w:t>Human resource support services</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SumTotal Systems, LLC </w:t>
            </w:r>
            <w:r>
              <w:rPr>
                <w:rFonts w:ascii="Arial" w:cs="Arial" w:eastAsia="Arial" w:hAnsi="Arial"/>
                <w:sz w:val="15"/>
                <w:szCs w:val="15"/>
                <w:color w:val="auto"/>
                <w:vertAlign w:val="superscript"/>
              </w:rPr>
              <w:t>(3)</w:t>
            </w:r>
          </w:p>
        </w:tc>
        <w:tc>
          <w:tcPr>
            <w:tcW w:w="2840" w:type="dxa"/>
            <w:vAlign w:val="bottom"/>
            <w:gridSpan w:val="3"/>
            <w:shd w:val="clear" w:color="auto" w:fill="CCEEFF"/>
          </w:tcPr>
          <w:p>
            <w:pPr>
              <w:ind w:left="1080"/>
              <w:spacing w:after="0" w:line="138" w:lineRule="exact"/>
              <w:rPr>
                <w:sz w:val="20"/>
                <w:szCs w:val="20"/>
                <w:color w:val="auto"/>
              </w:rPr>
            </w:pPr>
            <w:r>
              <w:rPr>
                <w:rFonts w:ascii="Arial" w:cs="Arial" w:eastAsia="Arial" w:hAnsi="Arial"/>
                <w:sz w:val="14"/>
                <w:szCs w:val="14"/>
                <w:color w:val="auto"/>
              </w:rPr>
              <w:t>First-lien loan ($10,000 par,</w:t>
            </w: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1080"/>
              <w:spacing w:after="0" w:line="159" w:lineRule="exact"/>
              <w:rPr>
                <w:sz w:val="20"/>
                <w:szCs w:val="20"/>
                <w:color w:val="auto"/>
              </w:rPr>
            </w:pPr>
            <w:r>
              <w:rPr>
                <w:rFonts w:ascii="Arial" w:cs="Arial" w:eastAsia="Arial" w:hAnsi="Arial"/>
                <w:sz w:val="14"/>
                <w:szCs w:val="14"/>
                <w:color w:val="auto"/>
              </w:rPr>
              <w:t>due 11/2018)</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6.25%</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1"/>
              </w:rPr>
              <w:t>11/16/2012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9,867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9,925</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840" w:type="dxa"/>
            <w:vAlign w:val="bottom"/>
            <w:gridSpan w:val="3"/>
          </w:tcPr>
          <w:p>
            <w:pPr>
              <w:ind w:left="1080"/>
              <w:spacing w:after="0" w:line="138" w:lineRule="exact"/>
              <w:rPr>
                <w:sz w:val="20"/>
                <w:szCs w:val="20"/>
                <w:color w:val="auto"/>
              </w:rPr>
            </w:pPr>
            <w:r>
              <w:rPr>
                <w:rFonts w:ascii="Arial" w:cs="Arial" w:eastAsia="Arial" w:hAnsi="Arial"/>
                <w:sz w:val="14"/>
                <w:szCs w:val="14"/>
                <w:color w:val="auto"/>
              </w:rPr>
              <w:t>Second-lien loan ($5,000</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840" w:type="dxa"/>
            <w:vAlign w:val="bottom"/>
            <w:gridSpan w:val="3"/>
          </w:tcPr>
          <w:p>
            <w:pPr>
              <w:ind w:left="1080"/>
              <w:spacing w:after="0" w:line="159" w:lineRule="exact"/>
              <w:rPr>
                <w:sz w:val="20"/>
                <w:szCs w:val="20"/>
                <w:color w:val="auto"/>
              </w:rPr>
            </w:pPr>
            <w:r>
              <w:rPr>
                <w:rFonts w:ascii="Arial" w:cs="Arial" w:eastAsia="Arial" w:hAnsi="Arial"/>
                <w:sz w:val="14"/>
                <w:szCs w:val="14"/>
                <w:color w:val="auto"/>
              </w:rPr>
              <w:t>par, due 5/2018)</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10.25%</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1"/>
              </w:rPr>
              <w:t>11/16/2012</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4,950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4,925</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14,850</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ind w:left="240"/>
              <w:spacing w:after="0"/>
              <w:rPr>
                <w:sz w:val="20"/>
                <w:szCs w:val="20"/>
                <w:color w:val="auto"/>
              </w:rPr>
            </w:pPr>
            <w:r>
              <w:rPr>
                <w:rFonts w:ascii="Arial" w:cs="Arial" w:eastAsia="Arial" w:hAnsi="Arial"/>
                <w:sz w:val="14"/>
                <w:szCs w:val="14"/>
                <w:b w:val="1"/>
                <w:bCs w:val="1"/>
                <w:color w:val="auto"/>
              </w:rPr>
              <w:t>Insurance</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Infogix, Inc. </w:t>
            </w:r>
            <w:r>
              <w:rPr>
                <w:rFonts w:ascii="Arial" w:cs="Arial" w:eastAsia="Arial" w:hAnsi="Arial"/>
                <w:sz w:val="16"/>
                <w:szCs w:val="16"/>
                <w:color w:val="auto"/>
                <w:vertAlign w:val="superscript"/>
              </w:rPr>
              <w:t>(3)(5)</w:t>
            </w:r>
          </w:p>
        </w:tc>
        <w:tc>
          <w:tcPr>
            <w:tcW w:w="2840" w:type="dxa"/>
            <w:vAlign w:val="bottom"/>
            <w:gridSpan w:val="3"/>
            <w:shd w:val="clear" w:color="auto" w:fill="CCEEFF"/>
          </w:tcPr>
          <w:p>
            <w:pPr>
              <w:ind w:left="1080"/>
              <w:spacing w:after="0" w:line="139" w:lineRule="exact"/>
              <w:rPr>
                <w:sz w:val="20"/>
                <w:szCs w:val="20"/>
                <w:color w:val="auto"/>
              </w:rPr>
            </w:pPr>
            <w:r>
              <w:rPr>
                <w:rFonts w:ascii="Arial" w:cs="Arial" w:eastAsia="Arial" w:hAnsi="Arial"/>
                <w:sz w:val="14"/>
                <w:szCs w:val="14"/>
                <w:color w:val="auto"/>
              </w:rPr>
              <w:t>First-lien loan ($30,613 par,</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1080"/>
              <w:spacing w:after="0" w:line="159" w:lineRule="exact"/>
              <w:rPr>
                <w:sz w:val="20"/>
                <w:szCs w:val="20"/>
                <w:color w:val="auto"/>
              </w:rPr>
            </w:pPr>
            <w:r>
              <w:rPr>
                <w:rFonts w:ascii="Arial" w:cs="Arial" w:eastAsia="Arial" w:hAnsi="Arial"/>
                <w:sz w:val="14"/>
                <w:szCs w:val="14"/>
                <w:color w:val="auto"/>
              </w:rPr>
              <w:t>due 6/2017)</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6/1/2012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29,974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30,346</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ind w:left="240"/>
              <w:spacing w:after="0"/>
              <w:rPr>
                <w:sz w:val="20"/>
                <w:szCs w:val="20"/>
                <w:color w:val="auto"/>
              </w:rPr>
            </w:pPr>
            <w:r>
              <w:rPr>
                <w:rFonts w:ascii="Arial" w:cs="Arial" w:eastAsia="Arial" w:hAnsi="Arial"/>
                <w:sz w:val="14"/>
                <w:szCs w:val="14"/>
                <w:b w:val="1"/>
                <w:bCs w:val="1"/>
                <w:color w:val="auto"/>
              </w:rPr>
              <w:t>Office products</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Ecommerce Industries, Inc. </w:t>
            </w:r>
            <w:r>
              <w:rPr>
                <w:rFonts w:ascii="Arial" w:cs="Arial" w:eastAsia="Arial" w:hAnsi="Arial"/>
                <w:sz w:val="15"/>
                <w:szCs w:val="15"/>
                <w:color w:val="auto"/>
                <w:vertAlign w:val="superscript"/>
              </w:rPr>
              <w:t>(3)(4)(5)</w:t>
            </w:r>
          </w:p>
        </w:tc>
        <w:tc>
          <w:tcPr>
            <w:tcW w:w="2840" w:type="dxa"/>
            <w:vAlign w:val="bottom"/>
            <w:gridSpan w:val="3"/>
            <w:shd w:val="clear" w:color="auto" w:fill="CCEEFF"/>
          </w:tcPr>
          <w:p>
            <w:pPr>
              <w:ind w:left="1080"/>
              <w:spacing w:after="0" w:line="138" w:lineRule="exact"/>
              <w:rPr>
                <w:sz w:val="20"/>
                <w:szCs w:val="20"/>
                <w:color w:val="auto"/>
              </w:rPr>
            </w:pPr>
            <w:r>
              <w:rPr>
                <w:rFonts w:ascii="Arial" w:cs="Arial" w:eastAsia="Arial" w:hAnsi="Arial"/>
                <w:sz w:val="14"/>
                <w:szCs w:val="14"/>
                <w:color w:val="auto"/>
              </w:rPr>
              <w:t>First-lien loan ($21,562</w:t>
            </w: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1080"/>
              <w:spacing w:after="0" w:line="159" w:lineRule="exact"/>
              <w:rPr>
                <w:sz w:val="20"/>
                <w:szCs w:val="20"/>
                <w:color w:val="auto"/>
              </w:rPr>
            </w:pPr>
            <w:r>
              <w:rPr>
                <w:rFonts w:ascii="Arial" w:cs="Arial" w:eastAsia="Arial" w:hAnsi="Arial"/>
                <w:sz w:val="14"/>
                <w:szCs w:val="14"/>
                <w:color w:val="auto"/>
              </w:rPr>
              <w:t>par, due 10/2016)</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1"/>
              </w:rPr>
              <w:t>10/17/2011</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21,286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21,808</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ind w:left="240"/>
              <w:spacing w:after="0"/>
              <w:rPr>
                <w:sz w:val="20"/>
                <w:szCs w:val="20"/>
                <w:color w:val="auto"/>
              </w:rPr>
            </w:pPr>
            <w:r>
              <w:rPr>
                <w:rFonts w:ascii="Arial" w:cs="Arial" w:eastAsia="Arial" w:hAnsi="Arial"/>
                <w:sz w:val="14"/>
                <w:szCs w:val="14"/>
                <w:b w:val="1"/>
                <w:bCs w:val="1"/>
                <w:color w:val="auto"/>
              </w:rPr>
              <w:t>Transportation</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Teletrac, Inc. </w:t>
            </w:r>
            <w:r>
              <w:rPr>
                <w:rFonts w:ascii="Arial" w:cs="Arial" w:eastAsia="Arial" w:hAnsi="Arial"/>
                <w:sz w:val="15"/>
                <w:szCs w:val="15"/>
                <w:color w:val="auto"/>
                <w:vertAlign w:val="superscript"/>
              </w:rPr>
              <w:t>(3)(4)(5)</w:t>
            </w:r>
          </w:p>
        </w:tc>
        <w:tc>
          <w:tcPr>
            <w:tcW w:w="2840" w:type="dxa"/>
            <w:vAlign w:val="bottom"/>
            <w:gridSpan w:val="3"/>
            <w:shd w:val="clear" w:color="auto" w:fill="CCEEFF"/>
          </w:tcPr>
          <w:p>
            <w:pPr>
              <w:ind w:left="1080"/>
              <w:spacing w:after="0" w:line="138" w:lineRule="exact"/>
              <w:rPr>
                <w:sz w:val="20"/>
                <w:szCs w:val="20"/>
                <w:color w:val="auto"/>
              </w:rPr>
            </w:pPr>
            <w:r>
              <w:rPr>
                <w:rFonts w:ascii="Arial" w:cs="Arial" w:eastAsia="Arial" w:hAnsi="Arial"/>
                <w:sz w:val="14"/>
                <w:szCs w:val="14"/>
                <w:color w:val="auto"/>
              </w:rPr>
              <w:t>First-lien loan ($17,413 par,</w:t>
            </w: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1080"/>
              <w:spacing w:after="0" w:line="159" w:lineRule="exact"/>
              <w:rPr>
                <w:sz w:val="20"/>
                <w:szCs w:val="20"/>
                <w:color w:val="auto"/>
              </w:rPr>
            </w:pPr>
            <w:r>
              <w:rPr>
                <w:rFonts w:ascii="Arial" w:cs="Arial" w:eastAsia="Arial" w:hAnsi="Arial"/>
                <w:sz w:val="14"/>
                <w:szCs w:val="14"/>
                <w:color w:val="auto"/>
              </w:rPr>
              <w:t>due 7/2017)</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6.65%</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7/23/2012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17,049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17,151</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Debt Investments</w:t>
            </w: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642,421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4"/>
              </w:rPr>
              <w:t>651,944</w:t>
            </w: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Healthcare and pharmaceuticals</w:t>
            </w:r>
          </w:p>
        </w:tc>
        <w:tc>
          <w:tcPr>
            <w:tcW w:w="10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Equity Investments</w:t>
            </w:r>
          </w:p>
        </w:tc>
        <w:tc>
          <w:tcPr>
            <w:tcW w:w="1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SRS Parent Corp.</w:t>
            </w:r>
          </w:p>
        </w:tc>
        <w:tc>
          <w:tcPr>
            <w:tcW w:w="2840" w:type="dxa"/>
            <w:vAlign w:val="bottom"/>
            <w:gridSpan w:val="3"/>
            <w:shd w:val="clear" w:color="auto" w:fill="CCEEFF"/>
          </w:tcPr>
          <w:p>
            <w:pPr>
              <w:ind w:left="1080"/>
              <w:spacing w:after="0" w:line="138" w:lineRule="exact"/>
              <w:rPr>
                <w:sz w:val="20"/>
                <w:szCs w:val="20"/>
                <w:color w:val="auto"/>
              </w:rPr>
            </w:pPr>
            <w:r>
              <w:rPr>
                <w:rFonts w:ascii="Arial" w:cs="Arial" w:eastAsia="Arial" w:hAnsi="Arial"/>
                <w:sz w:val="14"/>
                <w:szCs w:val="14"/>
                <w:color w:val="auto"/>
              </w:rPr>
              <w:t>Common Shares Class A</w:t>
            </w: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1080"/>
              <w:spacing w:after="0" w:line="159" w:lineRule="exact"/>
              <w:rPr>
                <w:sz w:val="20"/>
                <w:szCs w:val="20"/>
                <w:color w:val="auto"/>
              </w:rPr>
            </w:pPr>
            <w:r>
              <w:rPr>
                <w:rFonts w:ascii="Arial" w:cs="Arial" w:eastAsia="Arial" w:hAnsi="Arial"/>
                <w:sz w:val="14"/>
                <w:szCs w:val="14"/>
                <w:color w:val="auto"/>
              </w:rPr>
              <w:t>(1,980 shares)</w:t>
            </w: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1"/>
              </w:rPr>
              <w:t>12/28/2012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1,980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1,980</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840" w:type="dxa"/>
            <w:vAlign w:val="bottom"/>
            <w:gridSpan w:val="3"/>
          </w:tcPr>
          <w:p>
            <w:pPr>
              <w:ind w:left="1080"/>
              <w:spacing w:after="0" w:line="138" w:lineRule="exact"/>
              <w:rPr>
                <w:sz w:val="20"/>
                <w:szCs w:val="20"/>
                <w:color w:val="auto"/>
              </w:rPr>
            </w:pPr>
            <w:r>
              <w:rPr>
                <w:rFonts w:ascii="Arial" w:cs="Arial" w:eastAsia="Arial" w:hAnsi="Arial"/>
                <w:sz w:val="14"/>
                <w:szCs w:val="14"/>
                <w:color w:val="auto"/>
              </w:rPr>
              <w:t>Common Shares Class B</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840" w:type="dxa"/>
            <w:vAlign w:val="bottom"/>
            <w:gridSpan w:val="3"/>
          </w:tcPr>
          <w:p>
            <w:pPr>
              <w:ind w:left="1080"/>
              <w:spacing w:after="0" w:line="159" w:lineRule="exact"/>
              <w:rPr>
                <w:sz w:val="20"/>
                <w:szCs w:val="20"/>
                <w:color w:val="auto"/>
              </w:rPr>
            </w:pPr>
            <w:r>
              <w:rPr>
                <w:rFonts w:ascii="Arial" w:cs="Arial" w:eastAsia="Arial" w:hAnsi="Arial"/>
                <w:sz w:val="14"/>
                <w:szCs w:val="14"/>
                <w:color w:val="auto"/>
              </w:rPr>
              <w:t>(2,953,020 shares)</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1"/>
              </w:rPr>
              <w:t>12/28/2012</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20</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2,000</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Equity Investments</w:t>
            </w: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2,000</w:t>
            </w: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10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644,421</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653,944</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2"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ind w:left="460" w:right="500" w:hanging="452"/>
        <w:spacing w:after="0" w:line="250"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160" w:hanging="452"/>
        <w:spacing w:after="0" w:line="250"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the Company may be entitled to receive additional amounts as a result of an arrangement between the Company and other lenders in any syndication.</w:t>
      </w:r>
    </w:p>
    <w:p>
      <w:pPr>
        <w:ind w:left="460" w:right="60" w:hanging="452"/>
        <w:spacing w:after="0" w:line="261"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Transactions during the year ended December 31, 2012 in which the issuer was an affiliated company (but not a portfolio company that we “control”)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and for the Year</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Ended December 31, 2012</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93"/>
              </w:rPr>
              <w:t>Fair</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93"/>
              </w:rPr>
              <w:t>Fair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Value at</w:t>
            </w:r>
          </w:p>
        </w:tc>
        <w:tc>
          <w:tcPr>
            <w:tcW w:w="3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Value at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3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1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0"/>
              </w:rPr>
              <w:t>Interest</w:t>
            </w:r>
          </w:p>
        </w:tc>
        <w:tc>
          <w:tcPr>
            <w:tcW w:w="3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Dividend</w:t>
            </w:r>
          </w:p>
        </w:tc>
        <w:tc>
          <w:tcPr>
            <w:tcW w:w="34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(b)</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2"/>
                <w:szCs w:val="12"/>
                <w:color w:val="auto"/>
              </w:rPr>
            </w:pP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Gains</w:t>
            </w: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2"/>
                <w:szCs w:val="12"/>
                <w:color w:val="auto"/>
              </w:rPr>
            </w:pPr>
          </w:p>
        </w:tc>
        <w:tc>
          <w:tcPr>
            <w:tcW w:w="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1"/>
        </w:trPr>
        <w:tc>
          <w:tcPr>
            <w:tcW w:w="2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AFS Technologies,</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42,663</w:t>
            </w:r>
          </w:p>
        </w:tc>
        <w:tc>
          <w:tcPr>
            <w:tcW w:w="9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118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(58,316)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2,724</w:t>
            </w:r>
          </w:p>
        </w:tc>
        <w:tc>
          <w:tcPr>
            <w:tcW w:w="8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$ 1,231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42,663</w:t>
            </w:r>
          </w:p>
        </w:tc>
        <w:tc>
          <w:tcPr>
            <w:tcW w:w="920" w:type="dxa"/>
            <w:vAlign w:val="bottom"/>
            <w:gridSpan w:val="2"/>
          </w:tcPr>
          <w:p>
            <w:pPr>
              <w:jc w:val="center"/>
              <w:ind w:left="25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1180" w:type="dxa"/>
            <w:vAlign w:val="bottom"/>
            <w:gridSpan w:val="3"/>
          </w:tcPr>
          <w:p>
            <w:pPr>
              <w:ind w:left="3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(58,316)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2,724</w:t>
            </w:r>
          </w:p>
        </w:tc>
        <w:tc>
          <w:tcPr>
            <w:tcW w:w="86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$ 1,231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50"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ind w:left="460" w:right="540" w:hanging="452"/>
        <w:spacing w:after="0" w:line="261"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connection with the redemption of the Company’s preferred equity investment, AFS Technologies, Inc. was no longer an affiliated company as of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Nine Months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r>
      <w:tr>
        <w:trPr>
          <w:trHeight w:val="149"/>
        </w:trPr>
        <w:tc>
          <w:tcPr>
            <w:tcW w:w="7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7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investment income</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40,508</w:t>
            </w:r>
          </w:p>
        </w:tc>
        <w:tc>
          <w:tcPr>
            <w:tcW w:w="58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6,166</w:t>
            </w: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Net realized gains</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45,927</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27,135</w:t>
            </w:r>
          </w:p>
        </w:tc>
      </w:tr>
      <w:tr>
        <w:trPr>
          <w:trHeight w:val="221"/>
        </w:trPr>
        <w:tc>
          <w:tcPr>
            <w:tcW w:w="716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187,692</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19,077</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(40,575)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(17,180)</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w:t>
            </w:r>
          </w:p>
        </w:tc>
      </w:tr>
      <w:tr>
        <w:trPr>
          <w:trHeight w:val="20"/>
        </w:trPr>
        <w:tc>
          <w:tcPr>
            <w:tcW w:w="7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(40,575)</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(19,510)</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7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35,359</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173,264</w:t>
            </w:r>
          </w:p>
        </w:tc>
        <w:tc>
          <w:tcPr>
            <w:tcW w:w="100" w:type="dxa"/>
            <w:vAlign w:val="bottom"/>
            <w:shd w:val="clear" w:color="auto" w:fill="CCEEFF"/>
          </w:tcPr>
          <w:p>
            <w:pPr>
              <w:spacing w:after="0"/>
              <w:rPr>
                <w:sz w:val="18"/>
                <w:szCs w:val="18"/>
                <w:color w:val="auto"/>
              </w:rPr>
            </w:pPr>
          </w:p>
        </w:tc>
      </w:tr>
      <w:tr>
        <w:trPr>
          <w:trHeight w:val="221"/>
        </w:trPr>
        <w:tc>
          <w:tcPr>
            <w:tcW w:w="7160" w:type="dxa"/>
            <w:vAlign w:val="bottom"/>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81,286</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200,399</w:t>
            </w:r>
          </w:p>
        </w:tc>
      </w:tr>
      <w:tr>
        <w:trPr>
          <w:trHeight w:val="218"/>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period</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479,803</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173,092</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561,089</w:t>
            </w:r>
          </w:p>
        </w:tc>
        <w:tc>
          <w:tcPr>
            <w:tcW w:w="580" w:type="dxa"/>
            <w:vAlign w:val="bottom"/>
          </w:tcPr>
          <w:p>
            <w:pPr>
              <w:spacing w:after="0"/>
              <w:rPr>
                <w:sz w:val="19"/>
                <w:szCs w:val="19"/>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373,491</w:t>
            </w:r>
          </w:p>
        </w:tc>
      </w:tr>
      <w:tr>
        <w:trPr>
          <w:trHeight w:val="20"/>
        </w:trPr>
        <w:tc>
          <w:tcPr>
            <w:tcW w:w="7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Undistributed Net Investment Income Included in Net Assets at the End of the Period</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(1,083)</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Nine Months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45,927</w:t>
            </w:r>
          </w:p>
        </w:tc>
        <w:tc>
          <w:tcPr>
            <w:tcW w:w="56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27,135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increase in net assets resulting from operations to net cash used in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Net change in unrealized gains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(4,004)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gains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(1,415)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Realized gains on foreign currency forward contracts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(5,216)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1,514</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investments, net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(432,428)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Proceeds from investments,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46,357</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on investments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Paid-in-kind interest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(2,061)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Interest receivable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(722)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Management fees payable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Incentive fees payable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Payable to affiliate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(1,891)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Cash Used in Operating Activities</w:t>
            </w: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(186,185)</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Borrowings on revolving credit facilities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717,000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on revolving credit facilities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(710,569)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56,857</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Dividend paid to stockholders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(17,858)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Debt issuance costs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(1,427)</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Cash Provided by Financing Activities</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44,003</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tcPr>
          <w:p>
            <w:pPr>
              <w:ind w:left="86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(142,182)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34,599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161,825</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860"/>
              <w:spacing w:after="0"/>
              <w:rPr>
                <w:sz w:val="20"/>
                <w:szCs w:val="20"/>
                <w:color w:val="auto"/>
              </w:rPr>
            </w:pPr>
            <w:r>
              <w:rPr>
                <w:rFonts w:ascii="Arial" w:cs="Arial" w:eastAsia="Arial" w:hAnsi="Arial"/>
                <w:sz w:val="18"/>
                <w:szCs w:val="18"/>
                <w:b w:val="1"/>
                <w:bCs w:val="1"/>
                <w:color w:val="auto"/>
              </w:rPr>
              <w:t>Cash and Cash Equivalents, End of Period</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19,643</w:t>
            </w:r>
          </w:p>
        </w:tc>
        <w:tc>
          <w:tcPr>
            <w:tcW w:w="560" w:type="dxa"/>
            <w:vAlign w:val="bottom"/>
          </w:tcPr>
          <w:p>
            <w:pPr>
              <w:spacing w:after="0"/>
              <w:rPr>
                <w:sz w:val="19"/>
                <w:szCs w:val="19"/>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paid during the period</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6,263</w:t>
            </w:r>
          </w:p>
        </w:tc>
        <w:tc>
          <w:tcPr>
            <w:tcW w:w="56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during the period</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40,575</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Reinvestment of dividends during the period</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19,077</w:t>
            </w:r>
          </w:p>
        </w:tc>
        <w:tc>
          <w:tcPr>
            <w:tcW w:w="56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159" w:lineRule="exact"/>
        <w:rPr>
          <w:sz w:val="20"/>
          <w:szCs w:val="20"/>
          <w:color w:val="auto"/>
        </w:rPr>
      </w:pPr>
    </w:p>
    <w:p>
      <w:pPr>
        <w:ind w:right="8280" w:firstLine="8"/>
        <w:spacing w:after="0" w:line="347" w:lineRule="auto"/>
        <w:tabs>
          <w:tab w:leader="none" w:pos="176"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TPG Specialty Lending, Inc. (collectively with its consolidated subsidiaries,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2012, which was filed with the Securities and Exchange Commission (“SEC”) on March 15, 2013.</w:t>
      </w:r>
    </w:p>
    <w:p>
      <w:pPr>
        <w:spacing w:after="0" w:line="11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900" w:firstLine="8"/>
        <w:spacing w:after="0" w:line="347" w:lineRule="auto"/>
        <w:tabs>
          <w:tab w:leader="none" w:pos="176"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 the reversal of previously recorded unrealized gains or losses with respect to investments realized during the period.</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a value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debt and equity securities that were valued at fair value in good faith by the Board, the Board has engaged independent third-party valuation firms to perform certain limited procedures that the Board identified and requested them to perform. As of September 30, 2013, independent third-party valuation firms performed their procedures over substantially all of the Company’s investments. Upon completion of such limited procedures for the quarter ended September 30, 2013, the third-party valuation firms determined that the fair value, as determined by the Board, of those investments subjected to their limited procedures, was reasonable.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as amended, which establishes a framework for measuring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63" w:lineRule="exact"/>
        <w:rPr>
          <w:sz w:val="20"/>
          <w:szCs w:val="20"/>
          <w:color w:val="auto"/>
        </w:rPr>
      </w:pPr>
    </w:p>
    <w:p>
      <w:pPr>
        <w:ind w:left="900" w:hanging="325"/>
        <w:spacing w:after="0"/>
        <w:tabs>
          <w:tab w:leader="none" w:pos="9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including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60"/>
          </w:cols>
          <w:pgMar w:left="240" w:top="459" w:right="2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instruments are subject to various risks similar to non-derivative instruments including market, credit, liquidity, and operational risks. The Company manages these risks on an aggregate basis as part of its risk management policies.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hanging="325"/>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has elected to be treated as a RIC under the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1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219" w:lineRule="exact"/>
        <w:rPr>
          <w:sz w:val="20"/>
          <w:szCs w:val="20"/>
          <w:color w:val="auto"/>
        </w:rPr>
      </w:pPr>
    </w:p>
    <w:p>
      <w:pPr>
        <w:ind w:right="7880" w:firstLine="8"/>
        <w:spacing w:after="0" w:line="347" w:lineRule="auto"/>
        <w:tabs>
          <w:tab w:leader="none" w:pos="176"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three and nine months ended September 30, 2013, the Company incurred expenses of $0.3 million and $0.9 million, respectively, for administrative services payable to the Adviser under the terms of the Administration Agreement. For the three and nine months ended September 30, 2012, the Company incurred expenses of $0.2 million and $0.7 million, respectively, for administrative services payable to the Adviser under the terms of the Administration Agreement.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which now remains in effect, unless earlier terminated as described below, for a period of one year from the date it was approved by the Board. The Administration Agreement may be terminated by either party without penalty upon at least 60 days’ written notice to the other party.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April 15, 2011, the Company entered into an Advisory Agreement (the “Advisory Agreement”) with the Adviser. The Advisory Agreement was subsequently amended on December 12, 2011. Under the terms of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the three and nine months ended September 30, 2013, Management Fees were $3.4 million and $9.7 million, respectively. For the three and nine months ended September 30, 2012, Management Fees were $2.5 million and $6.1 million, respectively.</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Until such time that the Company has an initial public offering of its Common Stock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the three and nine months ended September 30, 2013, Management Fees of $1.9 million and $5.0 million, respectively, were waived. For the three and nine months ended September 30, 2012, Management Fees of $1.2 million and $2.4 million, respectively, were waived.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hanging="446"/>
        <w:spacing w:after="0" w:line="306"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net of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accrues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For the three and nine months ended September 30, 2013, Incentive Fees were $2.9 million and $8.1 million, respectively, of which $2.6 million and $7.3 million, respectively, were realized and payable to the Adviser. For the three and nine months ended September 30, 2012, Incentive Fees were $2.4 million and $4.8 million, respectively, of which $1.5 million and $3.3 million, respectively, were realized and payable to the Adviser.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5, 2013, the Board renewed the Advisory Agreement which now remains in effect, unless earlier terminated as described below, for a period of one year from the date it was approved by the Board.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and nine months ended September 30, 2013, were $1.2 million and $3.4 million, respectively. Expenses incurred by the Adviser on behalf of the Company for the three and nine months ended September 30, 2012, were $0.9 million and $2.6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(as defined under the 1940 Act).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(as defined under the 1940 Act).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September 30,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September 30, 2013</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Amortized Cost</w:t>
            </w:r>
          </w:p>
        </w:tc>
        <w:tc>
          <w:tcPr>
            <w:tcW w:w="8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8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794,192</w:t>
            </w:r>
          </w:p>
        </w:tc>
        <w:tc>
          <w:tcPr>
            <w:tcW w:w="8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$803,942</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77,608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83,668</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2,780</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1,720</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874,580</w:t>
            </w:r>
          </w:p>
        </w:tc>
        <w:tc>
          <w:tcPr>
            <w:tcW w:w="8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889,330</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December 31, 2012</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Amortized Cost</w:t>
            </w:r>
          </w:p>
        </w:tc>
        <w:tc>
          <w:tcPr>
            <w:tcW w:w="8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8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8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67,332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69,657</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right="60" w:hanging="572"/>
        <w:spacing w:after="0" w:line="268" w:lineRule="auto"/>
        <w:tabs>
          <w:tab w:leader="none" w:pos="5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as of September 30, 2013 and December 31, 2012,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5"/>
              </w:rPr>
              <w:t>September 30, 2013</w:t>
            </w:r>
          </w:p>
        </w:tc>
        <w:tc>
          <w:tcPr>
            <w:tcW w:w="760" w:type="dxa"/>
            <w:vAlign w:val="bottom"/>
          </w:tcPr>
          <w:p>
            <w:pPr>
              <w:spacing w:after="0"/>
              <w:rPr>
                <w:sz w:val="14"/>
                <w:szCs w:val="14"/>
                <w:color w:val="auto"/>
              </w:rPr>
            </w:pP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w:t>
            </w:r>
          </w:p>
        </w:tc>
        <w:tc>
          <w:tcPr>
            <w:tcW w:w="6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Automotive</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6.9%</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14.2%</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5.9%</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10.0%</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15.5%</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8.0%</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5.8%</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4.0%</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Office products</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2.3%</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Transportation</w:t>
            </w:r>
          </w:p>
        </w:tc>
        <w:tc>
          <w:tcPr>
            <w:tcW w:w="126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as of September 30, 2013 and December 31, 2012,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7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 2013</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Midwest</w:t>
            </w:r>
          </w:p>
        </w:tc>
        <w:tc>
          <w:tcPr>
            <w:tcW w:w="3700" w:type="dxa"/>
            <w:vAlign w:val="bottom"/>
            <w:gridSpan w:val="3"/>
          </w:tcPr>
          <w:p>
            <w:pPr>
              <w:jc w:val="right"/>
              <w:ind w:right="620"/>
              <w:spacing w:after="0"/>
              <w:rPr>
                <w:sz w:val="20"/>
                <w:szCs w:val="20"/>
                <w:color w:val="auto"/>
              </w:rPr>
            </w:pPr>
            <w:r>
              <w:rPr>
                <w:rFonts w:ascii="Arial" w:cs="Arial" w:eastAsia="Arial" w:hAnsi="Arial"/>
                <w:sz w:val="18"/>
                <w:szCs w:val="18"/>
                <w:color w:val="auto"/>
              </w:rPr>
              <w:t>16.5%</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South</w:t>
            </w:r>
          </w:p>
        </w:tc>
        <w:tc>
          <w:tcPr>
            <w:tcW w:w="3700" w:type="dxa"/>
            <w:vAlign w:val="bottom"/>
            <w:gridSpan w:val="3"/>
          </w:tcPr>
          <w:p>
            <w:pPr>
              <w:jc w:val="right"/>
              <w:ind w:right="620"/>
              <w:spacing w:after="0"/>
              <w:rPr>
                <w:sz w:val="20"/>
                <w:szCs w:val="20"/>
                <w:color w:val="auto"/>
              </w:rPr>
            </w:pPr>
            <w:r>
              <w:rPr>
                <w:rFonts w:ascii="Arial" w:cs="Arial" w:eastAsia="Arial" w:hAnsi="Arial"/>
                <w:sz w:val="18"/>
                <w:szCs w:val="18"/>
                <w:color w:val="auto"/>
              </w:rPr>
              <w:t>25.4%</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32.8%</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Europe</w:t>
            </w:r>
          </w:p>
        </w:tc>
        <w:tc>
          <w:tcPr>
            <w:tcW w:w="180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3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8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140" w:firstLine="8"/>
        <w:spacing w:after="0" w:line="444" w:lineRule="auto"/>
        <w:tabs>
          <w:tab w:leader="none" w:pos="176"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typically have terms of approximately one month.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During the three and nine months ended September 30, 2013, we entered into foreign currency forward contracts related to our investments in Jeeves Information Systems AB (SEK) and Soho House Bond Ltd. (GBP).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details of open foreign currency forward contracts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Unrealized</w:t>
            </w:r>
          </w:p>
        </w:tc>
        <w:tc>
          <w:tcPr>
            <w:tcW w:w="0" w:type="dxa"/>
            <w:vAlign w:val="bottom"/>
          </w:tcPr>
          <w:p>
            <w:pPr>
              <w:spacing w:after="0"/>
              <w:rPr>
                <w:sz w:val="1"/>
                <w:szCs w:val="1"/>
                <w:color w:val="auto"/>
              </w:rPr>
            </w:pPr>
          </w:p>
        </w:tc>
      </w:tr>
      <w:tr>
        <w:trPr>
          <w:trHeight w:val="149"/>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Foreign Currency</w:t>
            </w:r>
          </w:p>
        </w:tc>
        <w:tc>
          <w:tcPr>
            <w:tcW w:w="224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Amount (in ‘000s)</w:t>
            </w:r>
          </w:p>
        </w:tc>
        <w:tc>
          <w:tcPr>
            <w:tcW w:w="16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120" w:type="dxa"/>
            <w:vAlign w:val="bottom"/>
          </w:tcPr>
          <w:p>
            <w:pPr>
              <w:spacing w:after="0"/>
              <w:rPr>
                <w:sz w:val="12"/>
                <w:szCs w:val="12"/>
                <w:color w:val="auto"/>
              </w:rPr>
            </w:pPr>
          </w:p>
        </w:tc>
        <w:tc>
          <w:tcPr>
            <w:tcW w:w="1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USD Value at</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Appreciation</w:t>
            </w:r>
          </w:p>
        </w:tc>
        <w:tc>
          <w:tcPr>
            <w:tcW w:w="0" w:type="dxa"/>
            <w:vAlign w:val="bottom"/>
          </w:tcPr>
          <w:p>
            <w:pPr>
              <w:spacing w:after="0"/>
              <w:rPr>
                <w:sz w:val="1"/>
                <w:szCs w:val="1"/>
                <w:color w:val="auto"/>
              </w:rPr>
            </w:pPr>
          </w:p>
        </w:tc>
      </w:tr>
      <w:tr>
        <w:trPr>
          <w:trHeight w:val="168"/>
        </w:trPr>
        <w:tc>
          <w:tcPr>
            <w:tcW w:w="1100" w:type="dxa"/>
            <w:vAlign w:val="bottom"/>
            <w:tcBorders>
              <w:bottom w:val="single" w:sz="8" w:color="auto"/>
            </w:tcBorders>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96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7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and Transaction</w:t>
            </w:r>
          </w:p>
        </w:tc>
        <w:tc>
          <w:tcPr>
            <w:tcW w:w="16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Settlement Date</w:t>
            </w:r>
          </w:p>
        </w:tc>
        <w:tc>
          <w:tcPr>
            <w:tcW w:w="18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September 30, 2013</w:t>
            </w: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7"/>
              </w:rPr>
              <w:t>(Depreciation)</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Swedish Kronor (SEK)</w:t>
            </w:r>
          </w:p>
        </w:tc>
        <w:tc>
          <w:tcPr>
            <w:tcW w:w="12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October 17, 2013</w:t>
            </w:r>
          </w:p>
        </w:tc>
        <w:tc>
          <w:tcPr>
            <w:tcW w:w="6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193,326 sold</w:t>
            </w:r>
          </w:p>
        </w:tc>
        <w:tc>
          <w:tcPr>
            <w:tcW w:w="6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7"/>
              </w:rPr>
              <w:t>(28,949)</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w w:val="77"/>
              </w:rPr>
              <w:t>(30,088)</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British Pound (GBP)</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October 17, 2013</w:t>
            </w: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7,000 sold</w:t>
            </w: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(11,251)</w:t>
            </w:r>
          </w:p>
        </w:tc>
        <w:tc>
          <w:tcPr>
            <w:tcW w:w="120" w:type="dxa"/>
            <w:vAlign w:val="bottom"/>
          </w:tcPr>
          <w:p>
            <w:pPr>
              <w:spacing w:after="0"/>
              <w:rPr>
                <w:sz w:val="18"/>
                <w:szCs w:val="18"/>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(11,335)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(40,200)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(41,423)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246" w:lineRule="exact"/>
        <w:rPr>
          <w:sz w:val="20"/>
          <w:szCs w:val="20"/>
          <w:color w:val="auto"/>
        </w:rPr>
      </w:pPr>
    </w:p>
    <w:p>
      <w:pPr>
        <w:ind w:right="8280" w:firstLine="8"/>
        <w:spacing w:after="0" w:line="444" w:lineRule="auto"/>
        <w:tabs>
          <w:tab w:leader="none" w:pos="176"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i w:val="1"/>
          <w:iCs w:val="1"/>
          <w:color w:val="auto"/>
        </w:rPr>
        <w:t>Financial Instruments Carried at Fair Value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fair value measurements for Investments at fair value and foreign currency forward contracts based on the inputs used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December 31, 2012:</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89"/>
              </w:rPr>
              <w:t>Fair Value Hierarchy at September 30, 2013</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600" w:type="dxa"/>
            <w:vAlign w:val="bottom"/>
          </w:tcPr>
          <w:p>
            <w:pPr>
              <w:spacing w:after="0"/>
              <w:rPr>
                <w:sz w:val="12"/>
                <w:szCs w:val="12"/>
                <w:color w:val="auto"/>
              </w:rPr>
            </w:pPr>
          </w:p>
        </w:tc>
        <w:tc>
          <w:tcPr>
            <w:tcW w:w="10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Level 2</w:t>
            </w: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68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$22,129</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$781,813</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$803,942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31,430</w:t>
            </w:r>
          </w:p>
        </w:tc>
        <w:tc>
          <w:tcPr>
            <w:tcW w:w="680" w:type="dxa"/>
            <w:vAlign w:val="bottom"/>
          </w:tcPr>
          <w:p>
            <w:pPr>
              <w:jc w:val="right"/>
              <w:spacing w:after="0"/>
              <w:rPr>
                <w:sz w:val="20"/>
                <w:szCs w:val="20"/>
                <w:color w:val="auto"/>
              </w:rPr>
            </w:pPr>
            <w:r>
              <w:rPr>
                <w:rFonts w:ascii="Arial" w:cs="Arial" w:eastAsia="Arial" w:hAnsi="Arial"/>
                <w:sz w:val="18"/>
                <w:szCs w:val="18"/>
                <w:color w:val="auto"/>
              </w:rPr>
              <w:t>52,238</w:t>
            </w:r>
          </w:p>
        </w:tc>
        <w:tc>
          <w:tcPr>
            <w:tcW w:w="5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83,668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w:t>
            </w:r>
          </w:p>
        </w:tc>
        <w:tc>
          <w:tcPr>
            <w:tcW w:w="24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19"/>
                <w:szCs w:val="19"/>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53,559</w:t>
            </w:r>
          </w:p>
        </w:tc>
        <w:tc>
          <w:tcPr>
            <w:tcW w:w="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835,771</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889,330</w:t>
            </w:r>
          </w:p>
        </w:tc>
        <w:tc>
          <w:tcPr>
            <w:tcW w:w="10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(1,223)</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(1,223)</w:t>
            </w:r>
          </w:p>
        </w:tc>
      </w:tr>
      <w:tr>
        <w:trPr>
          <w:trHeight w:val="28"/>
        </w:trPr>
        <w:tc>
          <w:tcPr>
            <w:tcW w:w="39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52,336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835,771</w:t>
            </w:r>
          </w:p>
        </w:tc>
        <w:tc>
          <w:tcPr>
            <w:tcW w:w="5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888,107</w:t>
            </w:r>
          </w:p>
        </w:tc>
      </w:tr>
      <w:tr>
        <w:trPr>
          <w:trHeight w:val="20"/>
        </w:trPr>
        <w:tc>
          <w:tcPr>
            <w:tcW w:w="3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90"/>
              </w:rPr>
              <w:t>Fair Value Hierarchy at December 31, 2012</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600" w:type="dxa"/>
            <w:vAlign w:val="bottom"/>
          </w:tcPr>
          <w:p>
            <w:pPr>
              <w:spacing w:after="0"/>
              <w:rPr>
                <w:sz w:val="12"/>
                <w:szCs w:val="12"/>
                <w:color w:val="auto"/>
              </w:rPr>
            </w:pPr>
          </w:p>
        </w:tc>
        <w:tc>
          <w:tcPr>
            <w:tcW w:w="10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Level 2</w:t>
            </w: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68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$68,183</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16,467</w:t>
            </w:r>
          </w:p>
        </w:tc>
        <w:tc>
          <w:tcPr>
            <w:tcW w:w="680" w:type="dxa"/>
            <w:vAlign w:val="bottom"/>
          </w:tcPr>
          <w:p>
            <w:pPr>
              <w:jc w:val="right"/>
              <w:spacing w:after="0"/>
              <w:rPr>
                <w:sz w:val="20"/>
                <w:szCs w:val="20"/>
                <w:color w:val="auto"/>
              </w:rPr>
            </w:pPr>
            <w:r>
              <w:rPr>
                <w:rFonts w:ascii="Arial" w:cs="Arial" w:eastAsia="Arial" w:hAnsi="Arial"/>
                <w:sz w:val="18"/>
                <w:szCs w:val="18"/>
                <w:color w:val="auto"/>
              </w:rPr>
              <w:t>53,190</w:t>
            </w:r>
          </w:p>
        </w:tc>
        <w:tc>
          <w:tcPr>
            <w:tcW w:w="5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69,657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w:t>
            </w:r>
          </w:p>
        </w:tc>
        <w:tc>
          <w:tcPr>
            <w:tcW w:w="2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569,294</w:t>
            </w:r>
          </w:p>
        </w:tc>
        <w:tc>
          <w:tcPr>
            <w:tcW w:w="5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653,944</w:t>
            </w:r>
          </w:p>
        </w:tc>
      </w:tr>
      <w:tr>
        <w:trPr>
          <w:trHeight w:val="20"/>
        </w:trPr>
        <w:tc>
          <w:tcPr>
            <w:tcW w:w="3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2820" w:type="dxa"/>
            <w:vAlign w:val="bottom"/>
            <w:gridSpan w:val="2"/>
          </w:tcPr>
          <w:p>
            <w:pPr>
              <w:jc w:val="right"/>
              <w:ind w:right="1255"/>
              <w:spacing w:after="0"/>
              <w:rPr>
                <w:sz w:val="20"/>
                <w:szCs w:val="20"/>
                <w:color w:val="auto"/>
              </w:rPr>
            </w:pPr>
            <w:r>
              <w:rPr>
                <w:rFonts w:ascii="Arial" w:cs="Arial" w:eastAsia="Arial" w:hAnsi="Arial"/>
                <w:sz w:val="18"/>
                <w:szCs w:val="18"/>
                <w:color w:val="auto"/>
              </w:rPr>
              <w:t>F-49</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changes in Investments at fair value that use Level 3 inputs as of and for the three and nine months ended September 30, 2013:</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As of and for the Three</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Months Ended September 30, 2013</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860" w:type="dxa"/>
            <w:vAlign w:val="bottom"/>
          </w:tcPr>
          <w:p>
            <w:pPr>
              <w:spacing w:after="0"/>
              <w:rPr>
                <w:sz w:val="11"/>
                <w:szCs w:val="11"/>
                <w:color w:val="auto"/>
              </w:rPr>
            </w:pPr>
          </w:p>
        </w:tc>
        <w:tc>
          <w:tcPr>
            <w:tcW w:w="940" w:type="dxa"/>
            <w:vAlign w:val="bottom"/>
            <w:gridSpan w:val="2"/>
          </w:tcPr>
          <w:p>
            <w:pPr>
              <w:jc w:val="center"/>
              <w:ind w:right="152"/>
              <w:spacing w:after="0" w:line="129" w:lineRule="exact"/>
              <w:rPr>
                <w:sz w:val="20"/>
                <w:szCs w:val="20"/>
                <w:color w:val="auto"/>
              </w:rPr>
            </w:pPr>
            <w:r>
              <w:rPr>
                <w:rFonts w:ascii="Arial" w:cs="Arial" w:eastAsia="Arial" w:hAnsi="Arial"/>
                <w:sz w:val="14"/>
                <w:szCs w:val="14"/>
                <w:b w:val="1"/>
                <w:bCs w:val="1"/>
                <w:color w:val="auto"/>
                <w:w w:val="89"/>
              </w:rPr>
              <w:t>Debt</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860" w:type="dxa"/>
            <w:vAlign w:val="bottom"/>
          </w:tcPr>
          <w:p>
            <w:pPr>
              <w:spacing w:after="0"/>
              <w:rPr>
                <w:sz w:val="14"/>
                <w:szCs w:val="14"/>
                <w:color w:val="auto"/>
              </w:rPr>
            </w:pPr>
          </w:p>
        </w:tc>
        <w:tc>
          <w:tcPr>
            <w:tcW w:w="94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3"/>
              </w:rPr>
              <w:t>Investments</w:t>
            </w:r>
          </w:p>
        </w:tc>
        <w:tc>
          <w:tcPr>
            <w:tcW w:w="48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Investments</w:t>
            </w:r>
          </w:p>
        </w:tc>
        <w:tc>
          <w:tcPr>
            <w:tcW w:w="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$ 744,206</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$ 745,450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Purchases</w:t>
            </w:r>
          </w:p>
        </w:tc>
        <w:tc>
          <w:tcPr>
            <w:tcW w:w="720" w:type="dxa"/>
            <w:vAlign w:val="bottom"/>
          </w:tcPr>
          <w:p>
            <w:pPr>
              <w:jc w:val="right"/>
              <w:spacing w:after="0"/>
              <w:rPr>
                <w:sz w:val="20"/>
                <w:szCs w:val="20"/>
                <w:color w:val="auto"/>
              </w:rPr>
            </w:pPr>
            <w:r>
              <w:rPr>
                <w:rFonts w:ascii="Arial" w:cs="Arial" w:eastAsia="Arial" w:hAnsi="Arial"/>
                <w:sz w:val="18"/>
                <w:szCs w:val="18"/>
                <w:color w:val="auto"/>
              </w:rPr>
              <w:t>146,192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780</w:t>
            </w:r>
          </w:p>
        </w:tc>
        <w:tc>
          <w:tcPr>
            <w:tcW w:w="6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146,972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(60,965)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(60,965)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Paid-in-kind interest</w:t>
            </w:r>
          </w:p>
        </w:tc>
        <w:tc>
          <w:tcPr>
            <w:tcW w:w="72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808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(304)</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$ 834,051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6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$ 835,771</w:t>
            </w:r>
          </w:p>
        </w:tc>
      </w:tr>
      <w:tr>
        <w:trPr>
          <w:trHeight w:val="20"/>
        </w:trPr>
        <w:tc>
          <w:tcPr>
            <w:tcW w:w="6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6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As of and for the Nine</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6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Months Ended September 30, 2013</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860" w:type="dxa"/>
            <w:vAlign w:val="bottom"/>
          </w:tcPr>
          <w:p>
            <w:pPr>
              <w:spacing w:after="0"/>
              <w:rPr>
                <w:sz w:val="11"/>
                <w:szCs w:val="11"/>
                <w:color w:val="auto"/>
              </w:rPr>
            </w:pPr>
          </w:p>
        </w:tc>
        <w:tc>
          <w:tcPr>
            <w:tcW w:w="940" w:type="dxa"/>
            <w:vAlign w:val="bottom"/>
            <w:gridSpan w:val="2"/>
          </w:tcPr>
          <w:p>
            <w:pPr>
              <w:jc w:val="center"/>
              <w:ind w:right="152"/>
              <w:spacing w:after="0" w:line="129" w:lineRule="exact"/>
              <w:rPr>
                <w:sz w:val="20"/>
                <w:szCs w:val="20"/>
                <w:color w:val="auto"/>
              </w:rPr>
            </w:pPr>
            <w:r>
              <w:rPr>
                <w:rFonts w:ascii="Arial" w:cs="Arial" w:eastAsia="Arial" w:hAnsi="Arial"/>
                <w:sz w:val="14"/>
                <w:szCs w:val="14"/>
                <w:b w:val="1"/>
                <w:bCs w:val="1"/>
                <w:color w:val="auto"/>
                <w:w w:val="89"/>
              </w:rPr>
              <w:t>Debt</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860" w:type="dxa"/>
            <w:vAlign w:val="bottom"/>
          </w:tcPr>
          <w:p>
            <w:pPr>
              <w:spacing w:after="0"/>
              <w:rPr>
                <w:sz w:val="14"/>
                <w:szCs w:val="14"/>
                <w:color w:val="auto"/>
              </w:rPr>
            </w:pPr>
          </w:p>
        </w:tc>
        <w:tc>
          <w:tcPr>
            <w:tcW w:w="94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3"/>
              </w:rPr>
              <w:t>Investments</w:t>
            </w:r>
          </w:p>
        </w:tc>
        <w:tc>
          <w:tcPr>
            <w:tcW w:w="48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Investments</w:t>
            </w:r>
          </w:p>
        </w:tc>
        <w:tc>
          <w:tcPr>
            <w:tcW w:w="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$ 567,294</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$ 569,294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Purchases</w:t>
            </w:r>
          </w:p>
        </w:tc>
        <w:tc>
          <w:tcPr>
            <w:tcW w:w="720" w:type="dxa"/>
            <w:vAlign w:val="bottom"/>
          </w:tcPr>
          <w:p>
            <w:pPr>
              <w:jc w:val="right"/>
              <w:spacing w:after="0"/>
              <w:rPr>
                <w:sz w:val="20"/>
                <w:szCs w:val="20"/>
                <w:color w:val="auto"/>
              </w:rPr>
            </w:pPr>
            <w:r>
              <w:rPr>
                <w:rFonts w:ascii="Arial" w:cs="Arial" w:eastAsia="Arial" w:hAnsi="Arial"/>
                <w:sz w:val="18"/>
                <w:szCs w:val="18"/>
                <w:color w:val="auto"/>
              </w:rPr>
              <w:t>389,756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780</w:t>
            </w:r>
          </w:p>
        </w:tc>
        <w:tc>
          <w:tcPr>
            <w:tcW w:w="6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390,536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(30,615)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940" w:type="dxa"/>
            <w:vAlign w:val="bottom"/>
            <w:gridSpan w:val="2"/>
          </w:tcPr>
          <w:p>
            <w:pPr>
              <w:jc w:val="right"/>
              <w:ind w:right="92"/>
              <w:spacing w:after="0"/>
              <w:rPr>
                <w:sz w:val="20"/>
                <w:szCs w:val="20"/>
                <w:color w:val="auto"/>
              </w:rPr>
            </w:pPr>
            <w:r>
              <w:rPr>
                <w:rFonts w:ascii="Arial" w:cs="Arial" w:eastAsia="Arial" w:hAnsi="Arial"/>
                <w:sz w:val="18"/>
                <w:szCs w:val="18"/>
                <w:color w:val="auto"/>
                <w:w w:val="98"/>
              </w:rPr>
              <w:t>(132,988)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(132,988)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720" w:type="dxa"/>
            <w:vAlign w:val="bottom"/>
          </w:tcPr>
          <w:p>
            <w:pPr>
              <w:jc w:val="right"/>
              <w:spacing w:after="0"/>
              <w:rPr>
                <w:sz w:val="20"/>
                <w:szCs w:val="20"/>
                <w:color w:val="auto"/>
              </w:rPr>
            </w:pPr>
            <w:r>
              <w:rPr>
                <w:rFonts w:ascii="Arial" w:cs="Arial" w:eastAsia="Arial" w:hAnsi="Arial"/>
                <w:sz w:val="18"/>
                <w:szCs w:val="18"/>
                <w:color w:val="auto"/>
              </w:rPr>
              <w:t>4,241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(1,060)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3,181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20" w:type="dxa"/>
            <w:vAlign w:val="bottom"/>
          </w:tcPr>
          <w:p>
            <w:pPr>
              <w:jc w:val="right"/>
              <w:spacing w:after="0"/>
              <w:rPr>
                <w:sz w:val="20"/>
                <w:szCs w:val="20"/>
                <w:color w:val="auto"/>
              </w:rPr>
            </w:pPr>
            <w:r>
              <w:rPr>
                <w:rFonts w:ascii="Arial" w:cs="Arial" w:eastAsia="Arial" w:hAnsi="Arial"/>
                <w:sz w:val="18"/>
                <w:szCs w:val="18"/>
                <w:color w:val="auto"/>
              </w:rPr>
              <w:t>4,235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4,235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100" w:type="dxa"/>
            <w:vAlign w:val="bottom"/>
            <w:shd w:val="clear" w:color="auto" w:fill="CCEEFF"/>
          </w:tcPr>
          <w:p>
            <w:pPr>
              <w:spacing w:after="0"/>
              <w:rPr>
                <w:sz w:val="18"/>
                <w:szCs w:val="18"/>
                <w:color w:val="auto"/>
              </w:rPr>
            </w:pPr>
          </w:p>
        </w:tc>
      </w:tr>
      <w:tr>
        <w:trPr>
          <w:trHeight w:val="222"/>
        </w:trPr>
        <w:tc>
          <w:tcPr>
            <w:tcW w:w="6860" w:type="dxa"/>
            <w:vAlign w:val="bottom"/>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$ 834,051</w:t>
            </w: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1,720</w:t>
            </w:r>
          </w:p>
        </w:tc>
        <w:tc>
          <w:tcPr>
            <w:tcW w:w="6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$ 835,771</w:t>
            </w:r>
          </w:p>
        </w:tc>
      </w:tr>
      <w:tr>
        <w:trPr>
          <w:trHeight w:val="20"/>
        </w:trPr>
        <w:tc>
          <w:tcPr>
            <w:tcW w:w="6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Consona Holdings, Inc. transferred into Level 3 during the three months ended June 30, 2013, as a result of changes in the observability of inputs into its valuation.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changes in Investments at fair value that use Level 3 inputs as of and for the three and nine months ended September 30, 2012:</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As of and for the Three</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87"/>
              </w:rPr>
              <w:t>Months Ended September 30, 2012</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332"/>
              <w:spacing w:after="0" w:line="129" w:lineRule="exact"/>
              <w:rPr>
                <w:sz w:val="20"/>
                <w:szCs w:val="20"/>
                <w:color w:val="auto"/>
              </w:rPr>
            </w:pPr>
            <w:r>
              <w:rPr>
                <w:rFonts w:ascii="Arial" w:cs="Arial" w:eastAsia="Arial" w:hAnsi="Arial"/>
                <w:sz w:val="14"/>
                <w:szCs w:val="14"/>
                <w:b w:val="1"/>
                <w:bCs w:val="1"/>
                <w:color w:val="auto"/>
              </w:rPr>
              <w:t>Debt</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820"/>
              <w:spacing w:after="0" w:line="129" w:lineRule="exact"/>
              <w:rPr>
                <w:sz w:val="20"/>
                <w:szCs w:val="20"/>
                <w:color w:val="auto"/>
              </w:rPr>
            </w:pPr>
            <w:r>
              <w:rPr>
                <w:rFonts w:ascii="Arial" w:cs="Arial" w:eastAsia="Arial" w:hAnsi="Arial"/>
                <w:sz w:val="14"/>
                <w:szCs w:val="14"/>
                <w:b w:val="1"/>
                <w:bCs w:val="1"/>
                <w:color w:val="auto"/>
                <w:w w:val="88"/>
              </w:rPr>
              <w:t>Equity</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83"/>
              </w:rPr>
              <w:t>Investments</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Investments</w:t>
            </w:r>
          </w:p>
        </w:tc>
        <w:tc>
          <w:tcPr>
            <w:tcW w:w="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$ 394,598</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$403,648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Purchases</w:t>
            </w:r>
          </w:p>
        </w:tc>
        <w:tc>
          <w:tcPr>
            <w:tcW w:w="980" w:type="dxa"/>
            <w:vAlign w:val="bottom"/>
            <w:gridSpan w:val="4"/>
          </w:tcPr>
          <w:p>
            <w:pPr>
              <w:jc w:val="right"/>
              <w:ind w:right="112"/>
              <w:spacing w:after="0"/>
              <w:rPr>
                <w:sz w:val="20"/>
                <w:szCs w:val="20"/>
                <w:color w:val="auto"/>
              </w:rPr>
            </w:pPr>
            <w:r>
              <w:rPr>
                <w:rFonts w:ascii="Arial" w:cs="Arial" w:eastAsia="Arial" w:hAnsi="Arial"/>
                <w:sz w:val="18"/>
                <w:szCs w:val="18"/>
                <w:color w:val="auto"/>
              </w:rPr>
              <w:t>116,051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116,051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98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(45,742)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(45,742)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Paid-in-kind interest</w:t>
            </w:r>
          </w:p>
        </w:tc>
        <w:tc>
          <w:tcPr>
            <w:tcW w:w="980" w:type="dxa"/>
            <w:vAlign w:val="bottom"/>
            <w:gridSpan w:val="4"/>
          </w:tcPr>
          <w:p>
            <w:pPr>
              <w:jc w:val="right"/>
              <w:ind w:right="112"/>
              <w:spacing w:after="0"/>
              <w:rPr>
                <w:sz w:val="20"/>
                <w:szCs w:val="20"/>
                <w:color w:val="auto"/>
              </w:rPr>
            </w:pPr>
            <w:r>
              <w:rPr>
                <w:rFonts w:ascii="Arial" w:cs="Arial" w:eastAsia="Arial" w:hAnsi="Arial"/>
                <w:sz w:val="18"/>
                <w:szCs w:val="18"/>
                <w:color w:val="auto"/>
              </w:rPr>
              <w:t>556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98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4,229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950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8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$ 471,200</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10,000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481,200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As of and for the Nine</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Months Ended September 30, 2012</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432"/>
              <w:spacing w:after="0" w:line="129" w:lineRule="exact"/>
              <w:rPr>
                <w:sz w:val="20"/>
                <w:szCs w:val="20"/>
                <w:color w:val="auto"/>
              </w:rPr>
            </w:pPr>
            <w:r>
              <w:rPr>
                <w:rFonts w:ascii="Arial" w:cs="Arial" w:eastAsia="Arial" w:hAnsi="Arial"/>
                <w:sz w:val="14"/>
                <w:szCs w:val="14"/>
                <w:b w:val="1"/>
                <w:bCs w:val="1"/>
                <w:color w:val="auto"/>
              </w:rPr>
              <w:t>Debt</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840"/>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98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83"/>
              </w:rPr>
              <w:t>Investments</w:t>
            </w:r>
          </w:p>
        </w:tc>
        <w:tc>
          <w:tcPr>
            <w:tcW w:w="440" w:type="dxa"/>
            <w:vAlign w:val="bottom"/>
          </w:tcPr>
          <w:p>
            <w:pPr>
              <w:spacing w:after="0"/>
              <w:rPr>
                <w:sz w:val="14"/>
                <w:szCs w:val="14"/>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Investments</w:t>
            </w:r>
          </w:p>
        </w:tc>
        <w:tc>
          <w:tcPr>
            <w:tcW w:w="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$ 174,348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Purchases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414,992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420"/>
              <w:spacing w:after="0"/>
              <w:rPr>
                <w:sz w:val="20"/>
                <w:szCs w:val="20"/>
                <w:color w:val="auto"/>
              </w:rPr>
            </w:pPr>
            <w:r>
              <w:rPr>
                <w:rFonts w:ascii="Arial" w:cs="Arial" w:eastAsia="Arial" w:hAnsi="Arial"/>
                <w:sz w:val="18"/>
                <w:szCs w:val="18"/>
                <w:color w:val="auto"/>
              </w:rPr>
              <w:t>(5)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414,987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(60,905)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(60,905)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(53,146)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(53,146)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$ 471,200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481,200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three months ended March 31, 2012, as a result of changes in the observability of inputs into its valuation.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at fair value for the three and nine months ended September 30, 2013 and 2012 for which Level 3 inputs were used in determining fair value that are still held by the Company as of September 30, 2013 and 2012:</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Net Change in Unrealized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Change in Unrealized</w:t>
            </w:r>
          </w:p>
        </w:tc>
      </w:tr>
      <w:tr>
        <w:trPr>
          <w:trHeight w:val="149"/>
        </w:trPr>
        <w:tc>
          <w:tcPr>
            <w:tcW w:w="2560" w:type="dxa"/>
            <w:vAlign w:val="bottom"/>
          </w:tcPr>
          <w:p>
            <w:pPr>
              <w:spacing w:after="0"/>
              <w:rPr>
                <w:sz w:val="12"/>
                <w:szCs w:val="12"/>
                <w:color w:val="auto"/>
              </w:rPr>
            </w:pPr>
          </w:p>
        </w:tc>
        <w:tc>
          <w:tcPr>
            <w:tcW w:w="3640" w:type="dxa"/>
            <w:vAlign w:val="bottom"/>
            <w:gridSpan w:val="4"/>
          </w:tcPr>
          <w:p>
            <w:pPr>
              <w:jc w:val="center"/>
              <w:ind w:left="38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2480" w:type="dxa"/>
            <w:vAlign w:val="bottom"/>
            <w:gridSpan w:val="4"/>
          </w:tcPr>
          <w:p>
            <w:pPr>
              <w:jc w:val="center"/>
              <w:ind w:left="50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r>
      <w:tr>
        <w:trPr>
          <w:trHeight w:val="149"/>
        </w:trPr>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for the Three Months Ended</w:t>
            </w:r>
          </w:p>
        </w:tc>
        <w:tc>
          <w:tcPr>
            <w:tcW w:w="700" w:type="dxa"/>
            <w:vAlign w:val="bottom"/>
          </w:tcPr>
          <w:p>
            <w:pPr>
              <w:spacing w:after="0"/>
              <w:rPr>
                <w:sz w:val="12"/>
                <w:szCs w:val="12"/>
                <w:color w:val="auto"/>
              </w:rPr>
            </w:pPr>
          </w:p>
        </w:tc>
        <w:tc>
          <w:tcPr>
            <w:tcW w:w="1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for the Three Months Ended</w:t>
            </w:r>
          </w:p>
        </w:tc>
      </w:tr>
      <w:tr>
        <w:trPr>
          <w:trHeight w:val="149"/>
        </w:trPr>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September 30, 2013 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 2012 on</w:t>
            </w:r>
          </w:p>
        </w:tc>
      </w:tr>
      <w:tr>
        <w:trPr>
          <w:trHeight w:val="149"/>
        </w:trPr>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Investments Held at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Investments Held at</w:t>
            </w:r>
          </w:p>
        </w:tc>
      </w:tr>
      <w:tr>
        <w:trPr>
          <w:trHeight w:val="161"/>
        </w:trPr>
        <w:tc>
          <w:tcPr>
            <w:tcW w:w="2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September 30, 2013</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 2012</w:t>
            </w:r>
          </w:p>
        </w:tc>
      </w:tr>
      <w:tr>
        <w:trPr>
          <w:trHeight w:val="210"/>
        </w:trPr>
        <w:tc>
          <w:tcPr>
            <w:tcW w:w="2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Equity Investments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2"/>
          </w:tcPr>
          <w:p>
            <w:pPr>
              <w:jc w:val="right"/>
              <w:ind w:right="680"/>
              <w:spacing w:after="0"/>
              <w:rPr>
                <w:sz w:val="20"/>
                <w:szCs w:val="20"/>
                <w:color w:val="auto"/>
              </w:rPr>
            </w:pPr>
            <w:r>
              <w:rPr>
                <w:rFonts w:ascii="Arial" w:cs="Arial" w:eastAsia="Arial" w:hAnsi="Arial"/>
                <w:sz w:val="18"/>
                <w:szCs w:val="18"/>
                <w:color w:val="auto"/>
              </w:rPr>
              <w:t>(305)</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r>
      <w:tr>
        <w:trPr>
          <w:trHeight w:val="27"/>
        </w:trPr>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7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Net Change in Unrealized</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Change in Unrealized</w:t>
            </w:r>
          </w:p>
        </w:tc>
      </w:tr>
      <w:tr>
        <w:trPr>
          <w:trHeight w:val="149"/>
        </w:trPr>
        <w:tc>
          <w:tcPr>
            <w:tcW w:w="2560" w:type="dxa"/>
            <w:vAlign w:val="bottom"/>
          </w:tcPr>
          <w:p>
            <w:pPr>
              <w:spacing w:after="0"/>
              <w:rPr>
                <w:sz w:val="12"/>
                <w:szCs w:val="12"/>
                <w:color w:val="auto"/>
              </w:rPr>
            </w:pPr>
          </w:p>
        </w:tc>
        <w:tc>
          <w:tcPr>
            <w:tcW w:w="3640" w:type="dxa"/>
            <w:vAlign w:val="bottom"/>
            <w:gridSpan w:val="4"/>
          </w:tcPr>
          <w:p>
            <w:pPr>
              <w:jc w:val="center"/>
              <w:ind w:left="38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2480" w:type="dxa"/>
            <w:vAlign w:val="bottom"/>
            <w:gridSpan w:val="4"/>
          </w:tcPr>
          <w:p>
            <w:pPr>
              <w:jc w:val="center"/>
              <w:ind w:left="50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r>
      <w:tr>
        <w:trPr>
          <w:trHeight w:val="149"/>
        </w:trPr>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for the Nine Months Ended</w:t>
            </w:r>
          </w:p>
        </w:tc>
        <w:tc>
          <w:tcPr>
            <w:tcW w:w="700" w:type="dxa"/>
            <w:vAlign w:val="bottom"/>
          </w:tcPr>
          <w:p>
            <w:pPr>
              <w:spacing w:after="0"/>
              <w:rPr>
                <w:sz w:val="12"/>
                <w:szCs w:val="12"/>
                <w:color w:val="auto"/>
              </w:rPr>
            </w:pPr>
          </w:p>
        </w:tc>
        <w:tc>
          <w:tcPr>
            <w:tcW w:w="1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for the Nine Months Ended</w:t>
            </w:r>
          </w:p>
        </w:tc>
      </w:tr>
      <w:tr>
        <w:trPr>
          <w:trHeight w:val="149"/>
        </w:trPr>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September 30, 2013 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 2012 on</w:t>
            </w:r>
          </w:p>
        </w:tc>
      </w:tr>
      <w:tr>
        <w:trPr>
          <w:trHeight w:val="149"/>
        </w:trPr>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Investments Held at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Investments Held at</w:t>
            </w:r>
          </w:p>
        </w:tc>
      </w:tr>
      <w:tr>
        <w:trPr>
          <w:trHeight w:val="161"/>
        </w:trPr>
        <w:tc>
          <w:tcPr>
            <w:tcW w:w="2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September 30, 2013</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 2012</w:t>
            </w:r>
          </w:p>
        </w:tc>
      </w:tr>
      <w:tr>
        <w:trPr>
          <w:trHeight w:val="210"/>
        </w:trPr>
        <w:tc>
          <w:tcPr>
            <w:tcW w:w="2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Equity Investments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2"/>
          </w:tcPr>
          <w:p>
            <w:pPr>
              <w:jc w:val="right"/>
              <w:ind w:right="680"/>
              <w:spacing w:after="0"/>
              <w:rPr>
                <w:sz w:val="20"/>
                <w:szCs w:val="20"/>
                <w:color w:val="auto"/>
              </w:rPr>
            </w:pPr>
            <w:r>
              <w:rPr>
                <w:rFonts w:ascii="Arial" w:cs="Arial" w:eastAsia="Arial" w:hAnsi="Arial"/>
                <w:sz w:val="18"/>
                <w:szCs w:val="18"/>
                <w:color w:val="auto"/>
              </w:rPr>
              <w:t>(1,060)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7"/>
        </w:trPr>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7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9"/>
              </w:rPr>
              <w:t>September 30, 2013</w:t>
            </w:r>
          </w:p>
        </w:tc>
        <w:tc>
          <w:tcPr>
            <w:tcW w:w="2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Valuation</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 an</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2"/>
                <w:szCs w:val="12"/>
                <w:color w:val="auto"/>
              </w:rPr>
            </w:pPr>
          </w:p>
        </w:tc>
        <w:tc>
          <w:tcPr>
            <w:tcW w:w="16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Range</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Input</w:t>
            </w:r>
          </w:p>
        </w:tc>
        <w:tc>
          <w:tcPr>
            <w:tcW w:w="2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(Weighted Average)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 Input</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781,813</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r>
              <w:rPr>
                <w:rFonts w:ascii="Arial" w:cs="Arial" w:eastAsia="Arial" w:hAnsi="Arial"/>
                <w:sz w:val="11"/>
                <w:szCs w:val="11"/>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5.90% —12.06%(10.00%)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Decrease</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52,238</w:t>
            </w:r>
          </w:p>
        </w:tc>
        <w:tc>
          <w:tcPr>
            <w:tcW w:w="2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Income Approach</w:t>
            </w:r>
          </w:p>
        </w:tc>
        <w:tc>
          <w:tcPr>
            <w:tcW w:w="1720" w:type="dxa"/>
            <w:vAlign w:val="bottom"/>
            <w:gridSpan w:val="4"/>
          </w:tcPr>
          <w:p>
            <w:pPr>
              <w:ind w:left="100"/>
              <w:spacing w:after="0"/>
              <w:rPr>
                <w:sz w:val="20"/>
                <w:szCs w:val="20"/>
                <w:color w:val="auto"/>
              </w:rPr>
            </w:pPr>
            <w:r>
              <w:rPr>
                <w:rFonts w:ascii="Arial" w:cs="Arial" w:eastAsia="Arial" w:hAnsi="Arial"/>
                <w:sz w:val="18"/>
                <w:szCs w:val="18"/>
                <w:color w:val="auto"/>
              </w:rPr>
              <w:t>Market Yield</w:t>
            </w: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10.08%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Equity investments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1,720</w:t>
            </w:r>
          </w:p>
        </w:tc>
        <w:tc>
          <w:tcPr>
            <w:tcW w:w="2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Market Approach</w:t>
            </w:r>
            <w:r>
              <w:rPr>
                <w:rFonts w:ascii="Arial" w:cs="Arial" w:eastAsia="Arial" w:hAnsi="Arial"/>
                <w:sz w:val="11"/>
                <w:szCs w:val="11"/>
                <w:color w:val="auto"/>
              </w:rPr>
              <w:t>(1)</w:t>
            </w:r>
          </w:p>
        </w:tc>
        <w:tc>
          <w:tcPr>
            <w:tcW w:w="1720" w:type="dxa"/>
            <w:vAlign w:val="bottom"/>
            <w:gridSpan w:val="4"/>
          </w:tcPr>
          <w:p>
            <w:pPr>
              <w:ind w:left="100"/>
              <w:spacing w:after="0"/>
              <w:rPr>
                <w:sz w:val="20"/>
                <w:szCs w:val="20"/>
                <w:color w:val="auto"/>
              </w:rPr>
            </w:pPr>
            <w:r>
              <w:rPr>
                <w:rFonts w:ascii="Arial" w:cs="Arial" w:eastAsia="Arial" w:hAnsi="Arial"/>
                <w:sz w:val="18"/>
                <w:szCs w:val="18"/>
                <w:color w:val="auto"/>
              </w:rPr>
              <w:t>EBITDA</w:t>
            </w: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9.5x</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2"/>
        </w:trPr>
        <w:tc>
          <w:tcPr>
            <w:tcW w:w="2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20" w:type="dxa"/>
            <w:vAlign w:val="bottom"/>
            <w:gridSpan w:val="4"/>
          </w:tcPr>
          <w:p>
            <w:pPr>
              <w:ind w:left="100"/>
              <w:spacing w:after="0"/>
              <w:rPr>
                <w:sz w:val="20"/>
                <w:szCs w:val="20"/>
                <w:color w:val="auto"/>
              </w:rPr>
            </w:pPr>
            <w:r>
              <w:rPr>
                <w:rFonts w:ascii="Arial" w:cs="Arial" w:eastAsia="Arial" w:hAnsi="Arial"/>
                <w:sz w:val="18"/>
                <w:szCs w:val="18"/>
                <w:color w:val="auto"/>
              </w:rPr>
              <w:t>Multiple</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 2012</w:t>
            </w:r>
          </w:p>
        </w:tc>
        <w:tc>
          <w:tcPr>
            <w:tcW w:w="2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Valuation</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 an</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2"/>
                <w:szCs w:val="12"/>
                <w:color w:val="auto"/>
              </w:rPr>
            </w:pPr>
          </w:p>
        </w:tc>
        <w:tc>
          <w:tcPr>
            <w:tcW w:w="16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Range</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Input</w:t>
            </w:r>
          </w:p>
        </w:tc>
        <w:tc>
          <w:tcPr>
            <w:tcW w:w="2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(Weighted Average)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 Input</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514,104</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1"/>
                <w:szCs w:val="11"/>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 —11.29%(9.71%)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Decrease</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Income Approach</w:t>
            </w:r>
          </w:p>
        </w:tc>
        <w:tc>
          <w:tcPr>
            <w:tcW w:w="1720" w:type="dxa"/>
            <w:vAlign w:val="bottom"/>
            <w:gridSpan w:val="4"/>
          </w:tcPr>
          <w:p>
            <w:pPr>
              <w:ind w:left="100"/>
              <w:spacing w:after="0"/>
              <w:rPr>
                <w:sz w:val="20"/>
                <w:szCs w:val="20"/>
                <w:color w:val="auto"/>
              </w:rPr>
            </w:pPr>
            <w:r>
              <w:rPr>
                <w:rFonts w:ascii="Arial" w:cs="Arial" w:eastAsia="Arial" w:hAnsi="Arial"/>
                <w:sz w:val="18"/>
                <w:szCs w:val="18"/>
                <w:color w:val="auto"/>
              </w:rPr>
              <w:t>Market Yield</w:t>
            </w: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10.78%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Equity investments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Market Approach</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80" w:right="40" w:hanging="572"/>
        <w:spacing w:after="0" w:line="259" w:lineRule="auto"/>
        <w:tabs>
          <w:tab w:leader="none" w:pos="5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Includes $69.5 million and $114.5 million of first-lien debt investments as of September 30, 2013 and December 31, 2012, respectively and $0.78 million of equity investments as of September 30, 2013, which, due to the proximity of the transactions relative to the measurement date, were valued using the cost of the investment.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September 30, 2013 and December 31, 2012,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carrying amounts of the Company’s financial assets and liabilities as of September 30, 2013 and December 31, 2012,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September 30, 2013 and December 31, 2012, the Company’s asset coverage was 265.9% and 244.6%,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September 30,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September 30, 2013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4"/>
              </w:rPr>
              <w:t>Borrowings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
              <w:spacing w:after="0" w:line="129"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Total Facility</w:t>
            </w:r>
          </w:p>
        </w:tc>
        <w:tc>
          <w:tcPr>
            <w:tcW w:w="7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53,000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67,767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400,000</w:t>
            </w:r>
          </w:p>
        </w:tc>
        <w:tc>
          <w:tcPr>
            <w:tcW w:w="7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600,000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$ 338,267</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December 31, 2012</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4"/>
              </w:rPr>
              <w:t>Borrowings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
              <w:spacing w:after="0" w:line="129"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Total Facility</w:t>
            </w:r>
          </w:p>
        </w:tc>
        <w:tc>
          <w:tcPr>
            <w:tcW w:w="7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66,836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7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550,000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$ 331,836</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 On November 8, 2013, the Reinvestment Period of the Revolving Credit Facility (Natixis) expired and accordingly any availability under the facility terminated.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three and nine months ended September 30, 2013 and 2012, the components of interest expense, average debt outstanding, and weighted average interest rate on borrowings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1"/>
              </w:rPr>
              <w:t>Nine Months Ended</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50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0" w:type="dxa"/>
            <w:vAlign w:val="bottom"/>
          </w:tcPr>
          <w:p>
            <w:pPr>
              <w:spacing w:after="0"/>
              <w:rPr>
                <w:sz w:val="11"/>
                <w:szCs w:val="11"/>
                <w:color w:val="auto"/>
              </w:rPr>
            </w:pPr>
          </w:p>
        </w:tc>
      </w:tr>
      <w:tr>
        <w:trPr>
          <w:trHeight w:val="161"/>
        </w:trPr>
        <w:tc>
          <w:tcPr>
            <w:tcW w:w="4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2012</w:t>
            </w:r>
          </w:p>
        </w:tc>
        <w:tc>
          <w:tcPr>
            <w:tcW w:w="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Commitment fees</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1,151</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18"/>
                <w:szCs w:val="18"/>
                <w:color w:val="auto"/>
              </w:rPr>
            </w:pPr>
          </w:p>
        </w:tc>
      </w:tr>
      <w:tr>
        <w:trPr>
          <w:trHeight w:val="222"/>
        </w:trPr>
        <w:tc>
          <w:tcPr>
            <w:tcW w:w="450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2,651</w:t>
            </w: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1,780</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7,330</w:t>
            </w:r>
          </w:p>
        </w:tc>
        <w:tc>
          <w:tcPr>
            <w:tcW w:w="8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3,856</w:t>
            </w:r>
          </w:p>
        </w:tc>
        <w:tc>
          <w:tcPr>
            <w:tcW w:w="2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270,999</w:t>
            </w: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127,145</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226,294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92,398</w:t>
            </w:r>
          </w:p>
        </w:tc>
        <w:tc>
          <w:tcPr>
            <w:tcW w:w="200" w:type="dxa"/>
            <w:vAlign w:val="bottom"/>
            <w:shd w:val="clear" w:color="auto" w:fill="CCEEFF"/>
          </w:tcPr>
          <w:p>
            <w:pPr>
              <w:spacing w:after="0"/>
              <w:rPr>
                <w:sz w:val="18"/>
                <w:szCs w:val="18"/>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6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356"/>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F-53</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During July 2013, the Company delivered notices to Deutsche Bank Trust Company Americas to permanently reduce the commitment of the Company’s Revolving Credit Facility (DBTCA) from $250 million to $100 million. The elective reduction was made in anticipation of the facility expiring in December</w:t>
      </w:r>
    </w:p>
    <w:p>
      <w:pPr>
        <w:spacing w:after="0" w:line="261" w:lineRule="auto"/>
        <w:rPr>
          <w:sz w:val="20"/>
          <w:szCs w:val="20"/>
          <w:color w:val="auto"/>
        </w:rPr>
      </w:pPr>
      <w:r>
        <w:rPr>
          <w:rFonts w:ascii="Arial" w:cs="Arial" w:eastAsia="Arial" w:hAnsi="Arial"/>
          <w:sz w:val="18"/>
          <w:szCs w:val="18"/>
          <w:color w:val="auto"/>
        </w:rPr>
        <w:t>2013 and does not have a significant effect on the Company’s liquidity as (i) the Company’s borrowings are limited by the 1940 Act’s asset coverage requirement; and (ii) there is adequate availability under the Company’s other credit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July 17, 2013, the Company’s wholly-owned subsidiary TPG SL SPV, LLC amended the Revolving Credit Facility (Natixis). The amendment included additional options in the matrix table used in connection with managing the various benchmarks and compliance with the facility’s collateral quality tests.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Revolving Credit Facility (Natixis) is secured by a perfected first priority security interest in the assets of TPG SL SPV, LLC, a wholly-owned subsidiary of the Company (the “Subsidiary”) and on any payments received by the Subsidiary in respect of such assets and, as such, are not available to pay the debts of the Company. As of September 30, 2013 and December 31, 2012, the Subsidiary had $177.0 million and $163.8 million, respectively, in assets, including $167.6 million and $154.4 million, respectively, in investments, and $68.3 million and $67.3 million, respectively, in liabilities, including the outstanding borrowings, on its balance sheet. As of September 30, 2013 and December 31, 2012, the Subsidiary had $5.8 million and $4.3 million, respectively, in restricted cash, a component of Prepaid expenses and other assets, in the accompanying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On July 2, 2013, the Company entered into an agreement to amend and restate the Revolving Credit Facility (SunTrust), effective on July 3, 2013. The amended and restated facility, among other things, (a) increased the size of the facility from $200 million to $350 million; (b) increased the limit for swingline loans from $30 million to $50 million; (c) extended the expiration of the revolving period from August 24, 2015 to June 30, 2017, during which period the Company, subject to certain conditions, may make borrowings under the facility; (d) extended the stated maturity date from August 23, 2016 to July 2, 2018; (e) modified pricing; and, (f) increased advance rates for certain types of investments used in determining the borrowing base.</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amended and restated facility also reduced the fee rate on undrawn commitment amounts from 0.500% to 0.375% per annum. The amended and restated facility continues to be guaranteed by certain subsidiaries of the Company and secured by a perfected first-priority security interest in substantially all the portfolio investments held by the Company and each guarantor.</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amended and restated facility includes an uncommitted accordion feature that allows the Company, under certain circumstances, to increase the size of the facility to a maximum of $550 million. On September 30, 2013, the Company exercised its right under the accordion feature and increased the size of the facility to $400 million.</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Prior to the amendment, the revolving credit facility contained a covenant restricting the Company from incurring secured debt (other than the facility and any capital call facility) in excess of 40% of the total assets of the Company. The amended and restated facility removes this covenant. The amended and restated facility continues to include customary covenants, including certain financial covenants related to asset coverage and liquidity and other maintenance covenants, as well as customary events of default.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and December 31, 2012, the Company was in compliance with the terms of its debt obligations.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740" w:firstLine="8"/>
        <w:spacing w:after="0" w:line="417" w:lineRule="auto"/>
        <w:tabs>
          <w:tab w:leader="none" w:pos="176" w:val="left"/>
        </w:tabs>
        <w:numPr>
          <w:ilvl w:val="0"/>
          <w:numId w:val="17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September 30, 2013 and December 31, 2012, the Company had the following commitments to fund investments: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7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5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of September 30, 2013 and December 31, 2012, the Company had $1.5 billion and $1.4 billion, respectively, in total capital commitments from investors ($1.0 billion and $0.9 billion unfunded, respectively), of which $117.1 million and $114.1 million, respectively, is from the Adviser and its affiliates ($76.7 million and $76.6 million unfunded, respectively).</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September 30, 2013,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nine months ended September 30,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2"/>
          </w:tcPr>
          <w:p>
            <w:pPr>
              <w:jc w:val="right"/>
              <w:ind w:right="83"/>
              <w:spacing w:after="0"/>
              <w:rPr>
                <w:sz w:val="20"/>
                <w:szCs w:val="20"/>
                <w:color w:val="auto"/>
              </w:rPr>
            </w:pPr>
            <w:r>
              <w:rPr>
                <w:rFonts w:ascii="Arial" w:cs="Arial" w:eastAsia="Arial" w:hAnsi="Arial"/>
                <w:sz w:val="14"/>
                <w:szCs w:val="14"/>
                <w:b w:val="1"/>
                <w:bCs w:val="1"/>
                <w:color w:val="auto"/>
                <w:w w:val="88"/>
              </w:rPr>
              <w:t>Nine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8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w w:val="88"/>
              </w:rPr>
              <w:t>September 30, 2013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860" w:type="dxa"/>
            <w:vAlign w:val="bottom"/>
          </w:tcPr>
          <w:p>
            <w:pPr>
              <w:spacing w:after="0"/>
              <w:rPr>
                <w:sz w:val="10"/>
                <w:szCs w:val="10"/>
                <w:color w:val="auto"/>
              </w:rPr>
            </w:pPr>
          </w:p>
        </w:tc>
        <w:tc>
          <w:tcPr>
            <w:tcW w:w="740" w:type="dxa"/>
            <w:vAlign w:val="bottom"/>
          </w:tcPr>
          <w:p>
            <w:pPr>
              <w:jc w:val="right"/>
              <w:ind w:right="122"/>
              <w:spacing w:after="0" w:line="115" w:lineRule="exact"/>
              <w:rPr>
                <w:sz w:val="20"/>
                <w:szCs w:val="20"/>
                <w:color w:val="auto"/>
              </w:rPr>
            </w:pPr>
            <w:r>
              <w:rPr>
                <w:rFonts w:ascii="Arial" w:cs="Arial" w:eastAsia="Arial" w:hAnsi="Arial"/>
                <w:sz w:val="12"/>
                <w:szCs w:val="12"/>
                <w:b w:val="1"/>
                <w:bCs w:val="1"/>
                <w:color w:val="auto"/>
              </w:rPr>
              <w:t>Shares</w:t>
            </w: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5860" w:type="dxa"/>
            <w:vAlign w:val="bottom"/>
          </w:tcPr>
          <w:p>
            <w:pPr>
              <w:spacing w:after="0"/>
              <w:rPr>
                <w:sz w:val="15"/>
                <w:szCs w:val="15"/>
                <w:color w:val="auto"/>
              </w:rPr>
            </w:pPr>
          </w:p>
        </w:tc>
        <w:tc>
          <w:tcPr>
            <w:tcW w:w="740" w:type="dxa"/>
            <w:vAlign w:val="bottom"/>
          </w:tcPr>
          <w:p>
            <w:pPr>
              <w:jc w:val="right"/>
              <w:ind w:right="42"/>
              <w:spacing w:after="0" w:line="176" w:lineRule="exact"/>
              <w:rPr>
                <w:sz w:val="20"/>
                <w:szCs w:val="20"/>
                <w:color w:val="auto"/>
              </w:rPr>
            </w:pPr>
            <w:r>
              <w:rPr>
                <w:rFonts w:ascii="Arial" w:cs="Arial" w:eastAsia="Arial" w:hAnsi="Arial"/>
                <w:sz w:val="13"/>
                <w:szCs w:val="13"/>
                <w:b w:val="1"/>
                <w:bCs w:val="1"/>
                <w:color w:val="auto"/>
              </w:rPr>
              <w:t>Issued</w:t>
            </w:r>
            <w:r>
              <w:rPr>
                <w:rFonts w:ascii="Arial" w:cs="Arial" w:eastAsia="Arial" w:hAnsi="Arial"/>
                <w:sz w:val="20"/>
                <w:szCs w:val="20"/>
                <w:b w:val="1"/>
                <w:bCs w:val="1"/>
                <w:color w:val="auto"/>
                <w:vertAlign w:val="superscript"/>
              </w:rPr>
              <w:t>(2)</w:t>
            </w:r>
          </w:p>
        </w:tc>
        <w:tc>
          <w:tcPr>
            <w:tcW w:w="20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Proceeds Received</w:t>
            </w:r>
          </w:p>
        </w:tc>
      </w:tr>
      <w:tr>
        <w:trPr>
          <w:trHeight w:val="210"/>
        </w:trPr>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2,079,224</w:t>
            </w:r>
          </w:p>
        </w:tc>
        <w:tc>
          <w:tcPr>
            <w:tcW w:w="9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 xml:space="preserve">September 13, 2013 </w:t>
            </w:r>
            <w:r>
              <w:rPr>
                <w:rFonts w:ascii="Arial" w:cs="Arial" w:eastAsia="Arial" w:hAnsi="Arial"/>
                <w:sz w:val="11"/>
                <w:szCs w:val="11"/>
                <w:color w:val="auto"/>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1,633,829</w:t>
            </w:r>
          </w:p>
        </w:tc>
        <w:tc>
          <w:tcPr>
            <w:tcW w:w="9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3,713,053</w:t>
            </w:r>
          </w:p>
        </w:tc>
        <w:tc>
          <w:tcPr>
            <w:tcW w:w="134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As of September 30, 2013, there were $0.1 million in capital drawdowns outstanding from investors. On October 2, 2013, all outstanding amounts had been received by the Company.</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120" w:type="dxa"/>
            <w:vAlign w:val="bottom"/>
            <w:gridSpan w:val="3"/>
          </w:tcPr>
          <w:p>
            <w:pPr>
              <w:jc w:val="right"/>
              <w:ind w:right="63"/>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5"/>
              </w:rPr>
              <w:t>September 30, 2012</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740" w:type="dxa"/>
            <w:vAlign w:val="bottom"/>
          </w:tcPr>
          <w:p>
            <w:pPr>
              <w:spacing w:after="0"/>
              <w:rPr>
                <w:sz w:val="10"/>
                <w:szCs w:val="10"/>
                <w:color w:val="auto"/>
              </w:rPr>
            </w:pPr>
          </w:p>
        </w:tc>
        <w:tc>
          <w:tcPr>
            <w:tcW w:w="840" w:type="dxa"/>
            <w:vAlign w:val="bottom"/>
          </w:tcPr>
          <w:p>
            <w:pPr>
              <w:jc w:val="right"/>
              <w:ind w:right="179"/>
              <w:spacing w:after="0" w:line="115" w:lineRule="exact"/>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5740" w:type="dxa"/>
            <w:vAlign w:val="bottom"/>
          </w:tcPr>
          <w:p>
            <w:pPr>
              <w:spacing w:after="0"/>
              <w:rPr>
                <w:sz w:val="15"/>
                <w:szCs w:val="15"/>
                <w:color w:val="auto"/>
              </w:rPr>
            </w:pPr>
          </w:p>
        </w:tc>
        <w:tc>
          <w:tcPr>
            <w:tcW w:w="840" w:type="dxa"/>
            <w:vAlign w:val="bottom"/>
          </w:tcPr>
          <w:p>
            <w:pPr>
              <w:jc w:val="right"/>
              <w:ind w:right="99"/>
              <w:spacing w:after="0" w:line="176" w:lineRule="exact"/>
              <w:rPr>
                <w:sz w:val="20"/>
                <w:szCs w:val="20"/>
                <w:color w:val="auto"/>
              </w:rPr>
            </w:pPr>
            <w:r>
              <w:rPr>
                <w:rFonts w:ascii="Arial" w:cs="Arial" w:eastAsia="Arial" w:hAnsi="Arial"/>
                <w:sz w:val="13"/>
                <w:szCs w:val="13"/>
                <w:b w:val="1"/>
                <w:bCs w:val="1"/>
                <w:color w:val="auto"/>
              </w:rPr>
              <w:t>Issued</w:t>
            </w:r>
            <w:r>
              <w:rPr>
                <w:rFonts w:ascii="Arial" w:cs="Arial" w:eastAsia="Arial" w:hAnsi="Arial"/>
                <w:sz w:val="20"/>
                <w:szCs w:val="20"/>
                <w:b w:val="1"/>
                <w:bCs w:val="1"/>
                <w:color w:val="auto"/>
                <w:vertAlign w:val="superscript"/>
              </w:rPr>
              <w:t>(2)</w:t>
            </w:r>
          </w:p>
        </w:tc>
        <w:tc>
          <w:tcPr>
            <w:tcW w:w="2100" w:type="dxa"/>
            <w:vAlign w:val="bottom"/>
            <w:gridSpan w:val="4"/>
          </w:tcPr>
          <w:p>
            <w:pPr>
              <w:ind w:left="920"/>
              <w:spacing w:after="0"/>
              <w:rPr>
                <w:sz w:val="20"/>
                <w:szCs w:val="20"/>
                <w:color w:val="auto"/>
              </w:rPr>
            </w:pPr>
            <w:r>
              <w:rPr>
                <w:rFonts w:ascii="Arial" w:cs="Arial" w:eastAsia="Arial" w:hAnsi="Arial"/>
                <w:sz w:val="14"/>
                <w:szCs w:val="14"/>
                <w:b w:val="1"/>
                <w:bCs w:val="1"/>
                <w:color w:val="auto"/>
                <w:w w:val="90"/>
              </w:rPr>
              <w:t>Proceeds Received</w:t>
            </w: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February 22, 2012</w:t>
            </w:r>
          </w:p>
        </w:tc>
        <w:tc>
          <w:tcPr>
            <w:tcW w:w="840" w:type="dxa"/>
            <w:vAlign w:val="bottom"/>
          </w:tcPr>
          <w:p>
            <w:pPr>
              <w:jc w:val="right"/>
              <w:spacing w:after="0"/>
              <w:rPr>
                <w:sz w:val="20"/>
                <w:szCs w:val="20"/>
                <w:color w:val="auto"/>
              </w:rPr>
            </w:pPr>
            <w:r>
              <w:rPr>
                <w:rFonts w:ascii="Arial" w:cs="Arial" w:eastAsia="Arial" w:hAnsi="Arial"/>
                <w:sz w:val="18"/>
                <w:szCs w:val="18"/>
                <w:color w:val="auto"/>
              </w:rPr>
              <w:t>2,368,398</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May 31, 2012</w:t>
            </w:r>
          </w:p>
        </w:tc>
        <w:tc>
          <w:tcPr>
            <w:tcW w:w="840" w:type="dxa"/>
            <w:vAlign w:val="bottom"/>
          </w:tcPr>
          <w:p>
            <w:pPr>
              <w:jc w:val="right"/>
              <w:spacing w:after="0"/>
              <w:rPr>
                <w:sz w:val="20"/>
                <w:szCs w:val="20"/>
                <w:color w:val="auto"/>
              </w:rPr>
            </w:pPr>
            <w:r>
              <w:rPr>
                <w:rFonts w:ascii="Arial" w:cs="Arial" w:eastAsia="Arial" w:hAnsi="Arial"/>
                <w:sz w:val="18"/>
                <w:szCs w:val="18"/>
                <w:color w:val="auto"/>
              </w:rPr>
              <w:t>892,058</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June 29, 2012 </w:t>
            </w:r>
            <w:r>
              <w:rPr>
                <w:rFonts w:ascii="Arial" w:cs="Arial" w:eastAsia="Arial" w:hAnsi="Arial"/>
                <w:sz w:val="11"/>
                <w:szCs w:val="11"/>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September 26, 2012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1,496,143</w:t>
            </w:r>
          </w:p>
        </w:tc>
        <w:tc>
          <w:tcPr>
            <w:tcW w:w="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12,587,762</w:t>
            </w:r>
          </w:p>
        </w:tc>
        <w:tc>
          <w:tcPr>
            <w:tcW w:w="128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187,586</w:t>
            </w:r>
          </w:p>
        </w:tc>
        <w:tc>
          <w:tcPr>
            <w:tcW w:w="100" w:type="dxa"/>
            <w:vAlign w:val="bottom"/>
            <w:shd w:val="clear" w:color="auto" w:fill="CCEEFF"/>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620" w:hanging="452"/>
        <w:spacing w:after="0" w:line="268"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of June 30, 2012, there were $2.9 million in capital drawdowns outstanding from investors. On July 13, 2012, all outstanding amounts had been received by the Company.</w:t>
      </w:r>
    </w:p>
    <w:p>
      <w:pPr>
        <w:spacing w:after="0" w:line="118"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89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 during the nine months ended September 30, 2013 and 2012:</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3"/>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 2013</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Date</w:t>
            </w: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 Issued</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1740" w:type="dxa"/>
            <w:vAlign w:val="bottom"/>
            <w:gridSpan w:val="2"/>
          </w:tcPr>
          <w:p>
            <w:pPr>
              <w:ind w:left="460"/>
              <w:spacing w:after="0" w:line="148" w:lineRule="exact"/>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4"/>
                <w:szCs w:val="14"/>
                <w:color w:val="auto"/>
              </w:rPr>
            </w:pPr>
          </w:p>
        </w:tc>
        <w:tc>
          <w:tcPr>
            <w:tcW w:w="17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2"/>
              </w:rPr>
              <w:t>Shares Issued</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December 31, 2012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12, 2013</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343,981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2013</w:t>
            </w:r>
          </w:p>
        </w:tc>
        <w:tc>
          <w:tcPr>
            <w:tcW w:w="28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May 7, 2013</w:t>
            </w:r>
          </w:p>
        </w:tc>
        <w:tc>
          <w:tcPr>
            <w:tcW w:w="1100" w:type="dxa"/>
            <w:vAlign w:val="bottom"/>
          </w:tcPr>
          <w:p>
            <w:pPr>
              <w:jc w:val="right"/>
              <w:spacing w:after="0"/>
              <w:rPr>
                <w:sz w:val="20"/>
                <w:szCs w:val="20"/>
                <w:color w:val="auto"/>
              </w:rPr>
            </w:pPr>
            <w:r>
              <w:rPr>
                <w:rFonts w:ascii="Arial" w:cs="Arial" w:eastAsia="Arial" w:hAnsi="Arial"/>
                <w:sz w:val="18"/>
                <w:szCs w:val="18"/>
                <w:color w:val="auto"/>
              </w:rPr>
              <w:t>436,728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30, 2013</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6, 2013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 2012</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Date</w:t>
            </w: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 Issued</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1740" w:type="dxa"/>
            <w:vAlign w:val="bottom"/>
            <w:gridSpan w:val="2"/>
          </w:tcPr>
          <w:p>
            <w:pPr>
              <w:ind w:left="460"/>
              <w:spacing w:after="0" w:line="148" w:lineRule="exact"/>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4"/>
                <w:szCs w:val="14"/>
                <w:color w:val="auto"/>
              </w:rPr>
            </w:pPr>
          </w:p>
        </w:tc>
        <w:tc>
          <w:tcPr>
            <w:tcW w:w="17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2"/>
              </w:rPr>
              <w:t>Shares Issued</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December 31, 2011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20, 2012</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22,870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2012</w:t>
            </w:r>
          </w:p>
        </w:tc>
        <w:tc>
          <w:tcPr>
            <w:tcW w:w="28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May 16, 2012</w:t>
            </w:r>
          </w:p>
        </w:tc>
        <w:tc>
          <w:tcPr>
            <w:tcW w:w="1100" w:type="dxa"/>
            <w:vAlign w:val="bottom"/>
          </w:tcPr>
          <w:p>
            <w:pPr>
              <w:jc w:val="right"/>
              <w:spacing w:after="0"/>
              <w:rPr>
                <w:sz w:val="20"/>
                <w:szCs w:val="20"/>
                <w:color w:val="auto"/>
              </w:rPr>
            </w:pPr>
            <w:r>
              <w:rPr>
                <w:rFonts w:ascii="Arial" w:cs="Arial" w:eastAsia="Arial" w:hAnsi="Arial"/>
                <w:sz w:val="18"/>
                <w:szCs w:val="18"/>
                <w:color w:val="auto"/>
              </w:rPr>
              <w:t>97,214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30, 2012</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7, 2012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5, 2013, the Company’s issued and outstanding shares total 37,026,023, as adjusted for the stock split.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20" w:type="dxa"/>
            <w:vAlign w:val="bottom"/>
            <w:gridSpan w:val="6"/>
          </w:tcPr>
          <w:p>
            <w:pPr>
              <w:ind w:left="58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5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7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740" w:type="dxa"/>
            <w:vAlign w:val="bottom"/>
          </w:tcPr>
          <w:p>
            <w:pPr>
              <w:spacing w:after="0"/>
              <w:rPr>
                <w:sz w:val="11"/>
                <w:szCs w:val="11"/>
                <w:color w:val="auto"/>
              </w:rPr>
            </w:pPr>
          </w:p>
        </w:tc>
        <w:tc>
          <w:tcPr>
            <w:tcW w:w="12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September 30,</w:t>
            </w:r>
          </w:p>
        </w:tc>
        <w:tc>
          <w:tcPr>
            <w:tcW w:w="3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r>
      <w:tr>
        <w:trPr>
          <w:trHeight w:val="161"/>
        </w:trPr>
        <w:tc>
          <w:tcPr>
            <w:tcW w:w="51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100" w:type="dxa"/>
            <w:vAlign w:val="bottom"/>
            <w:shd w:val="clear" w:color="auto" w:fill="CCEEFF"/>
          </w:tcPr>
          <w:p>
            <w:pPr>
              <w:spacing w:after="0"/>
              <w:rPr>
                <w:sz w:val="18"/>
                <w:szCs w:val="18"/>
                <w:color w:val="auto"/>
              </w:rPr>
            </w:pPr>
          </w:p>
        </w:tc>
      </w:tr>
      <w:tr>
        <w:trPr>
          <w:trHeight w:val="208"/>
        </w:trPr>
        <w:tc>
          <w:tcPr>
            <w:tcW w:w="5120" w:type="dxa"/>
            <w:vAlign w:val="bottom"/>
          </w:tcPr>
          <w:p>
            <w:pPr>
              <w:spacing w:after="0"/>
              <w:rPr>
                <w:sz w:val="20"/>
                <w:szCs w:val="20"/>
                <w:color w:val="auto"/>
              </w:rPr>
            </w:pPr>
            <w:r>
              <w:rPr>
                <w:rFonts w:ascii="Arial" w:cs="Arial" w:eastAsia="Arial" w:hAnsi="Arial"/>
                <w:sz w:val="18"/>
                <w:szCs w:val="18"/>
                <w:color w:val="auto"/>
                <w:w w:val="94"/>
              </w:rPr>
              <w:t>Weighted average shares of common stock outstanding – basic and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120" w:type="dxa"/>
            <w:vAlign w:val="bottom"/>
          </w:tcPr>
          <w:p>
            <w:pPr>
              <w:ind w:left="220"/>
              <w:spacing w:after="0"/>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34,817,674</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w w:val="86"/>
              </w:rPr>
              <w:t>23,195,714</w:t>
            </w:r>
          </w:p>
        </w:tc>
        <w:tc>
          <w:tcPr>
            <w:tcW w:w="1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33,891,011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18,832,303</w:t>
            </w:r>
          </w:p>
        </w:tc>
        <w:tc>
          <w:tcPr>
            <w:tcW w:w="100" w:type="dxa"/>
            <w:vAlign w:val="bottom"/>
          </w:tcPr>
          <w:p>
            <w:pPr>
              <w:spacing w:after="0"/>
              <w:rPr>
                <w:sz w:val="19"/>
                <w:szCs w:val="19"/>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 and diluted</w:t>
            </w:r>
            <w:r>
              <w:rPr>
                <w:rFonts w:ascii="Arial" w:cs="Arial" w:eastAsia="Arial" w:hAnsi="Arial"/>
                <w:sz w:val="11"/>
                <w:szCs w:val="11"/>
                <w:color w:val="auto"/>
              </w:rPr>
              <w:t>(1)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dividends declared during the nine months ended September 30,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1100"/>
              <w:spacing w:after="0"/>
              <w:rPr>
                <w:sz w:val="20"/>
                <w:szCs w:val="20"/>
                <w:color w:val="auto"/>
              </w:rPr>
            </w:pPr>
            <w:r>
              <w:rPr>
                <w:rFonts w:ascii="Arial" w:cs="Arial" w:eastAsia="Arial" w:hAnsi="Arial"/>
                <w:sz w:val="14"/>
                <w:szCs w:val="14"/>
                <w:b w:val="1"/>
                <w:bCs w:val="1"/>
                <w:color w:val="auto"/>
              </w:rPr>
              <w:t>September 30, 2013</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82"/>
              <w:spacing w:after="0" w:line="115" w:lineRule="exact"/>
              <w:rPr>
                <w:sz w:val="20"/>
                <w:szCs w:val="20"/>
                <w:color w:val="auto"/>
              </w:rPr>
            </w:pPr>
            <w:r>
              <w:rPr>
                <w:rFonts w:ascii="Arial" w:cs="Arial" w:eastAsia="Arial" w:hAnsi="Arial"/>
                <w:sz w:val="12"/>
                <w:szCs w:val="12"/>
                <w:b w:val="1"/>
                <w:bCs w:val="1"/>
                <w:color w:val="auto"/>
              </w:rPr>
              <w:t>Dividend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3020" w:type="dxa"/>
            <w:vAlign w:val="bottom"/>
          </w:tcPr>
          <w:p>
            <w:pPr>
              <w:spacing w:after="0"/>
              <w:rPr>
                <w:sz w:val="15"/>
                <w:szCs w:val="15"/>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Record Date</w:t>
            </w:r>
          </w:p>
        </w:tc>
        <w:tc>
          <w:tcPr>
            <w:tcW w:w="480" w:type="dxa"/>
            <w:vAlign w:val="bottom"/>
          </w:tcPr>
          <w:p>
            <w:pPr>
              <w:spacing w:after="0"/>
              <w:rPr>
                <w:sz w:val="15"/>
                <w:szCs w:val="15"/>
                <w:color w:val="auto"/>
              </w:rPr>
            </w:pP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5"/>
                <w:szCs w:val="15"/>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w w:val="95"/>
              </w:rPr>
              <w:t>Share</w:t>
            </w:r>
            <w:r>
              <w:rPr>
                <w:rFonts w:ascii="Arial" w:cs="Arial" w:eastAsia="Arial" w:hAnsi="Arial"/>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2013</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6, 2013</w:t>
            </w: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June 30, 2013</w:t>
            </w:r>
          </w:p>
        </w:tc>
        <w:tc>
          <w:tcPr>
            <w:tcW w:w="480" w:type="dxa"/>
            <w:vAlign w:val="bottom"/>
          </w:tcPr>
          <w:p>
            <w:pPr>
              <w:spacing w:after="0"/>
              <w:rPr>
                <w:sz w:val="18"/>
                <w:szCs w:val="18"/>
                <w:color w:val="auto"/>
              </w:rPr>
            </w:pPr>
          </w:p>
        </w:tc>
        <w:tc>
          <w:tcPr>
            <w:tcW w:w="2120" w:type="dxa"/>
            <w:vAlign w:val="bottom"/>
            <w:gridSpan w:val="2"/>
          </w:tcPr>
          <w:p>
            <w:pPr>
              <w:jc w:val="right"/>
              <w:ind w:right="840"/>
              <w:spacing w:after="0"/>
              <w:rPr>
                <w:sz w:val="20"/>
                <w:szCs w:val="20"/>
                <w:color w:val="auto"/>
              </w:rPr>
            </w:pPr>
            <w:r>
              <w:rPr>
                <w:rFonts w:ascii="Arial" w:cs="Arial" w:eastAsia="Arial" w:hAnsi="Arial"/>
                <w:sz w:val="18"/>
                <w:szCs w:val="18"/>
                <w:color w:val="auto"/>
              </w:rPr>
              <w:t>July 31, 2013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September 30, 2013</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0"/>
              </w:rPr>
              <w:t>October 31, 2013</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gridSpan w:val="3"/>
            <w:vMerge w:val="restart"/>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1100"/>
              <w:spacing w:after="0"/>
              <w:rPr>
                <w:sz w:val="20"/>
                <w:szCs w:val="20"/>
                <w:color w:val="auto"/>
              </w:rPr>
            </w:pPr>
            <w:r>
              <w:rPr>
                <w:rFonts w:ascii="Arial" w:cs="Arial" w:eastAsia="Arial" w:hAnsi="Arial"/>
                <w:sz w:val="14"/>
                <w:szCs w:val="14"/>
                <w:b w:val="1"/>
                <w:bCs w:val="1"/>
                <w:color w:val="auto"/>
              </w:rPr>
              <w:t>September 30, 2012</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82"/>
              <w:spacing w:after="0" w:line="115" w:lineRule="exact"/>
              <w:rPr>
                <w:sz w:val="20"/>
                <w:szCs w:val="20"/>
                <w:color w:val="auto"/>
              </w:rPr>
            </w:pPr>
            <w:r>
              <w:rPr>
                <w:rFonts w:ascii="Arial" w:cs="Arial" w:eastAsia="Arial" w:hAnsi="Arial"/>
                <w:sz w:val="12"/>
                <w:szCs w:val="12"/>
                <w:b w:val="1"/>
                <w:bCs w:val="1"/>
                <w:color w:val="auto"/>
              </w:rPr>
              <w:t>Dividend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3020" w:type="dxa"/>
            <w:vAlign w:val="bottom"/>
          </w:tcPr>
          <w:p>
            <w:pPr>
              <w:spacing w:after="0"/>
              <w:rPr>
                <w:sz w:val="15"/>
                <w:szCs w:val="15"/>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Record Date</w:t>
            </w:r>
          </w:p>
        </w:tc>
        <w:tc>
          <w:tcPr>
            <w:tcW w:w="480" w:type="dxa"/>
            <w:vAlign w:val="bottom"/>
          </w:tcPr>
          <w:p>
            <w:pPr>
              <w:spacing w:after="0"/>
              <w:rPr>
                <w:sz w:val="15"/>
                <w:szCs w:val="15"/>
                <w:color w:val="auto"/>
              </w:rPr>
            </w:pP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5"/>
                <w:szCs w:val="15"/>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w w:val="95"/>
              </w:rPr>
              <w:t>Share</w:t>
            </w:r>
            <w:r>
              <w:rPr>
                <w:rFonts w:ascii="Arial" w:cs="Arial" w:eastAsia="Arial" w:hAnsi="Arial"/>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June 30, 2012</w:t>
            </w:r>
          </w:p>
        </w:tc>
        <w:tc>
          <w:tcPr>
            <w:tcW w:w="480" w:type="dxa"/>
            <w:vAlign w:val="bottom"/>
          </w:tcPr>
          <w:p>
            <w:pPr>
              <w:spacing w:after="0"/>
              <w:rPr>
                <w:sz w:val="18"/>
                <w:szCs w:val="18"/>
                <w:color w:val="auto"/>
              </w:rPr>
            </w:pPr>
          </w:p>
        </w:tc>
        <w:tc>
          <w:tcPr>
            <w:tcW w:w="2120" w:type="dxa"/>
            <w:vAlign w:val="bottom"/>
            <w:gridSpan w:val="2"/>
          </w:tcPr>
          <w:p>
            <w:pPr>
              <w:jc w:val="right"/>
              <w:ind w:right="84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September 30, 2012</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0"/>
              </w:rPr>
              <w:t>October 30, 2012</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dividends declared during the nine months ended September 30, 2013 and 2012, were derived from net investment income, determined on a tax basis.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expenses, among other items. To the extent these differences are permanent, they are charged or credited to Additional Paid-in Capital or Accumulated Net Investment Income, as appropriate, in the period that the differences arise. These adjustments have no effect on the Company’s net assets or results of operations.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We neither have any uncertain tax positions that met the recognition or measurement criteria of ASC 740-10-25, </w:t>
      </w:r>
      <w:r>
        <w:rPr>
          <w:rFonts w:ascii="Arial" w:cs="Arial" w:eastAsia="Arial" w:hAnsi="Arial"/>
          <w:sz w:val="16"/>
          <w:szCs w:val="16"/>
          <w:i w:val="1"/>
          <w:iCs w:val="1"/>
          <w:color w:val="auto"/>
        </w:rPr>
        <w:t>Income Taxes</w:t>
      </w:r>
      <w:r>
        <w:rPr>
          <w:rFonts w:ascii="Arial" w:cs="Arial" w:eastAsia="Arial" w:hAnsi="Arial"/>
          <w:sz w:val="16"/>
          <w:szCs w:val="16"/>
          <w:color w:val="auto"/>
        </w:rPr>
        <w:t>, nor did we have any unrecognized tax benefits as of the periods presented herein. Although we file federal and state tax returns, our primary tax jurisdiction is federal. Our inception-to-date taxable years remain subject to examination by the Internal Revenue Service as well as the respective state and local tax authorities.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basis of the Company’s investments as of September 30, 2013 and December 31, 2012, approximates their amortized cost.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three and nine months ended September 30, 2013, a net expense of $0.1 million and $0.1 million, respectively, was recorded for U.S. federal excise tax. For the three and nine months ended September 30, 2012, we did not incur any U.S. federal excise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right="620" w:hanging="452"/>
        <w:spacing w:after="0" w:line="268"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360"/>
          </w:cols>
          <w:pgMar w:left="240" w:top="459" w:right="2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following per share data and ratios have been derived from information provided in the consolidated financial statements. The following are the financial highlights for a share of Common Stock outstanding during the three months ended September 30, 2013 and 2012.</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Nine Months Ended</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2013</w:t>
            </w: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1"/>
                <w:szCs w:val="11"/>
                <w:color w:val="auto"/>
              </w:rPr>
              <w:t>(1)(5)</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15.19</w:t>
            </w:r>
          </w:p>
        </w:tc>
        <w:tc>
          <w:tcPr>
            <w:tcW w:w="1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unrealized and realized gains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from investment operations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60" w:type="dxa"/>
            <w:vAlign w:val="bottom"/>
            <w:gridSpan w:val="2"/>
          </w:tcPr>
          <w:p>
            <w:pPr>
              <w:spacing w:after="0"/>
              <w:rPr>
                <w:sz w:val="20"/>
                <w:szCs w:val="20"/>
                <w:color w:val="auto"/>
              </w:rPr>
            </w:pPr>
            <w:r>
              <w:rPr>
                <w:rFonts w:ascii="Arial" w:cs="Arial" w:eastAsia="Arial" w:hAnsi="Arial"/>
                <w:sz w:val="18"/>
                <w:szCs w:val="18"/>
                <w:color w:val="auto"/>
              </w:rPr>
              <w:t>Dividends declared from net investment income</w:t>
            </w:r>
          </w:p>
        </w:tc>
        <w:tc>
          <w:tcPr>
            <w:tcW w:w="220" w:type="dxa"/>
            <w:vAlign w:val="bottom"/>
          </w:tcPr>
          <w:p>
            <w:pPr>
              <w:spacing w:after="0"/>
              <w:rPr>
                <w:sz w:val="19"/>
                <w:szCs w:val="19"/>
                <w:color w:val="auto"/>
              </w:rPr>
            </w:pPr>
          </w:p>
        </w:tc>
        <w:tc>
          <w:tcPr>
            <w:tcW w:w="2080" w:type="dxa"/>
            <w:vAlign w:val="bottom"/>
            <w:gridSpan w:val="2"/>
          </w:tcPr>
          <w:p>
            <w:pPr>
              <w:jc w:val="right"/>
              <w:ind w:right="1052"/>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420"/>
              <w:spacing w:after="0"/>
              <w:rPr>
                <w:sz w:val="20"/>
                <w:szCs w:val="20"/>
                <w:color w:val="auto"/>
              </w:rPr>
            </w:pPr>
            <w:r>
              <w:rPr>
                <w:rFonts w:ascii="Arial" w:cs="Arial" w:eastAsia="Arial" w:hAnsi="Arial"/>
                <w:sz w:val="18"/>
                <w:szCs w:val="18"/>
                <w:color w:val="auto"/>
              </w:rPr>
              <w:t>Total dividends declared</w:t>
            </w: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jc w:val="right"/>
              <w:ind w:right="1052"/>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increase in net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1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1"/>
                <w:szCs w:val="11"/>
                <w:color w:val="auto"/>
              </w:rPr>
              <w:t>(5)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36,546,516</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24,699,457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1"/>
                <w:szCs w:val="11"/>
                <w:color w:val="auto"/>
              </w:rPr>
              <w:t>(2) (3)</w:t>
            </w:r>
          </w:p>
        </w:tc>
        <w:tc>
          <w:tcPr>
            <w:tcW w:w="220" w:type="dxa"/>
            <w:vAlign w:val="bottom"/>
          </w:tcPr>
          <w:p>
            <w:pPr>
              <w:spacing w:after="0"/>
              <w:rPr>
                <w:sz w:val="24"/>
                <w:szCs w:val="24"/>
                <w:color w:val="auto"/>
              </w:rPr>
            </w:pPr>
          </w:p>
        </w:tc>
        <w:tc>
          <w:tcPr>
            <w:tcW w:w="2080" w:type="dxa"/>
            <w:vAlign w:val="bottom"/>
            <w:gridSpan w:val="2"/>
          </w:tcPr>
          <w:p>
            <w:pPr>
              <w:jc w:val="right"/>
              <w:ind w:right="952"/>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 xml:space="preserve">Ratio of net expenses to average net assets </w:t>
            </w:r>
            <w:r>
              <w:rPr>
                <w:rFonts w:ascii="Arial" w:cs="Arial" w:eastAsia="Arial" w:hAnsi="Arial"/>
                <w:sz w:val="11"/>
                <w:szCs w:val="11"/>
                <w:color w:val="auto"/>
              </w:rPr>
              <w:t>(3)</w:t>
            </w:r>
          </w:p>
        </w:tc>
        <w:tc>
          <w:tcPr>
            <w:tcW w:w="220" w:type="dxa"/>
            <w:vAlign w:val="bottom"/>
          </w:tcPr>
          <w:p>
            <w:pPr>
              <w:spacing w:after="0"/>
              <w:rPr>
                <w:sz w:val="18"/>
                <w:szCs w:val="18"/>
                <w:color w:val="auto"/>
              </w:rPr>
            </w:pPr>
          </w:p>
        </w:tc>
        <w:tc>
          <w:tcPr>
            <w:tcW w:w="2080" w:type="dxa"/>
            <w:vAlign w:val="bottom"/>
            <w:gridSpan w:val="2"/>
          </w:tcPr>
          <w:p>
            <w:pPr>
              <w:jc w:val="right"/>
              <w:ind w:right="952"/>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11"/>
                <w:szCs w:val="11"/>
                <w:color w:val="auto"/>
              </w:rPr>
              <w:t>(3)</w:t>
            </w: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561,089</w:t>
            </w:r>
          </w:p>
        </w:tc>
        <w:tc>
          <w:tcPr>
            <w:tcW w:w="1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373,491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1"/>
                <w:szCs w:val="11"/>
                <w:color w:val="auto"/>
              </w:rPr>
              <w:t>(5)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33,891,011</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18,832,303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1"/>
                <w:szCs w:val="11"/>
                <w:color w:val="auto"/>
              </w:rPr>
              <w:t>(4)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1,500,000</w:t>
            </w:r>
          </w:p>
        </w:tc>
        <w:tc>
          <w:tcPr>
            <w:tcW w:w="1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1,402,970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Year of formation</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80" w:right="240" w:hanging="572"/>
        <w:spacing w:after="0" w:line="254" w:lineRule="auto"/>
        <w:tabs>
          <w:tab w:leader="none" w:pos="5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 as appropriate.</w:t>
      </w:r>
    </w:p>
    <w:p>
      <w:pPr>
        <w:ind w:left="580" w:hanging="572"/>
        <w:spacing w:after="0" w:line="250" w:lineRule="auto"/>
        <w:tabs>
          <w:tab w:leader="none" w:pos="5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Amount includes $117.1 million and $98.4 million of commitments from the Adviser and its affiliates as of September 30, 2013 and 2012, respectively.</w:t>
      </w:r>
    </w:p>
    <w:p>
      <w:pPr>
        <w:spacing w:after="0" w:line="32" w:lineRule="exact"/>
        <w:rPr>
          <w:rFonts w:ascii="Arial" w:cs="Arial" w:eastAsia="Arial" w:hAnsi="Arial"/>
          <w:sz w:val="16"/>
          <w:szCs w:val="16"/>
          <w:color w:val="auto"/>
        </w:rPr>
      </w:pPr>
    </w:p>
    <w:p>
      <w:pPr>
        <w:ind w:left="580" w:right="500" w:hanging="572"/>
        <w:spacing w:after="0" w:line="261" w:lineRule="auto"/>
        <w:tabs>
          <w:tab w:leader="none" w:pos="5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360"/>
          </w:cols>
          <w:pgMar w:left="240" w:top="460" w:right="2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APPENDIX A – DESCRIPTION OF SECURITIES RATINGS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&amp; Poor’s Long-Term Credit Issue Ratings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descriptions of Standard &amp; Poor’s long-term issue credit ratings have been published by Standard &amp; Poor’s Financial Services LLC:</w:t>
      </w:r>
    </w:p>
    <w:p>
      <w:pPr>
        <w:spacing w:after="0" w:line="194" w:lineRule="exact"/>
        <w:rPr>
          <w:sz w:val="20"/>
          <w:szCs w:val="20"/>
          <w:color w:val="auto"/>
        </w:rPr>
      </w:pPr>
    </w:p>
    <w:p>
      <w:pPr>
        <w:ind w:right="740" w:firstLine="8"/>
        <w:spacing w:after="0" w:line="268" w:lineRule="auto"/>
        <w:tabs>
          <w:tab w:leader="none" w:pos="424"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 An obligation rated ‘AAA’ has the highest rating assigned by Standard &amp; Poor’s. The obligor’s capacity to meet its financial commitment on the obligation is extremely strong.</w:t>
      </w:r>
    </w:p>
    <w:p>
      <w:pPr>
        <w:spacing w:after="0" w:line="132" w:lineRule="exact"/>
        <w:rPr>
          <w:sz w:val="20"/>
          <w:szCs w:val="20"/>
          <w:color w:val="auto"/>
        </w:rPr>
      </w:pPr>
    </w:p>
    <w:p>
      <w:pPr>
        <w:ind w:right="220" w:firstLine="8"/>
        <w:spacing w:after="0" w:line="268" w:lineRule="auto"/>
        <w:tabs>
          <w:tab w:leader="none" w:pos="297"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 An obligation rated ‘AA’ differs from the highest-rated obligations only to a small degree. The obligor’s capacity to meet its financial commitment on the obligation is very strong.</w:t>
      </w:r>
    </w:p>
    <w:p>
      <w:pPr>
        <w:spacing w:after="0" w:line="12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An obligation rated ‘A’ is somewhat more susceptible to the adverse effects of changes in circumstances and economic conditions than obligations in higher-rated categories. However, the obligor’s capacity to meet its financial commitment on the obligation is still strong.</w:t>
      </w:r>
    </w:p>
    <w:p>
      <w:pPr>
        <w:spacing w:after="0" w:line="126" w:lineRule="exact"/>
        <w:rPr>
          <w:sz w:val="20"/>
          <w:szCs w:val="20"/>
          <w:color w:val="auto"/>
        </w:rPr>
      </w:pPr>
    </w:p>
    <w:p>
      <w:pPr>
        <w:ind w:right="140" w:firstLine="8"/>
        <w:spacing w:after="0" w:line="332" w:lineRule="auto"/>
        <w:tabs>
          <w:tab w:leader="none" w:pos="395" w:val="left"/>
        </w:tabs>
        <w:numPr>
          <w:ilvl w:val="0"/>
          <w:numId w:val="179"/>
        </w:numPr>
        <w:rPr>
          <w:rFonts w:ascii="Arial" w:cs="Arial" w:eastAsia="Arial" w:hAnsi="Arial"/>
          <w:sz w:val="16"/>
          <w:szCs w:val="16"/>
          <w:b w:val="1"/>
          <w:bCs w:val="1"/>
          <w:color w:val="auto"/>
        </w:rPr>
      </w:pPr>
      <w:r>
        <w:rPr>
          <w:rFonts w:ascii="Arial" w:cs="Arial" w:eastAsia="Arial" w:hAnsi="Arial"/>
          <w:sz w:val="16"/>
          <w:szCs w:val="16"/>
          <w:color w:val="auto"/>
        </w:rPr>
        <w:t>- An obligation rated ‘BBB’ exhibits adequate protection parameters. However, adverse economic conditions or changing circumstances are more likely to lead to a weakened capacity of the obligor to meet its financial commitment on the obligation.</w:t>
      </w:r>
    </w:p>
    <w:p>
      <w:pPr>
        <w:spacing w:after="0" w:line="79"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 xml:space="preserve">BB, B, CCC, CC, and C </w:t>
      </w:r>
      <w:r>
        <w:rPr>
          <w:rFonts w:ascii="Arial" w:cs="Arial" w:eastAsia="Arial" w:hAnsi="Arial"/>
          <w:sz w:val="18"/>
          <w:szCs w:val="18"/>
          <w:color w:val="auto"/>
        </w:rPr>
        <w:t>- Obligations rated ‘BB’, ‘B’, ‘CCC’, ‘CC’, and ‘C’ are regarded as having significant speculative characteristics. ‘BB’ indicates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least degree of speculation and ‘C’ the highest. While such obligations will likely have some quality and protective characteristics, these may be outweighed by large uncertainties or major exposures to adverse conditions.</w:t>
      </w:r>
    </w:p>
    <w:p>
      <w:pPr>
        <w:spacing w:after="0" w:line="138" w:lineRule="exact"/>
        <w:rPr>
          <w:sz w:val="20"/>
          <w:szCs w:val="20"/>
          <w:color w:val="auto"/>
        </w:rPr>
      </w:pPr>
    </w:p>
    <w:p>
      <w:pPr>
        <w:ind w:right="360" w:firstLine="8"/>
        <w:spacing w:after="0" w:line="332" w:lineRule="auto"/>
        <w:tabs>
          <w:tab w:leader="none" w:pos="278" w:val="left"/>
        </w:tabs>
        <w:numPr>
          <w:ilvl w:val="0"/>
          <w:numId w:val="180"/>
        </w:numPr>
        <w:rPr>
          <w:rFonts w:ascii="Arial" w:cs="Arial" w:eastAsia="Arial" w:hAnsi="Arial"/>
          <w:sz w:val="16"/>
          <w:szCs w:val="16"/>
          <w:b w:val="1"/>
          <w:bCs w:val="1"/>
          <w:color w:val="auto"/>
        </w:rPr>
      </w:pPr>
      <w:r>
        <w:rPr>
          <w:rFonts w:ascii="Arial" w:cs="Arial" w:eastAsia="Arial" w:hAnsi="Arial"/>
          <w:sz w:val="16"/>
          <w:szCs w:val="16"/>
          <w:color w:val="auto"/>
        </w:rPr>
        <w:t>- An obligation rated ‘BB’ is less vulnerable to nonpayment than other speculative issues. However, it faces major ongoing uncertainties or exposure to adverse business, financial, or economic conditions which could lead to the obligor’s inadequate capacity to meet its financial commitment on the obligation.</w:t>
      </w:r>
    </w:p>
    <w:p>
      <w:pPr>
        <w:spacing w:after="0" w:line="7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An obligation rated ‘B’ is more vulnerable to nonpayment than obligations rated ‘BB’, but the obligor currently has the capacity to meet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on the obligation. Adverse business, financial, or economic conditions will likely impair the obligor’s capacity or willingness to meet its financial commitment on the obligation.</w:t>
      </w:r>
    </w:p>
    <w:p>
      <w:pPr>
        <w:spacing w:after="0" w:line="138" w:lineRule="exact"/>
        <w:rPr>
          <w:sz w:val="20"/>
          <w:szCs w:val="20"/>
          <w:color w:val="auto"/>
        </w:rPr>
      </w:pPr>
    </w:p>
    <w:p>
      <w:pPr>
        <w:ind w:firstLine="8"/>
        <w:spacing w:after="0" w:line="259" w:lineRule="auto"/>
        <w:tabs>
          <w:tab w:leader="none" w:pos="424"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 An obligation rated ‘CCC’ is currently vulnerable to nonpayment, and is dependent upon favorable business, financial, and economic conditions for the obligor to meet its financial commitment on the obligation. In the event of adverse business, financial, or economic conditions, the obligor is not likely to have the capacity to meet its financial commitment on the obligation.</w:t>
      </w:r>
    </w:p>
    <w:p>
      <w:pPr>
        <w:spacing w:after="0" w:line="140" w:lineRule="exact"/>
        <w:rPr>
          <w:sz w:val="20"/>
          <w:szCs w:val="20"/>
          <w:color w:val="auto"/>
        </w:rPr>
      </w:pPr>
    </w:p>
    <w:p>
      <w:pPr>
        <w:ind w:right="100" w:firstLine="8"/>
        <w:spacing w:after="0" w:line="268" w:lineRule="auto"/>
        <w:tabs>
          <w:tab w:leader="none" w:pos="297"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 An obligation rated ‘CC’ is currently highly vulnerable to nonpayment. The ‘CC’ rating is used when a default has not yet occurred, but Standard &amp; Poor’s expects default to be a virtual certainty, regardless of the anticipated time to default.</w:t>
      </w:r>
    </w:p>
    <w:p>
      <w:pPr>
        <w:spacing w:after="0" w:line="126"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An obligation rated ‘C’ is currently highly vulnerable to nonpayment, and the obligation is expected to have lower relative seniority or lower ultimate</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compared to obligations that are rated higher.</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 An obligation rated ‘D’ is in default or in breach of an imputed promise. For non-hybrid capital instruments, the ‘D’ rating category is used when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on an obligation are not made on the date due, unless Standard &amp; Poor’s believes that such payments will be made within five business days in the absence of a stated grace period or within the earlier of the stated grace period or 30 calendar days. The ‘D’ rating also will be used upon the filing of a bankruptcy petition or the taking of similar action and where default on an obligation is a virtual certainty, for example due to automatic stay provisions. An obligation’s rating is lowered to ‘D’ if it is subject to a distressed exchange offer.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Plus (+) or Minus (-) </w:t>
      </w:r>
      <w:r>
        <w:rPr>
          <w:rFonts w:ascii="Arial" w:cs="Arial" w:eastAsia="Arial" w:hAnsi="Arial"/>
          <w:sz w:val="18"/>
          <w:szCs w:val="18"/>
          <w:color w:val="auto"/>
        </w:rPr>
        <w:t>- The ratings from ‘AA’ to ‘CCC’ may be modified by the addition of a plus (+) or minus (-) sign to show relative standing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major rating categories.</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NR </w:t>
      </w:r>
      <w:r>
        <w:rPr>
          <w:rFonts w:ascii="Arial" w:cs="Arial" w:eastAsia="Arial" w:hAnsi="Arial"/>
          <w:sz w:val="18"/>
          <w:szCs w:val="18"/>
          <w:color w:val="auto"/>
        </w:rPr>
        <w:t>- This indicates that no rating has been requested, or that there is insufficient information on which to base a rating, or that Standard &amp; Poor’s does not rate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obligation as a matter of policy.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Moody’s Long-Term Corporate Obligation Ratings: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descriptions of Moody’s long-term corporate obligation ratings have been published by Moody’s Investors Service, Inc. and Moody’s Analytics,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Aaa </w:t>
      </w:r>
      <w:r>
        <w:rPr>
          <w:rFonts w:ascii="Arial" w:cs="Arial" w:eastAsia="Arial" w:hAnsi="Arial"/>
          <w:sz w:val="18"/>
          <w:szCs w:val="18"/>
          <w:color w:val="auto"/>
        </w:rPr>
        <w:t>- Obligations rated Aaa are judged to be of the highest quality, with minimal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Aa </w:t>
      </w:r>
      <w:r>
        <w:rPr>
          <w:rFonts w:ascii="Arial" w:cs="Arial" w:eastAsia="Arial" w:hAnsi="Arial"/>
          <w:sz w:val="18"/>
          <w:szCs w:val="18"/>
          <w:color w:val="auto"/>
        </w:rPr>
        <w:t>- Obligations rated Aa are judged to be of high quality and are subject to very low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Obligations rated A are considered upper-medium grade and are subject to low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Baa </w:t>
      </w:r>
      <w:r>
        <w:rPr>
          <w:rFonts w:ascii="Arial" w:cs="Arial" w:eastAsia="Arial" w:hAnsi="Arial"/>
          <w:sz w:val="15"/>
          <w:szCs w:val="15"/>
          <w:color w:val="auto"/>
        </w:rPr>
        <w:t>- Obligations rated Baa are subject to moderate credit risk. They are considered medium grade and as such may possess certain speculative characteristics.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 </w:t>
      </w:r>
      <w:r>
        <w:rPr>
          <w:rFonts w:ascii="Arial" w:cs="Arial" w:eastAsia="Arial" w:hAnsi="Arial"/>
          <w:sz w:val="18"/>
          <w:szCs w:val="18"/>
          <w:color w:val="auto"/>
        </w:rPr>
        <w:t>- Obligations rated Ba are judged to have speculative elements and are subject to substantial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Obligations rated B are considered speculative and are subject to high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Caa </w:t>
      </w:r>
      <w:r>
        <w:rPr>
          <w:rFonts w:ascii="Arial" w:cs="Arial" w:eastAsia="Arial" w:hAnsi="Arial"/>
          <w:sz w:val="18"/>
          <w:szCs w:val="18"/>
          <w:color w:val="auto"/>
        </w:rPr>
        <w:t>- Obligations rated Caa are judged to be of poor standing and are subject to very high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 </w:t>
      </w:r>
      <w:r>
        <w:rPr>
          <w:rFonts w:ascii="Arial" w:cs="Arial" w:eastAsia="Arial" w:hAnsi="Arial"/>
          <w:sz w:val="16"/>
          <w:szCs w:val="16"/>
          <w:color w:val="auto"/>
        </w:rPr>
        <w:t>- Obligations rated Ca are highly speculative and are likely in, or very near, default, with some prospect of recovery of principal and interest.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Obligations rated C are the lowest rated class of bonds and are typically in default, with little prospect for recovery of principal or interest.</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Moody’s appends numerical modifiers 1, 2, and 3 to each generic rating classification from Aa through Caa. The modifier 1 indicates that the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ranks in the higher end of its generic rating category; the modifier 2 indicates a mid-range ranking; and the modifier 3 indicates a ranking in the lower end of that generic rating category.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Fitch Ratings Corporate Bond Ratings: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descriptions of Fitch Ratings’ long-term corporate finance obligations ratings have been published by Fitch Ratings, Inc. and Fitch Ratings Ltd:</w:t>
      </w:r>
    </w:p>
    <w:p>
      <w:pPr>
        <w:spacing w:after="0" w:line="194" w:lineRule="exact"/>
        <w:rPr>
          <w:sz w:val="20"/>
          <w:szCs w:val="20"/>
          <w:color w:val="auto"/>
        </w:rPr>
      </w:pPr>
    </w:p>
    <w:p>
      <w:pPr>
        <w:ind w:right="320" w:firstLine="8"/>
        <w:spacing w:after="0" w:line="268" w:lineRule="auto"/>
        <w:tabs>
          <w:tab w:leader="none" w:pos="424"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 Highest credit quality. ‘AAA’ ratings denote the lowest expectation of credit risk. They are assigned only in cases of exceptionally strong capacity for payment of financial commitments. This capacity is highly unlikely to be adversely affected by foreseeable events.</w:t>
      </w:r>
    </w:p>
    <w:p>
      <w:pPr>
        <w:spacing w:after="0" w:line="132" w:lineRule="exact"/>
        <w:rPr>
          <w:sz w:val="20"/>
          <w:szCs w:val="20"/>
          <w:color w:val="auto"/>
        </w:rPr>
      </w:pPr>
    </w:p>
    <w:p>
      <w:pPr>
        <w:ind w:firstLine="8"/>
        <w:spacing w:after="0" w:line="268" w:lineRule="auto"/>
        <w:tabs>
          <w:tab w:leader="none" w:pos="297"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 Very high credit quality. ‘AA’ ratings denote expectations of very low credit risk. They indicate very strong capacity for payment of financial commitments. This capacity is not significantly vulnerable to foreseeable events.</w:t>
      </w:r>
    </w:p>
    <w:p>
      <w:pPr>
        <w:spacing w:after="0" w:line="12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High credit quality. ‘A’ ratings denote expectations of low credit risk. The capacity for payment of financial commitments is considered strong. This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may, nevertheless, be more vulnerable to adverse business or economic conditions than is the case for higher ratings.</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460" w:right="2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8"/>
        <w:spacing w:after="0" w:line="332" w:lineRule="auto"/>
        <w:tabs>
          <w:tab w:leader="none" w:pos="395" w:val="left"/>
        </w:tabs>
        <w:numPr>
          <w:ilvl w:val="0"/>
          <w:numId w:val="185"/>
        </w:numPr>
        <w:rPr>
          <w:rFonts w:ascii="Arial" w:cs="Arial" w:eastAsia="Arial" w:hAnsi="Arial"/>
          <w:sz w:val="16"/>
          <w:szCs w:val="16"/>
          <w:b w:val="1"/>
          <w:bCs w:val="1"/>
          <w:color w:val="auto"/>
        </w:rPr>
      </w:pPr>
      <w:r>
        <w:rPr>
          <w:rFonts w:ascii="Arial" w:cs="Arial" w:eastAsia="Arial" w:hAnsi="Arial"/>
          <w:sz w:val="16"/>
          <w:szCs w:val="16"/>
          <w:color w:val="auto"/>
        </w:rPr>
        <w:t>- Good credit quality. ‘BBB’ ratings indicate that expectations of credit risk are currently low. The capacity for payment of financial commitments is considered adequate but adverse business or economic conditions are more likely to impair this capacity.</w:t>
      </w:r>
    </w:p>
    <w:p>
      <w:pPr>
        <w:spacing w:after="0" w:line="85" w:lineRule="exact"/>
        <w:rPr>
          <w:sz w:val="20"/>
          <w:szCs w:val="20"/>
          <w:color w:val="auto"/>
        </w:rPr>
      </w:pPr>
    </w:p>
    <w:p>
      <w:pPr>
        <w:ind w:right="280" w:firstLine="8"/>
        <w:spacing w:after="0" w:line="268" w:lineRule="auto"/>
        <w:tabs>
          <w:tab w:leader="none" w:pos="278"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 Speculative. ‘BB’ ratings indicate an elevated vulnerability to credit risk, particularly in the event of adverse changes in business or economic conditions over time; however, business or financial alternatives may be available to allow financial commitments to be met.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Highly speculative. ‘B’ ratings indicate that material credit risk is present.</w:t>
      </w:r>
    </w:p>
    <w:p>
      <w:pPr>
        <w:spacing w:after="0" w:line="177" w:lineRule="exact"/>
        <w:rPr>
          <w:sz w:val="20"/>
          <w:szCs w:val="20"/>
          <w:color w:val="auto"/>
        </w:rPr>
      </w:pPr>
    </w:p>
    <w:p>
      <w:pPr>
        <w:ind w:left="440" w:hanging="432"/>
        <w:spacing w:after="0"/>
        <w:tabs>
          <w:tab w:leader="none" w:pos="440"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 Substantial credit risk. ‘CCC’ ratings indicate that substantial credit risk is present.</w:t>
      </w:r>
    </w:p>
    <w:p>
      <w:pPr>
        <w:spacing w:after="0" w:line="171" w:lineRule="exact"/>
        <w:rPr>
          <w:sz w:val="20"/>
          <w:szCs w:val="20"/>
          <w:color w:val="auto"/>
        </w:rPr>
      </w:pPr>
    </w:p>
    <w:p>
      <w:pPr>
        <w:ind w:left="300" w:hanging="292"/>
        <w:spacing w:after="0"/>
        <w:tabs>
          <w:tab w:leader="none" w:pos="300"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 Very high levels of credit risk. ‘CC’ ratings indicate very high levels of credit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Exceptionally high levels of credit risk. ‘C’ indicates exceptionally high levels of credit risk.</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Defaulted obligations typically are not assigned ‘RD’ or ‘D’ ratings, but are instead rated in the ‘B’ to ‘C’ rating categories, depending upon their recovery prospects and other relevant characteristics. This approach better aligns obligations that have comparable overall expected loss but varying vulnerability to default and loss.</w:t>
      </w:r>
    </w:p>
    <w:p>
      <w:pPr>
        <w:spacing w:after="0" w:line="13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Plus (+) or Minus (-) </w:t>
      </w:r>
      <w:r>
        <w:rPr>
          <w:rFonts w:ascii="Arial" w:cs="Arial" w:eastAsia="Arial" w:hAnsi="Arial"/>
          <w:sz w:val="18"/>
          <w:szCs w:val="18"/>
          <w:color w:val="auto"/>
        </w:rPr>
        <w:t>- The modifiers “+” or “-” may be appended to a rating to denote relative status within major rating categories. Such suffixes are not added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‘AAA’ obligation rating category, or to corporate finance obligation ratings in the categories below ‘CCC’.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24"/>
          <w:szCs w:val="24"/>
          <w:b w:val="1"/>
          <w:bCs w:val="1"/>
          <w:color w:val="auto"/>
        </w:rPr>
        <w:t>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313690</wp:posOffset>
            </wp:positionV>
            <wp:extent cx="15176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2800" w:type="dxa"/>
            <w:vAlign w:val="bottom"/>
          </w:tcPr>
          <w:p>
            <w:pPr>
              <w:jc w:val="center"/>
              <w:ind w:right="965"/>
              <w:spacing w:after="0"/>
              <w:rPr>
                <w:sz w:val="20"/>
                <w:szCs w:val="20"/>
                <w:color w:val="auto"/>
              </w:rPr>
            </w:pPr>
            <w:r>
              <w:rPr>
                <w:rFonts w:ascii="Arial" w:cs="Arial" w:eastAsia="Arial" w:hAnsi="Arial"/>
                <w:sz w:val="32"/>
                <w:szCs w:val="32"/>
                <w:b w:val="1"/>
                <w:bCs w:val="1"/>
                <w:color w:val="auto"/>
                <w:w w:val="93"/>
              </w:rPr>
              <w:t>J.P. Morgan</w:t>
            </w:r>
          </w:p>
        </w:tc>
        <w:tc>
          <w:tcPr>
            <w:tcW w:w="4880" w:type="dxa"/>
            <w:vAlign w:val="bottom"/>
          </w:tcPr>
          <w:p>
            <w:pPr>
              <w:jc w:val="center"/>
              <w:ind w:left="854"/>
              <w:spacing w:after="0"/>
              <w:rPr>
                <w:sz w:val="20"/>
                <w:szCs w:val="20"/>
                <w:color w:val="auto"/>
              </w:rPr>
            </w:pPr>
            <w:r>
              <w:rPr>
                <w:rFonts w:ascii="Arial" w:cs="Arial" w:eastAsia="Arial" w:hAnsi="Arial"/>
                <w:sz w:val="32"/>
                <w:szCs w:val="32"/>
                <w:b w:val="1"/>
                <w:bCs w:val="1"/>
                <w:color w:val="auto"/>
                <w:w w:val="96"/>
              </w:rPr>
              <w:t>BofA Merrill Lynch</w:t>
            </w:r>
          </w:p>
        </w:tc>
        <w:tc>
          <w:tcPr>
            <w:tcW w:w="3740" w:type="dxa"/>
            <w:vAlign w:val="bottom"/>
          </w:tcPr>
          <w:p>
            <w:pPr>
              <w:ind w:left="580"/>
              <w:spacing w:after="0"/>
              <w:rPr>
                <w:sz w:val="20"/>
                <w:szCs w:val="20"/>
                <w:color w:val="auto"/>
              </w:rPr>
            </w:pPr>
            <w:r>
              <w:rPr>
                <w:rFonts w:ascii="Arial" w:cs="Arial" w:eastAsia="Arial" w:hAnsi="Arial"/>
                <w:sz w:val="32"/>
                <w:szCs w:val="32"/>
                <w:b w:val="1"/>
                <w:bCs w:val="1"/>
                <w:color w:val="auto"/>
                <w:w w:val="91"/>
              </w:rPr>
              <w:t>Goldman, Sachs &amp; Co.</w:t>
            </w:r>
          </w:p>
        </w:tc>
      </w:tr>
      <w:tr>
        <w:trPr>
          <w:trHeight w:val="454"/>
        </w:trPr>
        <w:tc>
          <w:tcPr>
            <w:tcW w:w="2800" w:type="dxa"/>
            <w:vAlign w:val="bottom"/>
          </w:tcPr>
          <w:p>
            <w:pPr>
              <w:jc w:val="center"/>
              <w:ind w:right="885"/>
              <w:spacing w:after="0"/>
              <w:rPr>
                <w:sz w:val="20"/>
                <w:szCs w:val="20"/>
                <w:color w:val="auto"/>
              </w:rPr>
            </w:pPr>
            <w:r>
              <w:rPr>
                <w:rFonts w:ascii="Arial" w:cs="Arial" w:eastAsia="Arial" w:hAnsi="Arial"/>
                <w:sz w:val="22"/>
                <w:szCs w:val="22"/>
                <w:b w:val="1"/>
                <w:bCs w:val="1"/>
                <w:color w:val="auto"/>
                <w:w w:val="92"/>
              </w:rPr>
              <w:t>Citigroup</w:t>
            </w:r>
          </w:p>
        </w:tc>
        <w:tc>
          <w:tcPr>
            <w:tcW w:w="4880" w:type="dxa"/>
            <w:vAlign w:val="bottom"/>
          </w:tcPr>
          <w:p>
            <w:pPr>
              <w:ind w:left="1100"/>
              <w:spacing w:after="0"/>
              <w:rPr>
                <w:sz w:val="20"/>
                <w:szCs w:val="20"/>
                <w:color w:val="auto"/>
              </w:rPr>
            </w:pPr>
            <w:r>
              <w:rPr>
                <w:rFonts w:ascii="Arial" w:cs="Arial" w:eastAsia="Arial" w:hAnsi="Arial"/>
                <w:sz w:val="22"/>
                <w:szCs w:val="22"/>
                <w:b w:val="1"/>
                <w:bCs w:val="1"/>
                <w:color w:val="auto"/>
              </w:rPr>
              <w:t>Wells Fargo Securities</w:t>
            </w:r>
          </w:p>
        </w:tc>
        <w:tc>
          <w:tcPr>
            <w:tcW w:w="3740" w:type="dxa"/>
            <w:vAlign w:val="bottom"/>
          </w:tcPr>
          <w:p>
            <w:pPr>
              <w:ind w:left="2400"/>
              <w:spacing w:after="0"/>
              <w:rPr>
                <w:sz w:val="20"/>
                <w:szCs w:val="20"/>
                <w:color w:val="auto"/>
              </w:rPr>
            </w:pPr>
            <w:r>
              <w:rPr>
                <w:rFonts w:ascii="Arial" w:cs="Arial" w:eastAsia="Arial" w:hAnsi="Arial"/>
                <w:sz w:val="22"/>
                <w:szCs w:val="22"/>
                <w:b w:val="1"/>
                <w:bCs w:val="1"/>
                <w:color w:val="auto"/>
              </w:rPr>
              <w:t>Barclays</w:t>
            </w:r>
          </w:p>
        </w:tc>
      </w:tr>
      <w:tr>
        <w:trPr>
          <w:trHeight w:val="567"/>
        </w:trPr>
        <w:tc>
          <w:tcPr>
            <w:tcW w:w="2800" w:type="dxa"/>
            <w:vAlign w:val="bottom"/>
          </w:tcPr>
          <w:p>
            <w:pPr>
              <w:spacing w:after="0"/>
              <w:rPr>
                <w:sz w:val="24"/>
                <w:szCs w:val="24"/>
                <w:color w:val="auto"/>
              </w:rPr>
            </w:pPr>
          </w:p>
        </w:tc>
        <w:tc>
          <w:tcPr>
            <w:tcW w:w="4880" w:type="dxa"/>
            <w:vAlign w:val="bottom"/>
          </w:tcPr>
          <w:p>
            <w:pPr>
              <w:jc w:val="center"/>
              <w:ind w:left="814"/>
              <w:spacing w:after="0"/>
              <w:rPr>
                <w:sz w:val="20"/>
                <w:szCs w:val="20"/>
                <w:color w:val="auto"/>
              </w:rPr>
            </w:pPr>
            <w:r>
              <w:rPr>
                <w:rFonts w:ascii="Arial" w:cs="Arial" w:eastAsia="Arial" w:hAnsi="Arial"/>
                <w:sz w:val="22"/>
                <w:szCs w:val="22"/>
                <w:b w:val="1"/>
                <w:bCs w:val="1"/>
                <w:i w:val="1"/>
                <w:iCs w:val="1"/>
                <w:color w:val="auto"/>
                <w:w w:val="87"/>
              </w:rPr>
              <w:t>Co-Managers</w:t>
            </w:r>
          </w:p>
        </w:tc>
        <w:tc>
          <w:tcPr>
            <w:tcW w:w="3740" w:type="dxa"/>
            <w:vAlign w:val="bottom"/>
          </w:tcPr>
          <w:p>
            <w:pPr>
              <w:spacing w:after="0"/>
              <w:rPr>
                <w:sz w:val="24"/>
                <w:szCs w:val="24"/>
                <w:color w:val="auto"/>
              </w:rPr>
            </w:pPr>
          </w:p>
        </w:tc>
      </w:tr>
      <w:tr>
        <w:trPr>
          <w:trHeight w:val="2056"/>
        </w:trPr>
        <w:tc>
          <w:tcPr>
            <w:tcW w:w="28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68"/>
        </w:trPr>
        <w:tc>
          <w:tcPr>
            <w:tcW w:w="280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4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w w:val="98"/>
              </w:rPr>
              <w:t>TPG SPECIALTY LENDING, INC.</w:t>
            </w:r>
          </w:p>
        </w:tc>
        <w:tc>
          <w:tcPr>
            <w:tcW w:w="1360" w:type="dxa"/>
            <w:vAlign w:val="bottom"/>
          </w:tcPr>
          <w:p>
            <w:pPr>
              <w:spacing w:after="0"/>
              <w:rPr>
                <w:sz w:val="19"/>
                <w:szCs w:val="19"/>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00" w:type="dxa"/>
            <w:vAlign w:val="bottom"/>
            <w:gridSpan w:val="9"/>
          </w:tcPr>
          <w:p>
            <w:pPr>
              <w:jc w:val="center"/>
              <w:ind w:right="3800"/>
              <w:spacing w:after="0"/>
              <w:rPr>
                <w:sz w:val="20"/>
                <w:szCs w:val="20"/>
                <w:color w:val="auto"/>
              </w:rPr>
            </w:pPr>
            <w:r>
              <w:rPr>
                <w:rFonts w:ascii="Arial" w:cs="Arial" w:eastAsia="Arial" w:hAnsi="Arial"/>
                <w:sz w:val="18"/>
                <w:szCs w:val="18"/>
                <w:b w:val="1"/>
                <w:bCs w:val="1"/>
                <w:color w:val="auto"/>
                <w:w w:val="92"/>
              </w:rPr>
              <w:t>PART C</w:t>
            </w:r>
          </w:p>
        </w:tc>
        <w:tc>
          <w:tcPr>
            <w:tcW w:w="1360" w:type="dxa"/>
            <w:vAlign w:val="bottom"/>
          </w:tcPr>
          <w:p>
            <w:pPr>
              <w:spacing w:after="0"/>
              <w:rPr>
                <w:sz w:val="24"/>
                <w:szCs w:val="24"/>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20" w:type="dxa"/>
            <w:vAlign w:val="bottom"/>
            <w:gridSpan w:val="10"/>
          </w:tcPr>
          <w:p>
            <w:pPr>
              <w:jc w:val="center"/>
              <w:ind w:right="3080"/>
              <w:spacing w:after="0"/>
              <w:rPr>
                <w:sz w:val="20"/>
                <w:szCs w:val="20"/>
                <w:color w:val="auto"/>
              </w:rPr>
            </w:pPr>
            <w:r>
              <w:rPr>
                <w:rFonts w:ascii="Arial" w:cs="Arial" w:eastAsia="Arial" w:hAnsi="Arial"/>
                <w:sz w:val="18"/>
                <w:szCs w:val="18"/>
                <w:b w:val="1"/>
                <w:bCs w:val="1"/>
                <w:color w:val="auto"/>
                <w:w w:val="93"/>
              </w:rPr>
              <w:t>Other Information</w:t>
            </w:r>
          </w:p>
        </w:tc>
        <w:tc>
          <w:tcPr>
            <w:tcW w:w="1360" w:type="dxa"/>
            <w:vAlign w:val="bottom"/>
          </w:tcPr>
          <w:p>
            <w:pPr>
              <w:spacing w:after="0"/>
              <w:rPr>
                <w:sz w:val="24"/>
                <w:szCs w:val="24"/>
                <w:color w:val="auto"/>
              </w:rPr>
            </w:pPr>
          </w:p>
        </w:tc>
      </w:tr>
      <w:tr>
        <w:trPr>
          <w:trHeight w:val="419"/>
        </w:trPr>
        <w:tc>
          <w:tcPr>
            <w:tcW w:w="760" w:type="dxa"/>
            <w:vAlign w:val="bottom"/>
          </w:tcPr>
          <w:p>
            <w:pPr>
              <w:spacing w:after="0"/>
              <w:rPr>
                <w:sz w:val="20"/>
                <w:szCs w:val="20"/>
                <w:color w:val="auto"/>
              </w:rPr>
            </w:pPr>
            <w:r>
              <w:rPr>
                <w:rFonts w:ascii="Arial" w:cs="Arial" w:eastAsia="Arial" w:hAnsi="Arial"/>
                <w:sz w:val="18"/>
                <w:szCs w:val="18"/>
                <w:b w:val="1"/>
                <w:bCs w:val="1"/>
                <w:color w:val="auto"/>
              </w:rPr>
              <w:t>Item 25.</w:t>
            </w:r>
          </w:p>
        </w:tc>
        <w:tc>
          <w:tcPr>
            <w:tcW w:w="9200" w:type="dxa"/>
            <w:vAlign w:val="bottom"/>
            <w:gridSpan w:val="1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1360" w:type="dxa"/>
            <w:vAlign w:val="bottom"/>
          </w:tcPr>
          <w:p>
            <w:pPr>
              <w:spacing w:after="0"/>
              <w:rPr>
                <w:sz w:val="24"/>
                <w:szCs w:val="24"/>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b w:val="1"/>
                <w:bCs w:val="1"/>
                <w:color w:val="auto"/>
              </w:rPr>
              <w:t>(1)</w:t>
            </w:r>
          </w:p>
        </w:tc>
        <w:tc>
          <w:tcPr>
            <w:tcW w:w="9200" w:type="dxa"/>
            <w:vAlign w:val="bottom"/>
            <w:gridSpan w:val="13"/>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1360" w:type="dxa"/>
            <w:vAlign w:val="bottom"/>
          </w:tcPr>
          <w:p>
            <w:pPr>
              <w:spacing w:after="0"/>
              <w:rPr>
                <w:sz w:val="24"/>
                <w:szCs w:val="24"/>
                <w:color w:val="auto"/>
              </w:rPr>
            </w:pPr>
          </w:p>
        </w:tc>
      </w:tr>
      <w:tr>
        <w:trPr>
          <w:trHeight w:val="378"/>
        </w:trPr>
        <w:tc>
          <w:tcPr>
            <w:tcW w:w="9960" w:type="dxa"/>
            <w:vAlign w:val="bottom"/>
            <w:gridSpan w:val="14"/>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360" w:type="dxa"/>
            <w:vAlign w:val="bottom"/>
          </w:tcPr>
          <w:p>
            <w:pPr>
              <w:spacing w:after="0"/>
              <w:rPr>
                <w:sz w:val="24"/>
                <w:szCs w:val="24"/>
                <w:color w:val="auto"/>
              </w:rPr>
            </w:pPr>
          </w:p>
        </w:tc>
      </w:tr>
      <w:tr>
        <w:trPr>
          <w:trHeight w:val="291"/>
        </w:trPr>
        <w:tc>
          <w:tcPr>
            <w:tcW w:w="9960" w:type="dxa"/>
            <w:vAlign w:val="bottom"/>
            <w:gridSpan w:val="1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360" w:type="dxa"/>
            <w:vAlign w:val="bottom"/>
          </w:tcPr>
          <w:p>
            <w:pPr>
              <w:spacing w:after="0"/>
              <w:rPr>
                <w:sz w:val="24"/>
                <w:szCs w:val="24"/>
                <w:color w:val="auto"/>
              </w:rPr>
            </w:pPr>
          </w:p>
        </w:tc>
      </w:tr>
      <w:tr>
        <w:trPr>
          <w:trHeight w:val="184"/>
        </w:trPr>
        <w:tc>
          <w:tcPr>
            <w:tcW w:w="9960" w:type="dxa"/>
            <w:vAlign w:val="bottom"/>
            <w:gridSpan w:val="14"/>
          </w:tcPr>
          <w:p>
            <w:pPr>
              <w:spacing w:after="0" w:line="184" w:lineRule="exact"/>
              <w:rPr>
                <w:rFonts w:ascii="Arial" w:cs="Arial" w:eastAsia="Arial" w:hAnsi="Arial"/>
                <w:sz w:val="18"/>
                <w:szCs w:val="18"/>
                <w:color w:val="0000EE"/>
              </w:rPr>
            </w:pPr>
            <w:hyperlink w:anchor="page164">
              <w:r>
                <w:rPr>
                  <w:rFonts w:ascii="Arial" w:cs="Arial" w:eastAsia="Arial" w:hAnsi="Arial"/>
                  <w:sz w:val="18"/>
                  <w:szCs w:val="18"/>
                  <w:color w:val="0000EE"/>
                </w:rPr>
                <w:t>Report of Independent Registered Public Accounting Firm</w:t>
              </w:r>
            </w:hyperlink>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5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165">
              <w:r>
                <w:rPr>
                  <w:rFonts w:ascii="Arial" w:cs="Arial" w:eastAsia="Arial" w:hAnsi="Arial"/>
                  <w:sz w:val="18"/>
                  <w:szCs w:val="18"/>
                  <w:color w:val="0000EE"/>
                  <w:w w:val="86"/>
                </w:rPr>
                <w:t>Consolidated Balance Sheets as of December 31, 2012 and 2011</w:t>
              </w:r>
            </w:hyperlink>
          </w:p>
        </w:tc>
        <w:tc>
          <w:tcPr>
            <w:tcW w:w="5420" w:type="dxa"/>
            <w:vAlign w:val="bottom"/>
            <w:gridSpan w:val="10"/>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9960" w:type="dxa"/>
            <w:vAlign w:val="bottom"/>
            <w:gridSpan w:val="14"/>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Consolidated Statements of Operations for the years ended December 31, 2012 and 2011</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Consolidated Schedules of Investments as of December 31, 2012 and 2011</w:t>
              </w:r>
            </w:hyperlink>
          </w:p>
        </w:tc>
        <w:tc>
          <w:tcPr>
            <w:tcW w:w="372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960" w:type="dxa"/>
            <w:vAlign w:val="bottom"/>
            <w:gridSpan w:val="14"/>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Consolidated Statements of Changes in Net Assets for the years ended December 31, 2012 and 2011</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196"/>
        </w:trPr>
        <w:tc>
          <w:tcPr>
            <w:tcW w:w="7060" w:type="dxa"/>
            <w:vAlign w:val="bottom"/>
            <w:tcBorders>
              <w:top w:val="single" w:sz="8" w:color="0000EE"/>
            </w:tcBorders>
            <w:gridSpan w:val="11"/>
          </w:tcPr>
          <w:p>
            <w:pPr>
              <w:spacing w:after="0" w:line="196" w:lineRule="exact"/>
              <w:rPr>
                <w:rFonts w:ascii="Arial" w:cs="Arial" w:eastAsia="Arial" w:hAnsi="Arial"/>
                <w:sz w:val="18"/>
                <w:szCs w:val="18"/>
                <w:color w:val="0000EE"/>
                <w:w w:val="97"/>
              </w:rPr>
            </w:pPr>
            <w:hyperlink w:anchor="page173">
              <w:r>
                <w:rPr>
                  <w:rFonts w:ascii="Arial" w:cs="Arial" w:eastAsia="Arial" w:hAnsi="Arial"/>
                  <w:sz w:val="18"/>
                  <w:szCs w:val="18"/>
                  <w:color w:val="0000EE"/>
                  <w:w w:val="97"/>
                </w:rPr>
                <w:t>Consolidated Statements of Cash Flows for the years ended December 31, 2012 and 2011</w:t>
              </w:r>
            </w:hyperlink>
          </w:p>
        </w:tc>
        <w:tc>
          <w:tcPr>
            <w:tcW w:w="290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r>
      <w:tr>
        <w:trPr>
          <w:trHeight w:val="196"/>
        </w:trPr>
        <w:tc>
          <w:tcPr>
            <w:tcW w:w="6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Notes to Consolidated Financial Statements</w:t>
              </w:r>
            </w:hyperlink>
          </w:p>
        </w:tc>
        <w:tc>
          <w:tcPr>
            <w:tcW w:w="366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36"/>
        </w:trPr>
        <w:tc>
          <w:tcPr>
            <w:tcW w:w="9960" w:type="dxa"/>
            <w:vAlign w:val="bottom"/>
            <w:gridSpan w:val="14"/>
          </w:tcPr>
          <w:p>
            <w:pPr>
              <w:spacing w:after="0"/>
              <w:rPr>
                <w:sz w:val="20"/>
                <w:szCs w:val="20"/>
                <w:color w:val="auto"/>
              </w:rPr>
            </w:pPr>
            <w:r>
              <w:rPr>
                <w:rFonts w:ascii="Arial" w:cs="Arial" w:eastAsia="Arial" w:hAnsi="Arial"/>
                <w:sz w:val="18"/>
                <w:szCs w:val="18"/>
                <w:b w:val="1"/>
                <w:bCs w:val="1"/>
                <w:color w:val="auto"/>
              </w:rPr>
              <w:t>Unaudited Consolidated Financial Statements</w:t>
            </w:r>
          </w:p>
        </w:tc>
        <w:tc>
          <w:tcPr>
            <w:tcW w:w="1360" w:type="dxa"/>
            <w:vAlign w:val="bottom"/>
          </w:tcPr>
          <w:p>
            <w:pPr>
              <w:spacing w:after="0"/>
              <w:rPr>
                <w:sz w:val="24"/>
                <w:szCs w:val="24"/>
                <w:color w:val="auto"/>
              </w:rPr>
            </w:pPr>
          </w:p>
        </w:tc>
      </w:tr>
      <w:tr>
        <w:trPr>
          <w:trHeight w:val="184"/>
        </w:trPr>
        <w:tc>
          <w:tcPr>
            <w:tcW w:w="9960" w:type="dxa"/>
            <w:vAlign w:val="bottom"/>
            <w:gridSpan w:val="14"/>
          </w:tcPr>
          <w:p>
            <w:pPr>
              <w:spacing w:after="0" w:line="184" w:lineRule="exact"/>
              <w:rPr>
                <w:rFonts w:ascii="Arial" w:cs="Arial" w:eastAsia="Arial" w:hAnsi="Arial"/>
                <w:sz w:val="18"/>
                <w:szCs w:val="18"/>
                <w:color w:val="0000EE"/>
              </w:rPr>
            </w:pPr>
            <w:hyperlink w:anchor="page193">
              <w:r>
                <w:rPr>
                  <w:rFonts w:ascii="Arial" w:cs="Arial" w:eastAsia="Arial" w:hAnsi="Arial"/>
                  <w:sz w:val="18"/>
                  <w:szCs w:val="18"/>
                  <w:color w:val="0000EE"/>
                </w:rPr>
                <w:t>Consolidated Balance Sheets as of September 30, 2013 and December 31, 2012</w:t>
              </w:r>
            </w:hyperlink>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F-31</w:t>
            </w:r>
          </w:p>
        </w:tc>
      </w:tr>
      <w:tr>
        <w:trPr>
          <w:trHeight w:val="20"/>
        </w:trPr>
        <w:tc>
          <w:tcPr>
            <w:tcW w:w="5600" w:type="dxa"/>
            <w:vAlign w:val="bottom"/>
            <w:gridSpan w:val="6"/>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94">
              <w:r>
                <w:rPr>
                  <w:rFonts w:ascii="Arial" w:cs="Arial" w:eastAsia="Arial" w:hAnsi="Arial"/>
                  <w:sz w:val="18"/>
                  <w:szCs w:val="18"/>
                  <w:color w:val="0000EE"/>
                  <w:w w:val="87"/>
                </w:rPr>
                <w:t>Consolidated Statements of Operations for the three and nine months ended September 30, 2013 and 2012</w:t>
              </w:r>
            </w:hyperlink>
          </w:p>
        </w:tc>
        <w:tc>
          <w:tcPr>
            <w:tcW w:w="244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196"/>
        </w:trPr>
        <w:tc>
          <w:tcPr>
            <w:tcW w:w="9960" w:type="dxa"/>
            <w:vAlign w:val="bottom"/>
            <w:gridSpan w:val="14"/>
          </w:tcPr>
          <w:p>
            <w:pPr>
              <w:spacing w:after="0" w:line="196" w:lineRule="exact"/>
              <w:rPr>
                <w:sz w:val="20"/>
                <w:szCs w:val="20"/>
                <w:color w:val="auto"/>
              </w:rPr>
            </w:pPr>
            <w:r>
              <w:rPr>
                <w:rFonts w:ascii="Arial" w:cs="Arial" w:eastAsia="Arial" w:hAnsi="Arial"/>
                <w:sz w:val="18"/>
                <w:szCs w:val="18"/>
                <w:color w:val="0000EE"/>
              </w:rPr>
              <w:t>Consolidated Schedules of Investments as of September 30, 2013 and December 31, 2012</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20"/>
        </w:trPr>
        <w:tc>
          <w:tcPr>
            <w:tcW w:w="6320" w:type="dxa"/>
            <w:vAlign w:val="bottom"/>
            <w:gridSpan w:val="9"/>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6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201">
              <w:r>
                <w:rPr>
                  <w:rFonts w:ascii="Arial" w:cs="Arial" w:eastAsia="Arial" w:hAnsi="Arial"/>
                  <w:sz w:val="18"/>
                  <w:szCs w:val="18"/>
                  <w:color w:val="0000EE"/>
                  <w:w w:val="87"/>
                </w:rPr>
                <w:t>Consolidated Statements of Changes in Net Assets for the nine months ended September 30, 2013 and 2012</w:t>
              </w:r>
            </w:hyperlink>
          </w:p>
        </w:tc>
        <w:tc>
          <w:tcPr>
            <w:tcW w:w="23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9960" w:type="dxa"/>
            <w:vAlign w:val="bottom"/>
            <w:gridSpan w:val="14"/>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Consolidated Statements of Cash Flows for the nine months ended September 30, 2013 and 2012</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196"/>
        </w:trPr>
        <w:tc>
          <w:tcPr>
            <w:tcW w:w="6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Notes to Consolidated Financial Statements</w:t>
              </w:r>
            </w:hyperlink>
          </w:p>
        </w:tc>
        <w:tc>
          <w:tcPr>
            <w:tcW w:w="3140" w:type="dxa"/>
            <w:vAlign w:val="bottom"/>
            <w:gridSpan w:val="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F-41</w:t>
            </w:r>
          </w:p>
        </w:tc>
      </w:tr>
      <w:tr>
        <w:trPr>
          <w:trHeight w:val="20"/>
        </w:trPr>
        <w:tc>
          <w:tcPr>
            <w:tcW w:w="7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96" w:lineRule="exact"/>
        <w:rPr>
          <w:sz w:val="20"/>
          <w:szCs w:val="20"/>
          <w:color w:val="auto"/>
        </w:rPr>
      </w:pPr>
    </w:p>
    <w:p>
      <w:pPr>
        <w:ind w:left="920" w:hanging="912"/>
        <w:spacing w:after="0"/>
        <w:tabs>
          <w:tab w:leader="none" w:pos="92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4" w:lineRule="exact"/>
        <w:rPr>
          <w:sz w:val="20"/>
          <w:szCs w:val="20"/>
          <w:color w:val="auto"/>
        </w:rPr>
      </w:pPr>
    </w:p>
    <w:p>
      <w:pPr>
        <w:ind w:left="1300" w:right="800" w:hanging="1292"/>
        <w:spacing w:after="0" w:line="268"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77" w:lineRule="exact"/>
        <w:rPr>
          <w:rFonts w:ascii="Arial" w:cs="Arial" w:eastAsia="Arial" w:hAnsi="Arial"/>
          <w:sz w:val="18"/>
          <w:szCs w:val="18"/>
          <w:color w:val="auto"/>
        </w:rPr>
      </w:pPr>
    </w:p>
    <w:p>
      <w:pPr>
        <w:ind w:left="1300" w:hanging="1292"/>
        <w:spacing w:after="0" w:line="268"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77" w:lineRule="exact"/>
        <w:rPr>
          <w:rFonts w:ascii="Arial" w:cs="Arial" w:eastAsia="Arial" w:hAnsi="Arial"/>
          <w:sz w:val="18"/>
          <w:szCs w:val="18"/>
          <w:color w:val="auto"/>
        </w:rPr>
      </w:pPr>
    </w:p>
    <w:p>
      <w:pPr>
        <w:ind w:left="1300" w:hanging="1292"/>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(d)(1)</w:t>
            </w:r>
          </w:p>
        </w:tc>
        <w:tc>
          <w:tcPr>
            <w:tcW w:w="10360" w:type="dxa"/>
            <w:vAlign w:val="bottom"/>
          </w:tcPr>
          <w:p>
            <w:pPr>
              <w:ind w:left="440"/>
              <w:spacing w:after="0"/>
              <w:rPr>
                <w:sz w:val="20"/>
                <w:szCs w:val="20"/>
                <w:color w:val="auto"/>
              </w:rPr>
            </w:pPr>
            <w:r>
              <w:rPr>
                <w:rFonts w:ascii="Arial" w:cs="Arial" w:eastAsia="Arial" w:hAnsi="Arial"/>
                <w:sz w:val="18"/>
                <w:szCs w:val="18"/>
                <w:color w:val="auto"/>
                <w:w w:val="94"/>
              </w:rPr>
              <w:t>Form of Subscription Agreement in connection with the Private Offerings (incorporated by reference to Exhibit 4.1 to the Company’s</w:t>
            </w:r>
          </w:p>
        </w:tc>
      </w:tr>
      <w:tr>
        <w:trPr>
          <w:trHeight w:val="222"/>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Registration Statement on Form 10 filed on January 14, 2011).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(d)(2)</w:t>
            </w:r>
          </w:p>
        </w:tc>
        <w:tc>
          <w:tcPr>
            <w:tcW w:w="10360" w:type="dxa"/>
            <w:vAlign w:val="bottom"/>
          </w:tcPr>
          <w:p>
            <w:pPr>
              <w:ind w:left="440"/>
              <w:spacing w:after="0"/>
              <w:rPr>
                <w:sz w:val="20"/>
                <w:szCs w:val="20"/>
                <w:color w:val="auto"/>
              </w:rPr>
            </w:pPr>
            <w:r>
              <w:rPr>
                <w:rFonts w:ascii="Arial" w:cs="Arial" w:eastAsia="Arial" w:hAnsi="Arial"/>
                <w:sz w:val="18"/>
                <w:szCs w:val="18"/>
                <w:color w:val="auto"/>
                <w:w w:val="90"/>
              </w:rPr>
              <w:t>Form of Common Stock Certificate (incorporated by reference to Exhibit 4.2 to the Company’s Annual Report on Form 10-K filed on March</w:t>
            </w:r>
          </w:p>
        </w:tc>
      </w:tr>
      <w:tr>
        <w:trPr>
          <w:trHeight w:val="222"/>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22, 2012)</w:t>
            </w:r>
          </w:p>
        </w:tc>
      </w:tr>
    </w:tbl>
    <w:p>
      <w:pPr>
        <w:spacing w:after="0" w:line="102" w:lineRule="exact"/>
        <w:rPr>
          <w:sz w:val="20"/>
          <w:szCs w:val="20"/>
          <w:color w:val="auto"/>
        </w:rPr>
      </w:pPr>
    </w:p>
    <w:p>
      <w:pPr>
        <w:ind w:left="1300" w:right="260" w:hanging="1292"/>
        <w:spacing w:after="0" w:line="268" w:lineRule="auto"/>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10.7 to the Company’s Annual Report on Form 10-K filed on March 22, 2012)</w:t>
      </w:r>
    </w:p>
    <w:p>
      <w:pPr>
        <w:spacing w:after="0" w:line="77" w:lineRule="exact"/>
        <w:rPr>
          <w:rFonts w:ascii="Arial" w:cs="Arial" w:eastAsia="Arial" w:hAnsi="Arial"/>
          <w:sz w:val="18"/>
          <w:szCs w:val="18"/>
          <w:color w:val="auto"/>
        </w:rPr>
      </w:pPr>
    </w:p>
    <w:p>
      <w:pPr>
        <w:ind w:left="1300" w:hanging="1292"/>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300" w:right="180" w:hanging="1292"/>
        <w:spacing w:after="0" w:line="332" w:lineRule="auto"/>
        <w:tabs>
          <w:tab w:leader="none" w:pos="13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1" w:lineRule="exact"/>
        <w:rPr>
          <w:rFonts w:ascii="Arial" w:cs="Arial" w:eastAsia="Arial" w:hAnsi="Arial"/>
          <w:sz w:val="16"/>
          <w:szCs w:val="16"/>
          <w:color w:val="auto"/>
        </w:rPr>
      </w:pPr>
    </w:p>
    <w:p>
      <w:pPr>
        <w:ind w:left="1300" w:hanging="1292"/>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Form of Underwriting Agreement (1)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1260" w:hanging="1252"/>
        <w:spacing w:after="0"/>
        <w:tabs>
          <w:tab w:leader="none" w:pos="1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(j)(1)</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Custody Agreement dated June 26, 2011 (incorporated by reference to Exhibit 10.8 to the Company’s Annual Report on Form 10-K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22,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(j)(2)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Custodian Agreement dated November 29, 2012 between TPG Specialty Lending, Inc. and State Street Bank and Trust Company (incorporated</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 to Exhibit 10.1 to the Company’s Current Report on Form 8-K filed on December 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Form of Indemnification Agreement between the Company and certain officers and directors (incorporated by reference to Exhibit 10.3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Administration Agreement, dated as of March 15, 2011, between the Company and the Adviser (incorporated by reference to Exhibit 10.1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March 15,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(k)(3)</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Revolving Credit Agreement, dated September 28, 2011, among TPG Specialty Lending Inc., as Borrower, Deutsche Bank Trust Company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Americas, as Administrative Agent, and Lenders Party Thereto (incorporated by reference to Exhibit 10.1 to the Company’s Quarterly Report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Form 10-Q for the quarter ended September 30, 2011, filed on November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(k)(4)</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First Amendment to Revolving Credit Agreement, dated September 28, 2011, among TPG Specialty Lending, Inc., as Borrower, Deutsche Bank</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Trust Company Americas, as Administrative Agent, and Lenders Party Thereto (incorporated by reference to Exhibit 10.2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2011, filed on November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(k)(5)</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Amended and Restated Revolving Credit Agreement, dated December 22, 2011, among TPG Specialty Lending, Inc., as Borrower, Deutsche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Bank Trust Company Americas, as Administrative Agent, and Lenders Party (incorporated by reference to Exhibit 10.6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Annual Report on Form 10-K filed on March 22,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(k)(6)</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Revolving Credit and Security Agreement, dated May 8, 2012, among TPG SL SPV, LLC, as Borrower, the Lenders from Time to Time Parties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Hereto, Natixis, New York Branch, as Facility Agent and The Bank of New York Mellon Trust Company, N.A., as Collateral Agent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August 13,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(k)(7)</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Master Sale and Contribution Agreement by and between TPG Specialty Lending, Inc., as the Originator and TPG SL SPV, LLC, as the Buyer,</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dated as of May 8, 2012 (incorporated by reference to Exhibit 10.2 to the Company’s Quarterly Report on Form 10-Q filed on August 13,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(k)(8)</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Senior Secured Revolving Credit Agreement, dated as of August 23, 2012, among TPG Specialty Lending, Inc., as Borrower, the Lenders Party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Hereto and SunTrust Bank, as Administrative Agent, JPMorgan Chase Bank, N.A., as Syndication Agent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Quarterly Report on Form 10-Q filed on November 14,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First Amendment to Amended and Restated Revolving Credit Agreement, dated October 31, 2012,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10.2 to the Company’s Quarterly Report on Form 10-Q filed on November 14,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(k)(10)</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Instrument of Removal, Appointment and Acceptance, dated November 29, 2012, among State Street Bank and Trust Company and TPG SL</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SPV, LLC, TPG Specialty Lending, Inc. and the Bank of New York Mellon Trust Company, N.A. (incorporated by reference to Exhibit 10.1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the Company’s Current Report on Form 8-K filed on January 2, 2013)</w:t>
            </w:r>
          </w:p>
        </w:tc>
      </w:tr>
      <w:tr>
        <w:trPr>
          <w:trHeight w:val="365"/>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C-2</w:t>
            </w:r>
          </w:p>
        </w:tc>
      </w:tr>
    </w:tbl>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(k)(11)</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Second Amendment to Amended and Restated Revolving Credit Agreement, dated May 7, 2013,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Quarterly Report on Form 10-Q filed on May 10,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Amended and Restated Senior Secured Revolving Credit Agreement, dated as of July 2, 2013, among TPG Specialty Lending, Inc., the lenders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party thereto, SunTrust Bank as administrative agent and JPMorgan Chase Bank N.A. as syndication agent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Current Report on Form 8-K filed on July 9,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(k)(13)</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Amendment No. 1 dated July 17, 2013 to Revolving Credit and Security Agreement, dated May 8, 2012, among TPG SL SPV, LLC,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Borrower, the Lenders from Time to Time Parties Hereto, Natixis, New York Branch, as Facility Agent and The Bank of New York Mellon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Trust Company, N.A., as Collateral Agent (incorporated by reference to Exhibit 10.1 to the Company’s Quarterly Report on Form 10-Q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August 9,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(k)(14)</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Third Amendment to Amended and Restated Revolving Credit Agreement, dated November 5, 2013,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Current Report on Form 8-K filed on November 7, 2013)</w:t>
            </w:r>
          </w:p>
        </w:tc>
      </w:tr>
    </w:tbl>
    <w:p>
      <w:pPr>
        <w:spacing w:after="0" w:line="102" w:lineRule="exact"/>
        <w:rPr>
          <w:sz w:val="20"/>
          <w:szCs w:val="20"/>
          <w:color w:val="auto"/>
        </w:rPr>
      </w:pPr>
    </w:p>
    <w:p>
      <w:pPr>
        <w:ind w:left="1260" w:hanging="1252"/>
        <w:spacing w:after="0"/>
        <w:tabs>
          <w:tab w:leader="none" w:pos="1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Form of Opinion and Consent of Cleary Gottlieb Steen &amp; Hamilton LLP (1)</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(n)(1)</w:t>
            </w:r>
          </w:p>
        </w:tc>
        <w:tc>
          <w:tcPr>
            <w:tcW w:w="4240" w:type="dxa"/>
            <w:vAlign w:val="bottom"/>
          </w:tcPr>
          <w:p>
            <w:pPr>
              <w:ind w:left="420"/>
              <w:spacing w:after="0"/>
              <w:rPr>
                <w:sz w:val="20"/>
                <w:szCs w:val="20"/>
                <w:color w:val="auto"/>
              </w:rPr>
            </w:pPr>
            <w:r>
              <w:rPr>
                <w:rFonts w:ascii="Arial" w:cs="Arial" w:eastAsia="Arial" w:hAnsi="Arial"/>
                <w:sz w:val="18"/>
                <w:szCs w:val="18"/>
                <w:color w:val="auto"/>
                <w:w w:val="90"/>
              </w:rPr>
              <w:t>Consent of Cleary Gottlieb Steen &amp; Hamilton LLP (1)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(n)(2)</w:t>
            </w:r>
          </w:p>
        </w:tc>
        <w:tc>
          <w:tcPr>
            <w:tcW w:w="4240" w:type="dxa"/>
            <w:vAlign w:val="bottom"/>
          </w:tcPr>
          <w:p>
            <w:pPr>
              <w:ind w:left="420"/>
              <w:spacing w:after="0"/>
              <w:rPr>
                <w:sz w:val="20"/>
                <w:szCs w:val="20"/>
                <w:color w:val="auto"/>
              </w:rPr>
            </w:pPr>
            <w:r>
              <w:rPr>
                <w:rFonts w:ascii="Arial" w:cs="Arial" w:eastAsia="Arial" w:hAnsi="Arial"/>
                <w:sz w:val="18"/>
                <w:szCs w:val="18"/>
                <w:color w:val="auto"/>
              </w:rPr>
              <w:t>Consent of KPMG LLP (1)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(n)(3)</w:t>
            </w:r>
          </w:p>
        </w:tc>
        <w:tc>
          <w:tcPr>
            <w:tcW w:w="4240" w:type="dxa"/>
            <w:vAlign w:val="bottom"/>
          </w:tcPr>
          <w:p>
            <w:pPr>
              <w:ind w:left="420"/>
              <w:spacing w:after="0"/>
              <w:rPr>
                <w:sz w:val="20"/>
                <w:szCs w:val="20"/>
                <w:color w:val="auto"/>
              </w:rPr>
            </w:pPr>
            <w:r>
              <w:rPr>
                <w:rFonts w:ascii="Arial" w:cs="Arial" w:eastAsia="Arial" w:hAnsi="Arial"/>
                <w:sz w:val="18"/>
                <w:szCs w:val="18"/>
                <w:color w:val="auto"/>
              </w:rPr>
              <w:t>Report of KPMG LLP (2)</w:t>
            </w:r>
          </w:p>
        </w:tc>
      </w:tr>
    </w:tbl>
    <w:p>
      <w:pPr>
        <w:spacing w:after="0" w:line="102" w:lineRule="exact"/>
        <w:rPr>
          <w:sz w:val="20"/>
          <w:szCs w:val="20"/>
          <w:color w:val="auto"/>
        </w:rPr>
      </w:pPr>
    </w:p>
    <w:p>
      <w:pPr>
        <w:ind w:left="1260" w:hanging="1252"/>
        <w:spacing w:after="0"/>
        <w:tabs>
          <w:tab w:leader="none" w:pos="1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Code of Ethics of TPG Specialty Lending, Inc. and TSL Advisers, LLC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2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contained under the heading “Underwriting” in this Registration Statement is incorporated herein by reference.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 listing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848995</wp:posOffset>
            </wp:positionV>
            <wp:extent cx="3943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3943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wp:posOffset>
            </wp:positionV>
            <wp:extent cx="3943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ectPr>
          <w:pgSz w:w="11900" w:h="16838" w:orient="portrait"/>
          <w:cols w:equalWidth="0" w:num="3">
            <w:col w:w="9900" w:space="720"/>
            <w:col w:w="100" w:space="520"/>
            <w:col w:w="160"/>
          </w:cols>
          <w:pgMar w:left="240" w:top="459" w:right="25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0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 of Holders of Securities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9740" w:type="dxa"/>
            <w:vAlign w:val="bottom"/>
            <w:gridSpan w:val="3"/>
          </w:tcPr>
          <w:p>
            <w:pPr>
              <w:ind w:left="460"/>
              <w:spacing w:after="0"/>
              <w:rPr>
                <w:sz w:val="20"/>
                <w:szCs w:val="20"/>
                <w:color w:val="auto"/>
              </w:rPr>
            </w:pPr>
            <w:r>
              <w:rPr>
                <w:rFonts w:ascii="Arial" w:cs="Arial" w:eastAsia="Arial" w:hAnsi="Arial"/>
                <w:sz w:val="18"/>
                <w:szCs w:val="18"/>
                <w:color w:val="auto"/>
                <w:w w:val="96"/>
              </w:rPr>
              <w:t>The following table sets forth the approximate number of record holders of our common stock as of September 30, 2013.</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840" w:type="dxa"/>
            <w:vAlign w:val="bottom"/>
          </w:tcPr>
          <w:p>
            <w:pPr>
              <w:spacing w:after="0"/>
              <w:rPr>
                <w:sz w:val="20"/>
                <w:szCs w:val="20"/>
                <w:color w:val="auto"/>
              </w:rPr>
            </w:pPr>
            <w:r>
              <w:rPr>
                <w:rFonts w:ascii="Arial" w:cs="Arial" w:eastAsia="Arial" w:hAnsi="Arial"/>
                <w:sz w:val="14"/>
                <w:szCs w:val="14"/>
                <w:b w:val="1"/>
                <w:bCs w:val="1"/>
                <w:color w:val="auto"/>
                <w:w w:val="94"/>
              </w:rPr>
              <w:t>Title of Class</w:t>
            </w:r>
          </w:p>
        </w:tc>
        <w:tc>
          <w:tcPr>
            <w:tcW w:w="6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Number of Record Holders</w:t>
            </w:r>
          </w:p>
        </w:tc>
      </w:tr>
      <w:tr>
        <w:trPr>
          <w:trHeight w:val="210"/>
        </w:trPr>
        <w:tc>
          <w:tcPr>
            <w:tcW w:w="7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19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Section 145 of the Delaware General Corporation Law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Delaware General Corporation Law. A form of the indemnification agreement has been filed as an exhibit to the Registration Statement of which this prospectus is a part.</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Advisor.</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on March 28, 2013 (SEC File No. 801-72185), and is incorporated herein by reference.</w:t>
      </w:r>
    </w:p>
    <w:p>
      <w:pPr>
        <w:spacing w:after="0" w:line="2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05"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jc w:val="both"/>
        <w:ind w:left="460" w:right="160" w:hanging="452"/>
        <w:spacing w:after="0" w:line="259" w:lineRule="auto"/>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40"/>
          </w:cols>
          <w:pgMar w:left="240" w:top="459" w:right="3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tcPr>
          <w:p>
            <w:pPr>
              <w:spacing w:after="0"/>
              <w:rPr>
                <w:sz w:val="20"/>
                <w:szCs w:val="20"/>
                <w:color w:val="auto"/>
              </w:rPr>
            </w:pPr>
            <w:r>
              <w:rPr>
                <w:rFonts w:ascii="Arial" w:cs="Arial" w:eastAsia="Arial" w:hAnsi="Arial"/>
                <w:sz w:val="18"/>
                <w:szCs w:val="18"/>
                <w:color w:val="auto"/>
                <w:w w:val="97"/>
              </w:rPr>
              <w:t>behalf by the undersigned, thereunto duly authorized, in the City of</w:t>
            </w:r>
          </w:p>
        </w:tc>
        <w:tc>
          <w:tcPr>
            <w:tcW w:w="1640" w:type="dxa"/>
            <w:vAlign w:val="bottom"/>
          </w:tcPr>
          <w:p>
            <w:pPr>
              <w:ind w:left="460"/>
              <w:spacing w:after="0"/>
              <w:rPr>
                <w:sz w:val="20"/>
                <w:szCs w:val="20"/>
                <w:color w:val="auto"/>
              </w:rPr>
            </w:pPr>
            <w:r>
              <w:rPr>
                <w:rFonts w:ascii="Arial" w:cs="Arial" w:eastAsia="Arial" w:hAnsi="Arial"/>
                <w:sz w:val="18"/>
                <w:szCs w:val="18"/>
                <w:color w:val="auto"/>
                <w:w w:val="84"/>
              </w:rPr>
              <w:t>, and the State of</w:t>
            </w:r>
          </w:p>
        </w:tc>
        <w:tc>
          <w:tcPr>
            <w:tcW w:w="300" w:type="dxa"/>
            <w:vAlign w:val="bottom"/>
          </w:tcPr>
          <w:p>
            <w:pPr>
              <w:spacing w:after="0"/>
              <w:rPr>
                <w:sz w:val="19"/>
                <w:szCs w:val="19"/>
                <w:color w:val="auto"/>
              </w:rPr>
            </w:pPr>
          </w:p>
        </w:tc>
        <w:tc>
          <w:tcPr>
            <w:tcW w:w="1940" w:type="dxa"/>
            <w:vAlign w:val="bottom"/>
          </w:tcPr>
          <w:p>
            <w:pPr>
              <w:ind w:left="680"/>
              <w:spacing w:after="0"/>
              <w:rPr>
                <w:sz w:val="20"/>
                <w:szCs w:val="20"/>
                <w:color w:val="auto"/>
              </w:rPr>
            </w:pPr>
            <w:r>
              <w:rPr>
                <w:rFonts w:ascii="Arial" w:cs="Arial" w:eastAsia="Arial" w:hAnsi="Arial"/>
                <w:sz w:val="18"/>
                <w:szCs w:val="18"/>
                <w:color w:val="auto"/>
              </w:rPr>
              <w:t>on the   day of</w:t>
            </w:r>
          </w:p>
        </w:tc>
        <w:tc>
          <w:tcPr>
            <w:tcW w:w="2340" w:type="dxa"/>
            <w:vAlign w:val="bottom"/>
          </w:tcPr>
          <w:p>
            <w:pPr>
              <w:jc w:val="right"/>
              <w:ind w:right="1672"/>
              <w:spacing w:after="0"/>
              <w:rPr>
                <w:sz w:val="20"/>
                <w:szCs w:val="20"/>
                <w:color w:val="auto"/>
              </w:rPr>
            </w:pPr>
            <w:r>
              <w:rPr>
                <w:rFonts w:ascii="Arial" w:cs="Arial" w:eastAsia="Arial" w:hAnsi="Arial"/>
                <w:sz w:val="18"/>
                <w:szCs w:val="18"/>
                <w:color w:val="auto"/>
              </w:rPr>
              <w:t>, 2014.</w:t>
            </w:r>
          </w:p>
        </w:tc>
      </w:tr>
      <w:tr>
        <w:trPr>
          <w:trHeight w:val="412"/>
        </w:trPr>
        <w:tc>
          <w:tcPr>
            <w:tcW w:w="5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580" w:type="dxa"/>
            <w:vAlign w:val="bottom"/>
            <w:gridSpan w:val="3"/>
          </w:tcPr>
          <w:p>
            <w:pPr>
              <w:ind w:left="20"/>
              <w:spacing w:after="0"/>
              <w:rPr>
                <w:sz w:val="20"/>
                <w:szCs w:val="20"/>
                <w:color w:val="auto"/>
              </w:rPr>
            </w:pPr>
            <w:r>
              <w:rPr>
                <w:rFonts w:ascii="Arial" w:cs="Arial" w:eastAsia="Arial" w:hAnsi="Arial"/>
                <w:sz w:val="18"/>
                <w:szCs w:val="18"/>
                <w:color w:val="auto"/>
              </w:rPr>
              <w:t>TPG SPECIALTY LENDING, INC.</w:t>
            </w:r>
          </w:p>
        </w:tc>
      </w:tr>
      <w:tr>
        <w:trPr>
          <w:trHeight w:val="433"/>
        </w:trPr>
        <w:tc>
          <w:tcPr>
            <w:tcW w:w="5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2340" w:type="dxa"/>
            <w:vAlign w:val="bottom"/>
          </w:tcPr>
          <w:p>
            <w:pPr>
              <w:spacing w:after="0"/>
              <w:rPr>
                <w:sz w:val="24"/>
                <w:szCs w:val="24"/>
                <w:color w:val="auto"/>
              </w:rPr>
            </w:pPr>
          </w:p>
        </w:tc>
      </w:tr>
      <w:tr>
        <w:trPr>
          <w:trHeight w:val="196"/>
        </w:trPr>
        <w:tc>
          <w:tcPr>
            <w:tcW w:w="5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Borders>
              <w:top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w w:val="92"/>
              </w:rPr>
              <w:t xml:space="preserve">Name: </w:t>
            </w:r>
            <w:r>
              <w:rPr>
                <w:rFonts w:ascii="Arial" w:cs="Arial" w:eastAsia="Arial" w:hAnsi="Arial"/>
                <w:sz w:val="18"/>
                <w:szCs w:val="18"/>
                <w:color w:val="auto"/>
                <w:w w:val="92"/>
              </w:rPr>
              <w:t>Michael Fishman</w:t>
            </w:r>
          </w:p>
        </w:tc>
        <w:tc>
          <w:tcPr>
            <w:tcW w:w="2340" w:type="dxa"/>
            <w:vAlign w:val="bottom"/>
            <w:tcBorders>
              <w:top w:val="single" w:sz="8" w:color="auto"/>
            </w:tcBorders>
          </w:tcPr>
          <w:p>
            <w:pPr>
              <w:spacing w:after="0"/>
              <w:rPr>
                <w:sz w:val="17"/>
                <w:szCs w:val="17"/>
                <w:color w:val="auto"/>
              </w:rPr>
            </w:pPr>
          </w:p>
        </w:tc>
      </w:tr>
      <w:tr>
        <w:trPr>
          <w:trHeight w:val="228"/>
        </w:trPr>
        <w:tc>
          <w:tcPr>
            <w:tcW w:w="5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tc>
      </w:tr>
      <w:tr>
        <w:trPr>
          <w:trHeight w:val="378"/>
        </w:trPr>
        <w:tc>
          <w:tcPr>
            <w:tcW w:w="5200" w:type="dxa"/>
            <w:vAlign w:val="bottom"/>
          </w:tcPr>
          <w:p>
            <w:pPr>
              <w:ind w:left="460"/>
              <w:spacing w:after="0"/>
              <w:rPr>
                <w:sz w:val="20"/>
                <w:szCs w:val="20"/>
                <w:color w:val="auto"/>
              </w:rPr>
            </w:pPr>
            <w:r>
              <w:rPr>
                <w:rFonts w:ascii="Arial" w:cs="Arial" w:eastAsia="Arial" w:hAnsi="Arial"/>
                <w:sz w:val="18"/>
                <w:szCs w:val="18"/>
                <w:color w:val="auto"/>
              </w:rPr>
              <w:t>POWER OF ATTORNEY</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78"/>
        </w:trPr>
        <w:tc>
          <w:tcPr>
            <w:tcW w:w="9080" w:type="dxa"/>
            <w:vAlign w:val="bottom"/>
            <w:gridSpan w:val="4"/>
          </w:tcPr>
          <w:p>
            <w:pPr>
              <w:ind w:left="460"/>
              <w:spacing w:after="0"/>
              <w:rPr>
                <w:sz w:val="20"/>
                <w:szCs w:val="20"/>
                <w:color w:val="auto"/>
              </w:rPr>
            </w:pPr>
            <w:r>
              <w:rPr>
                <w:rFonts w:ascii="Arial" w:cs="Arial" w:eastAsia="Arial" w:hAnsi="Arial"/>
                <w:sz w:val="18"/>
                <w:szCs w:val="18"/>
                <w:color w:val="auto"/>
                <w:w w:val="95"/>
              </w:rPr>
              <w:t>Each officer and director of TPG Specialty Lending, Inc. whose signature appears below constitutes and appoints</w:t>
            </w:r>
          </w:p>
        </w:tc>
        <w:tc>
          <w:tcPr>
            <w:tcW w:w="2340" w:type="dxa"/>
            <w:vAlign w:val="bottom"/>
          </w:tcPr>
          <w:p>
            <w:pPr>
              <w:jc w:val="right"/>
              <w:ind w:right="192"/>
              <w:spacing w:after="0"/>
              <w:rPr>
                <w:sz w:val="20"/>
                <w:szCs w:val="20"/>
                <w:color w:val="auto"/>
              </w:rPr>
            </w:pPr>
            <w:r>
              <w:rPr>
                <w:rFonts w:ascii="Arial" w:cs="Arial" w:eastAsia="Arial" w:hAnsi="Arial"/>
                <w:sz w:val="18"/>
                <w:szCs w:val="18"/>
                <w:color w:val="auto"/>
              </w:rPr>
              <w:t>, and</w:t>
            </w:r>
          </w:p>
        </w:tc>
      </w:tr>
    </w:tbl>
    <w:p>
      <w:pPr>
        <w:ind w:right="40"/>
        <w:spacing w:after="0" w:line="312" w:lineRule="auto"/>
        <w:rPr>
          <w:sz w:val="20"/>
          <w:szCs w:val="20"/>
          <w:color w:val="auto"/>
        </w:rPr>
      </w:pPr>
      <w:r>
        <w:rPr>
          <w:rFonts w:ascii="Arial" w:cs="Arial" w:eastAsia="Arial" w:hAnsi="Arial"/>
          <w:sz w:val="15"/>
          <w:szCs w:val="15"/>
          <w:color w:val="auto"/>
        </w:rPr>
        <w:t>each of them to act without the other, as his or her true and lawful attorney-in-fact and agent, with full power of substitution and revocation, for him or her and in his or her name, place and stead, in any and all capacities, to execute and file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5"/>
                <w:szCs w:val="15"/>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5"/>
                <w:szCs w:val="15"/>
                <w:color w:val="auto"/>
              </w:rPr>
            </w:pPr>
          </w:p>
        </w:tc>
        <w:tc>
          <w:tcPr>
            <w:tcW w:w="21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Date</w:t>
            </w:r>
          </w:p>
        </w:tc>
      </w:tr>
      <w:tr>
        <w:trPr>
          <w:trHeight w:val="412"/>
        </w:trPr>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Co-Chief Executive Officer and Director</w:t>
            </w:r>
          </w:p>
        </w:tc>
        <w:tc>
          <w:tcPr>
            <w:tcW w:w="210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5"/>
              <w:spacing w:after="0"/>
              <w:rPr>
                <w:sz w:val="20"/>
                <w:szCs w:val="20"/>
                <w:color w:val="auto"/>
              </w:rPr>
            </w:pPr>
            <w:r>
              <w:rPr>
                <w:rFonts w:ascii="Arial" w:cs="Arial" w:eastAsia="Arial" w:hAnsi="Arial"/>
                <w:sz w:val="18"/>
                <w:szCs w:val="18"/>
                <w:color w:val="auto"/>
                <w:w w:val="89"/>
              </w:rPr>
              <w:t>Michael Fishman</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Co-Chief Executive Officer,</w:t>
            </w:r>
          </w:p>
        </w:tc>
        <w:tc>
          <w:tcPr>
            <w:tcW w:w="210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5"/>
              <w:spacing w:after="0"/>
              <w:rPr>
                <w:sz w:val="20"/>
                <w:szCs w:val="20"/>
                <w:color w:val="auto"/>
              </w:rPr>
            </w:pPr>
            <w:r>
              <w:rPr>
                <w:rFonts w:ascii="Arial" w:cs="Arial" w:eastAsia="Arial" w:hAnsi="Arial"/>
                <w:sz w:val="18"/>
                <w:szCs w:val="18"/>
                <w:color w:val="auto"/>
                <w:w w:val="85"/>
              </w:rPr>
              <w:t>Joshua Easterly</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Director and Chairman of the Board of Directors</w:t>
            </w: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10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5"/>
              <w:spacing w:after="0"/>
              <w:rPr>
                <w:sz w:val="20"/>
                <w:szCs w:val="20"/>
                <w:color w:val="auto"/>
              </w:rPr>
            </w:pPr>
            <w:r>
              <w:rPr>
                <w:rFonts w:ascii="Arial" w:cs="Arial" w:eastAsia="Arial" w:hAnsi="Arial"/>
                <w:sz w:val="18"/>
                <w:szCs w:val="18"/>
                <w:color w:val="auto"/>
                <w:w w:val="91"/>
              </w:rPr>
              <w:t>Alan Kirshenbaum</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Director and Chairman of the Audit Committee</w:t>
            </w:r>
          </w:p>
        </w:tc>
        <w:tc>
          <w:tcPr>
            <w:tcW w:w="210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5"/>
              <w:spacing w:after="0"/>
              <w:rPr>
                <w:sz w:val="20"/>
                <w:szCs w:val="20"/>
                <w:color w:val="auto"/>
              </w:rPr>
            </w:pPr>
            <w:r>
              <w:rPr>
                <w:rFonts w:ascii="Arial" w:cs="Arial" w:eastAsia="Arial" w:hAnsi="Arial"/>
                <w:sz w:val="18"/>
                <w:szCs w:val="18"/>
                <w:color w:val="auto"/>
                <w:w w:val="87"/>
              </w:rPr>
              <w:t>John A. Ross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5"/>
              <w:spacing w:after="0"/>
              <w:rPr>
                <w:sz w:val="20"/>
                <w:szCs w:val="20"/>
                <w:color w:val="auto"/>
              </w:rPr>
            </w:pPr>
            <w:r>
              <w:rPr>
                <w:rFonts w:ascii="Arial" w:cs="Arial" w:eastAsia="Arial" w:hAnsi="Arial"/>
                <w:sz w:val="18"/>
                <w:szCs w:val="18"/>
                <w:color w:val="auto"/>
                <w:w w:val="90"/>
              </w:rPr>
              <w:t>Richard A. Higginbotham</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spacing w:after="0"/>
              <w:rPr>
                <w:sz w:val="24"/>
                <w:szCs w:val="24"/>
                <w:color w:val="auto"/>
              </w:rPr>
            </w:pP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5"/>
              <w:spacing w:after="0"/>
              <w:rPr>
                <w:sz w:val="20"/>
                <w:szCs w:val="20"/>
                <w:color w:val="auto"/>
              </w:rPr>
            </w:pPr>
            <w:r>
              <w:rPr>
                <w:rFonts w:ascii="Arial" w:cs="Arial" w:eastAsia="Arial" w:hAnsi="Arial"/>
                <w:sz w:val="18"/>
                <w:szCs w:val="18"/>
                <w:color w:val="auto"/>
                <w:w w:val="87"/>
              </w:rPr>
              <w:t>Ronald K. Tanemura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4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1)"/>
      <w:numFmt w:val="decimal"/>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
      <w:numFmt w:val="bullet"/>
      <w:start w:val="1"/>
    </w:lvl>
  </w:abstractNum>
  <w:abstractNum w:abstractNumId="4">
    <w:nsid w:val="73A1821B"/>
    <w:multiLevelType w:val="hybridMultilevel"/>
    <w:lvl w:ilvl="0">
      <w:lvlJc w:val="left"/>
      <w:lvlText w:val="•"/>
      <w:numFmt w:val="bullet"/>
      <w:start w:val="1"/>
    </w:lvl>
    <w:lvl w:ilvl="1">
      <w:lvlJc w:val="left"/>
      <w:lvlText w:val="•"/>
      <w:numFmt w:val="bullet"/>
      <w:start w:val="1"/>
    </w:lvl>
  </w:abstractNum>
  <w:abstractNum w:abstractNumId="5">
    <w:nsid w:val="7DE67713"/>
    <w:multiLevelType w:val="hybridMultilevel"/>
    <w:lvl w:ilvl="0">
      <w:lvlJc w:val="left"/>
      <w:lvlText w:val="•"/>
      <w:numFmt w:val="bullet"/>
      <w:start w:val="1"/>
    </w:lvl>
    <w:lvl w:ilvl="1">
      <w:lvlJc w:val="left"/>
      <w:lvlText w:val="•"/>
      <w:numFmt w:val="bullet"/>
      <w:start w:val="1"/>
    </w:lvl>
  </w:abstractNum>
  <w:abstractNum w:abstractNumId="6">
    <w:nsid w:val="555C55B5"/>
    <w:multiLevelType w:val="hybridMultilevel"/>
    <w:lvl w:ilvl="0">
      <w:lvlJc w:val="left"/>
      <w:lvlText w:val="•"/>
      <w:numFmt w:val="bullet"/>
      <w:start w:val="1"/>
    </w:lvl>
  </w:abstractNum>
  <w:abstractNum w:abstractNumId="7">
    <w:nsid w:val="3FA62ACA"/>
    <w:multiLevelType w:val="hybridMultilevel"/>
    <w:lvl w:ilvl="0">
      <w:lvlJc w:val="left"/>
      <w:lvlText w:val="•"/>
      <w:numFmt w:val="bullet"/>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1)"/>
      <w:numFmt w:val="decimal"/>
      <w:start w:val="1"/>
    </w:lvl>
  </w:abstractNum>
  <w:abstractNum w:abstractNumId="15">
    <w:nsid w:val="1D545C4D"/>
    <w:multiLevelType w:val="hybridMultilevel"/>
    <w:lvl w:ilvl="0">
      <w:lvlJc w:val="left"/>
      <w:lvlText w:val="(%1)"/>
      <w:numFmt w:val="decimal"/>
      <w:start w:val="3"/>
    </w:lvl>
  </w:abstractNum>
  <w:abstractNum w:abstractNumId="16">
    <w:nsid w:val="59ADEA3D"/>
    <w:multiLevelType w:val="hybridMultilevel"/>
    <w:lvl w:ilvl="0">
      <w:lvlJc w:val="left"/>
      <w:lvlText w:val="(%1)"/>
      <w:numFmt w:val="decimal"/>
      <w:start w:val="5"/>
    </w:lvl>
  </w:abstractNum>
  <w:abstractNum w:abstractNumId="17">
    <w:nsid w:val="288F1A34"/>
    <w:multiLevelType w:val="hybridMultilevel"/>
    <w:lvl w:ilvl="0">
      <w:lvlJc w:val="left"/>
      <w:lvlText w:val="(%1)"/>
      <w:numFmt w:val="decimal"/>
      <w:start w:val="6"/>
    </w:lvl>
  </w:abstractNum>
  <w:abstractNum w:abstractNumId="18">
    <w:nsid w:val="2A155DBC"/>
    <w:multiLevelType w:val="hybridMultilevel"/>
    <w:lvl w:ilvl="0">
      <w:lvlJc w:val="left"/>
      <w:lvlText w:val="•"/>
      <w:numFmt w:val="bullet"/>
      <w:start w:val="1"/>
    </w:lvl>
    <w:lvl w:ilvl="1">
      <w:lvlJc w:val="left"/>
      <w:lvlText w:val="•"/>
      <w:numFmt w:val="bullet"/>
      <w:start w:val="1"/>
    </w:lvl>
  </w:abstractNum>
  <w:abstractNum w:abstractNumId="19">
    <w:nsid w:val="1D9F6E5F"/>
    <w:multiLevelType w:val="hybridMultilevel"/>
    <w:lvl w:ilvl="0">
      <w:lvlJc w:val="left"/>
      <w:lvlText w:val="•"/>
      <w:numFmt w:val="bullet"/>
      <w:start w:val="1"/>
    </w:lvl>
  </w:abstractNum>
  <w:abstractNum w:abstractNumId="20">
    <w:nsid w:val="97E1B4E"/>
    <w:multiLevelType w:val="hybridMultilevel"/>
    <w:lvl w:ilvl="0">
      <w:lvlJc w:val="left"/>
      <w:lvlText w:val="•"/>
      <w:numFmt w:val="bullet"/>
      <w:start w:val="1"/>
    </w:lvl>
  </w:abstractNum>
  <w:abstractNum w:abstractNumId="21">
    <w:nsid w:val="51088277"/>
    <w:multiLevelType w:val="hybridMultilevel"/>
    <w:lvl w:ilvl="0">
      <w:lvlJc w:val="left"/>
      <w:lvlText w:val="•"/>
      <w:numFmt w:val="bullet"/>
      <w:start w:val="1"/>
    </w:lvl>
  </w:abstractNum>
  <w:abstractNum w:abstractNumId="22">
    <w:nsid w:val="1CA0C5FA"/>
    <w:multiLevelType w:val="hybridMultilevel"/>
    <w:lvl w:ilvl="0">
      <w:lvlJc w:val="left"/>
      <w:lvlText w:val="•"/>
      <w:numFmt w:val="bullet"/>
      <w:start w:val="1"/>
    </w:lvl>
  </w:abstractNum>
  <w:abstractNum w:abstractNumId="23">
    <w:nsid w:val="53584BCB"/>
    <w:multiLevelType w:val="hybridMultilevel"/>
    <w:lvl w:ilvl="0">
      <w:lvlJc w:val="left"/>
      <w:lvlText w:val="•"/>
      <w:numFmt w:val="bullet"/>
      <w:start w:val="1"/>
    </w:lvl>
  </w:abstractNum>
  <w:abstractNum w:abstractNumId="24">
    <w:nsid w:val="415E286C"/>
    <w:multiLevelType w:val="hybridMultilevel"/>
    <w:lvl w:ilvl="0">
      <w:lvlJc w:val="left"/>
      <w:lvlText w:val="•"/>
      <w:numFmt w:val="bullet"/>
      <w:start w:val="1"/>
    </w:lvl>
  </w:abstractNum>
  <w:abstractNum w:abstractNumId="25">
    <w:nsid w:val="7C58FD05"/>
    <w:multiLevelType w:val="hybridMultilevel"/>
    <w:lvl w:ilvl="0">
      <w:lvlJc w:val="left"/>
      <w:lvlText w:val="•"/>
      <w:numFmt w:val="bullet"/>
      <w:start w:val="1"/>
    </w:lvl>
  </w:abstractNum>
  <w:abstractNum w:abstractNumId="26">
    <w:nsid w:val="23D86AAC"/>
    <w:multiLevelType w:val="hybridMultilevel"/>
    <w:lvl w:ilvl="0">
      <w:lvlJc w:val="left"/>
      <w:lvlText w:val="•"/>
      <w:numFmt w:val="bullet"/>
      <w:start w:val="1"/>
    </w:lvl>
  </w:abstractNum>
  <w:abstractNum w:abstractNumId="27">
    <w:nsid w:val="45E6D486"/>
    <w:multiLevelType w:val="hybridMultilevel"/>
    <w:lvl w:ilvl="0">
      <w:lvlJc w:val="left"/>
      <w:lvlText w:val="•"/>
      <w:numFmt w:val="bullet"/>
      <w:start w:val="1"/>
    </w:lvl>
  </w:abstractNum>
  <w:abstractNum w:abstractNumId="28">
    <w:nsid w:val="5C10FE21"/>
    <w:multiLevelType w:val="hybridMultilevel"/>
    <w:lvl w:ilvl="0">
      <w:lvlJc w:val="left"/>
      <w:lvlText w:val="•"/>
      <w:numFmt w:val="bullet"/>
      <w:start w:val="1"/>
    </w:lvl>
  </w:abstractNum>
  <w:abstractNum w:abstractNumId="29">
    <w:nsid w:val="E7FFA2B"/>
    <w:multiLevelType w:val="hybridMultilevel"/>
    <w:lvl w:ilvl="0">
      <w:lvlJc w:val="left"/>
      <w:lvlText w:val="•"/>
      <w:numFmt w:val="bullet"/>
      <w:start w:val="1"/>
    </w:lvl>
  </w:abstractNum>
  <w:abstractNum w:abstractNumId="30">
    <w:nsid w:val="3C5991AA"/>
    <w:multiLevelType w:val="hybridMultilevel"/>
    <w:lvl w:ilvl="0">
      <w:lvlJc w:val="left"/>
      <w:lvlText w:val="•"/>
      <w:numFmt w:val="bullet"/>
      <w:start w:val="1"/>
    </w:lvl>
  </w:abstractNum>
  <w:abstractNum w:abstractNumId="31">
    <w:nsid w:val="4BD8591A"/>
    <w:multiLevelType w:val="hybridMultilevel"/>
    <w:lvl w:ilvl="0">
      <w:lvlJc w:val="left"/>
      <w:lvlText w:val="(%1)"/>
      <w:numFmt w:val="decimal"/>
      <w:start w:val="1"/>
    </w:lvl>
  </w:abstractNum>
  <w:abstractNum w:abstractNumId="32">
    <w:nsid w:val="78DF6A55"/>
    <w:multiLevelType w:val="hybridMultilevel"/>
    <w:lvl w:ilvl="0">
      <w:lvlJc w:val="left"/>
      <w:lvlText w:val="•"/>
      <w:numFmt w:val="bullet"/>
      <w:start w:val="1"/>
    </w:lvl>
  </w:abstractNum>
  <w:abstractNum w:abstractNumId="33">
    <w:nsid w:val="39B7AAA2"/>
    <w:multiLevelType w:val="hybridMultilevel"/>
    <w:lvl w:ilvl="0">
      <w:lvlJc w:val="left"/>
      <w:lvlText w:val="(%1)"/>
      <w:numFmt w:val="decimal"/>
      <w:start w:val="1"/>
    </w:lvl>
  </w:abstractNum>
  <w:abstractNum w:abstractNumId="34">
    <w:nsid w:val="2B0D8DBE"/>
    <w:multiLevelType w:val="hybridMultilevel"/>
    <w:lvl w:ilvl="0">
      <w:lvlJc w:val="left"/>
      <w:lvlText w:val="(%1)"/>
      <w:numFmt w:val="decimal"/>
      <w:start w:val="1"/>
    </w:lvl>
    <w:lvl w:ilvl="1">
      <w:lvlJc w:val="left"/>
      <w:lvlText w:val="(%2)"/>
      <w:numFmt w:val="lowerLetter"/>
      <w:start w:val="2"/>
    </w:lvl>
  </w:abstractNum>
  <w:abstractNum w:abstractNumId="35">
    <w:nsid w:val="6C80EC70"/>
    <w:multiLevelType w:val="hybridMultilevel"/>
    <w:lvl w:ilvl="0">
      <w:lvlJc w:val="left"/>
      <w:lvlText w:val="%1"/>
      <w:numFmt w:val="decimal"/>
      <w:start w:val="1"/>
    </w:lvl>
    <w:lvl w:ilvl="1">
      <w:lvlJc w:val="left"/>
      <w:lvlText w:val="(%2)"/>
      <w:numFmt w:val="lowerLetter"/>
      <w:start w:val="2"/>
    </w:lvl>
  </w:abstractNum>
  <w:abstractNum w:abstractNumId="36">
    <w:nsid w:val="379E21B5"/>
    <w:multiLevelType w:val="hybridMultilevel"/>
    <w:lvl w:ilvl="0">
      <w:lvlJc w:val="left"/>
      <w:lvlText w:val="•"/>
      <w:numFmt w:val="bullet"/>
      <w:start w:val="1"/>
    </w:lvl>
  </w:abstractNum>
  <w:abstractNum w:abstractNumId="37">
    <w:nsid w:val="69E373"/>
    <w:multiLevelType w:val="hybridMultilevel"/>
    <w:lvl w:ilvl="0">
      <w:lvlJc w:val="left"/>
      <w:lvlText w:val="•"/>
      <w:numFmt w:val="bullet"/>
      <w:start w:val="1"/>
    </w:lvl>
  </w:abstractNum>
  <w:abstractNum w:abstractNumId="38">
    <w:nsid w:val="2C27173B"/>
    <w:multiLevelType w:val="hybridMultilevel"/>
    <w:lvl w:ilvl="0">
      <w:lvlJc w:val="left"/>
      <w:lvlText w:val="•"/>
      <w:numFmt w:val="bullet"/>
      <w:start w:val="1"/>
    </w:lvl>
  </w:abstractNum>
  <w:abstractNum w:abstractNumId="39">
    <w:nsid w:val="4C9B0904"/>
    <w:multiLevelType w:val="hybridMultilevel"/>
    <w:lvl w:ilvl="0">
      <w:lvlJc w:val="left"/>
      <w:lvlText w:val="(%1)"/>
      <w:numFmt w:val="decimal"/>
      <w:start w:val="1"/>
    </w:lvl>
  </w:abstractNum>
  <w:abstractNum w:abstractNumId="40">
    <w:nsid w:val="6AA7B75C"/>
    <w:multiLevelType w:val="hybridMultilevel"/>
    <w:lvl w:ilvl="0">
      <w:lvlJc w:val="left"/>
      <w:lvlText w:val="•"/>
      <w:numFmt w:val="bullet"/>
      <w:start w:val="1"/>
    </w:lvl>
    <w:lvl w:ilvl="1">
      <w:lvlJc w:val="left"/>
      <w:lvlText w:val="º"/>
      <w:numFmt w:val="bullet"/>
      <w:start w:val="1"/>
    </w:lvl>
  </w:abstractNum>
  <w:abstractNum w:abstractNumId="41">
    <w:nsid w:val="1DF029D3"/>
    <w:multiLevelType w:val="hybridMultilevel"/>
    <w:lvl w:ilvl="0">
      <w:lvlJc w:val="left"/>
      <w:lvlText w:val="•"/>
      <w:numFmt w:val="bullet"/>
      <w:start w:val="1"/>
    </w:lvl>
  </w:abstractNum>
  <w:abstractNum w:abstractNumId="42">
    <w:nsid w:val="5675FF36"/>
    <w:multiLevelType w:val="hybridMultilevel"/>
    <w:lvl w:ilvl="0">
      <w:lvlJc w:val="left"/>
      <w:lvlText w:val="(%1)"/>
      <w:numFmt w:val="decimal"/>
      <w:start w:val="1"/>
    </w:lvl>
  </w:abstractNum>
  <w:abstractNum w:abstractNumId="43">
    <w:nsid w:val="3DD15094"/>
    <w:multiLevelType w:val="hybridMultilevel"/>
    <w:lvl w:ilvl="0">
      <w:lvlJc w:val="left"/>
      <w:lvlText w:val="(%1)"/>
      <w:numFmt w:val="decimal"/>
      <w:start w:val="4"/>
    </w:lvl>
  </w:abstractNum>
  <w:abstractNum w:abstractNumId="44">
    <w:nsid w:val="3DB012B3"/>
    <w:multiLevelType w:val="hybridMultilevel"/>
    <w:lvl w:ilvl="0">
      <w:lvlJc w:val="left"/>
      <w:lvlText w:val="•"/>
      <w:numFmt w:val="bullet"/>
      <w:start w:val="1"/>
    </w:lvl>
  </w:abstractNum>
  <w:abstractNum w:abstractNumId="45">
    <w:nsid w:val="2708C9AF"/>
    <w:multiLevelType w:val="hybridMultilevel"/>
    <w:lvl w:ilvl="0">
      <w:lvlJc w:val="left"/>
      <w:lvlText w:val="•"/>
      <w:numFmt w:val="bullet"/>
      <w:start w:val="1"/>
    </w:lvl>
  </w:abstractNum>
  <w:abstractNum w:abstractNumId="46">
    <w:nsid w:val="5B25ACE2"/>
    <w:multiLevelType w:val="hybridMultilevel"/>
    <w:lvl w:ilvl="0">
      <w:lvlJc w:val="left"/>
      <w:lvlText w:val="•"/>
      <w:numFmt w:val="bullet"/>
      <w:start w:val="1"/>
    </w:lvl>
  </w:abstractNum>
  <w:abstractNum w:abstractNumId="47">
    <w:nsid w:val="175DFCF0"/>
    <w:multiLevelType w:val="hybridMultilevel"/>
    <w:lvl w:ilvl="0">
      <w:lvlJc w:val="left"/>
      <w:lvlText w:val="•"/>
      <w:numFmt w:val="bullet"/>
      <w:start w:val="1"/>
    </w:lvl>
  </w:abstractNum>
  <w:abstractNum w:abstractNumId="48">
    <w:nsid w:val="4F97E3E4"/>
    <w:multiLevelType w:val="hybridMultilevel"/>
    <w:lvl w:ilvl="0">
      <w:lvlJc w:val="left"/>
      <w:lvlText w:val="(%1)"/>
      <w:numFmt w:val="decimal"/>
      <w:start w:val="1"/>
    </w:lvl>
  </w:abstractNum>
  <w:abstractNum w:abstractNumId="49">
    <w:nsid w:val="53B0A9E"/>
    <w:multiLevelType w:val="hybridMultilevel"/>
    <w:lvl w:ilvl="0">
      <w:lvlJc w:val="left"/>
      <w:lvlText w:val="(%1)"/>
      <w:numFmt w:val="decimal"/>
      <w:start w:val="1"/>
    </w:lvl>
  </w:abstractNum>
  <w:abstractNum w:abstractNumId="50">
    <w:nsid w:val="34FD6B4F"/>
    <w:multiLevelType w:val="hybridMultilevel"/>
    <w:lvl w:ilvl="0">
      <w:lvlJc w:val="left"/>
      <w:lvlText w:val="•"/>
      <w:numFmt w:val="bullet"/>
      <w:start w:val="1"/>
    </w:lvl>
  </w:abstractNum>
  <w:abstractNum w:abstractNumId="51">
    <w:nsid w:val="5915FF32"/>
    <w:multiLevelType w:val="hybridMultilevel"/>
    <w:lvl w:ilvl="0">
      <w:lvlJc w:val="left"/>
      <w:lvlText w:val="•"/>
      <w:numFmt w:val="bullet"/>
      <w:start w:val="1"/>
    </w:lvl>
  </w:abstractNum>
  <w:abstractNum w:abstractNumId="52">
    <w:nsid w:val="56438D15"/>
    <w:multiLevelType w:val="hybridMultilevel"/>
    <w:lvl w:ilvl="0">
      <w:lvlJc w:val="left"/>
      <w:lvlText w:val="•"/>
      <w:numFmt w:val="bullet"/>
      <w:start w:val="1"/>
    </w:lvl>
  </w:abstractNum>
  <w:abstractNum w:abstractNumId="53">
    <w:nsid w:val="519E3149"/>
    <w:multiLevelType w:val="hybridMultilevel"/>
    <w:lvl w:ilvl="0">
      <w:lvlJc w:val="left"/>
      <w:lvlText w:val="•"/>
      <w:numFmt w:val="bullet"/>
      <w:start w:val="1"/>
    </w:lvl>
  </w:abstractNum>
  <w:abstractNum w:abstractNumId="54">
    <w:nsid w:val="2C6E4AFD"/>
    <w:multiLevelType w:val="hybridMultilevel"/>
    <w:lvl w:ilvl="0">
      <w:lvlJc w:val="left"/>
      <w:lvlText w:val="•"/>
      <w:numFmt w:val="bullet"/>
      <w:start w:val="1"/>
    </w:lvl>
  </w:abstractNum>
  <w:abstractNum w:abstractNumId="55">
    <w:nsid w:val="17A1B582"/>
    <w:multiLevelType w:val="hybridMultilevel"/>
    <w:lvl w:ilvl="0">
      <w:lvlJc w:val="left"/>
      <w:lvlText w:val="•"/>
      <w:numFmt w:val="bullet"/>
      <w:start w:val="1"/>
    </w:lvl>
  </w:abstractNum>
  <w:abstractNum w:abstractNumId="56">
    <w:nsid w:val="4DF72E4E"/>
    <w:multiLevelType w:val="hybridMultilevel"/>
    <w:lvl w:ilvl="0">
      <w:lvlJc w:val="left"/>
      <w:lvlText w:val="(%1)"/>
      <w:numFmt w:val="decimal"/>
      <w:start w:val="1"/>
    </w:lvl>
  </w:abstractNum>
  <w:abstractNum w:abstractNumId="57">
    <w:nsid w:val="5046B5A9"/>
    <w:multiLevelType w:val="hybridMultilevel"/>
    <w:lvl w:ilvl="0">
      <w:lvlJc w:val="left"/>
      <w:lvlText w:val="•"/>
      <w:numFmt w:val="bullet"/>
      <w:start w:val="1"/>
    </w:lvl>
    <w:lvl w:ilvl="1">
      <w:lvlJc w:val="left"/>
      <w:lvlText w:val="¡"/>
      <w:numFmt w:val="bullet"/>
      <w:start w:val="1"/>
    </w:lvl>
  </w:abstractNum>
  <w:abstractNum w:abstractNumId="58">
    <w:nsid w:val="5D888A08"/>
    <w:multiLevelType w:val="hybridMultilevel"/>
    <w:lvl w:ilvl="0">
      <w:lvlJc w:val="left"/>
      <w:lvlText w:val="•"/>
      <w:numFmt w:val="bullet"/>
      <w:start w:val="1"/>
    </w:lvl>
  </w:abstractNum>
  <w:abstractNum w:abstractNumId="59">
    <w:nsid w:val="2A082C70"/>
    <w:multiLevelType w:val="hybridMultilevel"/>
    <w:lvl w:ilvl="0">
      <w:lvlJc w:val="left"/>
      <w:lvlText w:val="•"/>
      <w:numFmt w:val="bullet"/>
      <w:start w:val="1"/>
    </w:lvl>
  </w:abstractNum>
  <w:abstractNum w:abstractNumId="60">
    <w:nsid w:val="5EC6AFD4"/>
    <w:multiLevelType w:val="hybridMultilevel"/>
    <w:lvl w:ilvl="0">
      <w:lvlJc w:val="left"/>
      <w:lvlText w:val="•"/>
      <w:numFmt w:val="bullet"/>
      <w:start w:val="1"/>
    </w:lvl>
  </w:abstractNum>
  <w:abstractNum w:abstractNumId="61">
    <w:nsid w:val="19E21BB2"/>
    <w:multiLevelType w:val="hybridMultilevel"/>
    <w:lvl w:ilvl="0">
      <w:lvlJc w:val="left"/>
      <w:lvlText w:val="•"/>
      <w:numFmt w:val="bullet"/>
      <w:start w:val="1"/>
    </w:lvl>
  </w:abstractNum>
  <w:abstractNum w:abstractNumId="62">
    <w:nsid w:val="75E0858A"/>
    <w:multiLevelType w:val="hybridMultilevel"/>
    <w:lvl w:ilvl="0">
      <w:lvlJc w:val="left"/>
      <w:lvlText w:val="•"/>
      <w:numFmt w:val="bullet"/>
      <w:start w:val="1"/>
    </w:lvl>
  </w:abstractNum>
  <w:abstractNum w:abstractNumId="63">
    <w:nsid w:val="57A61A29"/>
    <w:multiLevelType w:val="hybridMultilevel"/>
    <w:lvl w:ilvl="0">
      <w:lvlJc w:val="left"/>
      <w:lvlText w:val="•"/>
      <w:numFmt w:val="bullet"/>
      <w:start w:val="1"/>
    </w:lvl>
  </w:abstractNum>
  <w:abstractNum w:abstractNumId="64">
    <w:nsid w:val="5399C654"/>
    <w:multiLevelType w:val="hybridMultilevel"/>
    <w:lvl w:ilvl="0">
      <w:lvlJc w:val="left"/>
      <w:lvlText w:val="•"/>
      <w:numFmt w:val="bullet"/>
      <w:start w:val="1"/>
    </w:lvl>
    <w:lvl w:ilvl="1">
      <w:lvlJc w:val="left"/>
      <w:lvlText w:val="•"/>
      <w:numFmt w:val="bullet"/>
      <w:start w:val="1"/>
    </w:lvl>
  </w:abstractNum>
  <w:abstractNum w:abstractNumId="65">
    <w:nsid w:val="20EE1348"/>
    <w:multiLevelType w:val="hybridMultilevel"/>
    <w:lvl w:ilvl="0">
      <w:lvlJc w:val="left"/>
      <w:lvlText w:val="•"/>
      <w:numFmt w:val="bullet"/>
      <w:start w:val="1"/>
    </w:lvl>
    <w:lvl w:ilvl="1">
      <w:lvlJc w:val="left"/>
      <w:lvlText w:val="•"/>
      <w:numFmt w:val="bullet"/>
      <w:start w:val="1"/>
    </w:lvl>
  </w:abstractNum>
  <w:abstractNum w:abstractNumId="66">
    <w:nsid w:val="4427069A"/>
    <w:multiLevelType w:val="hybridMultilevel"/>
    <w:lvl w:ilvl="0">
      <w:lvlJc w:val="left"/>
      <w:lvlText w:val="•"/>
      <w:numFmt w:val="bullet"/>
      <w:start w:val="1"/>
    </w:lvl>
  </w:abstractNum>
  <w:abstractNum w:abstractNumId="67">
    <w:nsid w:val="B37E80A"/>
    <w:multiLevelType w:val="hybridMultilevel"/>
    <w:lvl w:ilvl="0">
      <w:lvlJc w:val="left"/>
      <w:lvlText w:val="(%1)"/>
      <w:numFmt w:val="decimal"/>
      <w:start w:val="1"/>
    </w:lvl>
  </w:abstractNum>
  <w:abstractNum w:abstractNumId="68">
    <w:nsid w:val="2157F6BC"/>
    <w:multiLevelType w:val="hybridMultilevel"/>
    <w:lvl w:ilvl="0">
      <w:lvlJc w:val="left"/>
      <w:lvlText w:val="(%1)"/>
      <w:numFmt w:val="decimal"/>
      <w:start w:val="1"/>
    </w:lvl>
  </w:abstractNum>
  <w:abstractNum w:abstractNumId="69">
    <w:nsid w:val="704E1DD5"/>
    <w:multiLevelType w:val="hybridMultilevel"/>
    <w:lvl w:ilvl="0">
      <w:lvlJc w:val="left"/>
      <w:lvlText w:val="(%1)"/>
      <w:numFmt w:val="decimal"/>
      <w:start w:val="1"/>
    </w:lvl>
  </w:abstractNum>
  <w:abstractNum w:abstractNumId="70">
    <w:nsid w:val="57D2F10E"/>
    <w:multiLevelType w:val="hybridMultilevel"/>
    <w:lvl w:ilvl="0">
      <w:lvlJc w:val="left"/>
      <w:lvlText w:val="•"/>
      <w:numFmt w:val="bullet"/>
      <w:start w:val="1"/>
    </w:lvl>
  </w:abstractNum>
  <w:abstractNum w:abstractNumId="71">
    <w:nsid w:val="BFFAE18"/>
    <w:multiLevelType w:val="hybridMultilevel"/>
    <w:lvl w:ilvl="0">
      <w:lvlJc w:val="left"/>
      <w:lvlText w:val="•"/>
      <w:numFmt w:val="bullet"/>
      <w:start w:val="1"/>
    </w:lvl>
  </w:abstractNum>
  <w:abstractNum w:abstractNumId="72">
    <w:nsid w:val="E3E47A8"/>
    <w:multiLevelType w:val="hybridMultilevel"/>
    <w:lvl w:ilvl="0">
      <w:lvlJc w:val="left"/>
      <w:lvlText w:val="•"/>
      <w:numFmt w:val="bullet"/>
      <w:start w:val="1"/>
    </w:lvl>
  </w:abstractNum>
  <w:abstractNum w:abstractNumId="73">
    <w:nsid w:val="2E48F044"/>
    <w:multiLevelType w:val="hybridMultilevel"/>
    <w:lvl w:ilvl="0">
      <w:lvlJc w:val="left"/>
      <w:lvlText w:val="•"/>
      <w:numFmt w:val="bullet"/>
      <w:start w:val="1"/>
    </w:lvl>
  </w:abstractNum>
  <w:abstractNum w:abstractNumId="74">
    <w:nsid w:val="49D0FEAC"/>
    <w:multiLevelType w:val="hybridMultilevel"/>
    <w:lvl w:ilvl="0">
      <w:lvlJc w:val="left"/>
      <w:lvlText w:val="•"/>
      <w:numFmt w:val="bullet"/>
      <w:start w:val="1"/>
    </w:lvl>
  </w:abstractNum>
  <w:abstractNum w:abstractNumId="75">
    <w:nsid w:val="4BEE5A5B"/>
    <w:multiLevelType w:val="hybridMultilevel"/>
    <w:lvl w:ilvl="0">
      <w:lvlJc w:val="left"/>
      <w:lvlText w:val="•"/>
      <w:numFmt w:val="bullet"/>
      <w:start w:val="1"/>
    </w:lvl>
  </w:abstractNum>
  <w:abstractNum w:abstractNumId="76">
    <w:nsid w:val="5551B9F3"/>
    <w:multiLevelType w:val="hybridMultilevel"/>
    <w:lvl w:ilvl="0">
      <w:lvlJc w:val="left"/>
      <w:lvlText w:val="•"/>
      <w:numFmt w:val="bullet"/>
      <w:start w:val="1"/>
    </w:lvl>
  </w:abstractNum>
  <w:abstractNum w:abstractNumId="77">
    <w:nsid w:val="24F6AB8E"/>
    <w:multiLevelType w:val="hybridMultilevel"/>
    <w:lvl w:ilvl="0">
      <w:lvlJc w:val="left"/>
      <w:lvlText w:val="•"/>
      <w:numFmt w:val="bullet"/>
      <w:start w:val="1"/>
    </w:lvl>
  </w:abstractNum>
  <w:abstractNum w:abstractNumId="78">
    <w:nsid w:val="634C574C"/>
    <w:multiLevelType w:val="hybridMultilevel"/>
    <w:lvl w:ilvl="0">
      <w:lvlJc w:val="left"/>
      <w:lvlText w:val="•"/>
      <w:numFmt w:val="bullet"/>
      <w:start w:val="1"/>
    </w:lvl>
  </w:abstractNum>
  <w:abstractNum w:abstractNumId="79">
    <w:nsid w:val="24E99DD7"/>
    <w:multiLevelType w:val="hybridMultilevel"/>
    <w:lvl w:ilvl="0">
      <w:lvlJc w:val="left"/>
      <w:lvlText w:val="(%1)"/>
      <w:numFmt w:val="lowerRoman"/>
      <w:start w:val="1"/>
    </w:lvl>
  </w:abstractNum>
  <w:abstractNum w:abstractNumId="80">
    <w:nsid w:val="2A31B62D"/>
    <w:multiLevelType w:val="hybridMultilevel"/>
    <w:lvl w:ilvl="0">
      <w:lvlJc w:val="left"/>
      <w:lvlText w:val="(%1)"/>
      <w:numFmt w:val="lowerRoman"/>
      <w:start w:val="2"/>
    </w:lvl>
  </w:abstractNum>
  <w:abstractNum w:abstractNumId="81">
    <w:nsid w:val="1849C29B"/>
    <w:multiLevelType w:val="hybridMultilevel"/>
    <w:lvl w:ilvl="0">
      <w:lvlJc w:val="left"/>
      <w:lvlText w:val="•"/>
      <w:numFmt w:val="bullet"/>
      <w:start w:val="1"/>
    </w:lvl>
  </w:abstractNum>
  <w:abstractNum w:abstractNumId="82">
    <w:nsid w:val="7DFF9D09"/>
    <w:multiLevelType w:val="hybridMultilevel"/>
    <w:lvl w:ilvl="0">
      <w:lvlJc w:val="left"/>
      <w:lvlText w:val="="/>
      <w:numFmt w:val="bullet"/>
      <w:start w:val="1"/>
    </w:lvl>
  </w:abstractNum>
  <w:abstractNum w:abstractNumId="83">
    <w:nsid w:val="754342"/>
    <w:multiLevelType w:val="hybridMultilevel"/>
    <w:lvl w:ilvl="0">
      <w:lvlJc w:val="left"/>
      <w:lvlText w:val="(%1)"/>
      <w:numFmt w:val="decimal"/>
    </w:lvl>
    <w:lvl w:ilvl="1">
      <w:lvlJc w:val="left"/>
      <w:lvlText w:val="="/>
      <w:numFmt w:val="bullet"/>
      <w:start w:val="1"/>
    </w:lvl>
  </w:abstractNum>
  <w:abstractNum w:abstractNumId="84">
    <w:nsid w:val="69E7F3E5"/>
    <w:multiLevelType w:val="hybridMultilevel"/>
    <w:lvl w:ilvl="0">
      <w:lvlJc w:val="left"/>
      <w:lvlText w:val="(*)"/>
      <w:numFmt w:val="bullet"/>
      <w:start w:val="1"/>
    </w:lvl>
  </w:abstractNum>
  <w:abstractNum w:abstractNumId="85">
    <w:nsid w:val="2A6DE806"/>
    <w:multiLevelType w:val="hybridMultilevel"/>
    <w:lvl w:ilvl="0">
      <w:lvlJc w:val="left"/>
      <w:lvlText w:val="•"/>
      <w:numFmt w:val="bullet"/>
      <w:start w:val="1"/>
    </w:lvl>
  </w:abstractNum>
  <w:abstractNum w:abstractNumId="86">
    <w:nsid w:val="1816F8C4"/>
    <w:multiLevelType w:val="hybridMultilevel"/>
    <w:lvl w:ilvl="0">
      <w:lvlJc w:val="left"/>
      <w:lvlText w:val="•"/>
      <w:numFmt w:val="bullet"/>
      <w:start w:val="1"/>
    </w:lvl>
  </w:abstractNum>
  <w:abstractNum w:abstractNumId="87">
    <w:nsid w:val="37DF2233"/>
    <w:multiLevelType w:val="hybridMultilevel"/>
    <w:lvl w:ilvl="0">
      <w:lvlJc w:val="left"/>
      <w:lvlText w:val="•"/>
      <w:numFmt w:val="bullet"/>
      <w:start w:val="1"/>
    </w:lvl>
  </w:abstractNum>
  <w:abstractNum w:abstractNumId="88">
    <w:nsid w:val="7AB49DAF"/>
    <w:multiLevelType w:val="hybridMultilevel"/>
    <w:lvl w:ilvl="0">
      <w:lvlJc w:val="left"/>
      <w:lvlText w:val="•"/>
      <w:numFmt w:val="bullet"/>
      <w:start w:val="1"/>
    </w:lvl>
  </w:abstractNum>
  <w:abstractNum w:abstractNumId="89">
    <w:nsid w:val="759F82CD"/>
    <w:multiLevelType w:val="hybridMultilevel"/>
    <w:lvl w:ilvl="0">
      <w:lvlJc w:val="left"/>
      <w:lvlText w:val="•"/>
      <w:numFmt w:val="bullet"/>
      <w:start w:val="1"/>
    </w:lvl>
  </w:abstractNum>
  <w:abstractNum w:abstractNumId="90">
    <w:nsid w:val="61E74EA3"/>
    <w:multiLevelType w:val="hybridMultilevel"/>
    <w:lvl w:ilvl="0">
      <w:lvlJc w:val="left"/>
      <w:lvlText w:val="•"/>
      <w:numFmt w:val="bullet"/>
      <w:start w:val="1"/>
    </w:lvl>
  </w:abstractNum>
  <w:abstractNum w:abstractNumId="91">
    <w:nsid w:val="597B4D84"/>
    <w:multiLevelType w:val="hybridMultilevel"/>
    <w:lvl w:ilvl="0">
      <w:lvlJc w:val="left"/>
      <w:lvlText w:val="•"/>
      <w:numFmt w:val="bullet"/>
      <w:start w:val="1"/>
    </w:lvl>
  </w:abstractNum>
  <w:abstractNum w:abstractNumId="92">
    <w:nsid w:val="F819E7F"/>
    <w:multiLevelType w:val="hybridMultilevel"/>
    <w:lvl w:ilvl="0">
      <w:lvlJc w:val="left"/>
      <w:lvlText w:val="•"/>
      <w:numFmt w:val="bullet"/>
      <w:start w:val="1"/>
    </w:lvl>
  </w:abstractNum>
  <w:abstractNum w:abstractNumId="93">
    <w:nsid w:val="57C7D42D"/>
    <w:multiLevelType w:val="hybridMultilevel"/>
    <w:lvl w:ilvl="0">
      <w:lvlJc w:val="left"/>
      <w:lvlText w:val="•"/>
      <w:numFmt w:val="bullet"/>
      <w:start w:val="1"/>
    </w:lvl>
  </w:abstractNum>
  <w:abstractNum w:abstractNumId="94">
    <w:nsid w:val="312167AD"/>
    <w:multiLevelType w:val="hybridMultilevel"/>
    <w:lvl w:ilvl="0">
      <w:lvlJc w:val="left"/>
      <w:lvlText w:val="•"/>
      <w:numFmt w:val="bullet"/>
      <w:start w:val="1"/>
    </w:lvl>
  </w:abstractNum>
  <w:abstractNum w:abstractNumId="95">
    <w:nsid w:val="631B64D4"/>
    <w:multiLevelType w:val="hybridMultilevel"/>
    <w:lvl w:ilvl="0">
      <w:lvlJc w:val="left"/>
      <w:lvlText w:val="•"/>
      <w:numFmt w:val="bullet"/>
      <w:start w:val="1"/>
    </w:lvl>
  </w:abstractNum>
  <w:abstractNum w:abstractNumId="96">
    <w:nsid w:val="78B5E776"/>
    <w:multiLevelType w:val="hybridMultilevel"/>
    <w:lvl w:ilvl="0">
      <w:lvlJc w:val="left"/>
      <w:lvlText w:val="•"/>
      <w:numFmt w:val="bullet"/>
      <w:start w:val="1"/>
    </w:lvl>
  </w:abstractNum>
  <w:abstractNum w:abstractNumId="97">
    <w:nsid w:val="75486E47"/>
    <w:multiLevelType w:val="hybridMultilevel"/>
    <w:lvl w:ilvl="0">
      <w:lvlJc w:val="left"/>
      <w:lvlText w:val="*"/>
      <w:numFmt w:val="bullet"/>
      <w:start w:val="1"/>
    </w:lvl>
  </w:abstractNum>
  <w:abstractNum w:abstractNumId="98">
    <w:nsid w:val="6E534CDE"/>
    <w:multiLevelType w:val="hybridMultilevel"/>
    <w:lvl w:ilvl="0">
      <w:lvlJc w:val="left"/>
      <w:lvlText w:val="(%1)"/>
      <w:numFmt w:val="decimal"/>
      <w:start w:val="2"/>
    </w:lvl>
  </w:abstractNum>
  <w:abstractNum w:abstractNumId="99">
    <w:nsid w:val="1A0DDE32"/>
    <w:multiLevelType w:val="hybridMultilevel"/>
    <w:lvl w:ilvl="0">
      <w:lvlJc w:val="left"/>
      <w:lvlText w:val="(%1)"/>
      <w:numFmt w:val="decimal"/>
      <w:start w:val="3"/>
    </w:lvl>
  </w:abstractNum>
  <w:abstractNum w:abstractNumId="100">
    <w:nsid w:val="65968C1C"/>
    <w:multiLevelType w:val="hybridMultilevel"/>
    <w:lvl w:ilvl="0">
      <w:lvlJc w:val="left"/>
      <w:lvlText w:val="(%1)"/>
      <w:numFmt w:val="decimal"/>
      <w:start w:val="11"/>
    </w:lvl>
  </w:abstractNum>
  <w:abstractNum w:abstractNumId="101">
    <w:nsid w:val="46263DEC"/>
    <w:multiLevelType w:val="hybridMultilevel"/>
    <w:lvl w:ilvl="0">
      <w:lvlJc w:val="left"/>
      <w:lvlText w:val="(%1)"/>
      <w:numFmt w:val="decimal"/>
      <w:start w:val="1"/>
    </w:lvl>
  </w:abstractNum>
  <w:abstractNum w:abstractNumId="102">
    <w:nsid w:val="260D8C4A"/>
    <w:multiLevelType w:val="hybridMultilevel"/>
    <w:lvl w:ilvl="0">
      <w:lvlJc w:val="left"/>
      <w:lvlText w:val="•"/>
      <w:numFmt w:val="bullet"/>
      <w:start w:val="1"/>
    </w:lvl>
  </w:abstractNum>
  <w:abstractNum w:abstractNumId="103">
    <w:nsid w:val="73D4D3C4"/>
    <w:multiLevelType w:val="hybridMultilevel"/>
    <w:lvl w:ilvl="0">
      <w:lvlJc w:val="left"/>
      <w:lvlText w:val="•"/>
      <w:numFmt w:val="bullet"/>
      <w:start w:val="1"/>
    </w:lvl>
  </w:abstractNum>
  <w:abstractNum w:abstractNumId="104">
    <w:nsid w:val="746F2E30"/>
    <w:multiLevelType w:val="hybridMultilevel"/>
    <w:lvl w:ilvl="0">
      <w:lvlJc w:val="left"/>
      <w:lvlText w:val="•"/>
      <w:numFmt w:val="bullet"/>
      <w:start w:val="1"/>
    </w:lvl>
  </w:abstractNum>
  <w:abstractNum w:abstractNumId="105">
    <w:nsid w:val="6FDE8AF6"/>
    <w:multiLevelType w:val="hybridMultilevel"/>
    <w:lvl w:ilvl="0">
      <w:lvlJc w:val="left"/>
      <w:lvlText w:val="•"/>
      <w:numFmt w:val="bullet"/>
      <w:start w:val="1"/>
    </w:lvl>
  </w:abstractNum>
  <w:abstractNum w:abstractNumId="106">
    <w:nsid w:val="3FC32E20"/>
    <w:multiLevelType w:val="hybridMultilevel"/>
    <w:lvl w:ilvl="0">
      <w:lvlJc w:val="left"/>
      <w:lvlText w:val="•"/>
      <w:numFmt w:val="bullet"/>
      <w:start w:val="1"/>
    </w:lvl>
    <w:lvl w:ilvl="1">
      <w:lvlJc w:val="left"/>
      <w:lvlText w:val="•"/>
      <w:numFmt w:val="bullet"/>
      <w:start w:val="1"/>
    </w:lvl>
  </w:abstractNum>
  <w:abstractNum w:abstractNumId="107">
    <w:nsid w:val="49C0E823"/>
    <w:multiLevelType w:val="hybridMultilevel"/>
    <w:lvl w:ilvl="0">
      <w:lvlJc w:val="left"/>
      <w:lvlText w:val="•"/>
      <w:numFmt w:val="bullet"/>
      <w:start w:val="1"/>
    </w:lvl>
  </w:abstractNum>
  <w:abstractNum w:abstractNumId="108">
    <w:nsid w:val="14D53685"/>
    <w:multiLevelType w:val="hybridMultilevel"/>
    <w:lvl w:ilvl="0">
      <w:lvlJc w:val="left"/>
      <w:lvlText w:val="•"/>
      <w:numFmt w:val="bullet"/>
      <w:start w:val="1"/>
    </w:lvl>
  </w:abstractNum>
  <w:abstractNum w:abstractNumId="109">
    <w:nsid w:val="230F856C"/>
    <w:multiLevelType w:val="hybridMultilevel"/>
    <w:lvl w:ilvl="0">
      <w:lvlJc w:val="left"/>
      <w:lvlText w:val="•"/>
      <w:numFmt w:val="bullet"/>
      <w:start w:val="1"/>
    </w:lvl>
  </w:abstractNum>
  <w:abstractNum w:abstractNumId="110">
    <w:nsid w:val="6EAA85FB"/>
    <w:multiLevelType w:val="hybridMultilevel"/>
    <w:lvl w:ilvl="0">
      <w:lvlJc w:val="left"/>
      <w:lvlText w:val="•"/>
      <w:numFmt w:val="bullet"/>
      <w:start w:val="1"/>
    </w:lvl>
  </w:abstractNum>
  <w:abstractNum w:abstractNumId="111">
    <w:nsid w:val="3F06ECB2"/>
    <w:multiLevelType w:val="hybridMultilevel"/>
    <w:lvl w:ilvl="0">
      <w:lvlJc w:val="left"/>
      <w:lvlText w:val="(%1)"/>
      <w:numFmt w:val="lowerRoman"/>
      <w:start w:val="1"/>
    </w:lvl>
  </w:abstractNum>
  <w:abstractNum w:abstractNumId="112">
    <w:nsid w:val="3B594807"/>
    <w:multiLevelType w:val="hybridMultilevel"/>
    <w:lvl w:ilvl="0">
      <w:lvlJc w:val="left"/>
      <w:lvlText w:val="•"/>
      <w:numFmt w:val="bullet"/>
      <w:start w:val="1"/>
    </w:lvl>
  </w:abstractNum>
  <w:abstractNum w:abstractNumId="113">
    <w:nsid w:val="6CAA2304"/>
    <w:multiLevelType w:val="hybridMultilevel"/>
    <w:lvl w:ilvl="0">
      <w:lvlJc w:val="left"/>
      <w:lvlText w:val="•"/>
      <w:numFmt w:val="bullet"/>
      <w:start w:val="1"/>
    </w:lvl>
  </w:abstractNum>
  <w:abstractNum w:abstractNumId="114">
    <w:nsid w:val="3F7C2FF4"/>
    <w:multiLevelType w:val="hybridMultilevel"/>
    <w:lvl w:ilvl="0">
      <w:lvlJc w:val="left"/>
      <w:lvlText w:val="•"/>
      <w:numFmt w:val="bullet"/>
      <w:start w:val="1"/>
    </w:lvl>
  </w:abstractNum>
  <w:abstractNum w:abstractNumId="115">
    <w:nsid w:val="25413BEC"/>
    <w:multiLevelType w:val="hybridMultilevel"/>
    <w:lvl w:ilvl="0">
      <w:lvlJc w:val="left"/>
      <w:lvlText w:val="•"/>
      <w:numFmt w:val="bullet"/>
      <w:start w:val="1"/>
    </w:lvl>
  </w:abstractNum>
  <w:abstractNum w:abstractNumId="116">
    <w:nsid w:val="17180B0B"/>
    <w:multiLevelType w:val="hybridMultilevel"/>
    <w:lvl w:ilvl="0">
      <w:lvlJc w:val="left"/>
      <w:lvlText w:val="•"/>
      <w:numFmt w:val="bullet"/>
      <w:start w:val="1"/>
    </w:lvl>
  </w:abstractNum>
  <w:abstractNum w:abstractNumId="117">
    <w:nsid w:val="579328B9"/>
    <w:multiLevelType w:val="hybridMultilevel"/>
    <w:lvl w:ilvl="0">
      <w:lvlJc w:val="left"/>
      <w:lvlText w:val="•"/>
      <w:numFmt w:val="bullet"/>
      <w:start w:val="1"/>
    </w:lvl>
  </w:abstractNum>
  <w:abstractNum w:abstractNumId="118">
    <w:nsid w:val="5D205E2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9">
    <w:nsid w:val="11CCA8BA"/>
    <w:multiLevelType w:val="hybridMultilevel"/>
    <w:lvl w:ilvl="0">
      <w:lvlJc w:val="left"/>
      <w:lvlText w:val="•"/>
      <w:numFmt w:val="bullet"/>
      <w:start w:val="1"/>
    </w:lvl>
  </w:abstractNum>
  <w:abstractNum w:abstractNumId="120">
    <w:nsid w:val="4D32AB86"/>
    <w:multiLevelType w:val="hybridMultilevel"/>
    <w:lvl w:ilvl="0">
      <w:lvlJc w:val="left"/>
      <w:lvlText w:val="•"/>
      <w:numFmt w:val="bullet"/>
      <w:start w:val="1"/>
    </w:lvl>
  </w:abstractNum>
  <w:abstractNum w:abstractNumId="121">
    <w:nsid w:val="3F07ACC3"/>
    <w:multiLevelType w:val="hybridMultilevel"/>
    <w:lvl w:ilvl="0">
      <w:lvlJc w:val="left"/>
      <w:lvlText w:val="•"/>
      <w:numFmt w:val="bullet"/>
      <w:start w:val="1"/>
    </w:lvl>
  </w:abstractNum>
  <w:abstractNum w:abstractNumId="122">
    <w:nsid w:val="6B47F63E"/>
    <w:multiLevelType w:val="hybridMultilevel"/>
    <w:lvl w:ilvl="0">
      <w:lvlJc w:val="left"/>
      <w:lvlText w:val="•"/>
      <w:numFmt w:val="bullet"/>
      <w:start w:val="1"/>
    </w:lvl>
  </w:abstractNum>
  <w:abstractNum w:abstractNumId="123">
    <w:nsid w:val="5CB44A05"/>
    <w:multiLevelType w:val="hybridMultilevel"/>
    <w:lvl w:ilvl="0">
      <w:lvlJc w:val="left"/>
      <w:lvlText w:val="•"/>
      <w:numFmt w:val="bullet"/>
      <w:start w:val="1"/>
    </w:lvl>
  </w:abstractNum>
  <w:abstractNum w:abstractNumId="124">
    <w:nsid w:val="16CF80F1"/>
    <w:multiLevelType w:val="hybridMultilevel"/>
    <w:lvl w:ilvl="0">
      <w:lvlJc w:val="left"/>
      <w:lvlText w:val="•"/>
      <w:numFmt w:val="bullet"/>
      <w:start w:val="1"/>
    </w:lvl>
  </w:abstractNum>
  <w:abstractNum w:abstractNumId="125">
    <w:nsid w:val="1C695DEC"/>
    <w:multiLevelType w:val="hybridMultilevel"/>
    <w:lvl w:ilvl="0">
      <w:lvlJc w:val="left"/>
      <w:lvlText w:val="(%1)"/>
      <w:numFmt w:val="decimal"/>
      <w:start w:val="1"/>
    </w:lvl>
  </w:abstractNum>
  <w:abstractNum w:abstractNumId="126">
    <w:nsid w:val="3FCFAED9"/>
    <w:multiLevelType w:val="hybridMultilevel"/>
    <w:lvl w:ilvl="0">
      <w:lvlJc w:val="left"/>
      <w:lvlText w:val="(%1)"/>
      <w:numFmt w:val="decimal"/>
      <w:start w:val="1"/>
    </w:lvl>
  </w:abstractNum>
  <w:abstractNum w:abstractNumId="127">
    <w:nsid w:val="F856867"/>
    <w:multiLevelType w:val="hybridMultilevel"/>
    <w:lvl w:ilvl="0">
      <w:lvlJc w:val="left"/>
      <w:lvlText w:val="(%1)"/>
      <w:numFmt w:val="decimal"/>
      <w:start w:val="1"/>
    </w:lvl>
  </w:abstractNum>
  <w:abstractNum w:abstractNumId="128">
    <w:nsid w:val="11B1CC33"/>
    <w:multiLevelType w:val="hybridMultilevel"/>
    <w:lvl w:ilvl="0">
      <w:lvlJc w:val="left"/>
      <w:lvlText w:val="(%1)"/>
      <w:numFmt w:val="decimal"/>
      <w:start w:val="4"/>
    </w:lvl>
  </w:abstractNum>
  <w:abstractNum w:abstractNumId="129">
    <w:nsid w:val="2E22FBB7"/>
    <w:multiLevelType w:val="hybridMultilevel"/>
    <w:lvl w:ilvl="0">
      <w:lvlJc w:val="left"/>
      <w:lvlText w:val="(%1)"/>
      <w:numFmt w:val="lowerLetter"/>
      <w:start w:val="1"/>
    </w:lvl>
  </w:abstractNum>
  <w:abstractNum w:abstractNumId="130">
    <w:nsid w:val="29934699"/>
    <w:multiLevelType w:val="hybridMultilevel"/>
    <w:lvl w:ilvl="0">
      <w:lvlJc w:val="left"/>
      <w:lvlText w:val="(%1)"/>
      <w:numFmt w:val="decimal"/>
      <w:start w:val="1"/>
    </w:lvl>
  </w:abstractNum>
  <w:abstractNum w:abstractNumId="131">
    <w:nsid w:val="77485850"/>
    <w:multiLevelType w:val="hybridMultilevel"/>
    <w:lvl w:ilvl="0">
      <w:lvlJc w:val="left"/>
      <w:lvlText w:val="(%1)"/>
      <w:numFmt w:val="lowerLetter"/>
      <w:start w:val="1"/>
    </w:lvl>
  </w:abstractNum>
  <w:abstractNum w:abstractNumId="132">
    <w:nsid w:val="744939A3"/>
    <w:multiLevelType w:val="hybridMultilevel"/>
    <w:lvl w:ilvl="0">
      <w:lvlJc w:val="left"/>
      <w:lvlText w:val="%1."/>
      <w:numFmt w:val="decimal"/>
      <w:start w:val="1"/>
    </w:lvl>
  </w:abstractNum>
  <w:abstractNum w:abstractNumId="133">
    <w:nsid w:val="4FA0D2E3"/>
    <w:multiLevelType w:val="hybridMultilevel"/>
    <w:lvl w:ilvl="0">
      <w:lvlJc w:val="left"/>
      <w:lvlText w:val="%1."/>
      <w:numFmt w:val="decimal"/>
      <w:start w:val="2"/>
    </w:lvl>
  </w:abstractNum>
  <w:abstractNum w:abstractNumId="134">
    <w:nsid w:val="6B1D2C14"/>
    <w:multiLevelType w:val="hybridMultilevel"/>
    <w:lvl w:ilvl="0">
      <w:lvlJc w:val="left"/>
      <w:lvlText w:val="•"/>
      <w:numFmt w:val="bullet"/>
      <w:start w:val="1"/>
    </w:lvl>
  </w:abstractNum>
  <w:abstractNum w:abstractNumId="135">
    <w:nsid w:val="68B867D3"/>
    <w:multiLevelType w:val="hybridMultilevel"/>
    <w:lvl w:ilvl="0">
      <w:lvlJc w:val="left"/>
      <w:lvlText w:val="•"/>
      <w:numFmt w:val="bullet"/>
      <w:start w:val="1"/>
    </w:lvl>
  </w:abstractNum>
  <w:abstractNum w:abstractNumId="136">
    <w:nsid w:val="3F7F5DD9"/>
    <w:multiLevelType w:val="hybridMultilevel"/>
    <w:lvl w:ilvl="0">
      <w:lvlJc w:val="left"/>
      <w:lvlText w:val="(%1)"/>
      <w:numFmt w:val="lowerRoman"/>
      <w:start w:val="1"/>
    </w:lvl>
  </w:abstractNum>
  <w:abstractNum w:abstractNumId="137">
    <w:nsid w:val="2AE05A34"/>
    <w:multiLevelType w:val="hybridMultilevel"/>
    <w:lvl w:ilvl="0">
      <w:lvlJc w:val="left"/>
      <w:lvlText w:val="%1."/>
      <w:numFmt w:val="decimal"/>
      <w:start w:val="3"/>
    </w:lvl>
  </w:abstractNum>
  <w:abstractNum w:abstractNumId="138">
    <w:nsid w:val="32794FF7"/>
    <w:multiLevelType w:val="hybridMultilevel"/>
    <w:lvl w:ilvl="0">
      <w:lvlJc w:val="left"/>
      <w:lvlText w:val="(%1)"/>
      <w:numFmt w:val="lowerRoman"/>
      <w:start w:val="1"/>
    </w:lvl>
  </w:abstractNum>
  <w:abstractNum w:abstractNumId="139">
    <w:nsid w:val="5454945E"/>
    <w:multiLevelType w:val="hybridMultilevel"/>
    <w:lvl w:ilvl="0">
      <w:lvlJc w:val="left"/>
      <w:lvlText w:val="(%1)"/>
      <w:numFmt w:val="decimal"/>
      <w:start w:val="1"/>
    </w:lvl>
  </w:abstractNum>
  <w:abstractNum w:abstractNumId="140">
    <w:nsid w:val="4DEFDFA0"/>
    <w:multiLevelType w:val="hybridMultilevel"/>
    <w:lvl w:ilvl="0">
      <w:lvlJc w:val="left"/>
      <w:lvlText w:val="%1."/>
      <w:numFmt w:val="decimal"/>
      <w:start w:val="5"/>
    </w:lvl>
  </w:abstractNum>
  <w:abstractNum w:abstractNumId="141">
    <w:nsid w:val="2123D5F2"/>
    <w:multiLevelType w:val="hybridMultilevel"/>
    <w:lvl w:ilvl="0">
      <w:lvlJc w:val="left"/>
      <w:lvlText w:val="(%1)"/>
      <w:numFmt w:val="decimal"/>
      <w:start w:val="1"/>
    </w:lvl>
  </w:abstractNum>
  <w:abstractNum w:abstractNumId="142">
    <w:nsid w:val="135B8110"/>
    <w:multiLevelType w:val="hybridMultilevel"/>
    <w:lvl w:ilvl="0">
      <w:lvlJc w:val="left"/>
      <w:lvlText w:val="(%1)"/>
      <w:numFmt w:val="decimal"/>
      <w:start w:val="1"/>
    </w:lvl>
  </w:abstractNum>
  <w:abstractNum w:abstractNumId="143">
    <w:nsid w:val="94927A8"/>
    <w:multiLevelType w:val="hybridMultilevel"/>
    <w:lvl w:ilvl="0">
      <w:lvlJc w:val="left"/>
      <w:lvlText w:val="%1."/>
      <w:numFmt w:val="decimal"/>
      <w:start w:val="7"/>
    </w:lvl>
  </w:abstractNum>
  <w:abstractNum w:abstractNumId="144">
    <w:nsid w:val="DCDF8F6"/>
    <w:multiLevelType w:val="hybridMultilevel"/>
    <w:lvl w:ilvl="0">
      <w:lvlJc w:val="left"/>
      <w:lvlText w:val="(%1)"/>
      <w:numFmt w:val="decimal"/>
      <w:start w:val="1"/>
    </w:lvl>
  </w:abstractNum>
  <w:abstractNum w:abstractNumId="145">
    <w:nsid w:val="52D7B105"/>
    <w:multiLevelType w:val="hybridMultilevel"/>
    <w:lvl w:ilvl="0">
      <w:lvlJc w:val="left"/>
      <w:lvlText w:val="(%1)"/>
      <w:numFmt w:val="decimal"/>
      <w:start w:val="2"/>
    </w:lvl>
  </w:abstractNum>
  <w:abstractNum w:abstractNumId="146">
    <w:nsid w:val="2E8A6394"/>
    <w:multiLevelType w:val="hybridMultilevel"/>
    <w:lvl w:ilvl="0">
      <w:lvlJc w:val="left"/>
      <w:lvlText w:val="(%1)"/>
      <w:numFmt w:val="decimal"/>
      <w:start w:val="1"/>
    </w:lvl>
  </w:abstractNum>
  <w:abstractNum w:abstractNumId="147">
    <w:nsid w:val="24E60401"/>
    <w:multiLevelType w:val="hybridMultilevel"/>
    <w:lvl w:ilvl="0">
      <w:lvlJc w:val="left"/>
      <w:lvlText w:val="%1"/>
      <w:numFmt w:val="decimal"/>
      <w:start w:val="1"/>
    </w:lvl>
    <w:lvl w:ilvl="1">
      <w:lvlJc w:val="left"/>
      <w:lvlText w:val="(%2)"/>
      <w:numFmt w:val="decimal"/>
      <w:start w:val="1"/>
    </w:lvl>
  </w:abstractNum>
  <w:abstractNum w:abstractNumId="148">
    <w:nsid w:val="2A6AD9BE"/>
    <w:multiLevelType w:val="hybridMultilevel"/>
    <w:lvl w:ilvl="0">
      <w:lvlJc w:val="left"/>
      <w:lvlText w:val="(%1)"/>
      <w:numFmt w:val="decimal"/>
      <w:start w:val="2"/>
    </w:lvl>
    <w:lvl w:ilvl="1">
      <w:lvlJc w:val="left"/>
      <w:lvlText w:val="%2"/>
      <w:numFmt w:val="decimal"/>
      <w:start w:val="1"/>
    </w:lvl>
  </w:abstractNum>
  <w:abstractNum w:abstractNumId="149">
    <w:nsid w:val="BAAC1B4"/>
    <w:multiLevelType w:val="hybridMultilevel"/>
    <w:lvl w:ilvl="0">
      <w:lvlJc w:val="left"/>
      <w:lvlText w:val="(%1)"/>
      <w:numFmt w:val="decimal"/>
      <w:start w:val="1"/>
    </w:lvl>
  </w:abstractNum>
  <w:abstractNum w:abstractNumId="150">
    <w:nsid w:val="36B2ACBC"/>
    <w:multiLevelType w:val="hybridMultilevel"/>
    <w:lvl w:ilvl="0">
      <w:lvlJc w:val="left"/>
      <w:lvlText w:val="(%1)"/>
      <w:numFmt w:val="decimal"/>
      <w:start w:val="1"/>
    </w:lvl>
  </w:abstractNum>
  <w:abstractNum w:abstractNumId="151">
    <w:nsid w:val="779D8544"/>
    <w:multiLevelType w:val="hybridMultilevel"/>
    <w:lvl w:ilvl="0">
      <w:lvlJc w:val="left"/>
      <w:lvlText w:val="(%1)"/>
      <w:numFmt w:val="decimal"/>
      <w:start w:val="1"/>
    </w:lvl>
  </w:abstractNum>
  <w:abstractNum w:abstractNumId="152">
    <w:nsid w:val="4AB26E78"/>
    <w:multiLevelType w:val="hybridMultilevel"/>
    <w:lvl w:ilvl="0">
      <w:lvlJc w:val="left"/>
      <w:lvlText w:val="(%1)"/>
      <w:numFmt w:val="decimal"/>
      <w:start w:val="1"/>
    </w:lvl>
  </w:abstractNum>
  <w:abstractNum w:abstractNumId="153">
    <w:nsid w:val="21FAA2FA"/>
    <w:multiLevelType w:val="hybridMultilevel"/>
    <w:lvl w:ilvl="0">
      <w:lvlJc w:val="left"/>
      <w:lvlText w:val="(%1)"/>
      <w:numFmt w:val="decimal"/>
      <w:start w:val="1"/>
    </w:lvl>
  </w:abstractNum>
  <w:abstractNum w:abstractNumId="154">
    <w:nsid w:val="5451CF49"/>
    <w:multiLevelType w:val="hybridMultilevel"/>
    <w:lvl w:ilvl="0">
      <w:lvlJc w:val="left"/>
      <w:lvlText w:val="(%1)"/>
      <w:numFmt w:val="decimal"/>
      <w:start w:val="1"/>
    </w:lvl>
  </w:abstractNum>
  <w:abstractNum w:abstractNumId="155">
    <w:nsid w:val="6181EF69"/>
    <w:multiLevelType w:val="hybridMultilevel"/>
    <w:lvl w:ilvl="0">
      <w:lvlJc w:val="left"/>
      <w:lvlText w:val="(%1)"/>
      <w:numFmt w:val="decimal"/>
      <w:start w:val="1"/>
    </w:lvl>
  </w:abstractNum>
  <w:abstractNum w:abstractNumId="156">
    <w:nsid w:val="3E6400E6"/>
    <w:multiLevelType w:val="hybridMultilevel"/>
    <w:lvl w:ilvl="0">
      <w:lvlJc w:val="left"/>
      <w:lvlText w:val="(%1)"/>
      <w:numFmt w:val="decimal"/>
      <w:start w:val="1"/>
    </w:lvl>
  </w:abstractNum>
  <w:abstractNum w:abstractNumId="157">
    <w:nsid w:val="14217E23"/>
    <w:multiLevelType w:val="hybridMultilevel"/>
    <w:lvl w:ilvl="0">
      <w:lvlJc w:val="left"/>
      <w:lvlText w:val="(%1)"/>
      <w:numFmt w:val="lowerLetter"/>
      <w:start w:val="1"/>
    </w:lvl>
  </w:abstractNum>
  <w:abstractNum w:abstractNumId="158">
    <w:nsid w:val="710757D0"/>
    <w:multiLevelType w:val="hybridMultilevel"/>
    <w:lvl w:ilvl="0">
      <w:lvlJc w:val="left"/>
      <w:lvlText w:val="%1."/>
      <w:numFmt w:val="decimal"/>
      <w:start w:val="1"/>
    </w:lvl>
  </w:abstractNum>
  <w:abstractNum w:abstractNumId="159">
    <w:nsid w:val="5015CD1A"/>
    <w:multiLevelType w:val="hybridMultilevel"/>
    <w:lvl w:ilvl="0">
      <w:lvlJc w:val="left"/>
      <w:lvlText w:val="%1."/>
      <w:numFmt w:val="decimal"/>
      <w:start w:val="2"/>
    </w:lvl>
  </w:abstractNum>
  <w:abstractNum w:abstractNumId="160">
    <w:nsid w:val="424479DA"/>
    <w:multiLevelType w:val="hybridMultilevel"/>
    <w:lvl w:ilvl="0">
      <w:lvlJc w:val="left"/>
      <w:lvlText w:val="•"/>
      <w:numFmt w:val="bullet"/>
      <w:start w:val="1"/>
    </w:lvl>
  </w:abstractNum>
  <w:abstractNum w:abstractNumId="161">
    <w:nsid w:val="1A9A9E69"/>
    <w:multiLevelType w:val="hybridMultilevel"/>
    <w:lvl w:ilvl="0">
      <w:lvlJc w:val="left"/>
      <w:lvlText w:val="•"/>
      <w:numFmt w:val="bullet"/>
      <w:start w:val="1"/>
    </w:lvl>
  </w:abstractNum>
  <w:abstractNum w:abstractNumId="162">
    <w:nsid w:val="475E256A"/>
    <w:multiLevelType w:val="hybridMultilevel"/>
    <w:lvl w:ilvl="0">
      <w:lvlJc w:val="left"/>
      <w:lvlText w:val="•"/>
      <w:numFmt w:val="bullet"/>
      <w:start w:val="1"/>
    </w:lvl>
  </w:abstractNum>
  <w:abstractNum w:abstractNumId="163">
    <w:nsid w:val="368DB37E"/>
    <w:multiLevelType w:val="hybridMultilevel"/>
    <w:lvl w:ilvl="0">
      <w:lvlJc w:val="left"/>
      <w:lvlText w:val="%1."/>
      <w:numFmt w:val="decimal"/>
      <w:start w:val="3"/>
    </w:lvl>
  </w:abstractNum>
  <w:abstractNum w:abstractNumId="164">
    <w:nsid w:val="6A3B714C"/>
    <w:multiLevelType w:val="hybridMultilevel"/>
    <w:lvl w:ilvl="0">
      <w:lvlJc w:val="left"/>
      <w:lvlText w:val="(%1)"/>
      <w:numFmt w:val="lowerRoman"/>
      <w:start w:val="1"/>
    </w:lvl>
  </w:abstractNum>
  <w:abstractNum w:abstractNumId="165">
    <w:nsid w:val="327B517E"/>
    <w:multiLevelType w:val="hybridMultilevel"/>
    <w:lvl w:ilvl="0">
      <w:lvlJc w:val="left"/>
      <w:lvlText w:val="(%1)"/>
      <w:numFmt w:val="decimal"/>
      <w:start w:val="1"/>
    </w:lvl>
  </w:abstractNum>
  <w:abstractNum w:abstractNumId="166">
    <w:nsid w:val="1F461B51"/>
    <w:multiLevelType w:val="hybridMultilevel"/>
    <w:lvl w:ilvl="0">
      <w:lvlJc w:val="left"/>
      <w:lvlText w:val="%1."/>
      <w:numFmt w:val="decimal"/>
      <w:start w:val="5"/>
    </w:lvl>
  </w:abstractNum>
  <w:abstractNum w:abstractNumId="167">
    <w:nsid w:val="29BACF25"/>
    <w:multiLevelType w:val="hybridMultilevel"/>
    <w:lvl w:ilvl="0">
      <w:lvlJc w:val="left"/>
      <w:lvlText w:val="%1."/>
      <w:numFmt w:val="decimal"/>
      <w:start w:val="6"/>
    </w:lvl>
  </w:abstractNum>
  <w:abstractNum w:abstractNumId="168">
    <w:nsid w:val="5D5BABB3"/>
    <w:multiLevelType w:val="hybridMultilevel"/>
    <w:lvl w:ilvl="0">
      <w:lvlJc w:val="left"/>
      <w:lvlText w:val="(%1)"/>
      <w:numFmt w:val="decimal"/>
      <w:start w:val="1"/>
    </w:lvl>
  </w:abstractNum>
  <w:abstractNum w:abstractNumId="169">
    <w:nsid w:val="51BF6B48"/>
    <w:multiLevelType w:val="hybridMultilevel"/>
    <w:lvl w:ilvl="0">
      <w:lvlJc w:val="left"/>
      <w:lvlText w:val="(%1)"/>
      <w:numFmt w:val="decimal"/>
      <w:start w:val="1"/>
    </w:lvl>
  </w:abstractNum>
  <w:abstractNum w:abstractNumId="170">
    <w:nsid w:val="7E0F6384"/>
    <w:multiLevelType w:val="hybridMultilevel"/>
    <w:lvl w:ilvl="0">
      <w:lvlJc w:val="left"/>
      <w:lvlText w:val="%1."/>
      <w:numFmt w:val="decimal"/>
      <w:start w:val="8"/>
    </w:lvl>
  </w:abstractNum>
  <w:abstractNum w:abstractNumId="171">
    <w:nsid w:val="2B4B8B53"/>
    <w:multiLevelType w:val="hybridMultilevel"/>
    <w:lvl w:ilvl="0">
      <w:lvlJc w:val="left"/>
      <w:lvlText w:val="(%1)"/>
      <w:numFmt w:val="decimal"/>
      <w:start w:val="1"/>
    </w:lvl>
  </w:abstractNum>
  <w:abstractNum w:abstractNumId="172">
    <w:nsid w:val="72E3413A"/>
    <w:multiLevelType w:val="hybridMultilevel"/>
    <w:lvl w:ilvl="0">
      <w:lvlJc w:val="left"/>
      <w:lvlText w:val="(%1)"/>
      <w:numFmt w:val="decimal"/>
      <w:start w:val="1"/>
    </w:lvl>
  </w:abstractNum>
  <w:abstractNum w:abstractNumId="173">
    <w:nsid w:val="116AE494"/>
    <w:multiLevelType w:val="hybridMultilevel"/>
    <w:lvl w:ilvl="0">
      <w:lvlJc w:val="left"/>
      <w:lvlText w:val="(%1)"/>
      <w:numFmt w:val="decimal"/>
      <w:start w:val="1"/>
    </w:lvl>
  </w:abstractNum>
  <w:abstractNum w:abstractNumId="174">
    <w:nsid w:val="3494B2FB"/>
    <w:multiLevelType w:val="hybridMultilevel"/>
    <w:lvl w:ilvl="0">
      <w:lvlJc w:val="left"/>
      <w:lvlText w:val="(%1)"/>
      <w:numFmt w:val="decimal"/>
      <w:start w:val="1"/>
    </w:lvl>
  </w:abstractNum>
  <w:abstractNum w:abstractNumId="175">
    <w:nsid w:val="B13A31"/>
    <w:multiLevelType w:val="hybridMultilevel"/>
    <w:lvl w:ilvl="0">
      <w:lvlJc w:val="left"/>
      <w:lvlText w:val="(%1)"/>
      <w:numFmt w:val="decimal"/>
      <w:start w:val="1"/>
    </w:lvl>
  </w:abstractNum>
  <w:abstractNum w:abstractNumId="176">
    <w:nsid w:val="64429599"/>
    <w:multiLevelType w:val="hybridMultilevel"/>
    <w:lvl w:ilvl="0">
      <w:lvlJc w:val="left"/>
      <w:lvlText w:val="%1"/>
      <w:numFmt w:val="upperLetter"/>
      <w:start w:val="53"/>
    </w:lvl>
  </w:abstractNum>
  <w:abstractNum w:abstractNumId="177">
    <w:nsid w:val="631F1690"/>
    <w:multiLevelType w:val="hybridMultilevel"/>
    <w:lvl w:ilvl="0">
      <w:lvlJc w:val="left"/>
      <w:lvlText w:val="%1"/>
      <w:numFmt w:val="upperLetter"/>
      <w:start w:val="27"/>
    </w:lvl>
  </w:abstractNum>
  <w:abstractNum w:abstractNumId="178">
    <w:nsid w:val="25973E32"/>
    <w:multiLevelType w:val="hybridMultilevel"/>
    <w:lvl w:ilvl="0">
      <w:lvlJc w:val="left"/>
      <w:lvlText w:val="%1"/>
      <w:numFmt w:val="upperLetter"/>
      <w:start w:val="54"/>
    </w:lvl>
  </w:abstractNum>
  <w:abstractNum w:abstractNumId="179">
    <w:nsid w:val="EAD6F57"/>
    <w:multiLevelType w:val="hybridMultilevel"/>
    <w:lvl w:ilvl="0">
      <w:lvlJc w:val="left"/>
      <w:lvlText w:val="%1"/>
      <w:numFmt w:val="upperLetter"/>
      <w:start w:val="28"/>
    </w:lvl>
  </w:abstractNum>
  <w:abstractNum w:abstractNumId="180">
    <w:nsid w:val="6EC9D844"/>
    <w:multiLevelType w:val="hybridMultilevel"/>
    <w:lvl w:ilvl="0">
      <w:lvlJc w:val="left"/>
      <w:lvlText w:val="%1"/>
      <w:numFmt w:val="upperLetter"/>
      <w:start w:val="55"/>
    </w:lvl>
  </w:abstractNum>
  <w:abstractNum w:abstractNumId="181">
    <w:nsid w:val="5C49EAEE"/>
    <w:multiLevelType w:val="hybridMultilevel"/>
    <w:lvl w:ilvl="0">
      <w:lvlJc w:val="left"/>
      <w:lvlText w:val="%1"/>
      <w:numFmt w:val="upperLetter"/>
      <w:start w:val="29"/>
    </w:lvl>
  </w:abstractNum>
  <w:abstractNum w:abstractNumId="182">
    <w:nsid w:val="64AF49B"/>
    <w:multiLevelType w:val="hybridMultilevel"/>
    <w:lvl w:ilvl="0">
      <w:lvlJc w:val="left"/>
      <w:lvlText w:val="%1"/>
      <w:numFmt w:val="upperLetter"/>
      <w:start w:val="53"/>
    </w:lvl>
  </w:abstractNum>
  <w:abstractNum w:abstractNumId="183">
    <w:nsid w:val="397C46BC"/>
    <w:multiLevelType w:val="hybridMultilevel"/>
    <w:lvl w:ilvl="0">
      <w:lvlJc w:val="left"/>
      <w:lvlText w:val="%1"/>
      <w:numFmt w:val="upperLetter"/>
      <w:start w:val="27"/>
    </w:lvl>
  </w:abstractNum>
  <w:abstractNum w:abstractNumId="184">
    <w:nsid w:val="7E448DE9"/>
    <w:multiLevelType w:val="hybridMultilevel"/>
    <w:lvl w:ilvl="0">
      <w:lvlJc w:val="left"/>
      <w:lvlText w:val="%1"/>
      <w:numFmt w:val="upperLetter"/>
      <w:start w:val="54"/>
    </w:lvl>
  </w:abstractNum>
  <w:abstractNum w:abstractNumId="185">
    <w:nsid w:val="5A9CC3E5"/>
    <w:multiLevelType w:val="hybridMultilevel"/>
    <w:lvl w:ilvl="0">
      <w:lvlJc w:val="left"/>
      <w:lvlText w:val="%1"/>
      <w:numFmt w:val="upperLetter"/>
      <w:start w:val="28"/>
    </w:lvl>
  </w:abstractNum>
  <w:abstractNum w:abstractNumId="186">
    <w:nsid w:val="1AFE3625"/>
    <w:multiLevelType w:val="hybridMultilevel"/>
    <w:lvl w:ilvl="0">
      <w:lvlJc w:val="left"/>
      <w:lvlText w:val="%1"/>
      <w:numFmt w:val="upperLetter"/>
      <w:start w:val="55"/>
    </w:lvl>
  </w:abstractNum>
  <w:abstractNum w:abstractNumId="187">
    <w:nsid w:val="3CA88ECF"/>
    <w:multiLevelType w:val="hybridMultilevel"/>
    <w:lvl w:ilvl="0">
      <w:lvlJc w:val="left"/>
      <w:lvlText w:val="%1"/>
      <w:numFmt w:val="upperLetter"/>
      <w:start w:val="29"/>
    </w:lvl>
  </w:abstractNum>
  <w:abstractNum w:abstractNumId="188">
    <w:nsid w:val="6EBE4208"/>
    <w:multiLevelType w:val="hybridMultilevel"/>
    <w:lvl w:ilvl="0">
      <w:lvlJc w:val="left"/>
      <w:lvlText w:val="(%1)"/>
      <w:numFmt w:val="decimal"/>
      <w:start w:val="2"/>
    </w:lvl>
  </w:abstractNum>
  <w:abstractNum w:abstractNumId="189">
    <w:nsid w:val="C058DF5"/>
    <w:multiLevelType w:val="hybridMultilevel"/>
    <w:lvl w:ilvl="0">
      <w:lvlJc w:val="left"/>
      <w:lvlText w:val="(%1)"/>
      <w:numFmt w:val="lowerLetter"/>
      <w:start w:val="1"/>
    </w:lvl>
  </w:abstractNum>
  <w:abstractNum w:abstractNumId="190">
    <w:nsid w:val="CBE5BE9"/>
    <w:multiLevelType w:val="hybridMultilevel"/>
    <w:lvl w:ilvl="0">
      <w:lvlJc w:val="left"/>
      <w:lvlText w:val="(%1)"/>
      <w:numFmt w:val="lowerLetter"/>
      <w:start w:val="5"/>
    </w:lvl>
  </w:abstractNum>
  <w:abstractNum w:abstractNumId="191">
    <w:nsid w:val="3102BBE2"/>
    <w:multiLevelType w:val="hybridMultilevel"/>
    <w:lvl w:ilvl="0">
      <w:lvlJc w:val="left"/>
      <w:lvlText w:val="(%1)"/>
      <w:numFmt w:val="lowerRoman"/>
      <w:start w:val="1"/>
    </w:lvl>
  </w:abstractNum>
  <w:abstractNum w:abstractNumId="192">
    <w:nsid w:val="26A02C5E"/>
    <w:multiLevelType w:val="hybridMultilevel"/>
    <w:lvl w:ilvl="0">
      <w:lvlJc w:val="left"/>
      <w:lvlText w:val="(%1)"/>
      <w:numFmt w:val="lowerLetter"/>
      <w:start w:val="12"/>
    </w:lvl>
  </w:abstractNum>
  <w:abstractNum w:abstractNumId="193">
    <w:nsid w:val="541C8153"/>
    <w:multiLevelType w:val="hybridMultilevel"/>
    <w:lvl w:ilvl="0">
      <w:lvlJc w:val="left"/>
      <w:lvlText w:val="(%1)"/>
      <w:numFmt w:val="lowerLetter"/>
      <w:start w:val="15"/>
    </w:lvl>
  </w:abstractNum>
  <w:abstractNum w:abstractNumId="194">
    <w:nsid w:val="67906F60"/>
    <w:multiLevelType w:val="hybridMultilevel"/>
    <w:lvl w:ilvl="0">
      <w:lvlJc w:val="left"/>
      <w:lvlText w:val="(%1)"/>
      <w:numFmt w:val="decimal"/>
      <w:start w:val="1"/>
    </w:lvl>
  </w:abstractNum>
  <w:abstractNum w:abstractNumId="195">
    <w:nsid w:val="10DB9DAA"/>
    <w:multiLevelType w:val="hybridMultilevel"/>
    <w:lvl w:ilvl="0">
      <w:lvlJc w:val="left"/>
      <w:lvlText w:val="(%1)"/>
      <w:numFmt w:val="decimal"/>
      <w:start w:val="1"/>
    </w:lvl>
  </w:abstractNum>
  <w:abstractNum w:abstractNumId="196">
    <w:nsid w:val="697D2D2"/>
    <w:multiLevelType w:val="hybridMultilevel"/>
    <w:lvl w:ilvl="0">
      <w:lvlJc w:val="left"/>
      <w:lvlText w:val="(%1)"/>
      <w:numFmt w:val="decimal"/>
      <w:start w:val="1"/>
    </w:lvl>
  </w:abstractNum>
  <w:abstractNum w:abstractNumId="197">
    <w:nsid w:val="6D68A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2019-12-08T00:21:32Z</dcterms:created>
  <dcterms:modified xsi:type="dcterms:W3CDTF">2019-12-08T00:21:32Z</dcterms:modified>
</cp:coreProperties>
</file>