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Waxman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SIXTH STREET SPECIALTY LENDING,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MCKINNEY AVENUE,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Sixth Street Specialty Lending, Inc.</w:t>
              </w:r>
            </w:hyperlink>
            <w:r>
              <w:rPr/>
              <w:t xml:space="preserve"> [ </w:t>
            </w:r>
            <w:r>
              <w:rPr>
                <w:rFonts w:ascii="Times;serif" w:hAnsi="Times;serif"/>
                <w:color w:val="0000FF"/>
                <w:sz w:val="24"/>
                <w:shd w:fill="FFFFFF" w:val="clear"/>
              </w:rPr>
              <w:t>TSLX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786"/>
        <w:gridCol w:w="1244"/>
        <w:gridCol w:w="964"/>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18.46</w:t>
            </w:r>
            <w:r>
              <w:rPr>
                <w:rFonts w:ascii="Times;serif" w:hAnsi="Times;serif"/>
                <w:color w:val="008000"/>
                <w:position w:val="7"/>
                <w:sz w:val="16"/>
                <w:sz w:val="20"/>
                <w:shd w:fill="FFFFFF" w:val="clear"/>
              </w:rPr>
              <w:t>(1)</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18.42</w:t>
            </w:r>
            <w:r>
              <w:rPr>
                <w:rFonts w:ascii="Times;serif" w:hAnsi="Times;serif"/>
                <w:color w:val="008000"/>
                <w:position w:val="7"/>
                <w:sz w:val="16"/>
                <w:sz w:val="20"/>
                <w:shd w:fill="FFFFFF" w:val="clear"/>
              </w:rPr>
              <w:t>(2)</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2,714,266</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common stock, par value $0.01 per share (the "Shares") were purchased in multiple transactions at prices ranging from $18.38 to $18.525, inclusive. Mr. Waxman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$18.28 to $18.635, inclusive.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previously reported his indirect pecuniary interest in 140,447.01 Shares. Shares are held directly by Sixth Street Specialty Lending Advisers, LLC ("Adviser"). Adviser is managed by Sixth Street Specialty Lending Advisers Holdings, LLC, the sole member of Adviser. Sixth Street Specialty Lending Advisers Holdings, LLC is managed by TSSP Holdco Management, LLC, which is managed by a board of directors, which is currently comprised of Reporting Person. Reporting Person is the CEO of TSSP Holdco Management,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Reporting Person disclaims beneficial ownership of these Shares, except to the extent of his pecuniary interest therein, and, pursuant to Rule 16a-1(a)(4) under the Securities Exchange Act of 1934, Reporting Person states that the inclusion of these securities in this report shall not be deemed an admission of beneficial ownership of all of the reported securities for purposes of Section 16 or for any other purpose. (A) Anton Brett is signing on behalf of Mr. Waxman pursuant to a Power of Attorney dated March 2, 2026, which is attached hereto as an exhibit. Exhibit List: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Anton Brett, attorney-in fact (A)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slx-ex24.htm"/>
      <w:bookmarkStart w:id="3" w:name="kstslxex24"/>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24</w:t>
      </w:r>
    </w:p>
    <w:p>
      <w:pPr>
        <w:pStyle w:val="TextBody"/>
        <w:bidi w:val="0"/>
        <w:jc w:val="center"/>
        <w:rPr>
          <w:rFonts w:ascii="Times New Roman" w:hAnsi="Times New Roman"/>
          <w:b/>
          <w:color w:val="000000"/>
          <w:sz w:val="20"/>
        </w:rPr>
      </w:pPr>
      <w:r>
        <w:rPr>
          <w:rFonts w:ascii="Times New Roman" w:hAnsi="Times New Roman"/>
          <w:b/>
          <w:color w:val="000000"/>
          <w:sz w:val="20"/>
        </w:rPr>
        <w:t>LIMITED POWER OF ATTORNEY FOR</w:t>
      </w:r>
    </w:p>
    <w:p>
      <w:pPr>
        <w:pStyle w:val="TextBody"/>
        <w:bidi w:val="0"/>
        <w:jc w:val="center"/>
        <w:rPr>
          <w:rFonts w:ascii="Times New Roman" w:hAnsi="Times New Roman"/>
          <w:b/>
          <w:color w:val="000000"/>
          <w:sz w:val="20"/>
        </w:rPr>
      </w:pPr>
      <w:r>
        <w:rPr>
          <w:rFonts w:ascii="Times New Roman" w:hAnsi="Times New Roman"/>
          <w:b/>
          <w:color w:val="000000"/>
          <w:sz w:val="20"/>
        </w:rPr>
        <w:t>SECTION 16 REPORTING OBLIGATIONS</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Know all by these presents, that the undersigned hereby makes, constitutes and appoints each of David Stiepleman, Jennifer Gordon, Ian Simmonds, Anton Brett, and Joshua Peck or any of them acting singly, and with full power of substitution and re-substitution, the undersigned’s true and lawful attorney</w:t>
        <w:noBreakHyphen/>
        <w:t>in</w:t>
        <w:noBreakHyphen/>
        <w:t>fact (each of such persons and their substitutes being referred to herein as the “Attorney-in-Fact”), with full power to act for the undersigned and in the undersigned’s name, place and stead, in any and all capacities, to:</w:t>
      </w:r>
    </w:p>
    <w:p>
      <w:pPr>
        <w:pStyle w:val="TextBody"/>
        <w:bidi w:val="0"/>
        <w:jc w:val="both"/>
        <w:rPr>
          <w:rFonts w:ascii="Times New Roman" w:hAnsi="Times New Roman"/>
          <w:color w:val="000000"/>
          <w:sz w:val="20"/>
        </w:rPr>
      </w:pPr>
      <w:r>
        <w:rPr>
          <w:rFonts w:ascii="Times New Roman" w:hAnsi="Times New Roman"/>
          <w:color w:val="000000"/>
          <w:sz w:val="20"/>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pStyle w:val="TextBody"/>
        <w:bidi w:val="0"/>
        <w:jc w:val="both"/>
        <w:rPr>
          <w:rFonts w:ascii="Times New Roman" w:hAnsi="Times New Roman"/>
          <w:color w:val="000000"/>
          <w:sz w:val="20"/>
        </w:rPr>
      </w:pPr>
      <w:r>
        <w:rPr>
          <w:rFonts w:ascii="Times New Roman" w:hAnsi="Times New Roman"/>
          <w:color w:val="000000"/>
          <w:sz w:val="20"/>
        </w:rPr>
        <w:t xml:space="preserve">2. 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w:t>
      </w:r>
    </w:p>
    <w:p>
      <w:pPr>
        <w:pStyle w:val="TextBody"/>
        <w:bidi w:val="0"/>
        <w:jc w:val="both"/>
        <w:rPr>
          <w:rFonts w:ascii="Times New Roman" w:hAnsi="Times New Roman"/>
          <w:color w:val="000000"/>
          <w:sz w:val="20"/>
        </w:rPr>
      </w:pPr>
      <w:r>
        <w:rPr>
          <w:rFonts w:ascii="Times New Roman" w:hAnsi="Times New Roman"/>
          <w:color w:val="000000"/>
          <w:sz w:val="20"/>
        </w:rPr>
        <w:t>3. 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pStyle w:val="TextBody"/>
        <w:bidi w:val="0"/>
        <w:jc w:val="both"/>
        <w:rPr>
          <w:rFonts w:ascii="Times New Roman" w:hAnsi="Times New Roman"/>
          <w:color w:val="000000"/>
          <w:sz w:val="20"/>
        </w:rPr>
      </w:pPr>
      <w:r>
        <w:rPr>
          <w:rFonts w:ascii="Times New Roman" w:hAnsi="Times New Roman"/>
          <w:color w:val="000000"/>
          <w:sz w:val="20"/>
        </w:rPr>
        <w:t>4.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rFonts w:ascii="Times New Roman" w:hAnsi="Times New Roman"/>
          <w:color w:val="000000"/>
          <w:sz w:val="20"/>
        </w:rPr>
      </w:pPr>
      <w:r>
        <w:rPr>
          <w:rFonts w:ascii="Times New Roman" w:hAnsi="Times New Roman"/>
          <w:color w:val="000000"/>
          <w:sz w:val="20"/>
        </w:rPr>
        <w:t>1. This Power of Attorney authorizes, but does not require, the Attorney-in-Fact to act in his or her discretion on information provided to such Attorney-in-Fact without independent verification of such information;</w:t>
      </w:r>
    </w:p>
    <w:p>
      <w:pPr>
        <w:pStyle w:val="TextBody"/>
        <w:bidi w:val="0"/>
        <w:jc w:val="both"/>
        <w:rPr>
          <w:rFonts w:ascii="Times New Roman" w:hAnsi="Times New Roman"/>
          <w:color w:val="000000"/>
          <w:sz w:val="20"/>
        </w:rPr>
      </w:pPr>
      <w:r>
        <w:rPr>
          <w:rFonts w:ascii="Times New Roman" w:hAnsi="Times New Roman"/>
          <w:color w:val="000000"/>
          <w:sz w:val="20"/>
        </w:rPr>
        <w:t>2.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jc w:val="both"/>
        <w:rPr>
          <w:rFonts w:ascii="Times New Roman" w:hAnsi="Times New Roman"/>
          <w:color w:val="000000"/>
          <w:sz w:val="20"/>
        </w:rPr>
      </w:pPr>
      <w:r>
        <w:rPr>
          <w:rFonts w:ascii="Times New Roman" w:hAnsi="Times New Roman"/>
          <w:color w:val="000000"/>
          <w:sz w:val="20"/>
        </w:rPr>
        <w:t>3.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jc w:val="both"/>
        <w:rPr>
          <w:rFonts w:ascii="Times New Roman" w:hAnsi="Times New Roman"/>
          <w:color w:val="000000"/>
          <w:sz w:val="20"/>
        </w:rPr>
      </w:pPr>
      <w:r>
        <w:rPr>
          <w:rFonts w:ascii="Times New Roman" w:hAnsi="Times New Roman"/>
          <w:color w:val="000000"/>
          <w:sz w:val="20"/>
        </w:rPr>
        <w:t>4.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WITNESS WHEREOF, the undersigned has executed this Power of Attorney as of March 2, 2026. </w:t>
      </w:r>
    </w:p>
    <w:p>
      <w:pPr>
        <w:pStyle w:val="TextBody"/>
        <w:bidi w:val="0"/>
        <w:spacing w:before="240" w:after="283"/>
        <w:jc w:val="both"/>
        <w:rPr/>
      </w:pPr>
      <w:r>
        <w:rPr/>
        <w:t> </w:t>
      </w:r>
    </w:p>
    <w:tbl>
      <w:tblPr>
        <w:tblW w:w="2000" w:type="dxa"/>
        <w:jc w:val="left"/>
        <w:tblInd w:w="0" w:type="dxa"/>
        <w:tblLayout w:type="fixed"/>
        <w:tblCellMar>
          <w:top w:w="28" w:type="dxa"/>
          <w:left w:w="28" w:type="dxa"/>
          <w:bottom w:w="28" w:type="dxa"/>
          <w:right w:w="28" w:type="dxa"/>
        </w:tblCellMar>
      </w:tblPr>
      <w:tblGrid>
        <w:gridCol w:w="124"/>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Alan Waxman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Alan Waxman</w:t>
            </w:r>
          </w:p>
        </w:tc>
      </w:tr>
    </w:tbl>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5132" TargetMode="External"/><Relationship Id="rId5" Type="http://schemas.openxmlformats.org/officeDocument/2006/relationships/hyperlink" Target="http://www.sec.gov/cgi-bin/browse-edgar?action=getcompany&amp;CIK=0001508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1735</Words>
  <Characters>9241</Characters>
  <CharactersWithSpaces>10893</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