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00" w:type="dxa"/>
            <w:vAlign w:val="bottom"/>
          </w:tcPr>
          <w:p>
            <w:pPr>
              <w:jc w:val="center"/>
              <w:ind w:right="2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10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left="4" w:right="160"/>
        <w:spacing w:after="0" w:line="276" w:lineRule="auto"/>
        <w:rPr>
          <w:sz w:val="20"/>
          <w:szCs w:val="20"/>
          <w:color w:val="auto"/>
        </w:rPr>
      </w:pPr>
      <w:r>
        <w:rPr>
          <w:rFonts w:ascii="Times New Roman" w:cs="Times New Roman" w:eastAsia="Times New Roman" w:hAnsi="Times New Roman"/>
          <w:sz w:val="17"/>
          <w:szCs w:val="17"/>
          <w:color w:val="auto"/>
        </w:rPr>
        <w:t>On April 25, 2022, Sixth Street Specialty Lending, Inc. (the “Company”) entered into a twelfth amendment to the Company’s second amended and restated senior secured revolving credit facility, dated February 27, 2014 (as amended, the “Revolving Credit Facility”), which, among other changes,</w:t>
      </w:r>
    </w:p>
    <w:p>
      <w:pPr>
        <w:spacing w:after="0" w:line="1" w:lineRule="exact"/>
        <w:rPr>
          <w:sz w:val="20"/>
          <w:szCs w:val="20"/>
          <w:color w:val="auto"/>
        </w:rPr>
      </w:pPr>
    </w:p>
    <w:p>
      <w:pPr>
        <w:ind w:left="4"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aggregate commitments under the Revolving Credit Facility from $1.510 billion to $1.585 billion, (b) extends the termination of the revolving period on $1.510 billion of commitments to April 24, 2026 and the stated maturity date to April 23, 2027, (c) removes the minimum borrower net worth and liquidity test financial covenants and (d) updates and modifies terms and provisions of the Revolving Credit Facility to reflect alternative reference rates based on term Secured Overnight Financing Rate for loans denominated in U.S. dollars.</w:t>
      </w:r>
    </w:p>
    <w:p>
      <w:pPr>
        <w:spacing w:after="0" w:line="189" w:lineRule="exact"/>
        <w:rPr>
          <w:sz w:val="20"/>
          <w:szCs w:val="20"/>
          <w:color w:val="auto"/>
        </w:rPr>
      </w:pPr>
    </w:p>
    <w:p>
      <w:pPr>
        <w:ind w:left="4" w:right="740"/>
        <w:spacing w:after="0" w:line="282" w:lineRule="auto"/>
        <w:rPr>
          <w:sz w:val="20"/>
          <w:szCs w:val="20"/>
          <w:color w:val="auto"/>
        </w:rPr>
      </w:pPr>
      <w:r>
        <w:rPr>
          <w:rFonts w:ascii="Times New Roman" w:cs="Times New Roman" w:eastAsia="Times New Roman" w:hAnsi="Times New Roman"/>
          <w:sz w:val="18"/>
          <w:szCs w:val="18"/>
          <w:color w:val="auto"/>
        </w:rPr>
        <w:t>The foregoing description is only a summary of certain of the provisions of the Revolving Credit Facility and is qualified in its entirety by the underlying agreement, which will be filed as an exhibit to the Company’s next Quarterly Report on Form 10-Q.</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ectPr>
          <w:pgSz w:w="11900" w:h="16838" w:orient="portrait"/>
          <w:cols w:equalWidth="0" w:num="1">
            <w:col w:w="10944"/>
          </w:cols>
          <w:pgMar w:left="436" w:top="266" w:right="51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2022-04-29T19:58:29Z</dcterms:created>
  <dcterms:modified xsi:type="dcterms:W3CDTF">2022-04-29T19:58:29Z</dcterms:modified>
</cp:coreProperties>
</file>