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12, 2015,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Questions Payment to Failed Leadership in Letter to TICC Capital Corp. Stockholders</w:t>
      </w:r>
    </w:p>
    <w:p>
      <w:pPr>
        <w:spacing w:after="0" w:line="229" w:lineRule="exact"/>
        <w:rPr>
          <w:sz w:val="20"/>
          <w:szCs w:val="20"/>
          <w:color w:val="auto"/>
        </w:rPr>
      </w:pPr>
    </w:p>
    <w:p>
      <w:pPr>
        <w:ind w:right="360"/>
        <w:spacing w:after="0" w:line="501" w:lineRule="auto"/>
        <w:rPr>
          <w:sz w:val="20"/>
          <w:szCs w:val="20"/>
          <w:color w:val="auto"/>
        </w:rPr>
      </w:pPr>
      <w:r>
        <w:rPr>
          <w:rFonts w:ascii="Arial" w:cs="Arial" w:eastAsia="Arial" w:hAnsi="Arial"/>
          <w:sz w:val="18"/>
          <w:szCs w:val="18"/>
          <w:b w:val="1"/>
          <w:bCs w:val="1"/>
          <w:i w:val="1"/>
          <w:iCs w:val="1"/>
          <w:color w:val="auto"/>
        </w:rPr>
        <w:t>TSLX Urges TICC Stockholders to Vote Against All Proposals on the GOLD Card at Upcoming Special Meeting of Stockholders on October 27, 2015 TICC’s Failed Leadership has Delivered Negative Returns and an Unsustainable Dividend</w:t>
      </w:r>
    </w:p>
    <w:p>
      <w:pPr>
        <w:ind w:right="280"/>
        <w:spacing w:after="0" w:line="501" w:lineRule="auto"/>
        <w:rPr>
          <w:sz w:val="20"/>
          <w:szCs w:val="20"/>
          <w:color w:val="auto"/>
        </w:rPr>
      </w:pPr>
      <w:r>
        <w:rPr>
          <w:rFonts w:ascii="Arial" w:cs="Arial" w:eastAsia="Arial" w:hAnsi="Arial"/>
          <w:sz w:val="18"/>
          <w:szCs w:val="18"/>
          <w:b w:val="1"/>
          <w:bCs w:val="1"/>
          <w:i w:val="1"/>
          <w:iCs w:val="1"/>
          <w:color w:val="auto"/>
        </w:rPr>
        <w:t>TSLX is the Best Opportunity for Stockholders and Would Provide Stockholders an Upfront, Immediate Premium to the Market Value of Their Shares Voting GOLD Will Allow Stockholders to Potentially Realize the Value of the TSLX Offer</w:t>
      </w:r>
    </w:p>
    <w:p>
      <w:pPr>
        <w:ind w:right="100"/>
        <w:spacing w:after="0" w:line="259" w:lineRule="auto"/>
        <w:rPr>
          <w:sz w:val="20"/>
          <w:szCs w:val="20"/>
          <w:color w:val="auto"/>
        </w:rPr>
      </w:pPr>
      <w:r>
        <w:rPr>
          <w:rFonts w:ascii="Arial" w:cs="Arial" w:eastAsia="Arial" w:hAnsi="Arial"/>
          <w:sz w:val="18"/>
          <w:szCs w:val="18"/>
          <w:color w:val="auto"/>
        </w:rPr>
        <w:t>NEW YORK—(</w:t>
      </w:r>
      <w:r>
        <w:rPr>
          <w:rFonts w:ascii="Arial" w:cs="Arial" w:eastAsia="Arial" w:hAnsi="Arial"/>
          <w:sz w:val="18"/>
          <w:szCs w:val="18"/>
          <w:u w:val="single" w:color="auto"/>
          <w:color w:val="auto"/>
        </w:rPr>
        <w:t>BUSINESS WIRE</w:t>
      </w:r>
      <w:r>
        <w:rPr>
          <w:rFonts w:ascii="Arial" w:cs="Arial" w:eastAsia="Arial" w:hAnsi="Arial"/>
          <w:sz w:val="18"/>
          <w:szCs w:val="18"/>
          <w:color w:val="auto"/>
        </w:rPr>
        <w:t>)—TPG Specialty Lending, Inc. (“TSLX”; NYSE:TSLX), a specialty finance company focused on lending to middle-market companies, today sent a letter to all stockholders of TICC Capital Corp. (“TICC”; Nasdaq: TICC) encouraging them to vote the GOLD proxy card AGAINST management’s proposals at the upcoming special meeting of stockholders on October 27, 2015 to show TICC’s board of directors that they prefer TSLX’s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TICC Stockholder,</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 xml:space="preserve">Over the next two weeks you will be faced with an important financial decision: either reward a manager that has delivered 12 years of abysmal performance and has underperformed U.S. Treasuries, or choose to </w:t>
      </w:r>
      <w:r>
        <w:rPr>
          <w:rFonts w:ascii="Arial" w:cs="Arial" w:eastAsia="Arial" w:hAnsi="Arial"/>
          <w:sz w:val="16"/>
          <w:szCs w:val="16"/>
          <w:b w:val="1"/>
          <w:bCs w:val="1"/>
          <w:u w:val="single" w:color="auto"/>
          <w:color w:val="auto"/>
        </w:rPr>
        <w:t>STOP</w:t>
      </w:r>
      <w:r>
        <w:rPr>
          <w:rFonts w:ascii="Arial" w:cs="Arial" w:eastAsia="Arial" w:hAnsi="Arial"/>
          <w:sz w:val="16"/>
          <w:szCs w:val="16"/>
          <w:color w:val="auto"/>
        </w:rPr>
        <w:t xml:space="preserve"> </w:t>
      </w:r>
      <w:r>
        <w:rPr>
          <w:rFonts w:ascii="Arial" w:cs="Arial" w:eastAsia="Arial" w:hAnsi="Arial"/>
          <w:sz w:val="16"/>
          <w:szCs w:val="16"/>
          <w:u w:val="single" w:color="auto"/>
          <w:color w:val="auto"/>
        </w:rPr>
        <w:t>a conflicted transaction and give stockholders the opportunity to realize real value.</w:t>
      </w:r>
    </w:p>
    <w:p>
      <w:pPr>
        <w:spacing w:after="0" w:line="22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DON’T PAY TICC FOR ITS FAILURES – VOTE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TODAY! – VISIT </w:t>
      </w:r>
      <w:r>
        <w:rPr>
          <w:rFonts w:ascii="Arial" w:cs="Arial" w:eastAsia="Arial" w:hAnsi="Arial"/>
          <w:sz w:val="18"/>
          <w:szCs w:val="18"/>
          <w:b w:val="1"/>
          <w:bCs w:val="1"/>
          <w:u w:val="single" w:color="auto"/>
          <w:color w:val="auto"/>
        </w:rPr>
        <w:t>WWW.CHANGETICCNOW.COM</w:t>
      </w:r>
      <w:r>
        <w:rPr>
          <w:rFonts w:ascii="Arial" w:cs="Arial" w:eastAsia="Arial" w:hAnsi="Arial"/>
          <w:sz w:val="18"/>
          <w:szCs w:val="18"/>
          <w:b w:val="1"/>
          <w:bCs w:val="1"/>
          <w:color w:val="auto"/>
        </w:rPr>
        <w:t xml:space="preserve"> TO LEARN HOW TO VOTE</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facts are undeniable: in the hands of TICC Capital Corp.’s (“TICC”) manager and its current board of directors, your investment has underperformed EVERY SIGNIFICANT MEASURE – one- and three-year stock price performance, net asset value and performance compared to the BDC Composite</w:t>
      </w:r>
      <w:r>
        <w:rPr>
          <w:rFonts w:ascii="Arial" w:cs="Arial" w:eastAsia="Arial" w:hAnsi="Arial"/>
          <w:sz w:val="15"/>
          <w:szCs w:val="15"/>
          <w:color w:val="auto"/>
        </w:rPr>
        <w:t>1</w:t>
      </w:r>
      <w:r>
        <w:rPr>
          <w:rFonts w:ascii="Arial" w:cs="Arial" w:eastAsia="Arial" w:hAnsi="Arial"/>
          <w:sz w:val="18"/>
          <w:szCs w:val="18"/>
          <w:color w:val="auto"/>
        </w:rPr>
        <w:t xml:space="preserve">– over the past 12 years. For this complete lack of performance, </w:t>
      </w:r>
      <w:r>
        <w:rPr>
          <w:rFonts w:ascii="Arial" w:cs="Arial" w:eastAsia="Arial" w:hAnsi="Arial"/>
          <w:sz w:val="18"/>
          <w:szCs w:val="18"/>
          <w:u w:val="single" w:color="auto"/>
          <w:color w:val="auto"/>
        </w:rPr>
        <w:t>you have already paid $127 million in fees to TICC’s manager over the past 12 years.</w:t>
      </w:r>
      <w:r>
        <w:rPr>
          <w:rFonts w:ascii="Arial" w:cs="Arial" w:eastAsia="Arial" w:hAnsi="Arial"/>
          <w:sz w:val="15"/>
          <w:szCs w:val="15"/>
          <w:color w:val="auto"/>
        </w:rPr>
        <w:t>2</w:t>
      </w:r>
      <w:r>
        <w:rPr>
          <w:rFonts w:ascii="Arial" w:cs="Arial" w:eastAsia="Arial" w:hAnsi="Arial"/>
          <w:sz w:val="18"/>
          <w:szCs w:val="18"/>
          <w:color w:val="auto"/>
        </w:rPr>
        <w:t xml:space="preserve"> Now TICC’s board of directors proposes to award this manager an estimated $60 million more. Why should it be PAID an estimated $60 million to be replaced when they deserve to be replaced at NO COST? TICC has not even disclosed specific details of how the external manager will be paid, leaving stockholders to only wonder if it is higher.</w:t>
      </w:r>
    </w:p>
    <w:p>
      <w:pPr>
        <w:spacing w:after="0" w:line="19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TICC’s planned transaction with Benefit Street Partners (“BSP”) has led to FIVE independent analysts who cover TICC and THREE TICC stockholders to express concerns with the BSP transaction.</w:t>
      </w:r>
      <w:r>
        <w:rPr>
          <w:rFonts w:ascii="Arial" w:cs="Arial" w:eastAsia="Arial" w:hAnsi="Arial"/>
          <w:sz w:val="13"/>
          <w:szCs w:val="13"/>
          <w:color w:val="auto"/>
        </w:rPr>
        <w:t>3</w:t>
      </w:r>
      <w:r>
        <w:rPr>
          <w:rFonts w:ascii="Arial" w:cs="Arial" w:eastAsia="Arial" w:hAnsi="Arial"/>
          <w:sz w:val="16"/>
          <w:szCs w:val="16"/>
          <w:color w:val="auto"/>
        </w:rPr>
        <w:t xml:space="preserve"> Join the chorus of independent voices and vote to STOP the BSP transaction today on the GOLD proxy card!</w:t>
      </w:r>
    </w:p>
    <w:p>
      <w:pPr>
        <w:spacing w:after="0" w:line="228"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TSLX IS OFFERING STOCKHOLDERS AN UPFRONT PREMIUM AND THE UPSIDE POTENTIAL OF A PROVEN, SUCCESSFUL PLATFORM</w:t>
      </w:r>
    </w:p>
    <w:p>
      <w:pPr>
        <w:spacing w:after="0" w:line="5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 xml:space="preserve">TPG Specialty Lending, Inc. (“TSLX”) has presented an opportunity for TICC stockholders. Our offer would deliver to stockholders an </w:t>
      </w:r>
      <w:r>
        <w:rPr>
          <w:rFonts w:ascii="Arial" w:cs="Arial" w:eastAsia="Arial" w:hAnsi="Arial"/>
          <w:sz w:val="18"/>
          <w:szCs w:val="18"/>
          <w:u w:val="single" w:color="auto"/>
          <w:color w:val="auto"/>
        </w:rPr>
        <w:t>upfront, immediate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premium</w:t>
      </w:r>
      <w:r>
        <w:rPr>
          <w:rFonts w:ascii="Arial" w:cs="Arial" w:eastAsia="Arial" w:hAnsi="Arial"/>
          <w:sz w:val="18"/>
          <w:szCs w:val="18"/>
          <w:color w:val="auto"/>
        </w:rPr>
        <w:t xml:space="preserve"> to the market value of your investment. Our offer would also give you the opportunity to enjoy the value creation potential of an industry-leading platform.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Consider what holding TICC shares versus TSLX shares would mean for your investment in terms of absolute total returns.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Over the past three years an investment in TSLX has delivered 51.6% total returns. </w:t>
      </w:r>
      <w:r>
        <w:rPr>
          <w:rFonts w:ascii="Arial" w:cs="Arial" w:eastAsia="Arial" w:hAnsi="Arial"/>
          <w:sz w:val="18"/>
          <w:szCs w:val="18"/>
          <w:u w:val="single" w:color="auto"/>
          <w:color w:val="auto"/>
        </w:rPr>
        <w:t>Your investment in TICC has realized NEGATIVE 13.9% total returns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over the same period.</w:t>
      </w:r>
      <w:r>
        <w:rPr>
          <w:rFonts w:ascii="Arial" w:cs="Arial" w:eastAsia="Arial" w:hAnsi="Arial"/>
          <w:sz w:val="15"/>
          <w:szCs w:val="15"/>
          <w:color w:val="auto"/>
        </w:rPr>
        <w:t>4</w:t>
      </w:r>
      <w:r>
        <w:rPr>
          <w:rFonts w:ascii="Arial" w:cs="Arial" w:eastAsia="Arial" w:hAnsi="Arial"/>
          <w:sz w:val="18"/>
          <w:szCs w:val="18"/>
          <w:color w:val="auto"/>
        </w:rPr>
        <w:t xml:space="preserve"> A one year investment in TSLX has delivered 12% total returns while the same investment in TICC has realized NEGATIVE 21.8% total returns.</w:t>
      </w:r>
      <w:r>
        <w:rPr>
          <w:rFonts w:ascii="Arial" w:cs="Arial" w:eastAsia="Arial" w:hAnsi="Arial"/>
          <w:sz w:val="15"/>
          <w:szCs w:val="15"/>
          <w:color w:val="auto"/>
        </w:rPr>
        <w:t>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YOUR INVESTMENT IS LOSING VALUE!</w:t>
      </w:r>
    </w:p>
    <w:p>
      <w:pPr>
        <w:spacing w:after="0" w:line="181"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In the words of Mr. Charles Royce, the chairman of TICC, “investors should look for a manager who seeks reasonable returns and uses an approach that stresses absolute, not relative, performance goals.”</w:t>
      </w:r>
      <w:r>
        <w:rPr>
          <w:rFonts w:ascii="Arial" w:cs="Arial" w:eastAsia="Arial" w:hAnsi="Arial"/>
          <w:sz w:val="13"/>
          <w:szCs w:val="13"/>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Only an examination of total returns truly matters for stockholders.</w:t>
      </w:r>
      <w:r>
        <w:rPr>
          <w:rFonts w:ascii="Arial" w:cs="Arial" w:eastAsia="Arial" w:hAnsi="Arial"/>
          <w:sz w:val="16"/>
          <w:szCs w:val="16"/>
          <w:color w:val="auto"/>
        </w:rPr>
        <w:t xml:space="preserve"> The facts are clear. Under</w:t>
      </w:r>
    </w:p>
    <w:p>
      <w:pPr>
        <w:ind w:right="20"/>
        <w:spacing w:after="0" w:line="261" w:lineRule="auto"/>
        <w:rPr>
          <w:sz w:val="20"/>
          <w:szCs w:val="20"/>
          <w:color w:val="auto"/>
        </w:rPr>
      </w:pPr>
      <w:r>
        <w:rPr>
          <w:rFonts w:ascii="Arial" w:cs="Arial" w:eastAsia="Arial" w:hAnsi="Arial"/>
          <w:sz w:val="18"/>
          <w:szCs w:val="18"/>
          <w:color w:val="auto"/>
        </w:rPr>
        <w:t>Mr. Royce’s leadership, TICC provided stockholders with NEGATIVE TOTAL RETURNS over the past one and three year periods. It is time to END TICC’s failed leadership.</w:t>
      </w:r>
    </w:p>
    <w:p>
      <w:pPr>
        <w:sectPr>
          <w:pgSz w:w="11900" w:h="16838" w:orient="portrait"/>
          <w:cols w:equalWidth="0" w:num="1">
            <w:col w:w="11420"/>
          </w:cols>
          <w:pgMar w:left="240" w:top="274" w:right="239" w:bottom="1440" w:gutter="0" w:footer="0" w:header="0"/>
        </w:sectPr>
      </w:pPr>
    </w:p>
    <w:bookmarkStart w:id="3" w:name="page4"/>
    <w:bookmarkEnd w:id="3"/>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TICC’S FAILED MANAGEMENT HAS PUT YOUR DIVIDEND IN JEOPARDY – TICC CANNOT AFFORD TO CONTINUE PAYING ITS DIVIDEND, DESPITE THEIR MISLEADING CLAIMS</w:t>
      </w:r>
    </w:p>
    <w:p>
      <w:pPr>
        <w:spacing w:after="0" w:line="58"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 xml:space="preserve">Recently, TICC has attempted to scare you about the dividend being cut through our offer. </w:t>
      </w:r>
      <w:r>
        <w:rPr>
          <w:rFonts w:ascii="Arial" w:cs="Arial" w:eastAsia="Arial" w:hAnsi="Arial"/>
          <w:sz w:val="16"/>
          <w:szCs w:val="16"/>
          <w:u w:val="single" w:color="auto"/>
          <w:color w:val="auto"/>
        </w:rPr>
        <w:t>Once again, TICC’s consistent mismanagement has created a</w:t>
      </w:r>
      <w:r>
        <w:rPr>
          <w:rFonts w:ascii="Arial" w:cs="Arial" w:eastAsia="Arial" w:hAnsi="Arial"/>
          <w:sz w:val="16"/>
          <w:szCs w:val="16"/>
          <w:color w:val="auto"/>
        </w:rPr>
        <w:t xml:space="preserve"> </w:t>
      </w:r>
      <w:r>
        <w:rPr>
          <w:rFonts w:ascii="Arial" w:cs="Arial" w:eastAsia="Arial" w:hAnsi="Arial"/>
          <w:sz w:val="16"/>
          <w:szCs w:val="16"/>
          <w:u w:val="single" w:color="auto"/>
          <w:color w:val="auto"/>
        </w:rPr>
        <w:t>negative result for stockholders.</w:t>
      </w:r>
      <w:r>
        <w:rPr>
          <w:rFonts w:ascii="Arial" w:cs="Arial" w:eastAsia="Arial" w:hAnsi="Arial"/>
          <w:sz w:val="16"/>
          <w:szCs w:val="16"/>
          <w:color w:val="auto"/>
        </w:rPr>
        <w:t xml:space="preserve"> An independent Forbes columnist recently stated in a column about TICC - “One thing is clear; investors lured by the promise of high yields should tread carefully. It turns out some companies are reaching into investors’ own pockets to make fat dividend payments.” </w:t>
      </w:r>
      <w:r>
        <w:rPr>
          <w:rFonts w:ascii="Arial" w:cs="Arial" w:eastAsia="Arial" w:hAnsi="Arial"/>
          <w:sz w:val="13"/>
          <w:szCs w:val="13"/>
          <w:color w:val="auto"/>
        </w:rPr>
        <w:t>7</w:t>
      </w:r>
    </w:p>
    <w:p>
      <w:pPr>
        <w:spacing w:after="0" w:line="143"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color w:val="auto"/>
        </w:rPr>
        <w:t xml:space="preserve">FIVE INDEPENDENT ANALYSTS SAY THE TICC DIVIDEND WILL BE CUT NO MATTER WHAT. </w:t>
      </w:r>
      <w:r>
        <w:rPr>
          <w:rFonts w:ascii="Arial" w:cs="Arial" w:eastAsia="Arial" w:hAnsi="Arial"/>
          <w:sz w:val="18"/>
          <w:szCs w:val="18"/>
          <w:color w:val="auto"/>
        </w:rPr>
        <w:t>This is because TICC’s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FAILED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MANAGEMENT</w:t>
      </w:r>
      <w:r>
        <w:rPr>
          <w:rFonts w:ascii="Arial" w:cs="Arial" w:eastAsia="Arial" w:hAnsi="Arial"/>
          <w:sz w:val="18"/>
          <w:szCs w:val="18"/>
          <w:color w:val="auto"/>
        </w:rPr>
        <w:t xml:space="preserve"> has created an unsustainable dividend that “reaches into investors’ own pockets.”</w:t>
      </w:r>
    </w:p>
    <w:p>
      <w:pPr>
        <w:spacing w:after="0" w:line="166"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 xml:space="preserve">This is not the case with TSLX. Unlike TICC, no independent analyst believes our dividend will be cut. In fact, based on our stated strategy to manage TICC assets, </w:t>
      </w:r>
      <w:r>
        <w:rPr>
          <w:rFonts w:ascii="Arial" w:cs="Arial" w:eastAsia="Arial" w:hAnsi="Arial"/>
          <w:sz w:val="16"/>
          <w:szCs w:val="16"/>
          <w:u w:val="single" w:color="auto"/>
          <w:color w:val="auto"/>
        </w:rPr>
        <w:t>we feel there is an opportunity to grow the dividend over time.</w:t>
      </w:r>
      <w:r>
        <w:rPr>
          <w:rFonts w:ascii="Arial" w:cs="Arial" w:eastAsia="Arial" w:hAnsi="Arial"/>
          <w:sz w:val="16"/>
          <w:szCs w:val="16"/>
          <w:color w:val="auto"/>
        </w:rPr>
        <w:t xml:space="preserve"> The TSLX dividend is always paid from investment returns, not out of investor capital.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BUYBACKS ARE A KEY PART OF OUR STRATEGY AND LONGTIME PROVEN INVESTORS FIRST FOCUS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TICC and BSP have belatedly promised to implement a share buyback program. From the day TSLX made its offer to TICC, we have committed to a share buyback program for stockholders based on our stated strategy for TICC’s assets. We believe in the value this creates for stockholders DESPITE the reduction in fees it creates for the external manager. </w:t>
      </w:r>
      <w:r>
        <w:rPr>
          <w:rFonts w:ascii="Arial" w:cs="Arial" w:eastAsia="Arial" w:hAnsi="Arial"/>
          <w:sz w:val="17"/>
          <w:szCs w:val="17"/>
          <w:u w:val="single" w:color="auto"/>
          <w:color w:val="auto"/>
        </w:rPr>
        <w:t>This is why we maintain a constant share buyback program in place.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 TICC SPECIAL COMMITTEE TRULY INDEPENDENT?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Stockholders must ask why TICC’s board of directors is rejecting our offer.</w:t>
      </w:r>
    </w:p>
    <w:p>
      <w:pPr>
        <w:spacing w:after="0" w:line="225" w:lineRule="exact"/>
        <w:rPr>
          <w:sz w:val="20"/>
          <w:szCs w:val="20"/>
          <w:color w:val="auto"/>
        </w:rPr>
      </w:pPr>
    </w:p>
    <w:p>
      <w:pPr>
        <w:ind w:right="18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members of the board of directors of TICC, including Mr. Royce, stand to personally share in the estimated $60 million being paid to the external adviser by BSP.</w:t>
      </w:r>
      <w:r>
        <w:rPr>
          <w:rFonts w:ascii="Arial" w:cs="Arial" w:eastAsia="Arial" w:hAnsi="Arial"/>
          <w:sz w:val="15"/>
          <w:szCs w:val="15"/>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exact payment has never been disclosed, so stockholders are left to wonder if it is higher.</w:t>
      </w:r>
    </w:p>
    <w:p>
      <w:pPr>
        <w:spacing w:after="0" w:line="170" w:lineRule="exact"/>
        <w:rPr>
          <w:rFonts w:ascii="Arial" w:cs="Arial" w:eastAsia="Arial" w:hAnsi="Arial"/>
          <w:sz w:val="18"/>
          <w:szCs w:val="18"/>
          <w:color w:val="auto"/>
        </w:rPr>
      </w:pPr>
    </w:p>
    <w:p>
      <w:pPr>
        <w:ind w:right="24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of directors of TICC formed a special committee consisting of three “independent” directors who TICC insists do not stand to personally gain from the BSP transaction.</w:t>
      </w:r>
    </w:p>
    <w:p>
      <w:pPr>
        <w:spacing w:after="0" w:line="170"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However, an independent analyst recently noted that one member of this three person special committee is paid $279,000 per year by other businesses related to Mr. Royce.</w:t>
      </w:r>
      <w:r>
        <w:rPr>
          <w:rFonts w:ascii="Arial" w:cs="Arial" w:eastAsia="Arial" w:hAnsi="Arial"/>
          <w:sz w:val="13"/>
          <w:szCs w:val="13"/>
          <w:color w:val="auto"/>
        </w:rPr>
        <w:t>9</w:t>
      </w:r>
      <w:r>
        <w:rPr>
          <w:rFonts w:ascii="Arial" w:cs="Arial" w:eastAsia="Arial" w:hAnsi="Arial"/>
          <w:sz w:val="16"/>
          <w:szCs w:val="16"/>
          <w:color w:val="auto"/>
        </w:rPr>
        <w:t xml:space="preserve"> </w:t>
      </w:r>
      <w:r>
        <w:rPr>
          <w:rFonts w:ascii="Arial" w:cs="Arial" w:eastAsia="Arial" w:hAnsi="Arial"/>
          <w:sz w:val="16"/>
          <w:szCs w:val="16"/>
          <w:u w:val="single" w:color="auto"/>
          <w:color w:val="auto"/>
        </w:rPr>
        <w:t>If someone was responsible for your being paid $279,000 a year, would it affect how you think about that person’s huge payday?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 TICC ACCOUNTABLE FOR YEARS OF POOR PERFORMANCE AND VALUE DESTRUCTION</w:t>
      </w:r>
    </w:p>
    <w:p>
      <w:pPr>
        <w:spacing w:after="0" w:line="1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The TICC board of directors and the special committee members should be determining how to maximize value to YOU, the stockholder and true owner of TICC. Instead, they are supporting an offer by BSP to pay the existing manager of TICC an estimated $60 million. Who deserves that money? </w:t>
      </w:r>
      <w:r>
        <w:rPr>
          <w:rFonts w:ascii="Arial" w:cs="Arial" w:eastAsia="Arial" w:hAnsi="Arial"/>
          <w:sz w:val="18"/>
          <w:szCs w:val="18"/>
          <w:u w:val="single" w:color="auto"/>
          <w:color w:val="auto"/>
        </w:rPr>
        <w:t>We think it is</w:t>
      </w:r>
      <w:r>
        <w:rPr>
          <w:rFonts w:ascii="Arial" w:cs="Arial" w:eastAsia="Arial" w:hAnsi="Arial"/>
          <w:sz w:val="18"/>
          <w:szCs w:val="18"/>
          <w:color w:val="auto"/>
        </w:rPr>
        <w:t xml:space="preserve"> </w:t>
      </w:r>
      <w:r>
        <w:rPr>
          <w:rFonts w:ascii="Arial" w:cs="Arial" w:eastAsia="Arial" w:hAnsi="Arial"/>
          <w:sz w:val="18"/>
          <w:szCs w:val="18"/>
          <w:u w:val="single" w:color="auto"/>
          <w:color w:val="auto"/>
        </w:rPr>
        <w:t>TICC’s stockholders, NOT the manager who created the poor performance.</w:t>
      </w:r>
      <w:r>
        <w:rPr>
          <w:rFonts w:ascii="Arial" w:cs="Arial" w:eastAsia="Arial" w:hAnsi="Arial"/>
          <w:sz w:val="18"/>
          <w:szCs w:val="18"/>
          <w:color w:val="auto"/>
        </w:rPr>
        <w:t xml:space="preserve"> TSLX stands ready to deliver an upfront premium to TICC stockholders, NOT to the underperforming manager.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TICC IS ATTEMPTING TO MISCHARACTERIZE OUR INTENTIONS – DON’T BE FOOLED BY TICC’S MISLEADING STATEMENTS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In recent weeks, TICC has also made an effort to distract stockholders over management fees. Keeping in mind, despite 12 years of terrible performance by nearly every measure, </w:t>
      </w:r>
      <w:r>
        <w:rPr>
          <w:rFonts w:ascii="Arial" w:cs="Arial" w:eastAsia="Arial" w:hAnsi="Arial"/>
          <w:sz w:val="17"/>
          <w:szCs w:val="17"/>
          <w:u w:val="single" w:color="auto"/>
          <w:color w:val="auto"/>
        </w:rPr>
        <w:t>TICC’s Board has approved the payment of $127 million in fees to TICC’s underperforming manager</w:t>
      </w:r>
      <w:r>
        <w:rPr>
          <w:rFonts w:ascii="Arial" w:cs="Arial" w:eastAsia="Arial" w:hAnsi="Arial"/>
          <w:sz w:val="17"/>
          <w:szCs w:val="17"/>
          <w:color w:val="auto"/>
        </w:rPr>
        <w:t>.</w:t>
      </w:r>
      <w:r>
        <w:rPr>
          <w:rFonts w:ascii="Arial" w:cs="Arial" w:eastAsia="Arial" w:hAnsi="Arial"/>
          <w:sz w:val="14"/>
          <w:szCs w:val="14"/>
          <w:color w:val="auto"/>
        </w:rPr>
        <w:t>10</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We have shown time and again that TSLX is a stockholder-first company. We have demonstrated this consistently over time, through our share buyback program and otherwise. </w:t>
      </w:r>
      <w:r>
        <w:rPr>
          <w:rFonts w:ascii="Arial" w:cs="Arial" w:eastAsia="Arial" w:hAnsi="Arial"/>
          <w:sz w:val="18"/>
          <w:szCs w:val="18"/>
          <w:u w:val="single" w:color="auto"/>
          <w:color w:val="auto"/>
        </w:rPr>
        <w:t>Stockholders should ask how TICC’s board is putting its stockholders first.</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Consider </w:t>
      </w:r>
      <w:r>
        <w:rPr>
          <w:rFonts w:ascii="Arial" w:cs="Arial" w:eastAsia="Arial" w:hAnsi="Arial"/>
          <w:sz w:val="18"/>
          <w:szCs w:val="18"/>
          <w:b w:val="1"/>
          <w:bCs w:val="1"/>
          <w:color w:val="auto"/>
        </w:rPr>
        <w:t>ALL</w:t>
      </w:r>
      <w:r>
        <w:rPr>
          <w:rFonts w:ascii="Arial" w:cs="Arial" w:eastAsia="Arial" w:hAnsi="Arial"/>
          <w:sz w:val="18"/>
          <w:szCs w:val="18"/>
          <w:color w:val="auto"/>
        </w:rPr>
        <w:t xml:space="preserve"> the facts when it comes to external manager fees.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480" w:type="dxa"/>
            <w:vAlign w:val="bottom"/>
          </w:tcPr>
          <w:p>
            <w:pPr>
              <w:spacing w:after="0"/>
              <w:rPr>
                <w:sz w:val="20"/>
                <w:szCs w:val="20"/>
                <w:color w:val="auto"/>
              </w:rPr>
            </w:pPr>
            <w:r>
              <w:rPr>
                <w:rFonts w:ascii="Arial" w:cs="Arial" w:eastAsia="Arial" w:hAnsi="Arial"/>
                <w:sz w:val="14"/>
                <w:szCs w:val="14"/>
                <w:b w:val="1"/>
                <w:bCs w:val="1"/>
                <w:color w:val="auto"/>
              </w:rPr>
              <w:t>Management Fees</w:t>
            </w:r>
          </w:p>
        </w:tc>
        <w:tc>
          <w:tcPr>
            <w:tcW w:w="3420" w:type="dxa"/>
            <w:vAlign w:val="bottom"/>
          </w:tcPr>
          <w:p>
            <w:pPr>
              <w:ind w:left="820"/>
              <w:spacing w:after="0"/>
              <w:rPr>
                <w:sz w:val="20"/>
                <w:szCs w:val="20"/>
                <w:color w:val="auto"/>
              </w:rPr>
            </w:pPr>
            <w:r>
              <w:rPr>
                <w:rFonts w:ascii="Arial" w:cs="Arial" w:eastAsia="Arial" w:hAnsi="Arial"/>
                <w:sz w:val="14"/>
                <w:szCs w:val="14"/>
                <w:b w:val="1"/>
                <w:bCs w:val="1"/>
                <w:color w:val="auto"/>
              </w:rPr>
              <w:t>BSP</w:t>
            </w:r>
          </w:p>
        </w:tc>
        <w:tc>
          <w:tcPr>
            <w:tcW w:w="2780" w:type="dxa"/>
            <w:vAlign w:val="bottom"/>
          </w:tcPr>
          <w:p>
            <w:pPr>
              <w:ind w:left="260"/>
              <w:spacing w:after="0"/>
              <w:rPr>
                <w:sz w:val="20"/>
                <w:szCs w:val="20"/>
                <w:color w:val="auto"/>
              </w:rPr>
            </w:pPr>
            <w:r>
              <w:rPr>
                <w:rFonts w:ascii="Arial" w:cs="Arial" w:eastAsia="Arial" w:hAnsi="Arial"/>
                <w:sz w:val="14"/>
                <w:szCs w:val="14"/>
                <w:b w:val="1"/>
                <w:bCs w:val="1"/>
                <w:color w:val="auto"/>
              </w:rPr>
              <w:t>TSLX</w:t>
            </w: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Management Fee</w:t>
            </w:r>
          </w:p>
        </w:tc>
        <w:tc>
          <w:tcPr>
            <w:tcW w:w="3420" w:type="dxa"/>
            <w:vAlign w:val="bottom"/>
            <w:shd w:val="clear" w:color="auto" w:fill="CCEEFF"/>
          </w:tcPr>
          <w:p>
            <w:pPr>
              <w:ind w:left="820"/>
              <w:spacing w:after="0" w:line="201" w:lineRule="exact"/>
              <w:rPr>
                <w:sz w:val="20"/>
                <w:szCs w:val="20"/>
                <w:color w:val="auto"/>
              </w:rPr>
            </w:pPr>
            <w:r>
              <w:rPr>
                <w:rFonts w:ascii="Arial" w:cs="Arial" w:eastAsia="Arial" w:hAnsi="Arial"/>
                <w:sz w:val="18"/>
                <w:szCs w:val="18"/>
                <w:color w:val="auto"/>
                <w:w w:val="97"/>
              </w:rPr>
              <w:t>Reduced under pressure to 1.5%</w:t>
            </w:r>
          </w:p>
        </w:tc>
        <w:tc>
          <w:tcPr>
            <w:tcW w:w="27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Constant 1.5%</w:t>
            </w:r>
          </w:p>
        </w:tc>
      </w:tr>
      <w:tr>
        <w:trPr>
          <w:trHeight w:val="230"/>
        </w:trPr>
        <w:tc>
          <w:tcPr>
            <w:tcW w:w="2480" w:type="dxa"/>
            <w:vAlign w:val="bottom"/>
            <w:shd w:val="clear" w:color="auto" w:fill="CCEEFF"/>
          </w:tcPr>
          <w:p>
            <w:pPr>
              <w:spacing w:after="0"/>
              <w:rPr>
                <w:sz w:val="20"/>
                <w:szCs w:val="20"/>
                <w:color w:val="auto"/>
              </w:rPr>
            </w:pPr>
          </w:p>
        </w:tc>
        <w:tc>
          <w:tcPr>
            <w:tcW w:w="34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from 2% originally</w:t>
            </w:r>
          </w:p>
        </w:tc>
        <w:tc>
          <w:tcPr>
            <w:tcW w:w="2780" w:type="dxa"/>
            <w:vAlign w:val="bottom"/>
            <w:shd w:val="clear" w:color="auto" w:fill="CCEEFF"/>
          </w:tcPr>
          <w:p>
            <w:pPr>
              <w:spacing w:after="0"/>
              <w:rPr>
                <w:sz w:val="20"/>
                <w:szCs w:val="20"/>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Incentive Fee</w:t>
            </w:r>
          </w:p>
        </w:tc>
        <w:tc>
          <w:tcPr>
            <w:tcW w:w="3420" w:type="dxa"/>
            <w:vAlign w:val="bottom"/>
          </w:tcPr>
          <w:p>
            <w:pPr>
              <w:ind w:left="820"/>
              <w:spacing w:after="0"/>
              <w:rPr>
                <w:sz w:val="20"/>
                <w:szCs w:val="20"/>
                <w:color w:val="auto"/>
              </w:rPr>
            </w:pPr>
            <w:r>
              <w:rPr>
                <w:rFonts w:ascii="Arial" w:cs="Arial" w:eastAsia="Arial" w:hAnsi="Arial"/>
                <w:sz w:val="18"/>
                <w:szCs w:val="18"/>
                <w:color w:val="auto"/>
              </w:rPr>
              <w:t>20% (no catch up)</w:t>
            </w:r>
          </w:p>
        </w:tc>
        <w:tc>
          <w:tcPr>
            <w:tcW w:w="2780" w:type="dxa"/>
            <w:vAlign w:val="bottom"/>
          </w:tcPr>
          <w:p>
            <w:pPr>
              <w:ind w:left="260"/>
              <w:spacing w:after="0"/>
              <w:rPr>
                <w:sz w:val="20"/>
                <w:szCs w:val="20"/>
                <w:color w:val="auto"/>
              </w:rPr>
            </w:pPr>
            <w:r>
              <w:rPr>
                <w:rFonts w:ascii="Arial" w:cs="Arial" w:eastAsia="Arial" w:hAnsi="Arial"/>
                <w:sz w:val="18"/>
                <w:szCs w:val="18"/>
                <w:color w:val="auto"/>
              </w:rPr>
              <w:t>17.5% (catch up)</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Hurdle Rate</w:t>
            </w:r>
          </w:p>
        </w:tc>
        <w:tc>
          <w:tcPr>
            <w:tcW w:w="34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6.65%</w:t>
            </w:r>
          </w:p>
        </w:tc>
        <w:tc>
          <w:tcPr>
            <w:tcW w:w="2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Data from Wells Fargo Securities, LLC report dated October 8, 2015</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Stockholders should keep in mind the words of Mr. Royce, who said “you cannot eat from the table of relative performance…managers should communicate openly, willingly discussing their failures as well as successes with their investors.”</w:t>
      </w:r>
      <w:r>
        <w:rPr>
          <w:rFonts w:ascii="Arial" w:cs="Arial" w:eastAsia="Arial" w:hAnsi="Arial"/>
          <w:sz w:val="15"/>
          <w:szCs w:val="15"/>
          <w:color w:val="auto"/>
        </w:rPr>
        <w:t>11</w:t>
      </w:r>
      <w:r>
        <w:rPr>
          <w:rFonts w:ascii="Arial" w:cs="Arial" w:eastAsia="Arial" w:hAnsi="Arial"/>
          <w:sz w:val="18"/>
          <w:szCs w:val="18"/>
          <w:color w:val="auto"/>
        </w:rPr>
        <w:t xml:space="preserve"> TICC’s past 12 years have been a failure for stockholders yet it has refused to disclose how much Mr. Royce and his partners will be paid for this failure. VOTE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today and tell TICC’s manager you are done with its failure. </w:t>
      </w:r>
      <w:r>
        <w:rPr>
          <w:rFonts w:ascii="Arial" w:cs="Arial" w:eastAsia="Arial" w:hAnsi="Arial"/>
          <w:sz w:val="18"/>
          <w:szCs w:val="18"/>
          <w:b w:val="1"/>
          <w:bCs w:val="1"/>
          <w:color w:val="auto"/>
        </w:rPr>
        <w:t>The time for change is now!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xml:space="preserve"> for more information about TSLX’s offer and the deficiencies of the BSP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choice is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About TPG Specialty Lending</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 Such forward-looking statements are inherently uncertain, and stockholders and other potential investors must recognize that actual results may differ materially from</w:t>
      </w:r>
    </w:p>
    <w:p>
      <w:pPr>
        <w:sectPr>
          <w:pgSz w:w="11900" w:h="16838" w:orient="portrait"/>
          <w:cols w:equalWidth="0" w:num="1">
            <w:col w:w="11400"/>
          </w:cols>
          <w:pgMar w:left="240" w:top="270" w:right="25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 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 In addition to these factors, other factors that may affect TSLX’s plans, results or stock price are set forth in TSLX’s Annual Report on Form 10-K and in its reports on Forms 10-Q and 8-K. 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Third Party-Sourced Statements and Information</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Proxy Solicitation Information</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w:t>
      </w:r>
    </w:p>
    <w:p>
      <w:pPr>
        <w:spacing w:after="0" w:line="2" w:lineRule="exact"/>
        <w:rPr>
          <w:sz w:val="20"/>
          <w:szCs w:val="20"/>
          <w:color w:val="auto"/>
        </w:rPr>
      </w:pPr>
    </w:p>
    <w:p>
      <w:pPr>
        <w:ind w:right="44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six directors nominated by TICC’s board of directors, and (c) the proposal to adjourn the meeting if necessary or appropriate to solicit additional votes.</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TSLX STRONGLY ADVISES ALL STOCKHOLDERS OF TICC TO READ THE TSLX PROXY STATEMENT AND ITS OTHER PROXY MATERIALS AS THEY BECOME AVAILABLE BECAUSE THEY CONTAIN IMPORTANT INFORMATION. SUCH TSLX PROXY MATERIALS ARE AND WILL BECOME AVAILABLE AT NO CHARGE ON THE SEC’S WEB SITE AT</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w:t>
      </w:r>
    </w:p>
    <w:p>
      <w:pPr>
        <w:ind w:right="44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w:t>
      </w:r>
    </w:p>
    <w:p>
      <w:pPr>
        <w:sectPr>
          <w:pgSz w:w="11900" w:h="16838" w:orient="portrait"/>
          <w:cols w:equalWidth="0" w:num="1">
            <w:col w:w="11420"/>
          </w:cols>
          <w:pgMar w:left="240" w:top="274" w:right="239" w:bottom="1440" w:gutter="0" w:footer="0" w:header="0"/>
        </w:sectPr>
      </w:pPr>
    </w:p>
    <w:bookmarkStart w:id="6" w:name="page7"/>
    <w:bookmarkEnd w:id="6"/>
    <w:p>
      <w:pPr>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0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7"/>
          <w:szCs w:val="17"/>
          <w:color w:val="auto"/>
        </w:rPr>
        <w:t>BDC composite index comprised of ACAS, AINV, ARCC, FSC, GBDC, HTGC, MAIN, MCC, NMFC, PNNT, PSEC, SLRC, TCAP, TCRD and</w:t>
      </w:r>
    </w:p>
    <w:p>
      <w:pPr>
        <w:spacing w:after="0" w:line="3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BKCC</w:t>
      </w:r>
    </w:p>
    <w:p>
      <w:pPr>
        <w:spacing w:after="0" w:line="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Market data as of September 15, 2015; Source: Bloomberg, fixed income benchmark data from Markit iBoxx</w:t>
      </w:r>
    </w:p>
    <w:p>
      <w:pPr>
        <w:spacing w:after="0" w:line="9" w:lineRule="exact"/>
        <w:rPr>
          <w:sz w:val="20"/>
          <w:szCs w:val="20"/>
          <w:color w:val="auto"/>
        </w:rPr>
      </w:pPr>
    </w:p>
    <w:p>
      <w:pPr>
        <w:ind w:left="460" w:hanging="452"/>
        <w:spacing w:after="0" w:line="282"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ANALYSTS: TICC Reiterates Rejection Of TSLX’s offer, Wells Fargo, September 22, 2015 and TICC: Writes Letter To Shareholders Urging Them To Vote For BSP, Wells Fargo, September 24, 2015; Board Making a Poor Deal? Should Shareholders Reject the Current Proposal?, Keefe, Bruyette &amp; Woods, September 16, 2015; Brouhaha with TICC Could Spread to Other Out-of-Favor BDCs, Cantor Fitzgerald, September 16, 2015; TICC Capital Corp.: Takeover Heats Up – Maintain Neutral, Ladenburg Thalmann, September 16, 2015; BDC Update: Observations from the TICC rejection of the TSLX proposal, Gilford Securities Inc., September 21, 2015; INVESTORS: Muzinich &amp; Co., Inc. Requests that TICC Board Postpone Special Meeting</w:t>
      </w:r>
    </w:p>
    <w:p>
      <w:pPr>
        <w:spacing w:after="0" w:line="1"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of Stockholders and Engage Independent Advisors to Run Comprehensive Evaluation, uzinich &amp; Co., Inc. (September 25, 2015); Raging Capital Calls Upon TICC to Postpone Special Meeting of Stockholders, Raging Capital Management, LLC. (September 21, 2015); “M&amp;A Daily: Dell-EMC Deal Imminent”, Seeking Alpha, October 8, 2015</w:t>
      </w: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Market data as of September 15, 2015; Source: Bloomberg, fixed income benchmark data from Markit iBoxx</w:t>
      </w:r>
    </w:p>
    <w:p>
      <w:pPr>
        <w:spacing w:after="0" w:line="9" w:lineRule="exact"/>
        <w:rPr>
          <w:sz w:val="20"/>
          <w:szCs w:val="20"/>
          <w:color w:val="auto"/>
        </w:rPr>
      </w:pPr>
    </w:p>
    <w:p>
      <w:pPr>
        <w:ind w:left="460" w:right="380" w:hanging="452"/>
        <w:spacing w:after="0" w:line="250"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TSLX 3-year total return based off of 30-Jun-2012 NAV per share, 15-Sep-2015 closing stock price, and cumulative dividends declared during the period</w:t>
      </w:r>
    </w:p>
    <w:p>
      <w:pPr>
        <w:spacing w:after="0" w:line="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 xml:space="preserve">Quote attributed to Charles Royce at Royce &amp; Associates, LLC website at </w:t>
      </w:r>
      <w:r>
        <w:rPr>
          <w:rFonts w:ascii="Arial" w:cs="Arial" w:eastAsia="Arial" w:hAnsi="Arial"/>
          <w:sz w:val="18"/>
          <w:szCs w:val="18"/>
          <w:u w:val="single" w:color="auto"/>
          <w:color w:val="auto"/>
        </w:rPr>
        <w:t>http://www.roycefunds.com</w:t>
      </w:r>
    </w:p>
    <w:p>
      <w:pPr>
        <w:spacing w:after="0" w:line="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“Fat Dividend Yield Becomes Spotlight In BDC Battle Between TPG And TICC Capital”, Forbes, October 2, 2015</w:t>
      </w:r>
    </w:p>
    <w:p>
      <w:pPr>
        <w:spacing w:after="0" w:line="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The 9/18 Friday Bocks’d Lunch, Wells Fargo, September 17, 2015</w:t>
      </w:r>
    </w:p>
    <w:p>
      <w:pPr>
        <w:spacing w:after="0" w:line="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Company Reports and Equity Research: TICC Capital Corp., Wells Fargo Securities, LLC, October 7, 2015</w:t>
      </w:r>
    </w:p>
    <w:p>
      <w:pPr>
        <w:spacing w:after="0" w:line="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Market data as of September 15, 2015; Source: Bloomberg; Bloomberg, fixed income benchmark data from Markit iBoxx</w:t>
      </w:r>
    </w:p>
    <w:p>
      <w:pPr>
        <w:spacing w:after="0" w:line="10"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 xml:space="preserve">Quote attributed to Charles Royce at Royce &amp; Associates, LLC website at </w:t>
      </w:r>
      <w:r>
        <w:rPr>
          <w:rFonts w:ascii="Arial" w:cs="Arial" w:eastAsia="Arial" w:hAnsi="Arial"/>
          <w:sz w:val="18"/>
          <w:szCs w:val="18"/>
          <w:u w:val="single" w:color="auto"/>
          <w:color w:val="auto"/>
        </w:rPr>
        <w:t>http://www.roycefunds.com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ckoons@mackenziepartners.com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lvl w:ilvl="1">
      <w:lvlJc w:val="left"/>
      <w:lvlText w:val="(%2)"/>
      <w:numFmt w:val="decimal"/>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lowerLetter"/>
      <w:start w:val="2"/>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5"/>
      <w:numFmt w:val="bullet"/>
      <w:start w:val="1"/>
    </w:lvl>
  </w:abstractNum>
  <w:abstractNum w:abstractNumId="13">
    <w:nsid w:val="6B68079A"/>
    <w:multiLevelType w:val="hybridMultilevel"/>
    <w:lvl w:ilvl="0">
      <w:lvlJc w:val="left"/>
      <w:lvlText w:val="6"/>
      <w:numFmt w:val="bullet"/>
      <w:start w:val="1"/>
    </w:lvl>
  </w:abstractNum>
  <w:abstractNum w:abstractNumId="14">
    <w:nsid w:val="4E6AFB66"/>
    <w:multiLevelType w:val="hybridMultilevel"/>
    <w:lvl w:ilvl="0">
      <w:lvlJc w:val="left"/>
      <w:lvlText w:val="7"/>
      <w:numFmt w:val="bullet"/>
      <w:start w:val="1"/>
    </w:lvl>
  </w:abstractNum>
  <w:abstractNum w:abstractNumId="15">
    <w:nsid w:val="25E45D32"/>
    <w:multiLevelType w:val="hybridMultilevel"/>
    <w:lvl w:ilvl="0">
      <w:lvlJc w:val="left"/>
      <w:lvlText w:val="8"/>
      <w:numFmt w:val="bullet"/>
      <w:start w:val="1"/>
    </w:lvl>
  </w:abstractNum>
  <w:abstractNum w:abstractNumId="16">
    <w:nsid w:val="519B500D"/>
    <w:multiLevelType w:val="hybridMultilevel"/>
    <w:lvl w:ilvl="0">
      <w:lvlJc w:val="left"/>
      <w:lvlText w:val="9"/>
      <w:numFmt w:val="bullet"/>
      <w:start w:val="1"/>
    </w:lvl>
  </w:abstractNum>
  <w:abstractNum w:abstractNumId="17">
    <w:nsid w:val="431BD7B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2019-12-20T21:12:47Z</dcterms:created>
  <dcterms:modified xsi:type="dcterms:W3CDTF">2019-12-20T21:12:47Z</dcterms:modified>
</cp:coreProperties>
</file>