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333-203450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5715</wp:posOffset>
            </wp:positionV>
            <wp:extent cx="1672590"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259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TPG Specialty Lending, Inc.</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Dated: March 2, 2016</w:t>
      </w:r>
    </w:p>
    <w:p>
      <w:pPr>
        <w:spacing w:after="0" w:line="225"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i w:val="1"/>
          <w:iCs w:val="1"/>
          <w:color w:val="auto"/>
        </w:rPr>
        <w:t>The following offering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Offering Notification – TPG Specialty Lending, Inc.</w:t>
      </w:r>
    </w:p>
    <w:p>
      <w:pPr>
        <w:sectPr>
          <w:pgSz w:w="11900" w:h="16838" w:orient="portrait"/>
          <w:cols w:equalWidth="0" w:num="1">
            <w:col w:w="11420"/>
          </w:cols>
          <w:pgMar w:left="240" w:top="229" w:right="239" w:bottom="1440" w:gutter="0" w:footer="0" w:header="0"/>
        </w:sectPr>
      </w:pP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“Company”)</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129"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Primary Offering of Common Stock</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Pricing: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3, 2016 (pre-open)</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ind w:right="640"/>
        <w:spacing w:after="0" w:line="277" w:lineRule="auto"/>
        <w:rPr>
          <w:sz w:val="20"/>
          <w:szCs w:val="20"/>
          <w:color w:val="auto"/>
        </w:rPr>
      </w:pPr>
      <w:r>
        <w:rPr>
          <w:rFonts w:ascii="Arial" w:cs="Arial" w:eastAsia="Arial" w:hAnsi="Arial"/>
          <w:sz w:val="18"/>
          <w:szCs w:val="18"/>
          <w:color w:val="auto"/>
        </w:rPr>
        <w:t>5,000,000 shares (not including underwriters’ option to purchase up to an additional 750,000 shares of common stock)</w:t>
      </w:r>
    </w:p>
    <w:p>
      <w:pPr>
        <w:spacing w:after="0" w:line="62"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20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Additional Shares: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5"/>
          <w:szCs w:val="15"/>
          <w:color w:val="auto"/>
        </w:rPr>
        <w:t>15%</w:t>
      </w:r>
    </w:p>
    <w:p>
      <w:pPr>
        <w:spacing w:after="0" w:line="151"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Offering 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$82 million</w:t>
      </w:r>
    </w:p>
    <w:p>
      <w:pPr>
        <w:spacing w:after="0" w:line="129"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Re-offer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$16.42</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Re-offer Discount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2.5%</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Indicative Dividend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9.5% (annualized assumed quarterly dividend of $0.39 per share over Re-offer Price)</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BofA Merrill Lynch; Wells Fargo Securities; Goldman, Sachs &amp; Co.; Barclays and Citigroup</w:t>
      </w:r>
    </w:p>
    <w:p>
      <w:pPr>
        <w:spacing w:after="0" w:line="14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TPG Capital BD, LLC; Ladenburg Thalmann; Comerica Securities; Houlihan Lokey and Santander</w:t>
      </w:r>
    </w:p>
    <w:p>
      <w:pPr>
        <w:spacing w:after="0" w:line="200" w:lineRule="exact"/>
        <w:rPr>
          <w:sz w:val="24"/>
          <w:szCs w:val="24"/>
          <w:color w:val="auto"/>
        </w:rPr>
      </w:pPr>
    </w:p>
    <w:p>
      <w:pPr>
        <w:sectPr>
          <w:pgSz w:w="11900" w:h="16838" w:orient="portrait"/>
          <w:cols w:equalWidth="0" w:num="2">
            <w:col w:w="2680" w:space="720"/>
            <w:col w:w="8020"/>
          </w:cols>
          <w:pgMar w:left="240" w:top="229" w:right="239" w:bottom="1440" w:gutter="0" w:footer="0" w:header="0"/>
          <w:type w:val="continuous"/>
        </w:sectPr>
      </w:pPr>
    </w:p>
    <w:p>
      <w:pPr>
        <w:spacing w:after="0" w:line="44" w:lineRule="exact"/>
        <w:rPr>
          <w:sz w:val="24"/>
          <w:szCs w:val="24"/>
          <w:color w:val="auto"/>
        </w:rPr>
      </w:pPr>
    </w:p>
    <w:p>
      <w:pPr>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March 2, 2016 and the accompanying prospectus dated July 9, 2015, which have been filed with the Securities and Exchange Commission (the “SEC”), contain this and other information about the Company and should be read carefully before investing.</w:t>
      </w:r>
    </w:p>
    <w:p>
      <w:pPr>
        <w:spacing w:after="0" w:line="129" w:lineRule="exact"/>
        <w:rPr>
          <w:sz w:val="24"/>
          <w:szCs w:val="24"/>
          <w:color w:val="auto"/>
        </w:rPr>
      </w:pPr>
    </w:p>
    <w:p>
      <w:pPr>
        <w:ind w:right="260"/>
        <w:spacing w:after="0" w:line="286" w:lineRule="auto"/>
        <w:rPr>
          <w:sz w:val="20"/>
          <w:szCs w:val="20"/>
          <w:color w:val="auto"/>
        </w:rPr>
      </w:pPr>
      <w:r>
        <w:rPr>
          <w:rFonts w:ascii="Arial" w:cs="Arial" w:eastAsia="Arial" w:hAnsi="Arial"/>
          <w:sz w:val="17"/>
          <w:szCs w:val="17"/>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or jurisdiction where such offer and sale is not permitted.</w:t>
      </w:r>
    </w:p>
    <w:p>
      <w:pPr>
        <w:spacing w:after="0" w:line="162" w:lineRule="exact"/>
        <w:rPr>
          <w:sz w:val="24"/>
          <w:szCs w:val="24"/>
          <w:color w:val="auto"/>
        </w:rPr>
      </w:pPr>
    </w:p>
    <w:p>
      <w:pPr>
        <w:spacing w:after="0" w:line="274" w:lineRule="auto"/>
        <w:rPr>
          <w:sz w:val="20"/>
          <w:szCs w:val="20"/>
          <w:color w:val="auto"/>
        </w:rPr>
      </w:pPr>
      <w:r>
        <w:rPr>
          <w:rFonts w:ascii="Arial" w:cs="Arial" w:eastAsia="Arial" w:hAnsi="Arial"/>
          <w:sz w:val="17"/>
          <w:szCs w:val="17"/>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BofA Merrill Lynch, 222 Broadway, New York, NY 10038, Attn: Prospectus Department, or by e-mailing dg.prospectus_requests@baml.com; Wells Fargo Securities, 375 Park Avenue, New York, NY 10152, Attn: Equity Syndicate Department, by calling (800) 326-5897 or by e-mailing cmclientsupport@wellsfargo.com; or Goldman, Sachs &amp; Co., 200 West Street, New York, NY 10282, Attn: Prospectus Department, by calling (866) 471-2526, facsimile: (212) 902-9316 or by e-mailing prospectus-ny@ny.email.gs.com.</w:t>
      </w:r>
    </w:p>
    <w:p>
      <w:pPr>
        <w:spacing w:after="0" w:line="178"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2019-12-08T20:13:29Z</dcterms:created>
  <dcterms:modified xsi:type="dcterms:W3CDTF">2019-12-08T20:13:29Z</dcterms:modified>
</cp:coreProperties>
</file>