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3013075</wp:posOffset>
            </wp:positionH>
            <wp:positionV relativeFrom="page">
              <wp:posOffset>157480</wp:posOffset>
            </wp:positionV>
            <wp:extent cx="154368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43685" cy="78867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March 24,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TPG Specialty Lending,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copy of the fidelity bond covering the Company, which includes a statement as to the period for which premiums have been paid; and</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(212) 601-4717.</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Compliance Officer, Vice President and 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400"/>
          </w:cols>
          <w:pgMar w:left="240" w:top="1440"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undersigned, Jennifer Gordon, Chief Compliance Officer, Vice President and Secretary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ind w:left="900" w:right="2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2017 to March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24th day of March,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Compliance Officer, Vice President and Secretary</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 from the minutes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TPG Specialty Lending, Inc.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February 22,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17(g) of the Investment Company Act of 1940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and Rule 17g-1(a) thereunder require a BDC, such as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5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Rule 17g-1 specifies that the bond may be in the form of (i) an individual bond for each covered person, or a schedule or blanket bond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persons, (ii) a blanket bond which names the Company as the only insured (a </w:t>
      </w:r>
      <w:r>
        <w:rPr>
          <w:rFonts w:ascii="Arial" w:cs="Arial" w:eastAsia="Arial" w:hAnsi="Arial"/>
          <w:sz w:val="18"/>
          <w:szCs w:val="18"/>
          <w:b w:val="1"/>
          <w:bCs w:val="1"/>
          <w:i w:val="1"/>
          <w:iCs w:val="1"/>
          <w:color w:val="auto"/>
        </w:rPr>
        <w:t>“single insured bond”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(iii) a bond which names the Company and one or more other parties as insureds (a </w:t>
      </w:r>
      <w:r>
        <w:rPr>
          <w:rFonts w:ascii="Arial" w:cs="Arial" w:eastAsia="Arial" w:hAnsi="Arial"/>
          <w:sz w:val="18"/>
          <w:szCs w:val="18"/>
          <w:b w:val="1"/>
          <w:bCs w:val="1"/>
          <w:i w:val="1"/>
          <w:iCs w:val="1"/>
          <w:color w:val="auto"/>
        </w:rPr>
        <w:t>“joint insured bond”</w:t>
      </w:r>
      <w:r>
        <w:rPr>
          <w:rFonts w:ascii="Arial" w:cs="Arial" w:eastAsia="Arial" w:hAnsi="Arial"/>
          <w:sz w:val="18"/>
          <w:szCs w:val="18"/>
          <w:color w:val="auto"/>
        </w:rPr>
        <w:t xml:space="preserve">), as permitted by Rule 17g-1;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requires that a majority of the Board of Directors who are not “interested persons” of the Company as defined in Section 2(a)(19)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6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connection with the bond, and designate an Officer who shall make such filings and give such notices; </w:t>
      </w:r>
      <w:r>
        <w:rPr>
          <w:rFonts w:ascii="Arial" w:cs="Arial" w:eastAsia="Arial" w:hAnsi="Arial"/>
          <w:sz w:val="18"/>
          <w:szCs w:val="18"/>
          <w:u w:val="single" w:color="auto"/>
          <w:color w:val="auto"/>
        </w:rPr>
        <w:t>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presently a party to a single insured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“Current Fidelity Bond”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intends to enter into a new bond upon expiration of the Current Fidelity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“New Fidelity Bond”</w:t>
      </w:r>
      <w:r>
        <w:rPr>
          <w:rFonts w:ascii="Arial" w:cs="Arial" w:eastAsia="Arial" w:hAnsi="Arial"/>
          <w:sz w:val="18"/>
          <w:szCs w:val="18"/>
          <w:color w:val="auto"/>
        </w:rPr>
        <w:t>);</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having considered the expected aggregate value of the securities and funds of the Company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6"/>
          <w:szCs w:val="16"/>
          <w:b w:val="1"/>
          <w:bCs w:val="1"/>
          <w:i w:val="1"/>
          <w:iCs w:val="1"/>
          <w:color w:val="auto"/>
        </w:rPr>
        <w:t>“Fidelity Bond”</w:t>
      </w:r>
      <w:r>
        <w:rPr>
          <w:rFonts w:ascii="Arial" w:cs="Arial" w:eastAsia="Arial" w:hAnsi="Arial"/>
          <w:sz w:val="16"/>
          <w:szCs w:val="16"/>
          <w:color w:val="auto"/>
        </w:rPr>
        <w:t xml:space="preserve">), is reasonable, and the Current Fidelity Bond be, and hereby is, approved, ratified and confirmed by the Board of Directors of the Company, including a majority of the Directors that are not “interested persons” of the Company under the 1940 Act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60"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negotiation, execution and delivery of the New Fidelity Bond by any Officer of the Company, on substantially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terms and with the same coverage as the Current Fidelity Bond and with annual premiums of up to 110% of the Current Fidelity Bond, be and hereby is approved by the Board of Directors of the Company, including a majority of the Independent Directors; </w:t>
      </w:r>
      <w:r>
        <w:rPr>
          <w:rFonts w:ascii="Arial" w:cs="Arial" w:eastAsia="Arial" w:hAnsi="Arial"/>
          <w:sz w:val="17"/>
          <w:szCs w:val="17"/>
          <w:u w:val="single" w:color="auto"/>
          <w:color w:val="auto"/>
        </w:rPr>
        <w:t>and</w:t>
      </w:r>
    </w:p>
    <w:p>
      <w:pPr>
        <w:sectPr>
          <w:pgSz w:w="11900" w:h="16838" w:orient="portrait"/>
          <w:cols w:equalWidth="0" w:num="1">
            <w:col w:w="11420"/>
          </w:cols>
          <w:pgMar w:left="240" w:top="270" w:right="239" w:bottom="1440" w:gutter="0" w:footer="0" w:header="0"/>
        </w:sectPr>
      </w:pPr>
    </w:p>
    <w:bookmarkStart w:id="3" w:name="page4"/>
    <w:bookmarkEnd w:id="3"/>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8"/>
          <w:szCs w:val="18"/>
          <w:color w:val="auto"/>
        </w:rPr>
        <w:t>, that the Officers of the Company be, and they hereby are, authorized to take all appropriate actions, with the advice of legal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Chief Compliance Officer of the Company be, and hereby is, designated as the party responsible for making the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and giving the notices with respect to such bond required by paragraph (g) of Rule 17g-1 under the 1940 Act.</w:t>
      </w:r>
    </w:p>
    <w:p>
      <w:pPr>
        <w:sectPr>
          <w:pgSz w:w="11900" w:h="16838" w:orient="portrait"/>
          <w:cols w:equalWidth="0" w:num="1">
            <w:col w:w="11360"/>
          </w:cols>
          <w:pgMar w:left="240" w:top="270" w:right="2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tcBorders>
          </w:tcPr>
          <w:p>
            <w:pPr>
              <w:spacing w:after="0"/>
              <w:rPr>
                <w:sz w:val="19"/>
                <w:szCs w:val="19"/>
                <w:color w:val="auto"/>
              </w:rPr>
            </w:pPr>
          </w:p>
        </w:tc>
        <w:tc>
          <w:tcPr>
            <w:tcW w:w="7600" w:type="dxa"/>
            <w:vAlign w:val="bottom"/>
            <w:tcBorders>
              <w:top w:val="single" w:sz="8" w:color="auto"/>
              <w:right w:val="single" w:sz="8" w:color="auto"/>
            </w:tcBorders>
          </w:tcPr>
          <w:p>
            <w:pPr>
              <w:jc w:val="center"/>
              <w:ind w:right="3650"/>
              <w:spacing w:after="0"/>
              <w:rPr>
                <w:sz w:val="20"/>
                <w:szCs w:val="20"/>
                <w:color w:val="auto"/>
              </w:rPr>
            </w:pPr>
            <w:r>
              <w:rPr>
                <w:rFonts w:ascii="Arial" w:cs="Arial" w:eastAsia="Arial" w:hAnsi="Arial"/>
                <w:sz w:val="18"/>
                <w:szCs w:val="18"/>
                <w:b w:val="1"/>
                <w:bCs w:val="1"/>
                <w:color w:val="auto"/>
              </w:rPr>
              <w:t>FINANCIAL INSTITUTION BOND</w:t>
            </w:r>
          </w:p>
        </w:tc>
        <w:tc>
          <w:tcPr>
            <w:tcW w:w="0" w:type="dxa"/>
            <w:vAlign w:val="bottom"/>
          </w:tcPr>
          <w:p>
            <w:pPr>
              <w:spacing w:after="0"/>
              <w:rPr>
                <w:sz w:val="1"/>
                <w:szCs w:val="1"/>
                <w:color w:val="auto"/>
              </w:rPr>
            </w:pPr>
          </w:p>
        </w:tc>
      </w:tr>
      <w:tr>
        <w:trPr>
          <w:trHeight w:val="230"/>
        </w:trPr>
        <w:tc>
          <w:tcPr>
            <w:tcW w:w="384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tcPr>
          <w:p>
            <w:pPr>
              <w:jc w:val="center"/>
              <w:ind w:right="3650"/>
              <w:spacing w:after="0"/>
              <w:rPr>
                <w:sz w:val="20"/>
                <w:szCs w:val="20"/>
                <w:color w:val="auto"/>
              </w:rPr>
            </w:pPr>
            <w:r>
              <w:rPr>
                <w:rFonts w:ascii="Arial" w:cs="Arial" w:eastAsia="Arial" w:hAnsi="Arial"/>
                <w:sz w:val="18"/>
                <w:szCs w:val="18"/>
                <w:color w:val="auto"/>
                <w:w w:val="90"/>
              </w:rPr>
              <w:t>Standard Form No. 14, Revised to October, 1987</w:t>
            </w:r>
          </w:p>
        </w:tc>
        <w:tc>
          <w:tcPr>
            <w:tcW w:w="0" w:type="dxa"/>
            <w:vAlign w:val="bottom"/>
          </w:tcPr>
          <w:p>
            <w:pPr>
              <w:spacing w:after="0"/>
              <w:rPr>
                <w:sz w:val="1"/>
                <w:szCs w:val="1"/>
                <w:color w:val="auto"/>
              </w:rPr>
            </w:pPr>
          </w:p>
        </w:tc>
      </w:tr>
      <w:tr>
        <w:trPr>
          <w:trHeight w:val="432"/>
        </w:trPr>
        <w:tc>
          <w:tcPr>
            <w:tcW w:w="384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ACE American Insurance Company</w:t>
            </w:r>
          </w:p>
        </w:tc>
        <w:tc>
          <w:tcPr>
            <w:tcW w:w="7600" w:type="dxa"/>
            <w:vAlign w:val="bottom"/>
            <w:tcBorders>
              <w:right w:val="single" w:sz="8" w:color="auto"/>
            </w:tcBorders>
          </w:tcPr>
          <w:p>
            <w:pPr>
              <w:ind w:left="4500"/>
              <w:spacing w:after="0"/>
              <w:rPr>
                <w:sz w:val="20"/>
                <w:szCs w:val="20"/>
                <w:color w:val="auto"/>
              </w:rPr>
            </w:pPr>
            <w:r>
              <w:rPr>
                <w:rFonts w:ascii="Arial" w:cs="Arial" w:eastAsia="Arial" w:hAnsi="Arial"/>
                <w:sz w:val="18"/>
                <w:szCs w:val="18"/>
                <w:b w:val="1"/>
                <w:bCs w:val="1"/>
                <w:color w:val="auto"/>
              </w:rPr>
              <w:t>Bond No. DON G25562823 003</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tcBorders>
            <w:vMerge w:val="continue"/>
          </w:tcPr>
          <w:p>
            <w:pPr>
              <w:spacing w:after="0"/>
              <w:rPr>
                <w:sz w:val="18"/>
                <w:szCs w:val="18"/>
                <w:color w:val="auto"/>
              </w:rPr>
            </w:pPr>
          </w:p>
        </w:tc>
        <w:tc>
          <w:tcPr>
            <w:tcW w:w="7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4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DECLARATIONS</w:t>
            </w:r>
          </w:p>
        </w:tc>
        <w:tc>
          <w:tcPr>
            <w:tcW w:w="760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(Herein called Underwriter)</w:t>
            </w: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tcBorders>
            <w:vMerge w:val="continue"/>
          </w:tcPr>
          <w:p>
            <w:pPr>
              <w:spacing w:after="0"/>
              <w:rPr>
                <w:sz w:val="17"/>
                <w:szCs w:val="17"/>
                <w:color w:val="auto"/>
              </w:rPr>
            </w:pPr>
          </w:p>
        </w:tc>
        <w:tc>
          <w:tcPr>
            <w:tcW w:w="7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w w:val="95"/>
              </w:rPr>
              <w:t xml:space="preserve">Item 1. </w:t>
            </w:r>
            <w:r>
              <w:rPr>
                <w:rFonts w:ascii="Arial" w:cs="Arial" w:eastAsia="Arial" w:hAnsi="Arial"/>
                <w:sz w:val="18"/>
                <w:szCs w:val="18"/>
                <w:color w:val="auto"/>
                <w:w w:val="95"/>
              </w:rPr>
              <w:t>Name of Insured (herein called Insured):</w:t>
            </w:r>
          </w:p>
        </w:tc>
        <w:tc>
          <w:tcPr>
            <w:tcW w:w="76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TPG Specialty Lending, Inc.</w:t>
            </w:r>
          </w:p>
        </w:tc>
        <w:tc>
          <w:tcPr>
            <w:tcW w:w="0" w:type="dxa"/>
            <w:vAlign w:val="bottom"/>
          </w:tcPr>
          <w:p>
            <w:pPr>
              <w:spacing w:after="0"/>
              <w:rPr>
                <w:sz w:val="1"/>
                <w:szCs w:val="1"/>
                <w:color w:val="auto"/>
              </w:rPr>
            </w:pPr>
          </w:p>
        </w:tc>
      </w:tr>
      <w:tr>
        <w:trPr>
          <w:trHeight w:val="418"/>
        </w:trPr>
        <w:tc>
          <w:tcPr>
            <w:tcW w:w="3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Principal Address:</w:t>
            </w:r>
          </w:p>
        </w:tc>
        <w:tc>
          <w:tcPr>
            <w:tcW w:w="76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301 Commerce Street, Suite 3300</w:t>
            </w:r>
          </w:p>
        </w:tc>
        <w:tc>
          <w:tcPr>
            <w:tcW w:w="0" w:type="dxa"/>
            <w:vAlign w:val="bottom"/>
          </w:tcPr>
          <w:p>
            <w:pPr>
              <w:spacing w:after="0"/>
              <w:rPr>
                <w:sz w:val="1"/>
                <w:szCs w:val="1"/>
                <w:color w:val="auto"/>
              </w:rPr>
            </w:pPr>
          </w:p>
        </w:tc>
      </w:tr>
      <w:tr>
        <w:trPr>
          <w:trHeight w:val="230"/>
        </w:trPr>
        <w:tc>
          <w:tcPr>
            <w:tcW w:w="384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Fort Worth, TX 76102</w:t>
            </w:r>
          </w:p>
        </w:tc>
        <w:tc>
          <w:tcPr>
            <w:tcW w:w="0" w:type="dxa"/>
            <w:vAlign w:val="bottom"/>
          </w:tcPr>
          <w:p>
            <w:pPr>
              <w:spacing w:after="0"/>
              <w:rPr>
                <w:sz w:val="1"/>
                <w:szCs w:val="1"/>
                <w:color w:val="auto"/>
              </w:rPr>
            </w:pPr>
          </w:p>
        </w:tc>
      </w:tr>
      <w:tr>
        <w:trPr>
          <w:trHeight w:val="507"/>
        </w:trPr>
        <w:tc>
          <w:tcPr>
            <w:tcW w:w="3840" w:type="dxa"/>
            <w:vAlign w:val="bottom"/>
            <w:tcBorders>
              <w:left w:val="single" w:sz="8" w:color="auto"/>
              <w:bottom w:val="single" w:sz="8" w:color="auto"/>
            </w:tcBorders>
          </w:tcPr>
          <w:p>
            <w:pPr>
              <w:spacing w:after="0"/>
              <w:rPr>
                <w:sz w:val="24"/>
                <w:szCs w:val="24"/>
                <w:color w:val="auto"/>
              </w:rPr>
            </w:pPr>
          </w:p>
        </w:tc>
        <w:tc>
          <w:tcPr>
            <w:tcW w:w="7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680" w:type="dxa"/>
            <w:vAlign w:val="bottom"/>
          </w:tcPr>
          <w:p>
            <w:pPr>
              <w:ind w:left="200"/>
              <w:spacing w:after="0"/>
              <w:rPr>
                <w:sz w:val="20"/>
                <w:szCs w:val="20"/>
                <w:color w:val="auto"/>
              </w:rPr>
            </w:pPr>
            <w:r>
              <w:rPr>
                <w:rFonts w:ascii="Arial" w:cs="Arial" w:eastAsia="Arial" w:hAnsi="Arial"/>
                <w:sz w:val="18"/>
                <w:szCs w:val="18"/>
                <w:color w:val="auto"/>
              </w:rPr>
              <w:t>Bond Period: from 12:01 a.m. on</w:t>
            </w:r>
          </w:p>
        </w:tc>
        <w:tc>
          <w:tcPr>
            <w:tcW w:w="2220" w:type="dxa"/>
            <w:vAlign w:val="bottom"/>
          </w:tcPr>
          <w:p>
            <w:pPr>
              <w:jc w:val="right"/>
              <w:ind w:right="690"/>
              <w:spacing w:after="0"/>
              <w:rPr>
                <w:sz w:val="20"/>
                <w:szCs w:val="20"/>
                <w:color w:val="auto"/>
              </w:rPr>
            </w:pPr>
            <w:r>
              <w:rPr>
                <w:rFonts w:ascii="Arial" w:cs="Arial" w:eastAsia="Arial" w:hAnsi="Arial"/>
                <w:sz w:val="18"/>
                <w:szCs w:val="18"/>
                <w:color w:val="auto"/>
              </w:rPr>
              <w:t>03/08/2017</w:t>
            </w:r>
          </w:p>
        </w:tc>
        <w:tc>
          <w:tcPr>
            <w:tcW w:w="1740" w:type="dxa"/>
            <w:vAlign w:val="bottom"/>
          </w:tcPr>
          <w:p>
            <w:pPr>
              <w:ind w:left="260"/>
              <w:spacing w:after="0"/>
              <w:rPr>
                <w:sz w:val="20"/>
                <w:szCs w:val="20"/>
                <w:color w:val="auto"/>
              </w:rPr>
            </w:pPr>
            <w:r>
              <w:rPr>
                <w:rFonts w:ascii="Arial" w:cs="Arial" w:eastAsia="Arial" w:hAnsi="Arial"/>
                <w:sz w:val="18"/>
                <w:szCs w:val="18"/>
                <w:color w:val="auto"/>
              </w:rPr>
              <w:t>to 12:01 a.m. on</w:t>
            </w:r>
          </w:p>
        </w:tc>
        <w:tc>
          <w:tcPr>
            <w:tcW w:w="1420" w:type="dxa"/>
            <w:vAlign w:val="bottom"/>
          </w:tcPr>
          <w:p>
            <w:pPr>
              <w:ind w:left="320"/>
              <w:spacing w:after="0"/>
              <w:rPr>
                <w:sz w:val="20"/>
                <w:szCs w:val="20"/>
                <w:color w:val="auto"/>
              </w:rPr>
            </w:pPr>
            <w:r>
              <w:rPr>
                <w:rFonts w:ascii="Arial" w:cs="Arial" w:eastAsia="Arial" w:hAnsi="Arial"/>
                <w:sz w:val="18"/>
                <w:szCs w:val="18"/>
                <w:color w:val="auto"/>
              </w:rPr>
              <w:t>03/08/2018</w:t>
            </w:r>
          </w:p>
        </w:tc>
        <w:tc>
          <w:tcPr>
            <w:tcW w:w="1620" w:type="dxa"/>
            <w:vAlign w:val="bottom"/>
          </w:tcPr>
          <w:p>
            <w:pPr>
              <w:ind w:left="260"/>
              <w:spacing w:after="0"/>
              <w:rPr>
                <w:sz w:val="20"/>
                <w:szCs w:val="20"/>
                <w:color w:val="auto"/>
              </w:rPr>
            </w:pPr>
            <w:r>
              <w:rPr>
                <w:rFonts w:ascii="Arial" w:cs="Arial" w:eastAsia="Arial" w:hAnsi="Arial"/>
                <w:sz w:val="18"/>
                <w:szCs w:val="18"/>
                <w:color w:val="auto"/>
              </w:rPr>
              <w:t>Standard time.</w:t>
            </w:r>
          </w:p>
        </w:tc>
      </w:tr>
      <w:tr>
        <w:trPr>
          <w:trHeight w:val="230"/>
        </w:trPr>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20" w:type="dxa"/>
            <w:vAlign w:val="bottom"/>
          </w:tcPr>
          <w:p>
            <w:pPr>
              <w:jc w:val="right"/>
              <w:ind w:right="250"/>
              <w:spacing w:after="0"/>
              <w:rPr>
                <w:sz w:val="20"/>
                <w:szCs w:val="20"/>
                <w:color w:val="auto"/>
              </w:rPr>
            </w:pPr>
            <w:r>
              <w:rPr>
                <w:rFonts w:ascii="Arial" w:cs="Arial" w:eastAsia="Arial" w:hAnsi="Arial"/>
                <w:sz w:val="18"/>
                <w:szCs w:val="18"/>
                <w:color w:val="auto"/>
              </w:rPr>
              <w:t>(MONTH. DAY. YEAR)</w:t>
            </w:r>
          </w:p>
        </w:tc>
        <w:tc>
          <w:tcPr>
            <w:tcW w:w="1740" w:type="dxa"/>
            <w:vAlign w:val="bottom"/>
          </w:tcPr>
          <w:p>
            <w:pPr>
              <w:spacing w:after="0"/>
              <w:rPr>
                <w:sz w:val="20"/>
                <w:szCs w:val="20"/>
                <w:color w:val="auto"/>
              </w:rPr>
            </w:pP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(MONTH. DAY. YEAR)</w:t>
            </w:r>
          </w:p>
        </w:tc>
      </w:tr>
      <w:tr>
        <w:trPr>
          <w:trHeight w:val="135"/>
        </w:trPr>
        <w:tc>
          <w:tcPr>
            <w:tcW w:w="740" w:type="dxa"/>
            <w:vAlign w:val="bottom"/>
            <w:tcBorders>
              <w:bottom w:val="single" w:sz="8" w:color="auto"/>
            </w:tcBorders>
          </w:tcPr>
          <w:p>
            <w:pPr>
              <w:spacing w:after="0"/>
              <w:rPr>
                <w:sz w:val="11"/>
                <w:szCs w:val="11"/>
                <w:color w:val="auto"/>
              </w:rPr>
            </w:pPr>
          </w:p>
        </w:tc>
        <w:tc>
          <w:tcPr>
            <w:tcW w:w="5900" w:type="dxa"/>
            <w:vAlign w:val="bottom"/>
            <w:tcBorders>
              <w:bottom w:val="single" w:sz="8" w:color="auto"/>
            </w:tcBorders>
            <w:gridSpan w:val="2"/>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w w:val="96"/>
              </w:rPr>
              <w:t>The Aggregate Liability of the Underwriter during the Bond Period shall be</w:t>
            </w: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0"/>
        </w:trPr>
        <w:tc>
          <w:tcPr>
            <w:tcW w:w="74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$10,000,000</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35"/>
        </w:trPr>
        <w:tc>
          <w:tcPr>
            <w:tcW w:w="74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680" w:type="dxa"/>
            <w:vAlign w:val="bottom"/>
          </w:tcPr>
          <w:p>
            <w:pPr>
              <w:ind w:left="180"/>
              <w:spacing w:after="0"/>
              <w:rPr>
                <w:sz w:val="20"/>
                <w:szCs w:val="20"/>
                <w:color w:val="auto"/>
              </w:rPr>
            </w:pPr>
            <w:r>
              <w:rPr>
                <w:rFonts w:ascii="Arial" w:cs="Arial" w:eastAsia="Arial" w:hAnsi="Arial"/>
                <w:sz w:val="18"/>
                <w:szCs w:val="18"/>
                <w:color w:val="auto"/>
              </w:rPr>
              <w:t>Subject to Sections 4 and 11 hereof,</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7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w w:val="95"/>
              </w:rPr>
              <w:t>the Single Loss Limit of Liability is $5,000,000</w:t>
            </w:r>
          </w:p>
        </w:tc>
        <w:tc>
          <w:tcPr>
            <w:tcW w:w="2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and the Single Loss Deductible is $50,000</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2"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Provided, however, that if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w w:val="96"/>
              </w:rPr>
              <w:t>Single Loss</w:t>
            </w:r>
          </w:p>
        </w:tc>
        <w:tc>
          <w:tcPr>
            <w:tcW w:w="1280" w:type="dxa"/>
            <w:vAlign w:val="bottom"/>
            <w:gridSpan w:val="4"/>
          </w:tcPr>
          <w:p>
            <w:pPr>
              <w:ind w:left="540"/>
              <w:spacing w:after="0"/>
              <w:rPr>
                <w:sz w:val="20"/>
                <w:szCs w:val="20"/>
                <w:color w:val="auto"/>
              </w:rPr>
            </w:pPr>
            <w:r>
              <w:rPr>
                <w:rFonts w:ascii="Arial" w:cs="Arial" w:eastAsia="Arial" w:hAnsi="Arial"/>
                <w:sz w:val="14"/>
                <w:szCs w:val="14"/>
                <w:color w:val="auto"/>
                <w:w w:val="99"/>
              </w:rPr>
              <w:t>Single Loss</w:t>
            </w:r>
          </w:p>
        </w:tc>
      </w:tr>
      <w:tr>
        <w:trPr>
          <w:trHeight w:val="167"/>
        </w:trPr>
        <w:tc>
          <w:tcPr>
            <w:tcW w:w="5080" w:type="dxa"/>
            <w:vAlign w:val="bottom"/>
          </w:tcPr>
          <w:p>
            <w:pPr>
              <w:spacing w:after="0"/>
              <w:rPr>
                <w:sz w:val="20"/>
                <w:szCs w:val="20"/>
                <w:color w:val="auto"/>
              </w:rPr>
            </w:pPr>
            <w:r>
              <w:rPr>
                <w:rFonts w:ascii="Arial" w:cs="Arial" w:eastAsia="Arial" w:hAnsi="Arial"/>
                <w:sz w:val="14"/>
                <w:szCs w:val="14"/>
                <w:color w:val="auto"/>
              </w:rPr>
              <w:t>Amount applicable to:</w:t>
            </w:r>
          </w:p>
        </w:tc>
        <w:tc>
          <w:tcPr>
            <w:tcW w:w="2320" w:type="dxa"/>
            <w:vAlign w:val="bottom"/>
            <w:gridSpan w:val="3"/>
          </w:tcPr>
          <w:p>
            <w:pPr>
              <w:ind w:left="1300"/>
              <w:spacing w:after="0"/>
              <w:rPr>
                <w:sz w:val="20"/>
                <w:szCs w:val="20"/>
                <w:color w:val="auto"/>
              </w:rPr>
            </w:pPr>
            <w:r>
              <w:rPr>
                <w:rFonts w:ascii="Arial" w:cs="Arial" w:eastAsia="Arial" w:hAnsi="Arial"/>
                <w:sz w:val="14"/>
                <w:szCs w:val="14"/>
                <w:color w:val="auto"/>
              </w:rPr>
              <w:t>Limit of Liability</w:t>
            </w:r>
          </w:p>
        </w:tc>
        <w:tc>
          <w:tcPr>
            <w:tcW w:w="5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Deductible</w:t>
            </w:r>
          </w:p>
        </w:tc>
      </w:tr>
      <w:tr>
        <w:trPr>
          <w:trHeight w:val="210"/>
        </w:trPr>
        <w:tc>
          <w:tcPr>
            <w:tcW w:w="5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Insuring Agreements (A) Employee Dishonesty</w:t>
            </w: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Insuring Agreement (B) Premises</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(C) Transit</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Insuring Agreement (D) Forgery or Alteration</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(E) Securities Forgery</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Computer Insuring Agreements</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Claims Expense</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The liability of the Underwriter is subject to the terms of the following riders attached hereto:</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Endorsements #1 - 19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The Insured by the acceptance of this bond gives notice to the Underwriter terminating or canceling prior bond(s)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policy(ies) No.(s) G25562823 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termination or cancelation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323215</wp:posOffset>
            </wp:positionV>
            <wp:extent cx="183515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51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J. LUPICA,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5062b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440"/>
          </w:cols>
          <w:pgMar w:left="240" w:top="268" w:right="219" w:bottom="1440" w:gutter="0" w:footer="0" w:header="0"/>
        </w:sectPr>
      </w:pPr>
    </w:p>
    <w:bookmarkStart w:id="5" w:name="page6"/>
    <w:bookmarkEnd w:id="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INSURING AGREEMENTS</w:t>
      </w:r>
    </w:p>
    <w:p>
      <w:pPr>
        <w:sectPr>
          <w:pgSz w:w="11900" w:h="16838" w:orient="portrait"/>
          <w:cols w:equalWidth="0" w:num="1">
            <w:col w:w="11340"/>
          </w:cols>
          <w:pgMar w:left="240" w:top="274" w:right="319" w:bottom="2" w:gutter="0" w:footer="0" w:header="0"/>
        </w:sectPr>
      </w:pPr>
    </w:p>
    <w:p>
      <w:pPr>
        <w:spacing w:after="0" w:line="31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FIDELITY</w:t>
      </w:r>
    </w:p>
    <w:p>
      <w:pPr>
        <w:spacing w:after="0" w:line="225" w:lineRule="exact"/>
        <w:rPr>
          <w:sz w:val="20"/>
          <w:szCs w:val="20"/>
          <w:color w:val="auto"/>
        </w:rPr>
      </w:pPr>
    </w:p>
    <w:p>
      <w:pPr>
        <w:ind w:right="540" w:firstLine="36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resulting directly from dishonest or fraudulent acts committed by an Employee acting alone or in collusion with others.</w:t>
      </w:r>
    </w:p>
    <w:p>
      <w:pPr>
        <w:spacing w:after="0" w:line="12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Such dishonest or fraudulent acts must be committed by the Employee with the manifest intent.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100" w:right="700" w:hanging="363"/>
        <w:spacing w:after="0" w:line="308"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Negotiable Instruments not payable to bearer or not endorsed, or with restrictive endorsements.</w:t>
      </w:r>
    </w:p>
    <w:p>
      <w:pPr>
        <w:spacing w:after="0" w:line="147"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Coverage under this insuring Agreement begins immediately upon the receipt of such Property by the natural person or Transportation Company and ends immediately upon delivery to the designated recipient or its agent.</w:t>
      </w:r>
    </w:p>
    <w:p>
      <w:pPr>
        <w:spacing w:after="0" w:line="268" w:lineRule="exact"/>
        <w:rPr>
          <w:sz w:val="20"/>
          <w:szCs w:val="20"/>
          <w:color w:val="auto"/>
        </w:rPr>
      </w:pPr>
    </w:p>
    <w:p>
      <w:pPr>
        <w:sectPr>
          <w:pgSz w:w="11900" w:h="16838" w:orient="portrait"/>
          <w:cols w:equalWidth="0" w:num="2">
            <w:col w:w="5440" w:space="380"/>
            <w:col w:w="5520"/>
          </w:cols>
          <w:pgMar w:left="240" w:top="274" w:right="319" w:bottom="2" w:gutter="0" w:footer="0" w:header="0"/>
          <w:type w:val="continuous"/>
        </w:sectPr>
      </w:pPr>
    </w:p>
    <w:p>
      <w:pPr>
        <w:ind w:left="740" w:hanging="36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ind w:left="740" w:right="220" w:hanging="36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17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200" w:lineRule="exact"/>
        <w:rPr>
          <w:sz w:val="20"/>
          <w:szCs w:val="20"/>
          <w:color w:val="auto"/>
        </w:rPr>
      </w:pP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ON PREMISES</w:t>
      </w:r>
    </w:p>
    <w:p>
      <w:pPr>
        <w:spacing w:after="0" w:line="225" w:lineRule="exact"/>
        <w:rPr>
          <w:sz w:val="20"/>
          <w:szCs w:val="20"/>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Loss of Property resulting directly from</w:t>
      </w:r>
    </w:p>
    <w:p>
      <w:pPr>
        <w:spacing w:after="0" w:line="130" w:lineRule="exact"/>
        <w:rPr>
          <w:rFonts w:ascii="Arial" w:cs="Arial" w:eastAsia="Arial" w:hAnsi="Arial"/>
          <w:sz w:val="18"/>
          <w:szCs w:val="18"/>
          <w:color w:val="auto"/>
        </w:rPr>
      </w:pPr>
    </w:p>
    <w:p>
      <w:pPr>
        <w:ind w:left="1460" w:right="300" w:hanging="35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and damage thereto or destruction thereof, or</w:t>
      </w:r>
    </w:p>
    <w:p>
      <w:pPr>
        <w:spacing w:after="0" w:line="86" w:lineRule="exact"/>
        <w:rPr>
          <w:rFonts w:ascii="Arial" w:cs="Arial" w:eastAsia="Arial" w:hAnsi="Arial"/>
          <w:sz w:val="18"/>
          <w:szCs w:val="18"/>
          <w:color w:val="auto"/>
        </w:rPr>
      </w:pPr>
    </w:p>
    <w:p>
      <w:pPr>
        <w:ind w:left="1460" w:right="20" w:hanging="35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theft, false pretenses, common-law or statutory larceny, committed by a person present in an office or on the premises of the Insured.</w:t>
      </w:r>
    </w:p>
    <w:p>
      <w:pPr>
        <w:spacing w:after="0" w:line="73"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while the Property is lodged or deposited within offices or premises located anywhere.</w:t>
      </w:r>
    </w:p>
    <w:p>
      <w:pPr>
        <w:spacing w:after="0" w:line="62" w:lineRule="exact"/>
        <w:rPr>
          <w:sz w:val="20"/>
          <w:szCs w:val="20"/>
          <w:color w:val="auto"/>
        </w:rPr>
      </w:pPr>
    </w:p>
    <w:p>
      <w:pPr>
        <w:ind w:left="980" w:hanging="25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or damage to</w:t>
      </w:r>
    </w:p>
    <w:p>
      <w:pPr>
        <w:spacing w:after="0" w:line="130" w:lineRule="exact"/>
        <w:rPr>
          <w:rFonts w:ascii="Arial" w:cs="Arial" w:eastAsia="Arial" w:hAnsi="Arial"/>
          <w:sz w:val="18"/>
          <w:szCs w:val="18"/>
          <w:color w:val="auto"/>
        </w:rPr>
      </w:pPr>
    </w:p>
    <w:p>
      <w:pPr>
        <w:ind w:left="1460" w:right="100" w:hanging="358"/>
        <w:spacing w:after="0" w:line="257"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93" w:lineRule="exact"/>
        <w:rPr>
          <w:rFonts w:ascii="Arial" w:cs="Arial" w:eastAsia="Arial" w:hAnsi="Arial"/>
          <w:sz w:val="18"/>
          <w:szCs w:val="18"/>
          <w:color w:val="auto"/>
        </w:rPr>
      </w:pPr>
    </w:p>
    <w:p>
      <w:pPr>
        <w:ind w:left="1460" w:right="20" w:hanging="358"/>
        <w:spacing w:after="0" w:line="259"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1840" w:right="40" w:hanging="373"/>
        <w:spacing w:after="0" w:line="264" w:lineRule="auto"/>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Insured is the owner of such furnishings, fixtures, supplies, equipment, or office or is liable for such loss or damage, and</w:t>
      </w:r>
    </w:p>
    <w:p>
      <w:pPr>
        <w:spacing w:after="0" w:line="86" w:lineRule="exact"/>
        <w:rPr>
          <w:rFonts w:ascii="Arial" w:cs="Arial" w:eastAsia="Arial" w:hAnsi="Arial"/>
          <w:sz w:val="18"/>
          <w:szCs w:val="18"/>
          <w:color w:val="auto"/>
        </w:rPr>
      </w:pPr>
    </w:p>
    <w:p>
      <w:pPr>
        <w:ind w:left="1840" w:hanging="373"/>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is not caused by fire.</w:t>
      </w:r>
    </w:p>
    <w:p>
      <w:pPr>
        <w:spacing w:after="0" w:line="200" w:lineRule="exact"/>
        <w:rPr>
          <w:sz w:val="20"/>
          <w:szCs w:val="20"/>
          <w:color w:val="auto"/>
        </w:rPr>
      </w:pPr>
    </w:p>
    <w:p>
      <w:pPr>
        <w:spacing w:after="0" w:line="24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IN TRANSIT</w:t>
      </w:r>
    </w:p>
    <w:p>
      <w:pPr>
        <w:spacing w:after="0" w:line="225" w:lineRule="exact"/>
        <w:rPr>
          <w:sz w:val="20"/>
          <w:szCs w:val="20"/>
          <w:color w:val="auto"/>
        </w:rPr>
      </w:pPr>
    </w:p>
    <w:p>
      <w:pPr>
        <w:ind w:right="60" w:firstLine="368"/>
        <w:spacing w:after="0" w:line="257" w:lineRule="auto"/>
        <w:tabs>
          <w:tab w:leader="none" w:pos="645"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94" w:lineRule="exact"/>
        <w:rPr>
          <w:sz w:val="20"/>
          <w:szCs w:val="20"/>
          <w:color w:val="auto"/>
        </w:rPr>
      </w:pPr>
    </w:p>
    <w:p>
      <w:pPr>
        <w:ind w:left="740" w:hanging="367"/>
        <w:spacing w:after="0" w:line="259"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92" w:lineRule="exact"/>
        <w:rPr>
          <w:rFonts w:ascii="Arial" w:cs="Arial" w:eastAsia="Arial" w:hAnsi="Arial"/>
          <w:sz w:val="18"/>
          <w:szCs w:val="18"/>
          <w:color w:val="auto"/>
        </w:rPr>
      </w:pPr>
    </w:p>
    <w:p>
      <w:pPr>
        <w:ind w:left="740" w:right="180" w:hanging="36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FORGERY OR ALTERATION</w:t>
      </w:r>
    </w:p>
    <w:p>
      <w:pPr>
        <w:spacing w:after="0" w:line="225"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225" w:lineRule="exact"/>
        <w:rPr>
          <w:rFonts w:ascii="Arial" w:cs="Arial" w:eastAsia="Arial" w:hAnsi="Arial"/>
          <w:sz w:val="18"/>
          <w:szCs w:val="18"/>
          <w:color w:val="auto"/>
        </w:rPr>
      </w:pPr>
    </w:p>
    <w:p>
      <w:pPr>
        <w:jc w:val="both"/>
        <w:ind w:right="240" w:firstLine="728"/>
        <w:spacing w:after="0" w:line="312" w:lineRule="auto"/>
        <w:tabs>
          <w:tab w:leader="none" w:pos="975" w:val="left"/>
        </w:tabs>
        <w:numPr>
          <w:ilvl w:val="1"/>
          <w:numId w:val="11"/>
        </w:numPr>
        <w:rPr>
          <w:rFonts w:ascii="Arial" w:cs="Arial" w:eastAsia="Arial" w:hAnsi="Arial"/>
          <w:sz w:val="16"/>
          <w:szCs w:val="16"/>
          <w:color w:val="auto"/>
        </w:rPr>
      </w:pPr>
      <w:r>
        <w:rPr>
          <w:rFonts w:ascii="Arial" w:cs="Arial" w:eastAsia="Arial" w:hAnsi="Arial"/>
          <w:sz w:val="16"/>
          <w:szCs w:val="16"/>
          <w:color w:val="auto"/>
        </w:rPr>
        <w:t>Forgery or alteration of, on or in any Negotiable Instrument (except an Evidence of Debt), Acceptance, Withdrawal Order, receipt for the withdrawal of Property, Certificate of Deposit or Letter of Credit.</w:t>
      </w:r>
    </w:p>
    <w:p>
      <w:pPr>
        <w:spacing w:after="0" w:line="146" w:lineRule="exact"/>
        <w:rPr>
          <w:rFonts w:ascii="Arial" w:cs="Arial" w:eastAsia="Arial" w:hAnsi="Arial"/>
          <w:sz w:val="16"/>
          <w:szCs w:val="16"/>
          <w:color w:val="auto"/>
        </w:rPr>
      </w:pPr>
    </w:p>
    <w:p>
      <w:pPr>
        <w:ind w:right="140" w:firstLine="728"/>
        <w:spacing w:after="0" w:line="270" w:lineRule="auto"/>
        <w:tabs>
          <w:tab w:leader="none" w:pos="975" w:val="left"/>
        </w:tabs>
        <w:numPr>
          <w:ilvl w:val="1"/>
          <w:numId w:val="11"/>
        </w:numPr>
        <w:rPr>
          <w:rFonts w:ascii="Arial" w:cs="Arial" w:eastAsia="Arial" w:hAnsi="Arial"/>
          <w:sz w:val="17"/>
          <w:szCs w:val="17"/>
          <w:color w:val="auto"/>
        </w:rPr>
      </w:pPr>
      <w:r>
        <w:rPr>
          <w:rFonts w:ascii="Arial" w:cs="Arial" w:eastAsia="Arial" w:hAnsi="Arial"/>
          <w:sz w:val="17"/>
          <w:szCs w:val="17"/>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18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180" w:firstLine="368"/>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70" w:lineRule="exact"/>
        <w:rPr>
          <w:rFonts w:ascii="Arial" w:cs="Arial" w:eastAsia="Arial" w:hAnsi="Arial"/>
          <w:sz w:val="18"/>
          <w:szCs w:val="18"/>
          <w:color w:val="auto"/>
        </w:rPr>
      </w:pPr>
    </w:p>
    <w:p>
      <w:pPr>
        <w:ind w:right="100" w:firstLine="728"/>
        <w:spacing w:after="0" w:line="277" w:lineRule="auto"/>
        <w:tabs>
          <w:tab w:leader="none" w:pos="9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75" w:lineRule="exact"/>
        <w:rPr>
          <w:rFonts w:ascii="Arial" w:cs="Arial" w:eastAsia="Arial" w:hAnsi="Arial"/>
          <w:sz w:val="18"/>
          <w:szCs w:val="18"/>
          <w:color w:val="auto"/>
        </w:rPr>
      </w:pPr>
    </w:p>
    <w:p>
      <w:pPr>
        <w:ind w:left="1460" w:hanging="358"/>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130" w:lineRule="exact"/>
        <w:rPr>
          <w:rFonts w:ascii="Arial" w:cs="Arial" w:eastAsia="Arial" w:hAnsi="Arial"/>
          <w:sz w:val="18"/>
          <w:szCs w:val="18"/>
          <w:color w:val="auto"/>
        </w:rPr>
      </w:pPr>
    </w:p>
    <w:p>
      <w:pPr>
        <w:ind w:left="1460" w:right="160" w:hanging="358"/>
        <w:spacing w:after="0" w:line="342" w:lineRule="auto"/>
        <w:tabs>
          <w:tab w:leader="none" w:pos="1460" w:val="left"/>
        </w:tabs>
        <w:numPr>
          <w:ilvl w:val="2"/>
          <w:numId w:val="12"/>
        </w:numPr>
        <w:rPr>
          <w:rFonts w:ascii="Arial" w:cs="Arial" w:eastAsia="Arial" w:hAnsi="Arial"/>
          <w:sz w:val="16"/>
          <w:szCs w:val="16"/>
          <w:color w:val="auto"/>
        </w:rPr>
      </w:pPr>
      <w:r>
        <w:rPr>
          <w:rFonts w:ascii="Arial" w:cs="Arial" w:eastAsia="Arial" w:hAnsi="Arial"/>
          <w:sz w:val="16"/>
          <w:szCs w:val="16"/>
          <w:color w:val="auto"/>
        </w:rPr>
        <w:t>deed, mortgage or other instrument conveying title to, or creating or discharging a lien upon, real property,</w:t>
      </w:r>
    </w:p>
    <w:p>
      <w:pPr>
        <w:spacing w:after="0" w:line="29" w:lineRule="exact"/>
        <w:rPr>
          <w:rFonts w:ascii="Arial" w:cs="Arial" w:eastAsia="Arial" w:hAnsi="Arial"/>
          <w:sz w:val="16"/>
          <w:szCs w:val="16"/>
          <w:color w:val="auto"/>
        </w:rPr>
      </w:pPr>
    </w:p>
    <w:p>
      <w:pPr>
        <w:ind w:left="1460" w:hanging="358"/>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130" w:lineRule="exact"/>
        <w:rPr>
          <w:rFonts w:ascii="Arial" w:cs="Arial" w:eastAsia="Arial" w:hAnsi="Arial"/>
          <w:sz w:val="18"/>
          <w:szCs w:val="18"/>
          <w:color w:val="auto"/>
        </w:rPr>
      </w:pPr>
    </w:p>
    <w:p>
      <w:pPr>
        <w:ind w:left="1460" w:right="340" w:hanging="358"/>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75" w:lineRule="exact"/>
        <w:rPr>
          <w:rFonts w:ascii="Arial" w:cs="Arial" w:eastAsia="Arial" w:hAnsi="Arial"/>
          <w:sz w:val="18"/>
          <w:szCs w:val="18"/>
          <w:color w:val="auto"/>
        </w:rPr>
      </w:pPr>
    </w:p>
    <w:p>
      <w:pPr>
        <w:ind w:left="1460" w:right="340" w:hanging="358"/>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131" w:lineRule="exact"/>
        <w:rPr>
          <w:sz w:val="20"/>
          <w:szCs w:val="20"/>
          <w:color w:val="auto"/>
        </w:rPr>
      </w:pPr>
    </w:p>
    <w:p>
      <w:pPr>
        <w:ind w:left="1840" w:right="60" w:hanging="374"/>
        <w:spacing w:after="0" w:line="257" w:lineRule="auto"/>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bears a signature of any maker, drawer, issuer, endorser, assignor, lessee, transfer agent, registrar, acceptor, surety, guarantor, or of any person signing in any other capacity which is a Forgery, or</w:t>
      </w:r>
    </w:p>
    <w:p>
      <w:pPr>
        <w:spacing w:after="0" w:line="93" w:lineRule="exact"/>
        <w:rPr>
          <w:rFonts w:ascii="Arial" w:cs="Arial" w:eastAsia="Arial" w:hAnsi="Arial"/>
          <w:sz w:val="18"/>
          <w:szCs w:val="18"/>
          <w:color w:val="auto"/>
        </w:rPr>
      </w:pPr>
    </w:p>
    <w:p>
      <w:pPr>
        <w:ind w:left="1840" w:hanging="374"/>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130" w:lineRule="exact"/>
        <w:rPr>
          <w:rFonts w:ascii="Arial" w:cs="Arial" w:eastAsia="Arial" w:hAnsi="Arial"/>
          <w:sz w:val="18"/>
          <w:szCs w:val="18"/>
          <w:color w:val="auto"/>
        </w:rPr>
      </w:pPr>
    </w:p>
    <w:p>
      <w:pPr>
        <w:ind w:left="1840" w:hanging="374"/>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225" w:lineRule="exact"/>
        <w:rPr>
          <w:rFonts w:ascii="Arial" w:cs="Arial" w:eastAsia="Arial" w:hAnsi="Arial"/>
          <w:sz w:val="18"/>
          <w:szCs w:val="18"/>
          <w:color w:val="auto"/>
        </w:rPr>
      </w:pPr>
    </w:p>
    <w:p>
      <w:pPr>
        <w:ind w:right="320" w:firstLine="728"/>
        <w:spacing w:after="0" w:line="26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guaranteed in writing or witnessed any signature upon any transfer, assignment, bill of sale, power of attorney, Guarantee , or any items listed in (a) through (c) above;</w:t>
      </w:r>
    </w:p>
    <w:p>
      <w:pPr>
        <w:spacing w:after="0" w:line="181" w:lineRule="exact"/>
        <w:rPr>
          <w:rFonts w:ascii="Arial" w:cs="Arial" w:eastAsia="Arial" w:hAnsi="Arial"/>
          <w:sz w:val="18"/>
          <w:szCs w:val="18"/>
          <w:color w:val="auto"/>
        </w:rPr>
      </w:pPr>
    </w:p>
    <w:p>
      <w:pPr>
        <w:jc w:val="both"/>
        <w:ind w:right="100" w:firstLine="728"/>
        <w:spacing w:after="0" w:line="26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item listed in (a) and (b) above which is a Counterfeit.</w:t>
      </w:r>
    </w:p>
    <w:p>
      <w:pPr>
        <w:sectPr>
          <w:pgSz w:w="11900" w:h="16838" w:orient="portrait"/>
          <w:cols w:equalWidth="0" w:num="2">
            <w:col w:w="5480" w:space="340"/>
            <w:col w:w="5520"/>
          </w:cols>
          <w:pgMar w:left="240" w:top="274" w:right="319" w:bottom="2" w:gutter="0" w:footer="0" w:header="0"/>
          <w:type w:val="continuous"/>
        </w:sectPr>
      </w:pPr>
    </w:p>
    <w:bookmarkStart w:id="6" w:name="page7"/>
    <w:bookmarkEnd w:id="6"/>
    <w:p>
      <w:pPr>
        <w:ind w:left="740" w:hanging="367"/>
        <w:spacing w:after="0" w:line="31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Transportation Company and being transported in a conveyance other than an armored motor vehicle provided that covered Property transported in such manner is limited to the following:</w:t>
      </w:r>
    </w:p>
    <w:p>
      <w:pPr>
        <w:spacing w:after="0" w:line="52" w:lineRule="exact"/>
        <w:rPr>
          <w:rFonts w:ascii="Arial" w:cs="Arial" w:eastAsia="Arial" w:hAnsi="Arial"/>
          <w:sz w:val="16"/>
          <w:szCs w:val="16"/>
          <w:color w:val="auto"/>
        </w:rPr>
      </w:pPr>
    </w:p>
    <w:p>
      <w:pPr>
        <w:ind w:left="1100" w:hanging="363"/>
        <w:spacing w:after="0"/>
        <w:tabs>
          <w:tab w:leader="none" w:pos="11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records, whether recorded in writing or electronically, and</w:t>
      </w:r>
    </w:p>
    <w:p>
      <w:pPr>
        <w:spacing w:after="0" w:line="20" w:lineRule="exact"/>
        <w:rPr>
          <w:sz w:val="20"/>
          <w:szCs w:val="20"/>
          <w:color w:val="auto"/>
        </w:rPr>
      </w:pPr>
      <w:r>
        <w:rPr>
          <w:sz w:val="20"/>
          <w:szCs w:val="20"/>
          <w:color w:val="auto"/>
        </w:rPr>
        <w:br w:type="column"/>
      </w:r>
    </w:p>
    <w:p>
      <w:pPr>
        <w:ind w:right="14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COUNTERFEIT CURRENCY</w:t>
      </w:r>
    </w:p>
    <w:p>
      <w:pPr>
        <w:spacing w:after="0" w:line="36" w:lineRule="exact"/>
        <w:rPr>
          <w:sz w:val="20"/>
          <w:szCs w:val="20"/>
          <w:color w:val="auto"/>
        </w:rPr>
      </w:pPr>
    </w:p>
    <w:p>
      <w:pPr>
        <w:sectPr>
          <w:pgSz w:w="11900" w:h="16838" w:orient="portrait"/>
          <w:cols w:equalWidth="0" w:num="2">
            <w:col w:w="5460" w:space="360"/>
            <w:col w:w="5600"/>
          </w:cols>
          <w:pgMar w:left="240" w:top="125" w:right="239" w:bottom="1440" w:gutter="0" w:footer="0" w:header="0"/>
        </w:sectPr>
      </w:pPr>
    </w:p>
    <w:p>
      <w:pPr>
        <w:ind w:left="1100" w:right="348" w:hanging="363"/>
        <w:spacing w:after="0" w:line="308" w:lineRule="auto"/>
        <w:tabs>
          <w:tab w:leader="none" w:pos="11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Certificated Securities issued in registered form and not endorsed, or with restrictive endorsements, and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68" w:right="140" w:firstLine="368"/>
        <w:spacing w:after="0" w:line="286" w:lineRule="auto"/>
        <w:tabs>
          <w:tab w:leader="none" w:pos="257"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 resulting directly from the receipt by the Insured, in good faith, of any Counterfeit Money of the United States of America, Canada or of any other country in which the Insured maintains a branch office.</w:t>
      </w:r>
    </w:p>
    <w:p>
      <w:pPr>
        <w:spacing w:after="0" w:line="200" w:lineRule="exact"/>
        <w:rPr>
          <w:sz w:val="20"/>
          <w:szCs w:val="20"/>
          <w:color w:val="auto"/>
        </w:rPr>
      </w:pPr>
    </w:p>
    <w:p>
      <w:pPr>
        <w:sectPr>
          <w:pgSz w:w="11900" w:h="16838" w:orient="portrait"/>
          <w:cols w:equalWidth="0" w:num="2">
            <w:col w:w="5468" w:space="720"/>
            <w:col w:w="5232"/>
          </w:cols>
          <w:pgMar w:left="240" w:top="125" w:right="239"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AGREEMENTS</w:t>
      </w:r>
    </w:p>
    <w:p>
      <w:pPr>
        <w:sectPr>
          <w:pgSz w:w="11900" w:h="16838" w:orient="portrait"/>
          <w:cols w:equalWidth="0" w:num="1">
            <w:col w:w="11420"/>
          </w:cols>
          <w:pgMar w:left="240" w:top="125" w:right="239" w:bottom="1440" w:gutter="0" w:footer="0" w:header="0"/>
          <w:type w:val="continuous"/>
        </w:sectPr>
      </w:pPr>
    </w:p>
    <w:p>
      <w:pPr>
        <w:spacing w:after="0" w:line="310"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374" w:lineRule="exact"/>
        <w:rPr>
          <w:sz w:val="20"/>
          <w:szCs w:val="20"/>
          <w:color w:val="auto"/>
        </w:rPr>
      </w:pPr>
    </w:p>
    <w:p>
      <w:pPr>
        <w:jc w:val="center"/>
        <w:ind w:left="120" w:right="140"/>
        <w:spacing w:after="0" w:line="308" w:lineRule="auto"/>
        <w:rPr>
          <w:sz w:val="20"/>
          <w:szCs w:val="20"/>
          <w:color w:val="auto"/>
        </w:rPr>
      </w:pPr>
      <w:r>
        <w:rPr>
          <w:rFonts w:ascii="Arial" w:cs="Arial" w:eastAsia="Arial" w:hAnsi="Arial"/>
          <w:sz w:val="17"/>
          <w:szCs w:val="17"/>
          <w:color w:val="auto"/>
        </w:rPr>
        <w:t>ADDITIONAL OFFICES OR EMPLOYEES – CONSOLIDATION, MERGER OR PURCHASE OF ASSETS – NOTICE</w:t>
      </w:r>
    </w:p>
    <w:p>
      <w:pPr>
        <w:spacing w:after="0" w:line="14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B. 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187" w:lineRule="exact"/>
        <w:rPr>
          <w:sz w:val="20"/>
          <w:szCs w:val="20"/>
          <w:color w:val="auto"/>
        </w:rPr>
      </w:pPr>
    </w:p>
    <w:p>
      <w:pPr>
        <w:ind w:left="620" w:hanging="252"/>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225" w:lineRule="exact"/>
        <w:rPr>
          <w:rFonts w:ascii="Arial" w:cs="Arial" w:eastAsia="Arial" w:hAnsi="Arial"/>
          <w:sz w:val="18"/>
          <w:szCs w:val="18"/>
          <w:color w:val="auto"/>
        </w:rPr>
      </w:pPr>
    </w:p>
    <w:p>
      <w:pPr>
        <w:ind w:right="160" w:firstLine="368"/>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170" w:lineRule="exact"/>
        <w:rPr>
          <w:rFonts w:ascii="Arial" w:cs="Arial" w:eastAsia="Arial" w:hAnsi="Arial"/>
          <w:sz w:val="18"/>
          <w:szCs w:val="18"/>
          <w:color w:val="auto"/>
        </w:rPr>
      </w:pPr>
    </w:p>
    <w:p>
      <w:pPr>
        <w:ind w:right="360" w:firstLine="368"/>
        <w:spacing w:after="0" w:line="286" w:lineRule="auto"/>
        <w:tabs>
          <w:tab w:leader="none" w:pos="6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has arisen or will arise out of the assets or liabilities acquired by the Insured as a result of such consolidation, merger or purchase or acquisition of assets or liabilities unless the Insured shall</w:t>
      </w:r>
    </w:p>
    <w:p>
      <w:pPr>
        <w:spacing w:after="0" w:line="70" w:lineRule="exact"/>
        <w:rPr>
          <w:rFonts w:ascii="Arial" w:cs="Arial" w:eastAsia="Arial" w:hAnsi="Arial"/>
          <w:sz w:val="17"/>
          <w:szCs w:val="17"/>
          <w:color w:val="auto"/>
        </w:rPr>
      </w:pPr>
    </w:p>
    <w:p>
      <w:pPr>
        <w:ind w:left="1100" w:right="160" w:hanging="363"/>
        <w:spacing w:after="0" w:line="259" w:lineRule="auto"/>
        <w:tabs>
          <w:tab w:leader="none" w:pos="11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92" w:lineRule="exact"/>
        <w:rPr>
          <w:rFonts w:ascii="Arial" w:cs="Arial" w:eastAsia="Arial" w:hAnsi="Arial"/>
          <w:sz w:val="18"/>
          <w:szCs w:val="18"/>
          <w:color w:val="auto"/>
        </w:rPr>
      </w:pPr>
    </w:p>
    <w:p>
      <w:pPr>
        <w:ind w:left="1100" w:right="180" w:hanging="363"/>
        <w:spacing w:after="0" w:line="312"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obtain the written consent of the Underwriter to extend the coverage provided by this bond to such additional offices or premises, Employees and other exposures, and</w:t>
      </w:r>
    </w:p>
    <w:p>
      <w:pPr>
        <w:spacing w:after="0" w:line="200" w:lineRule="exact"/>
        <w:rPr>
          <w:sz w:val="20"/>
          <w:szCs w:val="20"/>
          <w:color w:val="auto"/>
        </w:rPr>
      </w:pPr>
    </w:p>
    <w:p>
      <w:pPr>
        <w:sectPr>
          <w:pgSz w:w="11900" w:h="16838" w:orient="portrait"/>
          <w:cols w:equalWidth="0" w:num="2">
            <w:col w:w="5360" w:space="460"/>
            <w:col w:w="5600"/>
          </w:cols>
          <w:pgMar w:left="240" w:top="125" w:right="239" w:bottom="1440" w:gutter="0" w:footer="0" w:header="0"/>
          <w:type w:val="continuous"/>
        </w:sectPr>
      </w:pPr>
    </w:p>
    <w:p>
      <w:pPr>
        <w:spacing w:after="0" w:line="14"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420"/>
          </w:cols>
          <w:pgMar w:left="240" w:top="125" w:right="239" w:bottom="1440" w:gutter="0" w:footer="0" w:header="0"/>
          <w:type w:val="continuous"/>
        </w:sectPr>
      </w:pPr>
    </w:p>
    <w:bookmarkStart w:id="7" w:name="page8"/>
    <w:bookmarkEnd w:id="7"/>
    <w:p>
      <w:pPr>
        <w:ind w:left="1100" w:right="380" w:hanging="363"/>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pacing w:after="0" w:line="38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 OF CONTROL—NOTICE</w:t>
      </w:r>
    </w:p>
    <w:p>
      <w:pPr>
        <w:spacing w:after="0" w:line="22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C. When the Insured learns of a change in control, it shall give written notice to the Underwriter.</w:t>
      </w:r>
    </w:p>
    <w:p>
      <w:pPr>
        <w:spacing w:after="0" w:line="170"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 Failure to give the required notice shall result in termination of coverage for any loss involving a transferee. to be effective upon the date of the stock transfer.</w:t>
      </w:r>
    </w:p>
    <w:p>
      <w:pPr>
        <w:spacing w:after="0" w:line="3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REPRESENTATION OF INSURED</w:t>
      </w:r>
    </w:p>
    <w:p>
      <w:pPr>
        <w:spacing w:after="0" w:line="22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D. The Insured represents that the information furnished in the application for this bond is complete, true and correct. Such application constitutes part of this bond. Any misrepresentation, omission, concealment or incorrect statement of a material fact, in the application or otherwise, shall be grounds for the rescission of this bond.</w:t>
      </w:r>
    </w:p>
    <w:p>
      <w:pPr>
        <w:spacing w:after="0" w:line="38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JOINT INSURED</w:t>
      </w:r>
    </w:p>
    <w:p>
      <w:pPr>
        <w:spacing w:after="0" w:line="22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-704850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INSURED—ELECTION TO DEFEND</w:t>
      </w:r>
    </w:p>
    <w:p>
      <w:pPr>
        <w:spacing w:after="0" w:line="211" w:lineRule="exact"/>
        <w:rPr>
          <w:sz w:val="20"/>
          <w:szCs w:val="20"/>
          <w:color w:val="auto"/>
        </w:rPr>
      </w:pPr>
    </w:p>
    <w:p>
      <w:pPr>
        <w:ind w:right="40" w:firstLine="359"/>
        <w:spacing w:after="0" w:line="273" w:lineRule="auto"/>
        <w:rPr>
          <w:sz w:val="20"/>
          <w:szCs w:val="20"/>
          <w:color w:val="auto"/>
        </w:rPr>
      </w:pPr>
      <w:r>
        <w:rPr>
          <w:rFonts w:ascii="Arial" w:cs="Arial" w:eastAsia="Arial" w:hAnsi="Arial"/>
          <w:sz w:val="17"/>
          <w:szCs w:val="17"/>
          <w:color w:val="auto"/>
        </w:rPr>
        <w:t>F. 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78" w:lineRule="exact"/>
        <w:rPr>
          <w:sz w:val="20"/>
          <w:szCs w:val="20"/>
          <w:color w:val="auto"/>
        </w:rPr>
      </w:pPr>
    </w:p>
    <w:p>
      <w:pPr>
        <w:ind w:firstLine="359"/>
        <w:spacing w:after="0" w:line="297" w:lineRule="auto"/>
        <w:rPr>
          <w:sz w:val="20"/>
          <w:szCs w:val="20"/>
          <w:color w:val="auto"/>
        </w:rPr>
      </w:pPr>
      <w:r>
        <w:rPr>
          <w:rFonts w:ascii="Arial" w:cs="Arial" w:eastAsia="Arial" w:hAnsi="Arial"/>
          <w:sz w:val="16"/>
          <w:szCs w:val="16"/>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58" w:lineRule="exact"/>
        <w:rPr>
          <w:sz w:val="20"/>
          <w:szCs w:val="20"/>
          <w:color w:val="auto"/>
        </w:rPr>
      </w:pPr>
    </w:p>
    <w:p>
      <w:pPr>
        <w:ind w:firstLine="359"/>
        <w:spacing w:after="0" w:line="255"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193" w:lineRule="exact"/>
        <w:rPr>
          <w:sz w:val="20"/>
          <w:szCs w:val="20"/>
          <w:color w:val="auto"/>
        </w:rPr>
      </w:pPr>
    </w:p>
    <w:p>
      <w:pPr>
        <w:ind w:right="40" w:firstLine="359"/>
        <w:spacing w:after="0" w:line="254" w:lineRule="auto"/>
        <w:rPr>
          <w:sz w:val="20"/>
          <w:szCs w:val="20"/>
          <w:color w:val="auto"/>
        </w:rPr>
      </w:pPr>
      <w:r>
        <w:rPr>
          <w:rFonts w:ascii="Arial" w:cs="Arial" w:eastAsia="Arial" w:hAnsi="Arial"/>
          <w:sz w:val="18"/>
          <w:szCs w:val="18"/>
          <w:color w:val="auto"/>
        </w:rPr>
        <w:t>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192" w:lineRule="exact"/>
        <w:rPr>
          <w:sz w:val="20"/>
          <w:szCs w:val="20"/>
          <w:color w:val="auto"/>
        </w:rPr>
      </w:pPr>
    </w:p>
    <w:p>
      <w:pPr>
        <w:ind w:right="40" w:firstLine="359"/>
        <w:spacing w:after="0" w:line="290" w:lineRule="auto"/>
        <w:rPr>
          <w:sz w:val="20"/>
          <w:szCs w:val="20"/>
          <w:color w:val="auto"/>
        </w:rPr>
      </w:pPr>
      <w:r>
        <w:rPr>
          <w:rFonts w:ascii="Arial" w:cs="Arial" w:eastAsia="Arial" w:hAnsi="Arial"/>
          <w:sz w:val="16"/>
          <w:szCs w:val="16"/>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200" w:lineRule="exact"/>
        <w:rPr>
          <w:sz w:val="20"/>
          <w:szCs w:val="20"/>
          <w:color w:val="auto"/>
        </w:rPr>
      </w:pPr>
    </w:p>
    <w:p>
      <w:pPr>
        <w:sectPr>
          <w:pgSz w:w="11900" w:h="16838" w:orient="portrait"/>
          <w:cols w:equalWidth="0" w:num="2">
            <w:col w:w="5480" w:space="340"/>
            <w:col w:w="5480"/>
          </w:cols>
          <w:pgMar w:left="240" w:top="328" w:right="359" w:bottom="0" w:gutter="0" w:footer="0" w:header="0"/>
        </w:sect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AND LIMITATIONS</w:t>
      </w:r>
    </w:p>
    <w:p>
      <w:pPr>
        <w:sectPr>
          <w:pgSz w:w="11900" w:h="16838" w:orient="portrait"/>
          <w:cols w:equalWidth="0" w:num="1">
            <w:col w:w="11300"/>
          </w:cols>
          <w:pgMar w:left="240" w:top="328" w:right="359" w:bottom="0" w:gutter="0" w:footer="0" w:header="0"/>
          <w:type w:val="continuous"/>
        </w:sectPr>
      </w:pPr>
    </w:p>
    <w:p>
      <w:pPr>
        <w:spacing w:after="0" w:line="31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117" w:lineRule="exact"/>
        <w:rPr>
          <w:sz w:val="20"/>
          <w:szCs w:val="20"/>
          <w:color w:val="auto"/>
        </w:rPr>
      </w:pPr>
    </w:p>
    <w:p>
      <w:pPr>
        <w:ind w:right="428" w:firstLine="368"/>
        <w:spacing w:after="0" w:line="277"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170" w:lineRule="exact"/>
        <w:rPr>
          <w:rFonts w:ascii="Arial" w:cs="Arial" w:eastAsia="Arial" w:hAnsi="Arial"/>
          <w:sz w:val="18"/>
          <w:szCs w:val="18"/>
          <w:color w:val="auto"/>
        </w:rPr>
      </w:pPr>
    </w:p>
    <w:p>
      <w:pPr>
        <w:ind w:right="188" w:firstLine="368"/>
        <w:spacing w:after="0" w:line="342" w:lineRule="auto"/>
        <w:tabs>
          <w:tab w:leader="none" w:pos="6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Certificate of Deposit means an acknowledgment in writing by a financial institution of receipt of Money with an engagement to repay it.</w:t>
      </w:r>
    </w:p>
    <w:p>
      <w:pPr>
        <w:spacing w:after="0" w:line="123" w:lineRule="exact"/>
        <w:rPr>
          <w:rFonts w:ascii="Arial" w:cs="Arial" w:eastAsia="Arial" w:hAnsi="Arial"/>
          <w:sz w:val="16"/>
          <w:szCs w:val="16"/>
          <w:color w:val="auto"/>
        </w:rPr>
      </w:pPr>
    </w:p>
    <w:p>
      <w:pPr>
        <w:ind w:right="128" w:firstLine="368"/>
        <w:spacing w:after="0" w:line="264" w:lineRule="auto"/>
        <w:tabs>
          <w:tab w:leader="none" w:pos="6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100" w:right="148" w:hanging="363"/>
        <w:spacing w:after="0" w:line="277"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75" w:lineRule="exact"/>
        <w:rPr>
          <w:rFonts w:ascii="Arial" w:cs="Arial" w:eastAsia="Arial" w:hAnsi="Arial"/>
          <w:sz w:val="18"/>
          <w:szCs w:val="18"/>
          <w:color w:val="auto"/>
        </w:rPr>
      </w:pPr>
    </w:p>
    <w:p>
      <w:pPr>
        <w:ind w:left="1100" w:right="128" w:hanging="363"/>
        <w:spacing w:after="0" w:line="286" w:lineRule="auto"/>
        <w:tabs>
          <w:tab w:leader="none" w:pos="11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of a type commonly dealt in on securities exchanges or markets or commonly recognized in any area in which it is issued or dealt in as a medium for investment; and</w:t>
      </w:r>
    </w:p>
    <w:p>
      <w:pPr>
        <w:spacing w:after="0" w:line="70" w:lineRule="exact"/>
        <w:rPr>
          <w:rFonts w:ascii="Arial" w:cs="Arial" w:eastAsia="Arial" w:hAnsi="Arial"/>
          <w:sz w:val="17"/>
          <w:szCs w:val="17"/>
          <w:color w:val="auto"/>
        </w:rPr>
      </w:pPr>
    </w:p>
    <w:p>
      <w:pPr>
        <w:ind w:left="1100" w:right="88" w:hanging="363"/>
        <w:spacing w:after="0" w:line="264"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right="68" w:firstLine="368"/>
        <w:spacing w:after="0" w:line="27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732" w:right="40" w:hanging="363"/>
        <w:spacing w:after="0" w:line="277" w:lineRule="auto"/>
        <w:tabs>
          <w:tab w:leader="none" w:pos="7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170" w:lineRule="exact"/>
        <w:rPr>
          <w:rFonts w:ascii="Arial" w:cs="Arial" w:eastAsia="Arial" w:hAnsi="Arial"/>
          <w:sz w:val="18"/>
          <w:szCs w:val="18"/>
          <w:color w:val="auto"/>
        </w:rPr>
      </w:pPr>
    </w:p>
    <w:p>
      <w:pPr>
        <w:ind w:left="-368" w:right="120" w:firstLine="368"/>
        <w:spacing w:after="0" w:line="259" w:lineRule="auto"/>
        <w:tabs>
          <w:tab w:leader="none" w:pos="2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186" w:lineRule="exact"/>
        <w:rPr>
          <w:rFonts w:ascii="Arial" w:cs="Arial" w:eastAsia="Arial" w:hAnsi="Arial"/>
          <w:sz w:val="18"/>
          <w:szCs w:val="18"/>
          <w:color w:val="auto"/>
        </w:rPr>
      </w:pPr>
    </w:p>
    <w:p>
      <w:pPr>
        <w:ind w:left="-368" w:right="40" w:firstLine="368"/>
        <w:spacing w:after="0" w:line="286" w:lineRule="auto"/>
        <w:tabs>
          <w:tab w:leader="none" w:pos="247" w:val="left"/>
        </w:tabs>
        <w:numPr>
          <w:ilvl w:val="0"/>
          <w:numId w:val="22"/>
        </w:numPr>
        <w:rPr>
          <w:rFonts w:ascii="Arial" w:cs="Arial" w:eastAsia="Arial" w:hAnsi="Arial"/>
          <w:sz w:val="17"/>
          <w:szCs w:val="17"/>
          <w:color w:val="auto"/>
        </w:rPr>
      </w:pPr>
      <w:r>
        <w:rPr>
          <w:rFonts w:ascii="Arial" w:cs="Arial" w:eastAsia="Arial" w:hAnsi="Arial"/>
          <w:sz w:val="17"/>
          <w:szCs w:val="17"/>
          <w:color w:val="auto"/>
        </w:rPr>
        <w:t>Financial Interest in the Insured of the Insured’s general partner(s), or limited partner(s), committing dishonest or fraudulent acts covered by this bond or concerned or implicated therein means:</w:t>
      </w:r>
    </w:p>
    <w:p>
      <w:pPr>
        <w:spacing w:after="0" w:line="70" w:lineRule="exact"/>
        <w:rPr>
          <w:rFonts w:ascii="Arial" w:cs="Arial" w:eastAsia="Arial" w:hAnsi="Arial"/>
          <w:sz w:val="17"/>
          <w:szCs w:val="17"/>
          <w:color w:val="auto"/>
        </w:rPr>
      </w:pPr>
    </w:p>
    <w:p>
      <w:pPr>
        <w:ind w:left="732" w:right="20" w:hanging="363"/>
        <w:spacing w:after="0" w:line="259" w:lineRule="auto"/>
        <w:tabs>
          <w:tab w:leader="none" w:pos="7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respects general partners the value of all right, title and interest of such general partner(s), determined as of the close of business on the date of discovery of loss covered by this bond, in the aggregate of:</w:t>
      </w:r>
    </w:p>
    <w:p>
      <w:pPr>
        <w:sectPr>
          <w:pgSz w:w="11900" w:h="16838" w:orient="portrait"/>
          <w:cols w:equalWidth="0" w:num="2">
            <w:col w:w="5468" w:space="720"/>
            <w:col w:w="5112"/>
          </w:cols>
          <w:pgMar w:left="240" w:top="328" w:right="359" w:bottom="0" w:gutter="0" w:footer="0" w:header="0"/>
          <w:type w:val="continuous"/>
        </w:sectPr>
      </w:pPr>
    </w:p>
    <w:bookmarkStart w:id="8" w:name="page9"/>
    <w:bookmarkEnd w:id="8"/>
    <w:p>
      <w:pPr>
        <w:ind w:left="620" w:hanging="252"/>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1460" w:right="840" w:hanging="358"/>
        <w:spacing w:after="0" w:line="255"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98" w:lineRule="exact"/>
        <w:rPr>
          <w:rFonts w:ascii="Arial" w:cs="Arial" w:eastAsia="Arial" w:hAnsi="Arial"/>
          <w:sz w:val="18"/>
          <w:szCs w:val="18"/>
          <w:color w:val="auto"/>
        </w:rPr>
      </w:pPr>
    </w:p>
    <w:p>
      <w:pPr>
        <w:jc w:val="both"/>
        <w:ind w:left="1460" w:right="740" w:hanging="358"/>
        <w:spacing w:after="0" w:line="264"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86" w:lineRule="exact"/>
        <w:rPr>
          <w:rFonts w:ascii="Arial" w:cs="Arial" w:eastAsia="Arial" w:hAnsi="Arial"/>
          <w:sz w:val="18"/>
          <w:szCs w:val="18"/>
          <w:color w:val="auto"/>
        </w:rPr>
      </w:pPr>
    </w:p>
    <w:p>
      <w:pPr>
        <w:ind w:left="1460" w:right="800" w:hanging="358"/>
        <w:spacing w:after="0" w:line="255"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98" w:lineRule="exact"/>
        <w:rPr>
          <w:rFonts w:ascii="Arial" w:cs="Arial" w:eastAsia="Arial" w:hAnsi="Arial"/>
          <w:sz w:val="18"/>
          <w:szCs w:val="18"/>
          <w:color w:val="auto"/>
        </w:rPr>
      </w:pPr>
    </w:p>
    <w:p>
      <w:pPr>
        <w:ind w:left="1460" w:right="720" w:hanging="358"/>
        <w:spacing w:after="0" w:line="342"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 employee of an institution merged or consolidated with the Insured prior to the effective date of this bond;</w:t>
      </w:r>
    </w:p>
    <w:p>
      <w:pPr>
        <w:spacing w:after="0" w:line="29" w:lineRule="exact"/>
        <w:rPr>
          <w:rFonts w:ascii="Arial" w:cs="Arial" w:eastAsia="Arial" w:hAnsi="Arial"/>
          <w:sz w:val="16"/>
          <w:szCs w:val="16"/>
          <w:color w:val="auto"/>
        </w:rPr>
      </w:pPr>
    </w:p>
    <w:p>
      <w:pPr>
        <w:ind w:left="1460" w:right="800" w:hanging="358"/>
        <w:spacing w:after="0" w:line="287"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20" w:lineRule="exact"/>
        <w:rPr>
          <w:sz w:val="20"/>
          <w:szCs w:val="20"/>
          <w:color w:val="auto"/>
        </w:rPr>
      </w:pPr>
      <w:r>
        <w:rPr>
          <w:sz w:val="20"/>
          <w:szCs w:val="20"/>
          <w:color w:val="auto"/>
        </w:rPr>
        <w:br w:type="column"/>
      </w:r>
    </w:p>
    <w:p>
      <w:pPr>
        <w:ind w:left="380" w:right="200" w:hanging="358"/>
        <w:spacing w:after="0" w:line="285"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80" w:lineRule="exact"/>
        <w:rPr>
          <w:rFonts w:ascii="Arial" w:cs="Arial" w:eastAsia="Arial" w:hAnsi="Arial"/>
          <w:sz w:val="16"/>
          <w:szCs w:val="16"/>
          <w:color w:val="auto"/>
        </w:rPr>
      </w:pPr>
    </w:p>
    <w:p>
      <w:pPr>
        <w:ind w:left="380" w:right="160" w:hanging="358"/>
        <w:spacing w:after="0" w:line="297"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w:t>
      </w:r>
    </w:p>
    <w:p>
      <w:pPr>
        <w:spacing w:after="0" w:line="1020" w:lineRule="exact"/>
        <w:rPr>
          <w:sz w:val="20"/>
          <w:szCs w:val="20"/>
          <w:color w:val="auto"/>
        </w:rPr>
      </w:pPr>
    </w:p>
    <w:p>
      <w:pPr>
        <w:sectPr>
          <w:pgSz w:w="11900" w:h="16838" w:orient="portrait"/>
          <w:cols w:equalWidth="0" w:num="2">
            <w:col w:w="6180" w:space="720"/>
            <w:col w:w="4520"/>
          </w:cols>
          <w:pgMar w:left="240" w:top="125" w:right="239" w:bottom="1440" w:gutter="0" w:footer="0" w:header="0"/>
        </w:sectPr>
      </w:pPr>
    </w:p>
    <w:p>
      <w:pPr>
        <w:spacing w:after="0" w:line="50"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420"/>
          </w:cols>
          <w:pgMar w:left="240" w:top="125" w:right="239" w:bottom="1440" w:gutter="0" w:footer="0" w:header="0"/>
          <w:type w:val="continuous"/>
        </w:sectPr>
      </w:pPr>
    </w:p>
    <w:bookmarkStart w:id="9" w:name="page10"/>
    <w:bookmarkEnd w:id="9"/>
    <w:p>
      <w:pPr>
        <w:ind w:left="1072" w:right="80"/>
        <w:spacing w:after="0" w:line="270" w:lineRule="auto"/>
        <w:rPr>
          <w:sz w:val="20"/>
          <w:szCs w:val="20"/>
          <w:color w:val="auto"/>
        </w:rPr>
      </w:pPr>
      <w:r>
        <w:rPr>
          <w:rFonts w:ascii="Arial" w:cs="Arial" w:eastAsia="Arial" w:hAnsi="Arial"/>
          <w:sz w:val="17"/>
          <w:szCs w:val="17"/>
          <w:color w:val="auto"/>
        </w:rPr>
        <w:t>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83" w:lineRule="exact"/>
        <w:rPr>
          <w:sz w:val="20"/>
          <w:szCs w:val="20"/>
          <w:color w:val="auto"/>
        </w:rPr>
      </w:pPr>
    </w:p>
    <w:p>
      <w:pPr>
        <w:ind w:left="732" w:right="600" w:hanging="363"/>
        <w:spacing w:after="0" w:line="277" w:lineRule="auto"/>
        <w:tabs>
          <w:tab w:leader="none" w:pos="7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investment in the Insured.</w:t>
      </w:r>
    </w:p>
    <w:p>
      <w:pPr>
        <w:spacing w:after="0" w:line="170" w:lineRule="exact"/>
        <w:rPr>
          <w:rFonts w:ascii="Arial" w:cs="Arial" w:eastAsia="Arial" w:hAnsi="Arial"/>
          <w:sz w:val="18"/>
          <w:szCs w:val="18"/>
          <w:color w:val="auto"/>
        </w:rPr>
      </w:pPr>
    </w:p>
    <w:p>
      <w:pPr>
        <w:ind w:left="-368" w:right="380" w:firstLine="368"/>
        <w:spacing w:after="0" w:line="279" w:lineRule="auto"/>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171" w:lineRule="exact"/>
        <w:rPr>
          <w:rFonts w:ascii="Arial" w:cs="Arial" w:eastAsia="Arial" w:hAnsi="Arial"/>
          <w:sz w:val="17"/>
          <w:szCs w:val="17"/>
          <w:color w:val="auto"/>
        </w:rPr>
      </w:pPr>
    </w:p>
    <w:p>
      <w:pPr>
        <w:jc w:val="both"/>
        <w:ind w:left="-368" w:right="60" w:firstLine="368"/>
        <w:spacing w:after="0" w:line="279" w:lineRule="auto"/>
        <w:tabs>
          <w:tab w:leader="none" w:pos="2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171" w:lineRule="exact"/>
        <w:rPr>
          <w:rFonts w:ascii="Arial" w:cs="Arial" w:eastAsia="Arial" w:hAnsi="Arial"/>
          <w:sz w:val="17"/>
          <w:szCs w:val="17"/>
          <w:color w:val="auto"/>
        </w:rPr>
      </w:pPr>
    </w:p>
    <w:p>
      <w:pPr>
        <w:ind w:left="-368" w:right="100" w:firstLine="368"/>
        <w:spacing w:after="0" w:line="286" w:lineRule="auto"/>
        <w:tabs>
          <w:tab w:leader="none" w:pos="207"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Instruction means a written order to the issuer of an Uncertificated Security requesting that the transfer, pledge, or release from pledge of the Uncertificated Security specified be registered.</w:t>
      </w:r>
    </w:p>
    <w:p>
      <w:pPr>
        <w:spacing w:after="0" w:line="165" w:lineRule="exact"/>
        <w:rPr>
          <w:rFonts w:ascii="Arial" w:cs="Arial" w:eastAsia="Arial" w:hAnsi="Arial"/>
          <w:sz w:val="17"/>
          <w:szCs w:val="17"/>
          <w:color w:val="auto"/>
        </w:rPr>
      </w:pPr>
    </w:p>
    <w:p>
      <w:pPr>
        <w:ind w:left="-368" w:firstLine="368"/>
        <w:spacing w:after="0" w:line="259" w:lineRule="auto"/>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187" w:lineRule="exact"/>
        <w:rPr>
          <w:sz w:val="20"/>
          <w:szCs w:val="20"/>
          <w:color w:val="auto"/>
        </w:rPr>
      </w:pPr>
    </w:p>
    <w:p>
      <w:pPr>
        <w:ind w:left="-368" w:right="160" w:firstLine="368"/>
        <w:spacing w:after="0" w:line="342" w:lineRule="auto"/>
        <w:tabs>
          <w:tab w:leader="none" w:pos="217"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Money means a medium of exchange in current use authorized or adopted by a domestic or foreign government as a part of its currency.</w:t>
      </w:r>
    </w:p>
    <w:p>
      <w:pPr>
        <w:spacing w:after="0" w:line="124" w:lineRule="exact"/>
        <w:rPr>
          <w:sz w:val="20"/>
          <w:szCs w:val="20"/>
          <w:color w:val="auto"/>
        </w:rPr>
      </w:pPr>
    </w:p>
    <w:p>
      <w:pPr>
        <w:ind w:left="312" w:hanging="312"/>
        <w:spacing w:after="0"/>
        <w:tabs>
          <w:tab w:leader="none" w:pos="3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130" w:lineRule="exact"/>
        <w:rPr>
          <w:rFonts w:ascii="Arial" w:cs="Arial" w:eastAsia="Arial" w:hAnsi="Arial"/>
          <w:sz w:val="18"/>
          <w:szCs w:val="18"/>
          <w:color w:val="auto"/>
        </w:rPr>
      </w:pPr>
    </w:p>
    <w:p>
      <w:pPr>
        <w:ind w:left="1092" w:right="60" w:hanging="358"/>
        <w:spacing w:after="0" w:line="312" w:lineRule="auto"/>
        <w:tabs>
          <w:tab w:leader="none" w:pos="10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containing any unconditional promise or order to pay a sum certain in Money and no other promise, order, obligation or power given by the maker or drawer; and</w:t>
      </w:r>
    </w:p>
    <w:p>
      <w:pPr>
        <w:spacing w:after="0" w:line="52" w:lineRule="exact"/>
        <w:rPr>
          <w:rFonts w:ascii="Arial" w:cs="Arial" w:eastAsia="Arial" w:hAnsi="Arial"/>
          <w:sz w:val="16"/>
          <w:szCs w:val="16"/>
          <w:color w:val="auto"/>
        </w:rPr>
      </w:pPr>
    </w:p>
    <w:p>
      <w:pPr>
        <w:ind w:left="1092" w:hanging="358"/>
        <w:spacing w:after="0"/>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130" w:lineRule="exact"/>
        <w:rPr>
          <w:rFonts w:ascii="Arial" w:cs="Arial" w:eastAsia="Arial" w:hAnsi="Arial"/>
          <w:sz w:val="18"/>
          <w:szCs w:val="18"/>
          <w:color w:val="auto"/>
        </w:rPr>
      </w:pPr>
    </w:p>
    <w:p>
      <w:pPr>
        <w:ind w:left="1092" w:right="340" w:hanging="358"/>
        <w:spacing w:after="0" w:line="308" w:lineRule="auto"/>
        <w:tabs>
          <w:tab w:leader="none" w:pos="1092" w:val="left"/>
        </w:tabs>
        <w:numPr>
          <w:ilvl w:val="1"/>
          <w:numId w:val="28"/>
        </w:numPr>
        <w:rPr>
          <w:rFonts w:ascii="Arial" w:cs="Arial" w:eastAsia="Arial" w:hAnsi="Arial"/>
          <w:sz w:val="17"/>
          <w:szCs w:val="17"/>
          <w:color w:val="auto"/>
        </w:rPr>
      </w:pPr>
      <w:r>
        <w:rPr>
          <w:rFonts w:ascii="Arial" w:cs="Arial" w:eastAsia="Arial" w:hAnsi="Arial"/>
          <w:sz w:val="17"/>
          <w:szCs w:val="17"/>
          <w:color w:val="auto"/>
        </w:rPr>
        <w:t>is a limited partner and an Employee (as defined in Section 1 (e) (1) of the bond) of the Insured.</w:t>
      </w:r>
    </w:p>
    <w:p>
      <w:pPr>
        <w:spacing w:after="0" w:line="146" w:lineRule="exact"/>
        <w:rPr>
          <w:rFonts w:ascii="Arial" w:cs="Arial" w:eastAsia="Arial" w:hAnsi="Arial"/>
          <w:sz w:val="17"/>
          <w:szCs w:val="17"/>
          <w:color w:val="auto"/>
        </w:rPr>
      </w:pPr>
    </w:p>
    <w:p>
      <w:pPr>
        <w:ind w:left="-368" w:right="20" w:firstLine="368"/>
        <w:spacing w:after="0" w:line="270" w:lineRule="auto"/>
        <w:tabs>
          <w:tab w:leader="none" w:pos="247"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177" w:lineRule="exact"/>
        <w:rPr>
          <w:rFonts w:ascii="Arial" w:cs="Arial" w:eastAsia="Arial" w:hAnsi="Arial"/>
          <w:sz w:val="17"/>
          <w:szCs w:val="17"/>
          <w:color w:val="auto"/>
        </w:rPr>
      </w:pPr>
    </w:p>
    <w:p>
      <w:pPr>
        <w:ind w:left="-368" w:right="100" w:firstLine="368"/>
        <w:spacing w:after="0" w:line="277" w:lineRule="auto"/>
        <w:tabs>
          <w:tab w:leader="none" w:pos="2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75" w:lineRule="exact"/>
        <w:rPr>
          <w:rFonts w:ascii="Arial" w:cs="Arial" w:eastAsia="Arial" w:hAnsi="Arial"/>
          <w:sz w:val="18"/>
          <w:szCs w:val="18"/>
          <w:color w:val="auto"/>
        </w:rPr>
      </w:pPr>
    </w:p>
    <w:p>
      <w:pPr>
        <w:ind w:left="1092" w:right="200" w:hanging="358"/>
        <w:spacing w:after="0" w:line="277" w:lineRule="auto"/>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pacing w:after="0" w:line="75" w:lineRule="exact"/>
        <w:rPr>
          <w:rFonts w:ascii="Arial" w:cs="Arial" w:eastAsia="Arial" w:hAnsi="Arial"/>
          <w:sz w:val="18"/>
          <w:szCs w:val="18"/>
          <w:color w:val="auto"/>
        </w:rPr>
      </w:pPr>
    </w:p>
    <w:p>
      <w:pPr>
        <w:ind w:left="1092" w:hanging="358"/>
        <w:spacing w:after="0"/>
        <w:tabs>
          <w:tab w:leader="none" w:pos="10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472" w:hanging="373"/>
        <w:spacing w:after="0"/>
        <w:tabs>
          <w:tab w:leader="none" w:pos="14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472" w:right="120" w:hanging="373"/>
        <w:spacing w:after="0" w:line="277" w:lineRule="auto"/>
        <w:tabs>
          <w:tab w:leader="none" w:pos="14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75" w:lineRule="exact"/>
        <w:rPr>
          <w:rFonts w:ascii="Arial" w:cs="Arial" w:eastAsia="Arial" w:hAnsi="Arial"/>
          <w:sz w:val="18"/>
          <w:szCs w:val="18"/>
          <w:color w:val="auto"/>
        </w:rPr>
      </w:pPr>
    </w:p>
    <w:p>
      <w:pPr>
        <w:ind w:left="1472" w:hanging="373"/>
        <w:spacing w:after="0"/>
        <w:tabs>
          <w:tab w:leader="none" w:pos="1472" w:val="left"/>
        </w:tabs>
        <w:numPr>
          <w:ilvl w:val="2"/>
          <w:numId w:val="28"/>
        </w:numPr>
        <w:rPr>
          <w:rFonts w:ascii="Arial" w:cs="Arial" w:eastAsia="Arial" w:hAnsi="Arial"/>
          <w:sz w:val="17"/>
          <w:szCs w:val="17"/>
          <w:color w:val="auto"/>
        </w:rPr>
      </w:pPr>
      <w:r>
        <w:rPr>
          <w:rFonts w:ascii="Arial" w:cs="Arial" w:eastAsia="Arial" w:hAnsi="Arial"/>
          <w:sz w:val="17"/>
          <w:szCs w:val="17"/>
          <w:color w:val="auto"/>
        </w:rPr>
        <w:t>released from pledge by the registered pledgee;</w:t>
      </w:r>
    </w:p>
    <w:p>
      <w:pPr>
        <w:spacing w:after="0" w:line="20" w:lineRule="exact"/>
        <w:rPr>
          <w:sz w:val="20"/>
          <w:szCs w:val="20"/>
          <w:color w:val="auto"/>
        </w:rPr>
      </w:pPr>
      <w:r>
        <w:rPr>
          <w:sz w:val="20"/>
          <w:szCs w:val="20"/>
          <w:color w:val="auto"/>
        </w:rPr>
        <w:br w:type="column"/>
      </w:r>
    </w:p>
    <w:p>
      <w:pPr>
        <w:ind w:left="1460" w:right="120" w:hanging="358"/>
        <w:spacing w:after="0" w:line="264" w:lineRule="auto"/>
        <w:tabs>
          <w:tab w:leader="none" w:pos="1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right="100" w:firstLine="368"/>
        <w:spacing w:after="0" w:line="312" w:lineRule="auto"/>
        <w:tabs>
          <w:tab w:leader="none" w:pos="5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Withdrawal Order means a non-negotiable instrument, other than an Instruction, signed by a customer of the Insured authorizing the Insured to debit the customer’s account in the amount of funds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-1123315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EXCLUSIONS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117" w:lineRule="exact"/>
        <w:rPr>
          <w:sz w:val="20"/>
          <w:szCs w:val="20"/>
          <w:color w:val="auto"/>
        </w:rPr>
      </w:pPr>
    </w:p>
    <w:p>
      <w:pPr>
        <w:ind w:right="460" w:firstLine="368"/>
        <w:spacing w:after="0" w:line="342" w:lineRule="auto"/>
        <w:tabs>
          <w:tab w:leader="none" w:pos="605" w:val="left"/>
        </w:tabs>
        <w:numPr>
          <w:ilvl w:val="1"/>
          <w:numId w:val="31"/>
        </w:numPr>
        <w:rPr>
          <w:rFonts w:ascii="Arial" w:cs="Arial" w:eastAsia="Arial" w:hAnsi="Arial"/>
          <w:sz w:val="16"/>
          <w:szCs w:val="16"/>
          <w:color w:val="auto"/>
        </w:rPr>
      </w:pPr>
      <w:r>
        <w:rPr>
          <w:rFonts w:ascii="Arial" w:cs="Arial" w:eastAsia="Arial" w:hAnsi="Arial"/>
          <w:sz w:val="16"/>
          <w:szCs w:val="16"/>
          <w:color w:val="auto"/>
        </w:rPr>
        <w:t>loss resulting directly or indirectly from forgery or alteration, except when covered under Insuring Agreements (A), (D) or (E);</w:t>
      </w:r>
    </w:p>
    <w:p>
      <w:pPr>
        <w:spacing w:after="0" w:line="123" w:lineRule="exact"/>
        <w:rPr>
          <w:rFonts w:ascii="Arial" w:cs="Arial" w:eastAsia="Arial" w:hAnsi="Arial"/>
          <w:sz w:val="16"/>
          <w:szCs w:val="16"/>
          <w:color w:val="auto"/>
        </w:rPr>
      </w:pPr>
    </w:p>
    <w:p>
      <w:pPr>
        <w:ind w:firstLine="368"/>
        <w:spacing w:after="0" w:line="255" w:lineRule="auto"/>
        <w:tabs>
          <w:tab w:leader="none" w:pos="615" w:val="left"/>
        </w:tabs>
        <w:numPr>
          <w:ilvl w:val="1"/>
          <w:numId w:val="31"/>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189" w:lineRule="exact"/>
        <w:rPr>
          <w:rFonts w:ascii="Arial" w:cs="Arial" w:eastAsia="Arial" w:hAnsi="Arial"/>
          <w:sz w:val="18"/>
          <w:szCs w:val="18"/>
          <w:color w:val="auto"/>
        </w:rPr>
      </w:pPr>
    </w:p>
    <w:p>
      <w:pPr>
        <w:ind w:right="280" w:firstLine="368"/>
        <w:spacing w:after="0" w:line="312" w:lineRule="auto"/>
        <w:tabs>
          <w:tab w:leader="none" w:pos="605" w:val="left"/>
        </w:tabs>
        <w:numPr>
          <w:ilvl w:val="1"/>
          <w:numId w:val="31"/>
        </w:numPr>
        <w:rPr>
          <w:rFonts w:ascii="Arial" w:cs="Arial" w:eastAsia="Arial" w:hAnsi="Arial"/>
          <w:sz w:val="16"/>
          <w:szCs w:val="16"/>
          <w:color w:val="auto"/>
        </w:rPr>
      </w:pPr>
      <w:r>
        <w:rPr>
          <w:rFonts w:ascii="Arial" w:cs="Arial" w:eastAsia="Arial" w:hAnsi="Arial"/>
          <w:sz w:val="16"/>
          <w:szCs w:val="16"/>
          <w:color w:val="auto"/>
        </w:rPr>
        <w:t>loss resulting directly or indirectly from the effects of nuclear fission or fusion or radioactivity; provided, however, that this paragraph shall not apply to loss resulting from industrial uses of nuclear energy;</w:t>
      </w:r>
    </w:p>
    <w:p>
      <w:pPr>
        <w:spacing w:after="0" w:line="146" w:lineRule="exact"/>
        <w:rPr>
          <w:rFonts w:ascii="Arial" w:cs="Arial" w:eastAsia="Arial" w:hAnsi="Arial"/>
          <w:sz w:val="16"/>
          <w:szCs w:val="16"/>
          <w:color w:val="auto"/>
        </w:rPr>
      </w:pPr>
    </w:p>
    <w:p>
      <w:pPr>
        <w:ind w:right="120" w:firstLine="368"/>
        <w:spacing w:after="0" w:line="293" w:lineRule="auto"/>
        <w:tabs>
          <w:tab w:leader="none" w:pos="615" w:val="left"/>
        </w:tabs>
        <w:numPr>
          <w:ilvl w:val="1"/>
          <w:numId w:val="31"/>
        </w:numPr>
        <w:rPr>
          <w:rFonts w:ascii="Arial" w:cs="Arial" w:eastAsia="Arial" w:hAnsi="Arial"/>
          <w:sz w:val="16"/>
          <w:szCs w:val="16"/>
          <w:color w:val="auto"/>
        </w:rPr>
      </w:pPr>
      <w:r>
        <w:rPr>
          <w:rFonts w:ascii="Arial" w:cs="Arial" w:eastAsia="Arial" w:hAnsi="Arial"/>
          <w:sz w:val="16"/>
          <w:szCs w:val="16"/>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164" w:lineRule="exact"/>
        <w:rPr>
          <w:rFonts w:ascii="Arial" w:cs="Arial" w:eastAsia="Arial" w:hAnsi="Arial"/>
          <w:sz w:val="16"/>
          <w:szCs w:val="16"/>
          <w:color w:val="auto"/>
        </w:rPr>
      </w:pPr>
    </w:p>
    <w:p>
      <w:pPr>
        <w:ind w:right="320" w:firstLine="368"/>
        <w:spacing w:after="0" w:line="271" w:lineRule="auto"/>
        <w:tabs>
          <w:tab w:leader="none" w:pos="605" w:val="left"/>
        </w:tabs>
        <w:numPr>
          <w:ilvl w:val="1"/>
          <w:numId w:val="31"/>
        </w:numPr>
        <w:rPr>
          <w:rFonts w:ascii="Arial" w:cs="Arial" w:eastAsia="Arial" w:hAnsi="Arial"/>
          <w:sz w:val="17"/>
          <w:szCs w:val="17"/>
          <w:color w:val="auto"/>
        </w:rPr>
      </w:pPr>
      <w:r>
        <w:rPr>
          <w:rFonts w:ascii="Arial" w:cs="Arial" w:eastAsia="Arial" w:hAnsi="Arial"/>
          <w:sz w:val="17"/>
          <w:szCs w:val="17"/>
          <w:color w:val="auto"/>
        </w:rPr>
        <w:t>loss resulting directly or indirectly from the complete or partial 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178" w:lineRule="exact"/>
        <w:rPr>
          <w:rFonts w:ascii="Arial" w:cs="Arial" w:eastAsia="Arial" w:hAnsi="Arial"/>
          <w:sz w:val="17"/>
          <w:szCs w:val="17"/>
          <w:color w:val="auto"/>
        </w:rPr>
      </w:pPr>
    </w:p>
    <w:p>
      <w:pPr>
        <w:ind w:right="740" w:firstLine="368"/>
        <w:spacing w:after="0" w:line="277" w:lineRule="auto"/>
        <w:tabs>
          <w:tab w:leader="none" w:pos="585" w:val="left"/>
        </w:tabs>
        <w:numPr>
          <w:ilvl w:val="1"/>
          <w:numId w:val="31"/>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75" w:lineRule="exact"/>
        <w:rPr>
          <w:rFonts w:ascii="Arial" w:cs="Arial" w:eastAsia="Arial" w:hAnsi="Arial"/>
          <w:sz w:val="18"/>
          <w:szCs w:val="18"/>
          <w:color w:val="auto"/>
        </w:rPr>
      </w:pPr>
    </w:p>
    <w:p>
      <w:pPr>
        <w:ind w:left="1100" w:right="480" w:hanging="363"/>
        <w:spacing w:after="0" w:line="302" w:lineRule="auto"/>
        <w:tabs>
          <w:tab w:leader="none" w:pos="1100" w:val="left"/>
        </w:tabs>
        <w:numPr>
          <w:ilvl w:val="2"/>
          <w:numId w:val="31"/>
        </w:numPr>
        <w:rPr>
          <w:rFonts w:ascii="Arial" w:cs="Arial" w:eastAsia="Arial" w:hAnsi="Arial"/>
          <w:sz w:val="16"/>
          <w:szCs w:val="16"/>
          <w:color w:val="auto"/>
        </w:rPr>
      </w:pPr>
      <w:r>
        <w:rPr>
          <w:rFonts w:ascii="Arial" w:cs="Arial" w:eastAsia="Arial" w:hAnsi="Arial"/>
          <w:sz w:val="16"/>
          <w:szCs w:val="16"/>
          <w:color w:val="auto"/>
        </w:rPr>
        <w:t>of law regulating (i) the issuance, purchase or sale of securities. (ii) securities transactions upon security exchanges or over the counter market, (iii) investment companies, or (iv) investment advisers, or</w:t>
      </w:r>
    </w:p>
    <w:p>
      <w:pPr>
        <w:spacing w:after="0" w:line="59" w:lineRule="exact"/>
        <w:rPr>
          <w:rFonts w:ascii="Arial" w:cs="Arial" w:eastAsia="Arial" w:hAnsi="Arial"/>
          <w:sz w:val="16"/>
          <w:szCs w:val="16"/>
          <w:color w:val="auto"/>
        </w:rPr>
      </w:pPr>
    </w:p>
    <w:p>
      <w:pPr>
        <w:ind w:left="1100" w:right="100" w:hanging="363"/>
        <w:spacing w:after="0" w:line="255" w:lineRule="auto"/>
        <w:tabs>
          <w:tab w:leader="none" w:pos="11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193" w:lineRule="exact"/>
        <w:rPr>
          <w:rFonts w:ascii="Arial" w:cs="Arial" w:eastAsia="Arial" w:hAnsi="Arial"/>
          <w:sz w:val="18"/>
          <w:szCs w:val="18"/>
          <w:color w:val="auto"/>
        </w:rPr>
      </w:pPr>
    </w:p>
    <w:p>
      <w:pPr>
        <w:ind w:right="20" w:firstLine="368"/>
        <w:spacing w:after="0" w:line="302" w:lineRule="auto"/>
        <w:tabs>
          <w:tab w:leader="none" w:pos="615" w:val="left"/>
        </w:tabs>
        <w:numPr>
          <w:ilvl w:val="1"/>
          <w:numId w:val="31"/>
        </w:numPr>
        <w:rPr>
          <w:rFonts w:ascii="Arial" w:cs="Arial" w:eastAsia="Arial" w:hAnsi="Arial"/>
          <w:sz w:val="16"/>
          <w:szCs w:val="16"/>
          <w:color w:val="auto"/>
        </w:rPr>
      </w:pPr>
      <w:r>
        <w:rPr>
          <w:rFonts w:ascii="Arial" w:cs="Arial" w:eastAsia="Arial" w:hAnsi="Arial"/>
          <w:sz w:val="16"/>
          <w:szCs w:val="16"/>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(B)(1)(a);</w:t>
      </w:r>
    </w:p>
    <w:p>
      <w:pPr>
        <w:spacing w:after="0" w:line="154" w:lineRule="exact"/>
        <w:rPr>
          <w:rFonts w:ascii="Arial" w:cs="Arial" w:eastAsia="Arial" w:hAnsi="Arial"/>
          <w:sz w:val="16"/>
          <w:szCs w:val="16"/>
          <w:color w:val="auto"/>
        </w:rPr>
      </w:pPr>
    </w:p>
    <w:p>
      <w:pPr>
        <w:ind w:right="120" w:firstLine="368"/>
        <w:spacing w:after="0" w:line="274" w:lineRule="auto"/>
        <w:tabs>
          <w:tab w:leader="none" w:pos="615" w:val="left"/>
        </w:tabs>
        <w:numPr>
          <w:ilvl w:val="1"/>
          <w:numId w:val="31"/>
        </w:numPr>
        <w:rPr>
          <w:rFonts w:ascii="Arial" w:cs="Arial" w:eastAsia="Arial" w:hAnsi="Arial"/>
          <w:sz w:val="17"/>
          <w:szCs w:val="17"/>
          <w:color w:val="auto"/>
        </w:rPr>
      </w:pPr>
      <w:r>
        <w:rPr>
          <w:rFonts w:ascii="Arial" w:cs="Arial" w:eastAsia="Arial" w:hAnsi="Arial"/>
          <w:sz w:val="17"/>
          <w:szCs w:val="17"/>
          <w:color w:val="auto"/>
        </w:rPr>
        <w:t>loss caused by an Employee, except when covered under Insuring Agreement (A) or when covered under Insuring Agreement</w:t>
      </w:r>
    </w:p>
    <w:p>
      <w:pPr>
        <w:ind w:right="460" w:firstLine="8"/>
        <w:spacing w:after="0" w:line="323" w:lineRule="auto"/>
        <w:tabs>
          <w:tab w:leader="none" w:pos="2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or (C) and resulting directly from misplacement, mysterious unexplainable disappearance or destruction of or damage to Property:</w:t>
      </w:r>
    </w:p>
    <w:p>
      <w:pPr>
        <w:spacing w:after="0" w:line="138" w:lineRule="exact"/>
        <w:rPr>
          <w:rFonts w:ascii="Arial" w:cs="Arial" w:eastAsia="Arial" w:hAnsi="Arial"/>
          <w:sz w:val="16"/>
          <w:szCs w:val="16"/>
          <w:color w:val="auto"/>
        </w:rPr>
      </w:pPr>
    </w:p>
    <w:p>
      <w:pPr>
        <w:ind w:right="120" w:firstLine="368"/>
        <w:spacing w:after="0" w:line="255" w:lineRule="auto"/>
        <w:tabs>
          <w:tab w:leader="none" w:pos="5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ectPr>
          <w:pgSz w:w="11900" w:h="16838" w:orient="portrait"/>
          <w:cols w:equalWidth="0" w:num="2">
            <w:col w:w="5112" w:space="340"/>
            <w:col w:w="5480"/>
          </w:cols>
          <w:pgMar w:left="608" w:top="328" w:right="359" w:bottom="0" w:gutter="0" w:footer="0" w:header="0"/>
        </w:sectPr>
      </w:pPr>
    </w:p>
    <w:bookmarkStart w:id="10" w:name="page11"/>
    <w:bookmarkEnd w:id="10"/>
    <w:p>
      <w:pPr>
        <w:ind w:left="1840" w:right="88" w:hanging="373"/>
        <w:spacing w:after="0" w:line="277" w:lineRule="auto"/>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75" w:lineRule="exact"/>
        <w:rPr>
          <w:rFonts w:ascii="Arial" w:cs="Arial" w:eastAsia="Arial" w:hAnsi="Arial"/>
          <w:sz w:val="18"/>
          <w:szCs w:val="18"/>
          <w:color w:val="auto"/>
        </w:rPr>
      </w:pPr>
    </w:p>
    <w:p>
      <w:pPr>
        <w:ind w:left="1840" w:hanging="373"/>
        <w:spacing w:after="0"/>
        <w:tabs>
          <w:tab w:leader="none" w:pos="1840" w:val="left"/>
        </w:tabs>
        <w:numPr>
          <w:ilvl w:val="2"/>
          <w:numId w:val="33"/>
        </w:numPr>
        <w:rPr>
          <w:rFonts w:ascii="Arial" w:cs="Arial" w:eastAsia="Arial" w:hAnsi="Arial"/>
          <w:sz w:val="17"/>
          <w:szCs w:val="17"/>
          <w:color w:val="auto"/>
        </w:rPr>
      </w:pPr>
      <w:r>
        <w:rPr>
          <w:rFonts w:ascii="Arial" w:cs="Arial" w:eastAsia="Arial" w:hAnsi="Arial"/>
          <w:sz w:val="17"/>
          <w:szCs w:val="17"/>
          <w:color w:val="auto"/>
        </w:rPr>
        <w:t>subject to pledge on the date of the statement;</w:t>
      </w:r>
    </w:p>
    <w:p>
      <w:pPr>
        <w:spacing w:after="0" w:line="142" w:lineRule="exact"/>
        <w:rPr>
          <w:rFonts w:ascii="Arial" w:cs="Arial" w:eastAsia="Arial" w:hAnsi="Arial"/>
          <w:sz w:val="17"/>
          <w:szCs w:val="17"/>
          <w:color w:val="auto"/>
        </w:rPr>
      </w:pPr>
    </w:p>
    <w:p>
      <w:pPr>
        <w:ind w:left="1460" w:right="448" w:hanging="358"/>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w:t>
      </w:r>
    </w:p>
    <w:p>
      <w:pPr>
        <w:spacing w:after="0" w:line="75" w:lineRule="exact"/>
        <w:rPr>
          <w:rFonts w:ascii="Arial" w:cs="Arial" w:eastAsia="Arial" w:hAnsi="Arial"/>
          <w:sz w:val="18"/>
          <w:szCs w:val="18"/>
          <w:color w:val="auto"/>
        </w:rPr>
      </w:pPr>
    </w:p>
    <w:p>
      <w:pPr>
        <w:ind w:left="1460" w:right="28" w:hanging="358"/>
        <w:spacing w:after="0" w:line="25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93" w:lineRule="exact"/>
        <w:rPr>
          <w:rFonts w:ascii="Arial" w:cs="Arial" w:eastAsia="Arial" w:hAnsi="Arial"/>
          <w:sz w:val="18"/>
          <w:szCs w:val="18"/>
          <w:color w:val="auto"/>
        </w:rPr>
      </w:pPr>
    </w:p>
    <w:p>
      <w:pPr>
        <w:ind w:left="1460" w:hanging="358"/>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840" w:right="468" w:hanging="373"/>
        <w:spacing w:after="0" w:line="264" w:lineRule="auto"/>
        <w:tabs>
          <w:tab w:leader="none" w:pos="18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86" w:lineRule="exact"/>
        <w:rPr>
          <w:rFonts w:ascii="Arial" w:cs="Arial" w:eastAsia="Arial" w:hAnsi="Arial"/>
          <w:sz w:val="18"/>
          <w:szCs w:val="18"/>
          <w:color w:val="auto"/>
        </w:rPr>
      </w:pPr>
    </w:p>
    <w:p>
      <w:pPr>
        <w:ind w:left="1840" w:right="728" w:hanging="373"/>
        <w:spacing w:after="0" w:line="277" w:lineRule="auto"/>
        <w:tabs>
          <w:tab w:leader="none" w:pos="18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75" w:lineRule="exact"/>
        <w:rPr>
          <w:rFonts w:ascii="Arial" w:cs="Arial" w:eastAsia="Arial" w:hAnsi="Arial"/>
          <w:sz w:val="18"/>
          <w:szCs w:val="18"/>
          <w:color w:val="auto"/>
        </w:rPr>
      </w:pPr>
    </w:p>
    <w:p>
      <w:pPr>
        <w:ind w:left="1840" w:right="488" w:hanging="373"/>
        <w:spacing w:after="0" w:line="277" w:lineRule="auto"/>
        <w:tabs>
          <w:tab w:leader="none" w:pos="18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70" w:lineRule="exact"/>
        <w:rPr>
          <w:rFonts w:ascii="Arial" w:cs="Arial" w:eastAsia="Arial" w:hAnsi="Arial"/>
          <w:sz w:val="18"/>
          <w:szCs w:val="18"/>
          <w:color w:val="auto"/>
        </w:rPr>
      </w:pPr>
    </w:p>
    <w:p>
      <w:pPr>
        <w:ind w:right="148" w:firstLine="368"/>
        <w:spacing w:after="0" w:line="264"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181" w:lineRule="exact"/>
        <w:rPr>
          <w:rFonts w:ascii="Arial" w:cs="Arial" w:eastAsia="Arial" w:hAnsi="Arial"/>
          <w:sz w:val="18"/>
          <w:szCs w:val="18"/>
          <w:color w:val="auto"/>
        </w:rPr>
      </w:pPr>
    </w:p>
    <w:p>
      <w:pPr>
        <w:ind w:right="168" w:firstLine="368"/>
        <w:spacing w:after="0" w:line="264" w:lineRule="auto"/>
        <w:tabs>
          <w:tab w:leader="none" w:pos="5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460" w:right="288" w:hanging="358"/>
        <w:spacing w:after="0" w:line="312" w:lineRule="auto"/>
        <w:tabs>
          <w:tab w:leader="none" w:pos="14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52" w:lineRule="exact"/>
        <w:rPr>
          <w:rFonts w:ascii="Arial" w:cs="Arial" w:eastAsia="Arial" w:hAnsi="Arial"/>
          <w:sz w:val="16"/>
          <w:szCs w:val="16"/>
          <w:color w:val="auto"/>
        </w:rPr>
      </w:pPr>
    </w:p>
    <w:p>
      <w:pPr>
        <w:ind w:left="1460" w:right="28" w:hanging="358"/>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20" w:lineRule="exact"/>
        <w:rPr>
          <w:sz w:val="20"/>
          <w:szCs w:val="20"/>
          <w:color w:val="auto"/>
        </w:rPr>
      </w:pPr>
      <w:r>
        <w:rPr>
          <w:sz w:val="20"/>
          <w:szCs w:val="20"/>
          <w:color w:val="auto"/>
        </w:rPr>
        <w:br w:type="column"/>
      </w:r>
    </w:p>
    <w:p>
      <w:pPr>
        <w:ind w:left="-368" w:right="200" w:firstLine="368"/>
        <w:spacing w:after="0" w:line="291" w:lineRule="auto"/>
        <w:tabs>
          <w:tab w:leader="none" w:pos="2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damages resulting from any civil, criminal or other legal proceeding in which the Insured is alleged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67" w:lineRule="exact"/>
        <w:rPr>
          <w:rFonts w:ascii="Arial" w:cs="Arial" w:eastAsia="Arial" w:hAnsi="Arial"/>
          <w:sz w:val="16"/>
          <w:szCs w:val="16"/>
          <w:color w:val="auto"/>
        </w:rPr>
      </w:pPr>
    </w:p>
    <w:p>
      <w:pPr>
        <w:ind w:left="-368" w:right="140" w:firstLine="368"/>
        <w:spacing w:after="0" w:line="264" w:lineRule="auto"/>
        <w:tabs>
          <w:tab w:leader="none" w:pos="2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identification, cash management or other cards</w:t>
      </w:r>
    </w:p>
    <w:p>
      <w:pPr>
        <w:spacing w:after="0" w:line="86" w:lineRule="exact"/>
        <w:rPr>
          <w:rFonts w:ascii="Arial" w:cs="Arial" w:eastAsia="Arial" w:hAnsi="Arial"/>
          <w:sz w:val="18"/>
          <w:szCs w:val="18"/>
          <w:color w:val="auto"/>
        </w:rPr>
      </w:pPr>
    </w:p>
    <w:p>
      <w:pPr>
        <w:ind w:left="1092" w:hanging="358"/>
        <w:spacing w:after="0"/>
        <w:tabs>
          <w:tab w:leader="none" w:pos="10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obtaining credit or funds, or</w:t>
      </w:r>
    </w:p>
    <w:p>
      <w:pPr>
        <w:spacing w:after="0" w:line="130" w:lineRule="exact"/>
        <w:rPr>
          <w:rFonts w:ascii="Arial" w:cs="Arial" w:eastAsia="Arial" w:hAnsi="Arial"/>
          <w:sz w:val="18"/>
          <w:szCs w:val="18"/>
          <w:color w:val="auto"/>
        </w:rPr>
      </w:pPr>
    </w:p>
    <w:p>
      <w:pPr>
        <w:ind w:left="1092" w:right="300" w:hanging="358"/>
        <w:spacing w:after="0" w:line="302" w:lineRule="auto"/>
        <w:tabs>
          <w:tab w:leader="none" w:pos="1092"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 gaining access to automated mechanical devices which, on behalf of the Insured, disburse Money, accept deposits, cash checks, drafts or similar written instruments or make credit card loans, or</w:t>
      </w:r>
    </w:p>
    <w:p>
      <w:pPr>
        <w:spacing w:after="0" w:line="59" w:lineRule="exact"/>
        <w:rPr>
          <w:rFonts w:ascii="Arial" w:cs="Arial" w:eastAsia="Arial" w:hAnsi="Arial"/>
          <w:sz w:val="16"/>
          <w:szCs w:val="16"/>
          <w:color w:val="auto"/>
        </w:rPr>
      </w:pPr>
    </w:p>
    <w:p>
      <w:pPr>
        <w:ind w:left="1092" w:right="180" w:hanging="358"/>
        <w:spacing w:after="0" w:line="316" w:lineRule="auto"/>
        <w:tabs>
          <w:tab w:leader="none" w:pos="1092" w:val="left"/>
        </w:tabs>
        <w:numPr>
          <w:ilvl w:val="1"/>
          <w:numId w:val="36"/>
        </w:numPr>
        <w:rPr>
          <w:rFonts w:ascii="Arial" w:cs="Arial" w:eastAsia="Arial" w:hAnsi="Arial"/>
          <w:sz w:val="15"/>
          <w:szCs w:val="15"/>
          <w:color w:val="auto"/>
        </w:rPr>
      </w:pPr>
      <w:r>
        <w:rPr>
          <w:rFonts w:ascii="Arial" w:cs="Arial" w:eastAsia="Arial" w:hAnsi="Arial"/>
          <w:sz w:val="15"/>
          <w:szCs w:val="15"/>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pacing w:after="0" w:line="150" w:lineRule="exact"/>
        <w:rPr>
          <w:sz w:val="20"/>
          <w:szCs w:val="20"/>
          <w:color w:val="auto"/>
        </w:rPr>
      </w:pPr>
    </w:p>
    <w:p>
      <w:pPr>
        <w:ind w:left="-368" w:right="180" w:firstLine="368"/>
        <w:spacing w:after="0" w:line="259" w:lineRule="auto"/>
        <w:tabs>
          <w:tab w:leader="none" w:pos="2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pacing w:after="0" w:line="1810" w:lineRule="exact"/>
        <w:rPr>
          <w:sz w:val="20"/>
          <w:szCs w:val="20"/>
          <w:color w:val="auto"/>
        </w:rPr>
      </w:pPr>
    </w:p>
    <w:p>
      <w:pPr>
        <w:sectPr>
          <w:pgSz w:w="11900" w:h="16838" w:orient="portrait"/>
          <w:cols w:equalWidth="0" w:num="2">
            <w:col w:w="5468" w:space="720"/>
            <w:col w:w="5232"/>
          </w:cols>
          <w:pgMar w:left="240" w:top="125" w:right="239" w:bottom="1440" w:gutter="0" w:footer="0" w:header="0"/>
        </w:sectPr>
      </w:pPr>
    </w:p>
    <w:p>
      <w:pPr>
        <w:spacing w:after="0" w:line="51"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420"/>
          </w:cols>
          <w:pgMar w:left="240" w:top="125" w:right="239" w:bottom="1440" w:gutter="0" w:footer="0" w:header="0"/>
          <w:type w:val="continuous"/>
        </w:sectPr>
      </w:pPr>
    </w:p>
    <w:bookmarkStart w:id="11" w:name="page12"/>
    <w:bookmarkEnd w:id="11"/>
    <w:p>
      <w:pPr>
        <w:ind w:right="120" w:firstLine="368"/>
        <w:spacing w:after="0" w:line="277" w:lineRule="auto"/>
        <w:tabs>
          <w:tab w:leader="none" w:pos="6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197" w:lineRule="exact"/>
        <w:rPr>
          <w:rFonts w:ascii="Arial" w:cs="Arial" w:eastAsia="Arial" w:hAnsi="Arial"/>
          <w:sz w:val="18"/>
          <w:szCs w:val="18"/>
          <w:color w:val="auto"/>
        </w:rPr>
      </w:pPr>
    </w:p>
    <w:p>
      <w:pPr>
        <w:ind w:left="1460" w:right="60" w:hanging="358"/>
        <w:spacing w:after="0" w:line="25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93" w:lineRule="exact"/>
        <w:rPr>
          <w:rFonts w:ascii="Arial" w:cs="Arial" w:eastAsia="Arial" w:hAnsi="Arial"/>
          <w:sz w:val="18"/>
          <w:szCs w:val="18"/>
          <w:color w:val="auto"/>
        </w:rPr>
      </w:pPr>
    </w:p>
    <w:p>
      <w:pPr>
        <w:ind w:left="1460" w:right="600" w:hanging="358"/>
        <w:spacing w:after="0" w:line="26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except when covered under Insuring Agreement (A);</w:t>
      </w:r>
    </w:p>
    <w:p>
      <w:pPr>
        <w:spacing w:after="0" w:line="181" w:lineRule="exact"/>
        <w:rPr>
          <w:rFonts w:ascii="Arial" w:cs="Arial" w:eastAsia="Arial" w:hAnsi="Arial"/>
          <w:sz w:val="18"/>
          <w:szCs w:val="18"/>
          <w:color w:val="auto"/>
        </w:rPr>
      </w:pPr>
    </w:p>
    <w:p>
      <w:pPr>
        <w:ind w:firstLine="368"/>
        <w:spacing w:after="0" w:line="255" w:lineRule="auto"/>
        <w:tabs>
          <w:tab w:leader="none" w:pos="6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189" w:lineRule="exact"/>
        <w:rPr>
          <w:rFonts w:ascii="Arial" w:cs="Arial" w:eastAsia="Arial" w:hAnsi="Arial"/>
          <w:sz w:val="18"/>
          <w:szCs w:val="18"/>
          <w:color w:val="auto"/>
        </w:rPr>
      </w:pPr>
    </w:p>
    <w:p>
      <w:pPr>
        <w:ind w:firstLine="368"/>
        <w:spacing w:after="0" w:line="264" w:lineRule="auto"/>
        <w:tabs>
          <w:tab w:leader="none" w:pos="6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181" w:lineRule="exact"/>
        <w:rPr>
          <w:rFonts w:ascii="Arial" w:cs="Arial" w:eastAsia="Arial" w:hAnsi="Arial"/>
          <w:sz w:val="18"/>
          <w:szCs w:val="18"/>
          <w:color w:val="auto"/>
        </w:rPr>
      </w:pPr>
    </w:p>
    <w:p>
      <w:pPr>
        <w:ind w:right="360" w:firstLine="368"/>
        <w:spacing w:after="0" w:line="277" w:lineRule="auto"/>
        <w:tabs>
          <w:tab w:leader="none" w:pos="6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resulting directly or indirectly from counterfeiting, except when covered under Insuring Agreements (A), (E) or (F);</w:t>
      </w:r>
    </w:p>
    <w:p>
      <w:pPr>
        <w:spacing w:after="0" w:line="170" w:lineRule="exact"/>
        <w:rPr>
          <w:rFonts w:ascii="Arial" w:cs="Arial" w:eastAsia="Arial" w:hAnsi="Arial"/>
          <w:sz w:val="18"/>
          <w:szCs w:val="18"/>
          <w:color w:val="auto"/>
        </w:rPr>
      </w:pPr>
    </w:p>
    <w:p>
      <w:pPr>
        <w:ind w:left="620" w:hanging="25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any tangible item of personal property which is not</w:t>
      </w:r>
    </w:p>
    <w:p>
      <w:pPr>
        <w:spacing w:after="0" w:line="23" w:lineRule="exact"/>
        <w:rPr>
          <w:rFonts w:ascii="Arial" w:cs="Arial" w:eastAsia="Arial" w:hAnsi="Arial"/>
          <w:sz w:val="18"/>
          <w:szCs w:val="18"/>
          <w:color w:val="auto"/>
        </w:rPr>
      </w:pPr>
    </w:p>
    <w:p>
      <w:pPr>
        <w:ind w:right="60"/>
        <w:spacing w:after="0" w:line="292" w:lineRule="auto"/>
        <w:rPr>
          <w:rFonts w:ascii="Arial" w:cs="Arial" w:eastAsia="Arial" w:hAnsi="Arial"/>
          <w:sz w:val="18"/>
          <w:szCs w:val="18"/>
          <w:color w:val="auto"/>
        </w:rPr>
      </w:pPr>
      <w:r>
        <w:rPr>
          <w:rFonts w:ascii="Arial" w:cs="Arial" w:eastAsia="Arial" w:hAnsi="Arial"/>
          <w:sz w:val="16"/>
          <w:szCs w:val="16"/>
          <w:color w:val="auto"/>
        </w:rPr>
        <w:t>specifically enumerated in the paragraph defining Property it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(BX2);</w:t>
      </w:r>
    </w:p>
    <w:p>
      <w:pPr>
        <w:spacing w:after="0" w:line="162" w:lineRule="exact"/>
        <w:rPr>
          <w:rFonts w:ascii="Arial" w:cs="Arial" w:eastAsia="Arial" w:hAnsi="Arial"/>
          <w:sz w:val="18"/>
          <w:szCs w:val="18"/>
          <w:color w:val="auto"/>
        </w:rPr>
      </w:pPr>
    </w:p>
    <w:p>
      <w:pPr>
        <w:ind w:left="600" w:hanging="23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Property while</w:t>
      </w:r>
    </w:p>
    <w:p>
      <w:pPr>
        <w:spacing w:after="0" w:line="130" w:lineRule="exact"/>
        <w:rPr>
          <w:rFonts w:ascii="Arial" w:cs="Arial" w:eastAsia="Arial" w:hAnsi="Arial"/>
          <w:sz w:val="18"/>
          <w:szCs w:val="18"/>
          <w:color w:val="auto"/>
        </w:rPr>
      </w:pPr>
    </w:p>
    <w:p>
      <w:pPr>
        <w:ind w:left="1460" w:hanging="358"/>
        <w:spacing w:after="0"/>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130" w:lineRule="exact"/>
        <w:rPr>
          <w:rFonts w:ascii="Arial" w:cs="Arial" w:eastAsia="Arial" w:hAnsi="Arial"/>
          <w:sz w:val="18"/>
          <w:szCs w:val="18"/>
          <w:color w:val="auto"/>
        </w:rPr>
      </w:pPr>
    </w:p>
    <w:p>
      <w:pPr>
        <w:ind w:left="1460" w:right="140" w:hanging="358"/>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the custody of any Transportation Company, unless covered under Insuring Agreement (C),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when covered under Insuring Agreement (A);</w:t>
      </w:r>
    </w:p>
    <w:p>
      <w:pPr>
        <w:spacing w:after="0" w:line="225" w:lineRule="exact"/>
        <w:rPr>
          <w:sz w:val="20"/>
          <w:szCs w:val="20"/>
          <w:color w:val="auto"/>
        </w:rPr>
      </w:pPr>
    </w:p>
    <w:p>
      <w:pPr>
        <w:ind w:right="240" w:firstLine="368"/>
        <w:spacing w:after="0" w:line="342" w:lineRule="auto"/>
        <w:tabs>
          <w:tab w:leader="none" w:pos="5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or by any customer of the Insured;</w:t>
      </w:r>
    </w:p>
    <w:p>
      <w:pPr>
        <w:spacing w:after="0" w:line="123" w:lineRule="exact"/>
        <w:rPr>
          <w:rFonts w:ascii="Arial" w:cs="Arial" w:eastAsia="Arial" w:hAnsi="Arial"/>
          <w:sz w:val="16"/>
          <w:szCs w:val="16"/>
          <w:color w:val="auto"/>
        </w:rPr>
      </w:pPr>
    </w:p>
    <w:p>
      <w:pPr>
        <w:ind w:right="120" w:firstLine="368"/>
        <w:spacing w:after="0" w:line="264" w:lineRule="auto"/>
        <w:tabs>
          <w:tab w:leader="none" w:pos="5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pacing w:after="0" w:line="181" w:lineRule="exact"/>
        <w:rPr>
          <w:rFonts w:ascii="Arial" w:cs="Arial" w:eastAsia="Arial" w:hAnsi="Arial"/>
          <w:sz w:val="18"/>
          <w:szCs w:val="18"/>
          <w:color w:val="auto"/>
        </w:rPr>
      </w:pPr>
    </w:p>
    <w:p>
      <w:pPr>
        <w:ind w:left="620" w:hanging="252"/>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460" w:right="500" w:hanging="358"/>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75" w:lineRule="exact"/>
        <w:rPr>
          <w:rFonts w:ascii="Arial" w:cs="Arial" w:eastAsia="Arial" w:hAnsi="Arial"/>
          <w:sz w:val="18"/>
          <w:szCs w:val="18"/>
          <w:color w:val="auto"/>
        </w:rPr>
      </w:pPr>
    </w:p>
    <w:p>
      <w:pPr>
        <w:ind w:left="1460" w:hanging="358"/>
        <w:spacing w:after="0" w:line="264"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181" w:lineRule="exact"/>
        <w:rPr>
          <w:rFonts w:ascii="Arial" w:cs="Arial" w:eastAsia="Arial" w:hAnsi="Arial"/>
          <w:sz w:val="18"/>
          <w:szCs w:val="18"/>
          <w:color w:val="auto"/>
        </w:rPr>
      </w:pPr>
    </w:p>
    <w:p>
      <w:pPr>
        <w:ind w:left="620" w:hanging="252"/>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225" w:lineRule="exact"/>
        <w:rPr>
          <w:rFonts w:ascii="Arial" w:cs="Arial" w:eastAsia="Arial" w:hAnsi="Arial"/>
          <w:sz w:val="18"/>
          <w:szCs w:val="18"/>
          <w:color w:val="auto"/>
        </w:rPr>
      </w:pPr>
    </w:p>
    <w:p>
      <w:pPr>
        <w:ind w:firstLine="368"/>
        <w:spacing w:after="0" w:line="264"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involving any Uncertificated Security except an Uncertificated Security of any Federal Reserve Bank of the United States or when covered under Insuring Agreement (A);</w:t>
      </w:r>
    </w:p>
    <w:p>
      <w:pPr>
        <w:spacing w:after="0" w:line="181" w:lineRule="exact"/>
        <w:rPr>
          <w:rFonts w:ascii="Arial" w:cs="Arial" w:eastAsia="Arial" w:hAnsi="Arial"/>
          <w:sz w:val="18"/>
          <w:szCs w:val="18"/>
          <w:color w:val="auto"/>
        </w:rPr>
      </w:pPr>
    </w:p>
    <w:p>
      <w:pPr>
        <w:ind w:right="100" w:firstLine="368"/>
        <w:spacing w:after="0" w:line="257" w:lineRule="auto"/>
        <w:tabs>
          <w:tab w:leader="none" w:pos="6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188" w:lineRule="exact"/>
        <w:rPr>
          <w:rFonts w:ascii="Arial" w:cs="Arial" w:eastAsia="Arial" w:hAnsi="Arial"/>
          <w:sz w:val="18"/>
          <w:szCs w:val="18"/>
          <w:color w:val="auto"/>
        </w:rPr>
      </w:pPr>
    </w:p>
    <w:p>
      <w:pPr>
        <w:ind w:right="60" w:firstLine="368"/>
        <w:spacing w:after="0" w:line="259" w:lineRule="auto"/>
        <w:tabs>
          <w:tab w:leader="none" w:pos="6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20" w:lineRule="exact"/>
        <w:rPr>
          <w:sz w:val="20"/>
          <w:szCs w:val="20"/>
          <w:color w:val="auto"/>
        </w:rPr>
      </w:pPr>
      <w:r>
        <w:rPr>
          <w:sz w:val="20"/>
          <w:szCs w:val="20"/>
          <w:color w:val="auto"/>
        </w:rPr>
        <w:br w:type="column"/>
      </w:r>
    </w:p>
    <w:p>
      <w:pPr>
        <w:ind w:left="740" w:right="120" w:hanging="368"/>
        <w:spacing w:after="0" w:line="264"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86" w:lineRule="exact"/>
        <w:rPr>
          <w:rFonts w:ascii="Arial" w:cs="Arial" w:eastAsia="Arial" w:hAnsi="Arial"/>
          <w:sz w:val="18"/>
          <w:szCs w:val="18"/>
          <w:color w:val="auto"/>
        </w:rPr>
      </w:pPr>
    </w:p>
    <w:p>
      <w:pPr>
        <w:ind w:left="740" w:hanging="368"/>
        <w:spacing w:after="0" w:line="276"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-1321435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The Aggregate Limit of Liability shall not be increased or reinstated by any recovery made and applied in accordance with subsections (a), (b) and (c) of Section 7. In the event that a loss of Property is settled by the Underwriter through the use of a lost instrument bond, such loss shall not reduce the Aggregate Limit of Liability.</w:t>
      </w:r>
    </w:p>
    <w:p>
      <w:pPr>
        <w:spacing w:after="0" w:line="37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Single Loss Limit of Liability</w:t>
      </w:r>
    </w:p>
    <w:p>
      <w:pPr>
        <w:spacing w:after="0" w:line="22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200" w:lineRule="exact"/>
        <w:rPr>
          <w:sz w:val="20"/>
          <w:szCs w:val="20"/>
          <w:color w:val="auto"/>
        </w:rPr>
      </w:pPr>
    </w:p>
    <w:p>
      <w:pPr>
        <w:spacing w:after="0" w:line="20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Single Loss Defined</w:t>
      </w:r>
    </w:p>
    <w:p>
      <w:pPr>
        <w:spacing w:after="0" w:line="225"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Single Loss means all covered loss, including court costs and attorneys’ fees incurred by the Underwriter under General Agreement F, resulting from</w:t>
      </w:r>
    </w:p>
    <w:p>
      <w:pPr>
        <w:spacing w:after="0" w:line="87" w:lineRule="exact"/>
        <w:rPr>
          <w:sz w:val="20"/>
          <w:szCs w:val="20"/>
          <w:color w:val="auto"/>
        </w:rPr>
      </w:pPr>
    </w:p>
    <w:p>
      <w:pPr>
        <w:ind w:left="740" w:right="500" w:hanging="368"/>
        <w:spacing w:after="0" w:line="342" w:lineRule="auto"/>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one act or series of related acts of burglary, robbery or attempt thereat, in which no Employee is implicated, or</w:t>
      </w:r>
    </w:p>
    <w:p>
      <w:pPr>
        <w:spacing w:after="0" w:line="29" w:lineRule="exact"/>
        <w:rPr>
          <w:rFonts w:ascii="Arial" w:cs="Arial" w:eastAsia="Arial" w:hAnsi="Arial"/>
          <w:sz w:val="16"/>
          <w:szCs w:val="16"/>
          <w:color w:val="auto"/>
        </w:rPr>
      </w:pPr>
    </w:p>
    <w:p>
      <w:pPr>
        <w:ind w:left="740" w:right="80" w:hanging="368"/>
        <w:spacing w:after="0" w:line="259"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92" w:lineRule="exact"/>
        <w:rPr>
          <w:rFonts w:ascii="Arial" w:cs="Arial" w:eastAsia="Arial" w:hAnsi="Arial"/>
          <w:sz w:val="18"/>
          <w:szCs w:val="18"/>
          <w:color w:val="auto"/>
        </w:rPr>
      </w:pPr>
    </w:p>
    <w:p>
      <w:pPr>
        <w:ind w:left="740" w:right="160" w:hanging="368"/>
        <w:spacing w:after="0" w:line="286"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acts or omissions other than those specified in (a) and (b) preceding, caused by any person (whether an Employee or not) or in which such person is implicated, or</w:t>
      </w:r>
    </w:p>
    <w:p>
      <w:pPr>
        <w:spacing w:after="0" w:line="70" w:lineRule="exact"/>
        <w:rPr>
          <w:rFonts w:ascii="Arial" w:cs="Arial" w:eastAsia="Arial" w:hAnsi="Arial"/>
          <w:sz w:val="17"/>
          <w:szCs w:val="17"/>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one casualty or event not specified in (a), (b) or</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(c) preceding.</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NOTICE/PROOF—LEGAL PROCEEDINGS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AGAINST UNDERWRITER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both"/>
        <w:ind w:right="280" w:firstLine="368"/>
        <w:spacing w:after="0" w:line="342" w:lineRule="auto"/>
        <w:tabs>
          <w:tab w:leader="none" w:pos="6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At the earliest practicable moment, not to exceed 30 days, after discovery of loss, the Insured shall give the Underwriter notice thereof,</w:t>
      </w:r>
    </w:p>
    <w:p>
      <w:pPr>
        <w:spacing w:after="0" w:line="123" w:lineRule="exact"/>
        <w:rPr>
          <w:rFonts w:ascii="Arial" w:cs="Arial" w:eastAsia="Arial" w:hAnsi="Arial"/>
          <w:sz w:val="16"/>
          <w:szCs w:val="16"/>
          <w:color w:val="auto"/>
        </w:rPr>
      </w:pPr>
    </w:p>
    <w:p>
      <w:pPr>
        <w:ind w:right="120" w:firstLine="368"/>
        <w:spacing w:after="0" w:line="308" w:lineRule="auto"/>
        <w:tabs>
          <w:tab w:leader="none" w:pos="6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Within 6 months after such discovery, the Insured shall furnish to the Underwriter proof of loss, duly sworn to, with full particulars.</w:t>
      </w:r>
    </w:p>
    <w:p>
      <w:pPr>
        <w:spacing w:after="0" w:line="146" w:lineRule="exact"/>
        <w:rPr>
          <w:rFonts w:ascii="Arial" w:cs="Arial" w:eastAsia="Arial" w:hAnsi="Arial"/>
          <w:sz w:val="17"/>
          <w:szCs w:val="17"/>
          <w:color w:val="auto"/>
        </w:rPr>
      </w:pPr>
    </w:p>
    <w:p>
      <w:pPr>
        <w:ind w:right="360" w:firstLine="368"/>
        <w:spacing w:after="0" w:line="264" w:lineRule="auto"/>
        <w:tabs>
          <w:tab w:leader="none" w:pos="6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ii such securities were issued therewith.</w:t>
      </w:r>
    </w:p>
    <w:p>
      <w:pPr>
        <w:spacing w:after="0" w:line="181" w:lineRule="exact"/>
        <w:rPr>
          <w:rFonts w:ascii="Arial" w:cs="Arial" w:eastAsia="Arial" w:hAnsi="Arial"/>
          <w:sz w:val="18"/>
          <w:szCs w:val="18"/>
          <w:color w:val="auto"/>
        </w:rPr>
      </w:pPr>
    </w:p>
    <w:p>
      <w:pPr>
        <w:jc w:val="both"/>
        <w:ind w:right="40" w:firstLine="368"/>
        <w:spacing w:after="0" w:line="259" w:lineRule="auto"/>
        <w:tabs>
          <w:tab w:leader="none" w:pos="6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186" w:lineRule="exact"/>
        <w:rPr>
          <w:rFonts w:ascii="Arial" w:cs="Arial" w:eastAsia="Arial" w:hAnsi="Arial"/>
          <w:sz w:val="18"/>
          <w:szCs w:val="18"/>
          <w:color w:val="auto"/>
        </w:rPr>
      </w:pPr>
    </w:p>
    <w:p>
      <w:pPr>
        <w:jc w:val="both"/>
        <w:ind w:right="20" w:firstLine="368"/>
        <w:spacing w:after="0" w:line="259" w:lineRule="auto"/>
        <w:tabs>
          <w:tab w:leader="none" w:pos="6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187" w:lineRule="exact"/>
        <w:rPr>
          <w:sz w:val="20"/>
          <w:szCs w:val="20"/>
          <w:color w:val="auto"/>
        </w:rPr>
      </w:pPr>
    </w:p>
    <w:p>
      <w:pPr>
        <w:jc w:val="both"/>
        <w:ind w:right="200" w:firstLine="368"/>
        <w:spacing w:after="0" w:line="264" w:lineRule="auto"/>
        <w:tabs>
          <w:tab w:leader="none" w:pos="5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 one other than the named Insured.</w:t>
      </w:r>
    </w:p>
    <w:p>
      <w:pPr>
        <w:sectPr>
          <w:pgSz w:w="11900" w:h="16838" w:orient="portrait"/>
          <w:cols w:equalWidth="0" w:num="2">
            <w:col w:w="5480" w:space="340"/>
            <w:col w:w="5440"/>
          </w:cols>
          <w:pgMar w:left="240" w:top="328" w:right="399" w:bottom="0" w:gutter="0" w:footer="0" w:header="0"/>
        </w:sectPr>
      </w:pPr>
    </w:p>
    <w:bookmarkStart w:id="12" w:name="page13"/>
    <w:bookmarkEnd w:id="12"/>
    <w:p>
      <w:pPr>
        <w:ind w:right="80" w:firstLine="368"/>
        <w:spacing w:after="0" w:line="264" w:lineRule="auto"/>
        <w:tabs>
          <w:tab w:leader="none" w:pos="6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actual or alleged representation, advice, warranty or guarantee as to the performance of any investments;</w:t>
      </w:r>
    </w:p>
    <w:p>
      <w:pPr>
        <w:spacing w:after="0" w:line="181" w:lineRule="exact"/>
        <w:rPr>
          <w:sz w:val="20"/>
          <w:szCs w:val="20"/>
          <w:color w:val="auto"/>
        </w:rPr>
      </w:pPr>
    </w:p>
    <w:p>
      <w:pPr>
        <w:jc w:val="both"/>
        <w:ind w:right="200" w:firstLine="368"/>
        <w:spacing w:after="0" w:line="279" w:lineRule="auto"/>
        <w:tabs>
          <w:tab w:leader="none" w:pos="6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388"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DISCOVERY</w:t>
      </w:r>
    </w:p>
    <w:p>
      <w:pPr>
        <w:spacing w:after="0" w:line="22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6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LIMIT OF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Aggregate Limit of Liability</w:t>
      </w:r>
    </w:p>
    <w:p>
      <w:pPr>
        <w:spacing w:after="0" w:line="225" w:lineRule="exact"/>
        <w:rPr>
          <w:sz w:val="20"/>
          <w:szCs w:val="20"/>
          <w:color w:val="auto"/>
        </w:rPr>
      </w:pPr>
    </w:p>
    <w:p>
      <w:pPr>
        <w:ind w:right="260" w:firstLine="360"/>
        <w:spacing w:after="0" w:line="276" w:lineRule="auto"/>
        <w:rPr>
          <w:sz w:val="20"/>
          <w:szCs w:val="20"/>
          <w:color w:val="auto"/>
        </w:rPr>
      </w:pPr>
      <w:r>
        <w:rPr>
          <w:rFonts w:ascii="Arial" w:cs="Arial" w:eastAsia="Arial" w:hAnsi="Arial"/>
          <w:sz w:val="17"/>
          <w:szCs w:val="17"/>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73"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Upon exhaustion of the Aggregate Limit of Liability by such payments:</w:t>
      </w:r>
    </w:p>
    <w:p>
      <w:pPr>
        <w:spacing w:after="0" w:line="20" w:lineRule="exact"/>
        <w:rPr>
          <w:sz w:val="20"/>
          <w:szCs w:val="20"/>
          <w:color w:val="auto"/>
        </w:rPr>
      </w:pPr>
      <w:r>
        <w:rPr>
          <w:sz w:val="20"/>
          <w:szCs w:val="20"/>
          <w:color w:val="auto"/>
        </w:rPr>
        <w:br w:type="column"/>
      </w:r>
    </w:p>
    <w:p>
      <w:pPr>
        <w:ind w:left="2240"/>
        <w:spacing w:after="0"/>
        <w:rPr>
          <w:sz w:val="20"/>
          <w:szCs w:val="20"/>
          <w:color w:val="auto"/>
        </w:rPr>
      </w:pPr>
      <w:r>
        <w:rPr>
          <w:rFonts w:ascii="Arial" w:cs="Arial" w:eastAsia="Arial" w:hAnsi="Arial"/>
          <w:sz w:val="18"/>
          <w:szCs w:val="18"/>
          <w:color w:val="auto"/>
        </w:rPr>
        <w:t>VALUATION</w:t>
      </w:r>
    </w:p>
    <w:p>
      <w:pPr>
        <w:spacing w:after="0" w:line="225"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140" w:firstLine="360"/>
        <w:spacing w:after="0" w:line="268" w:lineRule="auto"/>
        <w:rPr>
          <w:sz w:val="20"/>
          <w:szCs w:val="20"/>
          <w:color w:val="auto"/>
        </w:rPr>
      </w:pPr>
      <w:r>
        <w:rPr>
          <w:rFonts w:ascii="Arial" w:cs="Arial" w:eastAsia="Arial" w:hAnsi="Arial"/>
          <w:sz w:val="17"/>
          <w:szCs w:val="17"/>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85" w:lineRule="exact"/>
        <w:rPr>
          <w:sz w:val="20"/>
          <w:szCs w:val="20"/>
          <w:color w:val="auto"/>
        </w:rPr>
      </w:pPr>
    </w:p>
    <w:p>
      <w:pPr>
        <w:ind w:right="220" w:firstLine="360"/>
        <w:spacing w:after="0" w:line="255" w:lineRule="auto"/>
        <w:rPr>
          <w:sz w:val="20"/>
          <w:szCs w:val="20"/>
          <w:color w:val="auto"/>
        </w:rPr>
      </w:pPr>
      <w:r>
        <w:rPr>
          <w:rFonts w:ascii="Arial" w:cs="Arial" w:eastAsia="Arial" w:hAnsi="Arial"/>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1951" w:lineRule="exact"/>
        <w:rPr>
          <w:sz w:val="20"/>
          <w:szCs w:val="20"/>
          <w:color w:val="auto"/>
        </w:rPr>
      </w:pPr>
    </w:p>
    <w:p>
      <w:pPr>
        <w:sectPr>
          <w:pgSz w:w="11900" w:h="16838" w:orient="portrait"/>
          <w:cols w:equalWidth="0" w:num="2">
            <w:col w:w="5440" w:space="380"/>
            <w:col w:w="5600"/>
          </w:cols>
          <w:pgMar w:left="240" w:top="125" w:right="239" w:bottom="1440" w:gutter="0" w:footer="0" w:header="0"/>
        </w:sectPr>
      </w:pPr>
    </w:p>
    <w:p>
      <w:pPr>
        <w:spacing w:after="0" w:line="51"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line="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Books of Account and Other Records</w:t>
      </w:r>
    </w:p>
    <w:p>
      <w:pPr>
        <w:spacing w:after="0" w:line="22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Property other than Money, Securities or Records</w:t>
      </w:r>
    </w:p>
    <w:p>
      <w:pPr>
        <w:spacing w:after="0" w:line="225"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39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Set-Off</w:t>
      </w:r>
    </w:p>
    <w:p>
      <w:pPr>
        <w:spacing w:after="0" w:line="225"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39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ASSIGNMENT— SUBROGATION – RECOVERY – COOPERATION</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7.</w:t>
      </w:r>
    </w:p>
    <w:p>
      <w:pPr>
        <w:spacing w:after="0" w:line="117" w:lineRule="exact"/>
        <w:rPr>
          <w:sz w:val="20"/>
          <w:szCs w:val="20"/>
          <w:color w:val="auto"/>
        </w:rPr>
      </w:pPr>
    </w:p>
    <w:p>
      <w:pPr>
        <w:jc w:val="both"/>
        <w:ind w:right="100" w:firstLine="368"/>
        <w:spacing w:after="0" w:line="259" w:lineRule="auto"/>
        <w:tabs>
          <w:tab w:leader="none" w:pos="6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186" w:lineRule="exact"/>
        <w:rPr>
          <w:rFonts w:ascii="Arial" w:cs="Arial" w:eastAsia="Arial" w:hAnsi="Arial"/>
          <w:sz w:val="18"/>
          <w:szCs w:val="18"/>
          <w:color w:val="auto"/>
        </w:rPr>
      </w:pPr>
    </w:p>
    <w:p>
      <w:pPr>
        <w:ind w:right="140" w:firstLine="368"/>
        <w:spacing w:after="0" w:line="286" w:lineRule="auto"/>
        <w:tabs>
          <w:tab w:leader="none" w:pos="6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event of payment under this bond, the Underwriter shall be subrogated to all of the Insured’s rights of recovery therefor against any person or entity to the extent of such payment.</w:t>
      </w:r>
    </w:p>
    <w:p>
      <w:pPr>
        <w:spacing w:after="0" w:line="165" w:lineRule="exact"/>
        <w:rPr>
          <w:rFonts w:ascii="Arial" w:cs="Arial" w:eastAsia="Arial" w:hAnsi="Arial"/>
          <w:sz w:val="17"/>
          <w:szCs w:val="17"/>
          <w:color w:val="auto"/>
        </w:rPr>
      </w:pPr>
    </w:p>
    <w:p>
      <w:pPr>
        <w:ind w:firstLine="368"/>
        <w:spacing w:after="0" w:line="270" w:lineRule="auto"/>
        <w:tabs>
          <w:tab w:leader="none" w:pos="6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177" w:lineRule="exact"/>
        <w:rPr>
          <w:rFonts w:ascii="Arial" w:cs="Arial" w:eastAsia="Arial" w:hAnsi="Arial"/>
          <w:sz w:val="17"/>
          <w:szCs w:val="17"/>
          <w:color w:val="auto"/>
        </w:rPr>
      </w:pPr>
    </w:p>
    <w:p>
      <w:pPr>
        <w:ind w:right="40" w:firstLine="368"/>
        <w:spacing w:after="0" w:line="277" w:lineRule="auto"/>
        <w:tabs>
          <w:tab w:leader="none" w:pos="6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Underwriter’s request and at reasonable times and places designated by the Underwriter the Insured shall</w:t>
      </w:r>
    </w:p>
    <w:p>
      <w:pPr>
        <w:spacing w:after="0" w:line="75" w:lineRule="exact"/>
        <w:rPr>
          <w:rFonts w:ascii="Arial" w:cs="Arial" w:eastAsia="Arial" w:hAnsi="Arial"/>
          <w:sz w:val="18"/>
          <w:szCs w:val="18"/>
          <w:color w:val="auto"/>
        </w:rPr>
      </w:pPr>
    </w:p>
    <w:p>
      <w:pPr>
        <w:ind w:left="1100" w:right="140" w:hanging="363"/>
        <w:spacing w:after="0" w:line="277"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submit to examination by the Underwriter and subscribe to the same under oath, and</w:t>
      </w:r>
    </w:p>
    <w:p>
      <w:pPr>
        <w:spacing w:after="0" w:line="75" w:lineRule="exact"/>
        <w:rPr>
          <w:rFonts w:ascii="Arial" w:cs="Arial" w:eastAsia="Arial" w:hAnsi="Arial"/>
          <w:sz w:val="18"/>
          <w:szCs w:val="18"/>
          <w:color w:val="auto"/>
        </w:rPr>
      </w:pPr>
    </w:p>
    <w:p>
      <w:pPr>
        <w:ind w:left="1100" w:right="380" w:hanging="363"/>
        <w:spacing w:after="0" w:line="277"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75" w:lineRule="exact"/>
        <w:rPr>
          <w:rFonts w:ascii="Arial" w:cs="Arial" w:eastAsia="Arial" w:hAnsi="Arial"/>
          <w:sz w:val="18"/>
          <w:szCs w:val="18"/>
          <w:color w:val="auto"/>
        </w:rPr>
      </w:pPr>
    </w:p>
    <w:p>
      <w:pPr>
        <w:ind w:left="1100" w:right="180" w:hanging="363"/>
        <w:spacing w:after="0" w:line="277"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170" w:lineRule="exact"/>
        <w:rPr>
          <w:rFonts w:ascii="Arial" w:cs="Arial" w:eastAsia="Arial" w:hAnsi="Arial"/>
          <w:sz w:val="18"/>
          <w:szCs w:val="18"/>
          <w:color w:val="auto"/>
        </w:rPr>
      </w:pPr>
    </w:p>
    <w:p>
      <w:pPr>
        <w:ind w:right="20" w:firstLine="368"/>
        <w:spacing w:after="0" w:line="259" w:lineRule="auto"/>
        <w:tabs>
          <w:tab w:leader="none" w:pos="6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LIMIT OF LIABILITY UNDER THIS BOND AND PRIOR INSURANCE</w:t>
      </w:r>
    </w:p>
    <w:p>
      <w:pPr>
        <w:spacing w:after="0" w:line="237"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Section 8. With respect to any loss set forth in sub-section (c) of Section 4 of this bond which is recoverable or recovered in whole or in part under any other bonds or policies issued by the Underwriter to the Insured</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such other bonds or policies, as limited by the terms and conditions thereof, for any such loss if the latter amount be the larger.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-422275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INSURANCE OR INDEMNITY</w:t>
      </w:r>
    </w:p>
    <w:p>
      <w:pPr>
        <w:spacing w:after="0" w:line="225" w:lineRule="exact"/>
        <w:rPr>
          <w:sz w:val="20"/>
          <w:szCs w:val="20"/>
          <w:color w:val="auto"/>
        </w:rPr>
      </w:pPr>
    </w:p>
    <w:p>
      <w:pPr>
        <w:ind w:right="180" w:firstLine="360"/>
        <w:spacing w:after="0" w:line="288" w:lineRule="auto"/>
        <w:rPr>
          <w:sz w:val="20"/>
          <w:szCs w:val="20"/>
          <w:color w:val="auto"/>
        </w:rPr>
      </w:pPr>
      <w:r>
        <w:rPr>
          <w:rFonts w:ascii="Arial" w:cs="Arial" w:eastAsia="Arial" w:hAnsi="Arial"/>
          <w:sz w:val="16"/>
          <w:szCs w:val="16"/>
          <w:color w:val="auto"/>
        </w:rPr>
        <w:t>Section 9. Coverage afforded hereunder shall apply only as excess over any valid and collectible insurance or indemnity obtained by the Insured, or by one other than the Insured on Property subject to exclusion</w:t>
      </w:r>
    </w:p>
    <w:p>
      <w:pPr>
        <w:ind w:right="160" w:firstLine="8"/>
        <w:spacing w:after="0" w:line="255"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or by a Transportation Company, or by another entity on whose premises the loss occurred or which employed the person causing the loss or the messenger conveying the Property involved.</w:t>
      </w: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OWNERSHIP</w:t>
      </w:r>
    </w:p>
    <w:p>
      <w:pPr>
        <w:spacing w:after="0" w:line="22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DEDUCTIBLE AMOUNT</w:t>
      </w:r>
    </w:p>
    <w:p>
      <w:pPr>
        <w:spacing w:after="0" w:line="225"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73"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The Insured shall, in the time and in the manner prescribed in this bond, give the Underwriter notice of any loss of the kind covered by the terms of this bond, whether or not the Underwriter is liable therefore, and upon the request of the Underwriter shall file with it a brief statement giving the particulars concerning such loss.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OR CANCELATION</w:t>
      </w:r>
    </w:p>
    <w:p>
      <w:pPr>
        <w:spacing w:after="0" w:line="225" w:lineRule="exact"/>
        <w:rPr>
          <w:sz w:val="20"/>
          <w:szCs w:val="20"/>
          <w:color w:val="auto"/>
        </w:rPr>
      </w:pPr>
    </w:p>
    <w:p>
      <w:pPr>
        <w:jc w:val="both"/>
        <w:ind w:right="300" w:firstLine="360"/>
        <w:spacing w:after="0" w:line="288" w:lineRule="auto"/>
        <w:rPr>
          <w:sz w:val="20"/>
          <w:szCs w:val="20"/>
          <w:color w:val="auto"/>
        </w:rPr>
      </w:pPr>
      <w:r>
        <w:rPr>
          <w:rFonts w:ascii="Arial" w:cs="Arial" w:eastAsia="Arial" w:hAnsi="Arial"/>
          <w:sz w:val="16"/>
          <w:szCs w:val="16"/>
          <w:color w:val="auto"/>
        </w:rPr>
        <w:t>Section 12. This bond terminates as an entirety upon occurrence of any of the following: — (a) 60 days after the receipt by the insured of a written notice from the Underwriter of its desire to cancel this bond, or</w:t>
      </w:r>
    </w:p>
    <w:p>
      <w:pPr>
        <w:ind w:firstLine="8"/>
        <w:spacing w:after="0" w:line="269"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81"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This bond terminates as to any Employee or any partner, officer or employee of any Processor — (a)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95"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which is discovered after the effective date of such termination.</w:t>
      </w:r>
    </w:p>
    <w:p>
      <w:pPr>
        <w:sectPr>
          <w:pgSz w:w="11900" w:h="16844" w:orient="portrait"/>
          <w:cols w:equalWidth="0" w:num="2">
            <w:col w:w="5480" w:space="340"/>
            <w:col w:w="5480"/>
          </w:cols>
          <w:pgMar w:left="240" w:top="328" w:right="35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or to any predecessor in interest of the Insured and terminated or canceled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allowed to expire and in which the period for discovery has not expired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the time any such loss thereunder is discovered, the total liability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 under this bond and under such other bonds or policies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exceed, in the aggregate, the amount carried hereunder on such loss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amount available to the Insured under</w:t>
      </w:r>
    </w:p>
    <w:p>
      <w:pPr>
        <w:spacing w:after="0" w:line="3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158"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420"/>
          </w:cols>
          <w:pgMar w:left="240" w:top="125"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ONLY SIGNATURES APPLICABLE TO THIS POLICY ARE THOSE REPRESENTING THE COMPANY NAMED ON THE FIRST PAGE OF THE DECLARATIONS.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signing and delivering the policy to you, we state that it is a valid contract.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INDEMNITY INSURANCE COMPANY OF NORTH AMERICA </w:t>
      </w:r>
      <w:r>
        <w:rPr>
          <w:rFonts w:ascii="Arial" w:cs="Arial" w:eastAsia="Arial" w:hAnsi="Arial"/>
          <w:sz w:val="18"/>
          <w:szCs w:val="18"/>
          <w:color w:val="auto"/>
        </w:rPr>
        <w:t>(A stock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FIRE AND MARINE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AMERICAN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PROPERTY AND CASUALTY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INSURANCE COMPANY OF NORTH AMERICA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PACIFIC EMPLOYERS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FIRE UNDERWRITERS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WESTCHESTER FIRE INSURANCE COMPANY </w:t>
      </w:r>
      <w:r>
        <w:rPr>
          <w:rFonts w:ascii="Arial" w:cs="Arial" w:eastAsia="Arial" w:hAnsi="Arial"/>
          <w:sz w:val="18"/>
          <w:szCs w:val="18"/>
          <w:color w:val="auto"/>
        </w:rPr>
        <w:t>(A stock company)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436 Walnut Street, P.O. Box 1000, Philadelphia, Pennsylvania 19106-3703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2143760"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38608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169545</wp:posOffset>
            </wp:positionV>
            <wp:extent cx="1869440" cy="720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94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0"/>
        <w:spacing w:after="0"/>
        <w:tabs>
          <w:tab w:leader="none" w:pos="9320" w:val="left"/>
        </w:tabs>
        <w:rPr>
          <w:sz w:val="20"/>
          <w:szCs w:val="20"/>
          <w:color w:val="auto"/>
        </w:rPr>
      </w:pPr>
      <w:r>
        <w:rPr>
          <w:rFonts w:ascii="Arial" w:cs="Arial" w:eastAsia="Arial" w:hAnsi="Arial"/>
          <w:sz w:val="18"/>
          <w:szCs w:val="18"/>
          <w:color w:val="auto"/>
        </w:rPr>
        <w:t>REBECCA L. COLLINS, Secretary</w:t>
      </w:r>
      <w:r>
        <w:rPr>
          <w:sz w:val="20"/>
          <w:szCs w:val="20"/>
          <w:color w:val="auto"/>
        </w:rPr>
        <w:tab/>
      </w:r>
      <w:r>
        <w:rPr>
          <w:rFonts w:ascii="Arial" w:cs="Arial" w:eastAsia="Arial" w:hAnsi="Arial"/>
          <w:sz w:val="16"/>
          <w:szCs w:val="16"/>
          <w:color w:val="auto"/>
        </w:rPr>
        <w:t>JOHN J. LUPICA,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CC-1K11h (03/14)</w:t>
      </w:r>
    </w:p>
    <w:p>
      <w:pPr>
        <w:sectPr>
          <w:pgSz w:w="11900" w:h="16838" w:orient="portrait"/>
          <w:cols w:equalWidth="0" w:num="1">
            <w:col w:w="11440"/>
          </w:cols>
          <w:pgMar w:left="240" w:top="270" w:right="2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be attached to and form part of Financial Institution Bond, Standard Form No. 14 in favor of TPG Specialty Lending,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2380" w:right="20" w:hanging="441"/>
        <w:spacing w:after="0" w:line="277" w:lineRule="auto"/>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Subparagraph (d) of Section 5 NOTICE/PROOF – LEGAL PROCEEDINGS AGAINST UNDERWRITER of the Conditions and Limitations of the bond is deleted and replaced by the following:</w:t>
      </w:r>
    </w:p>
    <w:p>
      <w:pPr>
        <w:spacing w:after="0" w:line="62" w:lineRule="exact"/>
        <w:rPr>
          <w:rFonts w:ascii="Arial" w:cs="Arial" w:eastAsia="Arial" w:hAnsi="Arial"/>
          <w:sz w:val="18"/>
          <w:szCs w:val="18"/>
          <w:color w:val="auto"/>
        </w:rPr>
      </w:pPr>
    </w:p>
    <w:p>
      <w:pPr>
        <w:ind w:left="2400" w:right="120" w:firstLine="4"/>
        <w:spacing w:after="0" w:line="342" w:lineRule="auto"/>
        <w:tabs>
          <w:tab w:leader="none" w:pos="2655" w:val="left"/>
        </w:tabs>
        <w:numPr>
          <w:ilvl w:val="1"/>
          <w:numId w:val="49"/>
        </w:numPr>
        <w:rPr>
          <w:rFonts w:ascii="Arial" w:cs="Arial" w:eastAsia="Arial" w:hAnsi="Arial"/>
          <w:sz w:val="16"/>
          <w:szCs w:val="16"/>
          <w:color w:val="auto"/>
        </w:rPr>
      </w:pPr>
      <w:r>
        <w:rPr>
          <w:rFonts w:ascii="Arial" w:cs="Arial" w:eastAsia="Arial" w:hAnsi="Arial"/>
          <w:sz w:val="16"/>
          <w:szCs w:val="16"/>
          <w:color w:val="auto"/>
        </w:rPr>
        <w:t>Legal proceedings for the recovery of any loss hereunder shall not be brought more than two years and one day after the earlier of (1) the date the original proof of loss is filed with the Underwriter, or (2) 6 months after discovery of such loss.</w:t>
      </w:r>
    </w:p>
    <w:p>
      <w:pPr>
        <w:spacing w:after="0" w:line="29" w:lineRule="exact"/>
        <w:rPr>
          <w:rFonts w:ascii="Arial" w:cs="Arial" w:eastAsia="Arial" w:hAnsi="Arial"/>
          <w:sz w:val="16"/>
          <w:szCs w:val="16"/>
          <w:color w:val="auto"/>
        </w:rPr>
      </w:pPr>
    </w:p>
    <w:p>
      <w:pPr>
        <w:ind w:left="2380" w:right="160" w:hanging="441"/>
        <w:spacing w:after="0" w:line="277" w:lineRule="auto"/>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new Subparagraph (g) is added to Section 5 NOTICE/PROOF – LEGAL PROCEEDINGS AGAINST UNDERWRITER of the Conditions and Limitations of the bond as follows:</w:t>
      </w:r>
    </w:p>
    <w:p>
      <w:pPr>
        <w:spacing w:after="0" w:line="62" w:lineRule="exact"/>
        <w:rPr>
          <w:rFonts w:ascii="Arial" w:cs="Arial" w:eastAsia="Arial" w:hAnsi="Arial"/>
          <w:sz w:val="18"/>
          <w:szCs w:val="18"/>
          <w:color w:val="auto"/>
        </w:rPr>
      </w:pPr>
    </w:p>
    <w:p>
      <w:pPr>
        <w:ind w:left="2400" w:right="200" w:firstLine="4"/>
        <w:spacing w:after="0" w:line="257" w:lineRule="auto"/>
        <w:tabs>
          <w:tab w:leader="none" w:pos="265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event of a legal proceeding against the Insured as described in the NOTICE OF LEGAL PROCEEDINGS – ELECTION TO DEFEND General Agreement of the Bond, the time in which to file a proof of loss pursuant to subparagraph (b) of this Section 5 and the time in which to file suite pursuant to part (2) of subparagraph (d) of this Section 5 shall commence upon the entry of a judgment against the Insured in, or a settlement by the Insured of, such legal proceeding instead of upon discovery of loss.</w:t>
      </w:r>
    </w:p>
    <w:p>
      <w:pPr>
        <w:spacing w:after="0" w:line="93" w:lineRule="exact"/>
        <w:rPr>
          <w:rFonts w:ascii="Arial" w:cs="Arial" w:eastAsia="Arial" w:hAnsi="Arial"/>
          <w:sz w:val="18"/>
          <w:szCs w:val="18"/>
          <w:color w:val="auto"/>
        </w:rPr>
      </w:pPr>
    </w:p>
    <w:p>
      <w:pPr>
        <w:ind w:left="2380" w:right="340" w:hanging="441"/>
        <w:spacing w:after="0" w:line="277" w:lineRule="auto"/>
        <w:tabs>
          <w:tab w:leader="none" w:pos="2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last paragraph of the NOTICE OF LEGAL PROCEEDINGS – ELECTION TO DEFEND General Agreement of the bond is deleted and replaced by the following:</w:t>
      </w:r>
    </w:p>
    <w:p>
      <w:pPr>
        <w:spacing w:after="0" w:line="62" w:lineRule="exact"/>
        <w:rPr>
          <w:rFonts w:ascii="Arial" w:cs="Arial" w:eastAsia="Arial" w:hAnsi="Arial"/>
          <w:sz w:val="18"/>
          <w:szCs w:val="18"/>
          <w:color w:val="auto"/>
        </w:rPr>
      </w:pPr>
    </w:p>
    <w:p>
      <w:pPr>
        <w:ind w:left="2400" w:right="180"/>
        <w:spacing w:after="0" w:line="277" w:lineRule="auto"/>
        <w:rPr>
          <w:rFonts w:ascii="Arial" w:cs="Arial" w:eastAsia="Arial" w:hAnsi="Arial"/>
          <w:sz w:val="18"/>
          <w:szCs w:val="18"/>
          <w:color w:val="auto"/>
        </w:rPr>
      </w:pPr>
      <w:r>
        <w:rPr>
          <w:rFonts w:ascii="Arial" w:cs="Arial" w:eastAsia="Arial" w:hAnsi="Arial"/>
          <w:sz w:val="18"/>
          <w:szCs w:val="18"/>
          <w:color w:val="auto"/>
        </w:rPr>
        <w:t>The Insured must notify the Underwriter within 30 days after such judgment is entered against it or after the insured settles such legal proceeding.</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is added to the Conditions and Limitations of the bond:</w:t>
      </w:r>
    </w:p>
    <w:p>
      <w:pPr>
        <w:spacing w:after="0" w:line="117"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6"/>
          <w:szCs w:val="16"/>
          <w:color w:val="auto"/>
        </w:rPr>
        <w:t>The Underwriter may not cancel or refuse to renew this bond based solely on the fact that any Insured is an elected official.</w:t>
      </w:r>
    </w:p>
    <w:p>
      <w:pPr>
        <w:spacing w:after="0" w:line="153" w:lineRule="exact"/>
        <w:rPr>
          <w:rFonts w:ascii="Arial" w:cs="Arial" w:eastAsia="Arial" w:hAnsi="Arial"/>
          <w:sz w:val="18"/>
          <w:szCs w:val="18"/>
          <w:color w:val="auto"/>
        </w:rPr>
      </w:pPr>
    </w:p>
    <w:p>
      <w:pPr>
        <w:ind w:left="2380" w:hanging="441"/>
        <w:spacing w:after="0"/>
        <w:tabs>
          <w:tab w:leader="none" w:pos="2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rider is effective as of 12:01 a.m. on 03/08/2017.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STANDARD FORM NOS. 14, 15, 24 AND 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ADOPTED MARCH, 2008.</w:t>
      </w:r>
    </w:p>
    <w:p>
      <w:pPr>
        <w:spacing w:after="0" w:line="131" w:lineRule="exact"/>
        <w:rPr>
          <w:sz w:val="20"/>
          <w:szCs w:val="20"/>
          <w:color w:val="auto"/>
        </w:rPr>
      </w:pPr>
    </w:p>
    <w:p>
      <w:pPr>
        <w:spacing w:after="0"/>
        <w:tabs>
          <w:tab w:leader="none" w:pos="3420" w:val="left"/>
          <w:tab w:leader="none" w:pos="10580" w:val="left"/>
        </w:tabs>
        <w:rPr>
          <w:sz w:val="20"/>
          <w:szCs w:val="20"/>
          <w:color w:val="auto"/>
        </w:rPr>
      </w:pPr>
      <w:r>
        <w:rPr>
          <w:rFonts w:ascii="Arial" w:cs="Arial" w:eastAsia="Arial" w:hAnsi="Arial"/>
          <w:sz w:val="18"/>
          <w:szCs w:val="18"/>
          <w:color w:val="auto"/>
        </w:rPr>
        <w:t>SR 6290</w:t>
      </w:r>
      <w:r>
        <w:rPr>
          <w:sz w:val="20"/>
          <w:szCs w:val="20"/>
          <w:color w:val="auto"/>
        </w:rPr>
        <w:tab/>
      </w:r>
      <w:r>
        <w:rPr>
          <w:rFonts w:ascii="Arial" w:cs="Arial" w:eastAsia="Arial" w:hAnsi="Arial"/>
          <w:sz w:val="18"/>
          <w:szCs w:val="18"/>
          <w:color w:val="auto"/>
        </w:rPr>
        <w:t>Copyright The Surety &amp; Fidelity Association of America, 2008</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ADD CERTAIN COMPUTER CRIME INSURING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to add the following:</w:t>
      </w:r>
    </w:p>
    <w:p>
      <w:pPr>
        <w:spacing w:after="0" w:line="13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370" w:lineRule="exact"/>
        <w:rPr>
          <w:sz w:val="20"/>
          <w:szCs w:val="20"/>
          <w:color w:val="auto"/>
        </w:rPr>
      </w:pPr>
    </w:p>
    <w:p>
      <w:pPr>
        <w:ind w:left="920" w:right="7600" w:hanging="345"/>
        <w:spacing w:after="0" w:line="408" w:lineRule="auto"/>
        <w:tabs>
          <w:tab w:leader="none" w:pos="898"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COMPUTER SYSTEMS FRAUD </w:t>
      </w:r>
      <w:r>
        <w:rPr>
          <w:rFonts w:ascii="Arial" w:cs="Arial" w:eastAsia="Arial" w:hAnsi="Arial"/>
          <w:sz w:val="17"/>
          <w:szCs w:val="17"/>
          <w:color w:val="auto"/>
        </w:rPr>
        <w:t>Loss resulting directly from a fraudulent</w:t>
      </w:r>
    </w:p>
    <w:p>
      <w:pPr>
        <w:spacing w:after="0" w:line="1" w:lineRule="exact"/>
        <w:rPr>
          <w:rFonts w:ascii="Arial" w:cs="Arial" w:eastAsia="Arial" w:hAnsi="Arial"/>
          <w:sz w:val="17"/>
          <w:szCs w:val="17"/>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117"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any Computer System operated by the Insured, whether owned or leased; or any Computer System identified in the application for this bond; or a Computer System first used by the Insured during the bond period, as provided by General Agreement B; provided the entry or change causes</w:t>
      </w:r>
    </w:p>
    <w:p>
      <w:pPr>
        <w:spacing w:after="0" w:line="29" w:lineRule="exact"/>
        <w:rPr>
          <w:sz w:val="20"/>
          <w:szCs w:val="20"/>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In this Insuring Agreement, fraudulent entry or change shall include such entry or change made by an employee of the Insured acting in good faith</w:t>
      </w:r>
    </w:p>
    <w:p>
      <w:pPr>
        <w:spacing w:after="0" w:line="76" w:lineRule="exact"/>
        <w:rPr>
          <w:sz w:val="20"/>
          <w:szCs w:val="20"/>
          <w:color w:val="auto"/>
        </w:rPr>
      </w:pPr>
    </w:p>
    <w:p>
      <w:pPr>
        <w:ind w:left="1480" w:right="12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80" w:right="56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31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DATA PROCESSING SERVICE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sustained by a Client of the Insured resulting directly from a fraudulent</w:t>
      </w:r>
    </w:p>
    <w:p>
      <w:pPr>
        <w:spacing w:after="0" w:line="131" w:lineRule="exact"/>
        <w:rPr>
          <w:sz w:val="20"/>
          <w:szCs w:val="20"/>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entry of Electronic Data or a Computer Program into, or</w:t>
      </w:r>
    </w:p>
    <w:p>
      <w:pPr>
        <w:spacing w:after="0" w:line="130"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of Electronic Data or a Computer Program within a Computer System covered under the terms of the Computer Systems Fraud Insuring Agreement 1,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entry or change of Electronic Data during electronic transmission or physical transit from the Insured to its Client,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the entry or change causes</w:t>
      </w:r>
    </w:p>
    <w:p>
      <w:pPr>
        <w:spacing w:after="0" w:line="131" w:lineRule="exact"/>
        <w:rPr>
          <w:sz w:val="20"/>
          <w:szCs w:val="20"/>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account of the Client, or a customer of the Client,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for which loss the Insured is legally liable to the Client as a provider of data processing services for such Client.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1 of 6</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4920" w:type="dxa"/>
            <w:vAlign w:val="bottom"/>
            <w:vMerge w:val="continue"/>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8" w:name="page19"/>
    <w:bookmarkEnd w:id="18"/>
    <w:p>
      <w:pPr>
        <w:ind w:left="920"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Data Processing Servicing Operations Insuring Agreement, fraudulent entry or change shall include such entry or change made by an employee of the Insured acting in good faith</w:t>
      </w:r>
    </w:p>
    <w:p>
      <w:pPr>
        <w:spacing w:after="0" w:line="76" w:lineRule="exact"/>
        <w:rPr>
          <w:sz w:val="20"/>
          <w:szCs w:val="20"/>
          <w:color w:val="auto"/>
        </w:rPr>
      </w:pPr>
    </w:p>
    <w:p>
      <w:pPr>
        <w:ind w:left="1480" w:right="20" w:hanging="567"/>
        <w:spacing w:after="0" w:line="277"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80" w:right="540" w:hanging="567"/>
        <w:spacing w:after="0" w:line="277"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62"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In this Data Processing Servicing Operations Insuring Agreement, Client means an entity for whom the Insured serves as data processor under the terms of a written agreement</w:t>
      </w:r>
    </w:p>
    <w:p>
      <w:pPr>
        <w:spacing w:after="0" w:line="315"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VOICE INITIATED TRANSFER FRAUD</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Funds from a Customer’s account through a Computer System covered under the terms of the Computer Systems Fraud Insuring Agreement in reliance upon a fraudulent voice instruction transmitted by telephone which was purported to be from</w:t>
      </w:r>
    </w:p>
    <w:p>
      <w:pPr>
        <w:spacing w:after="0" w:line="87" w:lineRule="exact"/>
        <w:rPr>
          <w:sz w:val="20"/>
          <w:szCs w:val="20"/>
          <w:color w:val="auto"/>
        </w:rPr>
      </w:pPr>
    </w:p>
    <w:p>
      <w:pPr>
        <w:ind w:left="1480" w:hanging="567"/>
        <w:spacing w:after="0" w:line="277"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130" w:lineRule="exact"/>
        <w:rPr>
          <w:rFonts w:ascii="Arial" w:cs="Arial" w:eastAsia="Arial" w:hAnsi="Arial"/>
          <w:sz w:val="18"/>
          <w:szCs w:val="18"/>
          <w:color w:val="auto"/>
        </w:rPr>
      </w:pPr>
    </w:p>
    <w:p>
      <w:pPr>
        <w:jc w:val="both"/>
        <w:ind w:left="1480" w:right="100" w:hanging="567"/>
        <w:spacing w:after="0" w:line="264" w:lineRule="auto"/>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employee of the Insured in another office of the Insured who was authorized by the Insured to instruct other employees of the Insured to transfer Funds, and was received by an employees of the Insured specifically designated to receive and act upon such instructions, but the voice instruction was not from a person described in (1), (2), or (3) above,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transfer was in excess of $</w:t>
      </w:r>
      <w:r>
        <w:rPr>
          <w:rFonts w:ascii="Arial" w:cs="Arial" w:eastAsia="Arial" w:hAnsi="Arial"/>
          <w:sz w:val="18"/>
          <w:szCs w:val="18"/>
          <w:u w:val="single" w:color="auto"/>
          <w:color w:val="auto"/>
        </w:rPr>
        <w:t>50,000</w:t>
      </w:r>
      <w:r>
        <w:rPr>
          <w:rFonts w:ascii="Arial" w:cs="Arial" w:eastAsia="Arial" w:hAnsi="Arial"/>
          <w:sz w:val="18"/>
          <w:szCs w:val="18"/>
          <w:color w:val="auto"/>
        </w:rPr>
        <w:t>, the voice instruction was verified by a call-back according to a prearranged procedure.</w:t>
      </w:r>
    </w:p>
    <w:p>
      <w:pPr>
        <w:spacing w:after="0" w:line="117" w:lineRule="exact"/>
        <w:rPr>
          <w:sz w:val="20"/>
          <w:szCs w:val="20"/>
          <w:color w:val="auto"/>
        </w:rPr>
      </w:pPr>
    </w:p>
    <w:p>
      <w:pPr>
        <w:ind w:left="460" w:right="200"/>
        <w:spacing w:after="0" w:line="286" w:lineRule="auto"/>
        <w:rPr>
          <w:sz w:val="20"/>
          <w:szCs w:val="20"/>
          <w:color w:val="auto"/>
        </w:rPr>
      </w:pPr>
      <w:r>
        <w:rPr>
          <w:rFonts w:ascii="Arial" w:cs="Arial" w:eastAsia="Arial" w:hAnsi="Arial"/>
          <w:sz w:val="17"/>
          <w:szCs w:val="17"/>
          <w:color w:val="auto"/>
        </w:rPr>
        <w:t>As used in this Voice Initiated Transfer Fraud Insuring Agreement, Customer means an entity or individual which has a written agreement with the Insured authorizing the Insured to rely on voice instructions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TELEFACSIMILE TRANSFER FRAUD</w:t>
      </w:r>
    </w:p>
    <w:p>
      <w:pPr>
        <w:spacing w:after="0" w:line="12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Insuring Agreement 1 in reliance upon a fraudulent instruction received though a Telefacsimile Device, and which instruction</w:t>
      </w:r>
    </w:p>
    <w:p>
      <w:pPr>
        <w:spacing w:after="0" w:line="8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13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if the transfer was in excess of $</w:t>
      </w:r>
      <w:r>
        <w:rPr>
          <w:rFonts w:ascii="Arial" w:cs="Arial" w:eastAsia="Arial" w:hAnsi="Arial"/>
          <w:sz w:val="18"/>
          <w:szCs w:val="18"/>
          <w:u w:val="single" w:color="auto"/>
          <w:color w:val="auto"/>
        </w:rPr>
        <w:t>50,000</w:t>
      </w:r>
      <w:r>
        <w:rPr>
          <w:rFonts w:ascii="Arial" w:cs="Arial" w:eastAsia="Arial" w:hAnsi="Arial"/>
          <w:sz w:val="18"/>
          <w:szCs w:val="18"/>
          <w:color w:val="auto"/>
        </w:rPr>
        <w:t>, the instruction was verified by a call-back according to a prearranged procedure.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2 of 6</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4920" w:type="dxa"/>
            <w:vAlign w:val="bottom"/>
            <w:vMerge w:val="continue"/>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left="460"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Telefacsimile Transfer Fraud Insuring Agreement, Customer means an entity or individual which has a written agreement with the Insured authorizing the Insured to rely on Telefacsimile Device instruction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HACKER</w:t>
      </w:r>
    </w:p>
    <w:p>
      <w:pPr>
        <w:spacing w:after="0" w:line="121" w:lineRule="exact"/>
        <w:rPr>
          <w:sz w:val="20"/>
          <w:szCs w:val="20"/>
          <w:color w:val="auto"/>
        </w:rPr>
      </w:pPr>
    </w:p>
    <w:p>
      <w:pPr>
        <w:ind w:left="460" w:right="160"/>
        <w:spacing w:after="0" w:line="342" w:lineRule="auto"/>
        <w:rPr>
          <w:sz w:val="20"/>
          <w:szCs w:val="20"/>
          <w:color w:val="auto"/>
        </w:rPr>
      </w:pPr>
      <w:r>
        <w:rPr>
          <w:rFonts w:ascii="Arial" w:cs="Arial" w:eastAsia="Arial" w:hAnsi="Arial"/>
          <w:sz w:val="16"/>
          <w:szCs w:val="16"/>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w:t>
      </w:r>
    </w:p>
    <w:p>
      <w:pPr>
        <w:spacing w:after="0" w:line="16"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32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VIRUS</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 if such destruction or damage was caused by a computer program or similar instruction which was written or altered to incorporate a hidden instruction designed to destroy or damage Electronic Data or Computer Programs in the Computer System in which the computer program or instruction so written or so altered is used.</w:t>
      </w:r>
    </w:p>
    <w:p>
      <w:pPr>
        <w:spacing w:after="0" w:line="8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liability of the Underwriter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Underwriter will pay the cost incurred for computer time, computer programmers, consultants, or other technical specialists as is reasonably necessary to restore the Computer Programs to substantially the previous level of operational capability.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ind w:left="460" w:right="80"/>
        <w:spacing w:after="0" w:line="286" w:lineRule="auto"/>
        <w:rPr>
          <w:sz w:val="20"/>
          <w:szCs w:val="20"/>
          <w:color w:val="auto"/>
        </w:rPr>
      </w:pPr>
      <w:r>
        <w:rPr>
          <w:rFonts w:ascii="Arial" w:cs="Arial" w:eastAsia="Arial" w:hAnsi="Arial"/>
          <w:sz w:val="17"/>
          <w:szCs w:val="17"/>
          <w:color w:val="auto"/>
        </w:rPr>
        <w:t>Under this Destruction Of Data Or Programs By Virus Insuring Agreement, “Single Loss” means all covered costs incurred by the Insured between the time destruction or damage is discovered and the time the Computer System is restored to substantially the previous level of operational capability. Recurrence of destruction or damage after the Computer System is restored shall constitute a separate “Single Loss”.</w:t>
      </w:r>
    </w:p>
    <w:p>
      <w:pPr>
        <w:spacing w:after="0" w:line="31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VOICE COMPUTER SYSTEM FRAUD</w:t>
      </w:r>
    </w:p>
    <w:p>
      <w:pPr>
        <w:spacing w:after="0" w:line="12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pacing w:after="0" w:line="9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failure to incorporate a System Password feature or failure to change the System Password at least once every 30 days thereafter, or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3 of 6</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4920" w:type="dxa"/>
            <w:vAlign w:val="bottom"/>
            <w:vMerge w:val="continue"/>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ind w:left="900" w:right="32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have a call-disconnect feature in operation to automatically terminate a caller’s access to the Voice Computer System after not more than three unsuccessful attempts to input an Account Code.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Under this Voice Computer System Fraud Insuring Agreement, “Single Loss” means loss resulting from toll call charges made only on telephone lines directly controlled by one Voice Computer System and only toll call charges occurring for a period of not more than 30 days inclusive of the date on which the first such toll call charge was made.</w:t>
      </w:r>
    </w:p>
    <w:p>
      <w:pPr>
        <w:spacing w:after="0" w:line="87" w:lineRule="exact"/>
        <w:rPr>
          <w:sz w:val="20"/>
          <w:szCs w:val="20"/>
          <w:color w:val="auto"/>
        </w:rPr>
      </w:pPr>
    </w:p>
    <w:p>
      <w:pPr>
        <w:ind w:left="460" w:right="1560" w:hanging="452"/>
        <w:spacing w:after="0" w:line="383" w:lineRule="auto"/>
        <w:tabs>
          <w:tab w:leader="none" w:pos="4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Subsection B, Additional Offices Or Employees – Consolidation, Merger Or Purchase Of Assets, is amended to add the following: As used in this subsection, “assets” includes a Computer System.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I, Definitions, of the Conditions And Limitations, is amended to add the following</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Computer System means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related communication networks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131" w:lineRule="exact"/>
        <w:rPr>
          <w:sz w:val="20"/>
          <w:szCs w:val="20"/>
          <w:color w:val="auto"/>
        </w:rPr>
      </w:pPr>
    </w:p>
    <w:p>
      <w:pPr>
        <w:ind w:left="900" w:right="4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130" w:lineRule="exact"/>
        <w:rPr>
          <w:rFonts w:ascii="Arial" w:cs="Arial" w:eastAsia="Arial" w:hAnsi="Arial"/>
          <w:sz w:val="18"/>
          <w:szCs w:val="18"/>
          <w:color w:val="auto"/>
        </w:rPr>
      </w:pPr>
    </w:p>
    <w:p>
      <w:pPr>
        <w:ind w:left="900" w:right="140" w:hanging="446"/>
        <w:spacing w:after="0" w:line="27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pacing w:after="0" w:line="77" w:lineRule="exact"/>
        <w:rPr>
          <w:rFonts w:ascii="Arial" w:cs="Arial" w:eastAsia="Arial" w:hAnsi="Arial"/>
          <w:sz w:val="17"/>
          <w:szCs w:val="17"/>
          <w:color w:val="auto"/>
        </w:rPr>
      </w:pPr>
    </w:p>
    <w:p>
      <w:pPr>
        <w:jc w:val="both"/>
        <w:ind w:left="900" w:right="32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86" w:lineRule="exact"/>
        <w:rPr>
          <w:rFonts w:ascii="Arial" w:cs="Arial" w:eastAsia="Arial" w:hAnsi="Arial"/>
          <w:sz w:val="18"/>
          <w:szCs w:val="18"/>
          <w:color w:val="auto"/>
        </w:rPr>
      </w:pPr>
    </w:p>
    <w:p>
      <w:pPr>
        <w:jc w:val="both"/>
        <w:ind w:left="900" w:right="28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4920" w:type="dxa"/>
            <w:vAlign w:val="bottom"/>
            <w:vMerge w:val="restart"/>
          </w:tcPr>
          <w:p>
            <w:pPr>
              <w:jc w:val="right"/>
              <w:ind w:right="2290"/>
              <w:spacing w:after="0"/>
              <w:rPr>
                <w:sz w:val="20"/>
                <w:szCs w:val="20"/>
                <w:color w:val="auto"/>
              </w:rPr>
            </w:pPr>
            <w:r>
              <w:rPr>
                <w:rFonts w:ascii="Arial" w:cs="Arial" w:eastAsia="Arial" w:hAnsi="Arial"/>
                <w:sz w:val="18"/>
                <w:szCs w:val="18"/>
                <w:color w:val="auto"/>
              </w:rPr>
              <w:t>© 2012</w:t>
            </w:r>
          </w:p>
        </w:tc>
        <w:tc>
          <w:tcPr>
            <w:tcW w:w="3200" w:type="dxa"/>
            <w:vAlign w:val="bottom"/>
          </w:tcPr>
          <w:p>
            <w:pPr>
              <w:ind w:left="2380"/>
              <w:spacing w:after="0"/>
              <w:rPr>
                <w:sz w:val="20"/>
                <w:szCs w:val="20"/>
                <w:color w:val="auto"/>
              </w:rPr>
            </w:pPr>
            <w:r>
              <w:rPr>
                <w:rFonts w:ascii="Arial" w:cs="Arial" w:eastAsia="Arial" w:hAnsi="Arial"/>
                <w:sz w:val="18"/>
                <w:szCs w:val="18"/>
                <w:color w:val="auto"/>
                <w:w w:val="86"/>
              </w:rPr>
              <w:t>Page 4 of 6</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4920" w:type="dxa"/>
            <w:vAlign w:val="bottom"/>
            <w:vMerge w:val="continue"/>
          </w:tcPr>
          <w:p>
            <w:pPr>
              <w:spacing w:after="0"/>
              <w:rPr>
                <w:sz w:val="8"/>
                <w:szCs w:val="8"/>
                <w:color w:val="auto"/>
              </w:rPr>
            </w:pP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ind w:left="900" w:right="66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Telefacsimile Device means a machine capable of sending or receiving a duplicate image of a document by means of electronic impulses transmitted through a telephone line and which reproduces the duplicate image on paper.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73"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87"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Section 2, Exclusions, of the Conditions And Limitations, is amended to add the following:</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loss resulting directly or indirectly from entry or change of Electronic Data or Computer Programs in a Computer System, unless covered under the Computer Systems Fraud Insuring Agreement or the Data Processing Service Operations Insuring Agreement;</w:t>
      </w:r>
    </w:p>
    <w:p>
      <w:pPr>
        <w:spacing w:after="0" w:line="75" w:lineRule="exact"/>
        <w:rPr>
          <w:rFonts w:ascii="Arial" w:cs="Arial" w:eastAsia="Arial" w:hAnsi="Arial"/>
          <w:sz w:val="18"/>
          <w:szCs w:val="18"/>
          <w:color w:val="auto"/>
        </w:rPr>
      </w:pPr>
    </w:p>
    <w:p>
      <w:pPr>
        <w:ind w:left="900" w:right="340" w:hanging="446"/>
        <w:spacing w:after="0" w:line="308" w:lineRule="auto"/>
        <w:tabs>
          <w:tab w:leader="none" w:pos="9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loss resulting directly or indirectly from the Insured having transferred Funds in reliance on the validity of a voice instruction, unless covered under the Computer Systems Fraud Insuring Agreement or the Voice Initiated Transfer Fraud Insuring Agreement;</w:t>
      </w:r>
    </w:p>
    <w:p>
      <w:pPr>
        <w:spacing w:after="0" w:line="51" w:lineRule="exact"/>
        <w:rPr>
          <w:rFonts w:ascii="Arial" w:cs="Arial" w:eastAsia="Arial" w:hAnsi="Arial"/>
          <w:sz w:val="17"/>
          <w:szCs w:val="17"/>
          <w:color w:val="auto"/>
        </w:rPr>
      </w:pPr>
    </w:p>
    <w:p>
      <w:pPr>
        <w:ind w:left="900" w:right="300" w:hanging="446"/>
        <w:spacing w:after="0" w:line="342"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loss resulting directly or indirectly by the Insured having transferred or delivered Funds, Certificated Securities or Uncertificated Securities in reliance on an instruction received through a Telefacsimile Device unless covered under Telefacsimile Transfer Fraud Insuring Agreement;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loss resulting directly or indirectly from theft of confidential information;</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cost of duplication of Electronic Data or Computer Programs, unless covered under the Destruction Of Data Programs By Hacker Insuring Agreement or the Destruction Of Data Programs By Virus Insuring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loss involving a Voice Computer System, unless covered under the Voice Computer Systems Fraud Insuring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written instructions or advices,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telegraphic or cable instructions or advices;</w:t>
      </w:r>
    </w:p>
    <w:p>
      <w:pPr>
        <w:spacing w:after="0" w:line="117" w:lineRule="exact"/>
        <w:rPr>
          <w:sz w:val="20"/>
          <w:szCs w:val="20"/>
          <w:color w:val="auto"/>
        </w:rPr>
      </w:pPr>
    </w:p>
    <w:p>
      <w:pPr>
        <w:ind w:left="920" w:right="740"/>
        <w:spacing w:after="0" w:line="277" w:lineRule="auto"/>
        <w:rPr>
          <w:sz w:val="20"/>
          <w:szCs w:val="20"/>
          <w:color w:val="auto"/>
        </w:rPr>
      </w:pPr>
      <w:r>
        <w:rPr>
          <w:rFonts w:ascii="Arial" w:cs="Arial" w:eastAsia="Arial" w:hAnsi="Arial"/>
          <w:sz w:val="18"/>
          <w:szCs w:val="18"/>
          <w:color w:val="auto"/>
        </w:rPr>
        <w:t>unless the instructions or advices are Tested and the loss is covered under the Computer Systems Fraud Insuring Agreement or the Data Processing Service Operations Insuring Agreement;</w:t>
      </w:r>
    </w:p>
    <w:p>
      <w:pPr>
        <w:spacing w:after="0" w:line="76" w:lineRule="exact"/>
        <w:rPr>
          <w:sz w:val="20"/>
          <w:szCs w:val="20"/>
          <w:color w:val="auto"/>
        </w:rPr>
      </w:pPr>
    </w:p>
    <w:p>
      <w:pPr>
        <w:ind w:left="900" w:right="60" w:hanging="446"/>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86"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loss resulting directly or indirectly from the fraudulent preparation, or fraudulent modification of Computer Programs unless covered under the Computer Systems Fraud Insuring Agreement or the Data Processing Service Operations Insuring Agreement;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80" w:right="360" w:hanging="567"/>
        <w:spacing w:after="0" w:line="277"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error or omission in programming or processing;</w:t>
      </w:r>
    </w:p>
    <w:p>
      <w:pPr>
        <w:spacing w:after="0" w:line="13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loss as a result of a threat</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to do bodily harm to any person, or</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to do damage to the premises or property of the Insured, or</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to Computer System operations;</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420"/>
          </w:cols>
          <w:pgMar w:left="240" w:top="274" w:right="239" w:bottom="1440" w:gutter="0" w:footer="0" w:header="0"/>
        </w:sectPr>
      </w:pPr>
    </w:p>
    <w:bookmarkStart w:id="22" w:name="page23"/>
    <w:bookmarkEnd w:id="22"/>
    <w:p>
      <w:pPr>
        <w:ind w:left="900" w:right="2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loss resulting directly or indirectly from the use of a telephone credit, debit, charge, identification or similar card to gain access to the Insured’s Voice Computer System;</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customer identification or other cards;</w:t>
      </w:r>
    </w:p>
    <w:p>
      <w:pPr>
        <w:spacing w:after="0" w:line="75" w:lineRule="exact"/>
        <w:rPr>
          <w:rFonts w:ascii="Arial" w:cs="Arial" w:eastAsia="Arial" w:hAnsi="Arial"/>
          <w:sz w:val="18"/>
          <w:szCs w:val="18"/>
          <w:color w:val="auto"/>
        </w:rPr>
      </w:pPr>
    </w:p>
    <w:p>
      <w:pPr>
        <w:ind w:left="900" w:right="700" w:hanging="446"/>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loss resulting directly or indirectly from the input of Electronic Data into a Computer System terminal device either on the premises of a customer of the Insured or under the control of such customer by a person who had authorized access to the customer’s authentification mechanism.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PF-38325 (06/12)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6 of 6</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RICO EXCLUSION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Conditions And Limitations, Section 2, Exclusions, subsection (j), is deleted in its entirety and the following is inserted:</w:t>
      </w:r>
    </w:p>
    <w:p>
      <w:pPr>
        <w:spacing w:after="0" w:line="131" w:lineRule="exact"/>
        <w:rPr>
          <w:sz w:val="20"/>
          <w:szCs w:val="20"/>
          <w:color w:val="auto"/>
        </w:rPr>
      </w:pPr>
    </w:p>
    <w:p>
      <w:pPr>
        <w:jc w:val="both"/>
        <w:ind w:left="900" w:right="8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PF-37675 (05/12)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COUNTERFEIT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Insuring Agreements, Section (F), Counterfeit Currency, is deleted in its entirety, and the following is inserted:</w:t>
      </w:r>
    </w:p>
    <w:p>
      <w:pPr>
        <w:spacing w:after="0" w:line="131" w:lineRule="exact"/>
        <w:rPr>
          <w:sz w:val="20"/>
          <w:szCs w:val="20"/>
          <w:color w:val="auto"/>
        </w:rPr>
      </w:pPr>
    </w:p>
    <w:p>
      <w:pPr>
        <w:ind w:left="900" w:right="68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Coin or Currency of the United States of America, Canada or any other country.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PF-33849 (05/11)</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-196850</wp:posOffset>
            </wp:positionV>
            <wp:extent cx="16319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6</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25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Insuring Agreements, Section A, Fidelity, is amended to add the following:</w:t>
      </w:r>
    </w:p>
    <w:p>
      <w:pPr>
        <w:spacing w:after="0" w:line="117" w:lineRule="exact"/>
        <w:rPr>
          <w:rFonts w:ascii="Arial" w:cs="Arial" w:eastAsia="Arial" w:hAnsi="Arial"/>
          <w:sz w:val="18"/>
          <w:szCs w:val="18"/>
          <w:color w:val="auto"/>
        </w:rPr>
      </w:pPr>
    </w:p>
    <w:p>
      <w:pPr>
        <w:ind w:left="460" w:right="200"/>
        <w:spacing w:after="0" w:line="277" w:lineRule="auto"/>
        <w:rPr>
          <w:rFonts w:ascii="Arial" w:cs="Arial" w:eastAsia="Arial" w:hAnsi="Arial"/>
          <w:sz w:val="18"/>
          <w:szCs w:val="18"/>
          <w:color w:val="auto"/>
        </w:rPr>
      </w:pPr>
      <w:r>
        <w:rPr>
          <w:rFonts w:ascii="Arial" w:cs="Arial" w:eastAsia="Arial" w:hAnsi="Arial"/>
          <w:sz w:val="18"/>
          <w:szCs w:val="18"/>
          <w:color w:val="auto"/>
        </w:rPr>
        <w:t>Audit Expense Coverage $50,000 in the aggregate, which is part of, and not in addition to, the Aggregate Limit of Liability shown on the Declaration Page of this bond, with a deductible of $5,000 applicable to each and every loss</w:t>
      </w:r>
    </w:p>
    <w:p>
      <w:pPr>
        <w:spacing w:after="0" w:line="62" w:lineRule="exact"/>
        <w:rPr>
          <w:rFonts w:ascii="Arial" w:cs="Arial" w:eastAsia="Arial" w:hAnsi="Arial"/>
          <w:sz w:val="18"/>
          <w:szCs w:val="18"/>
          <w:color w:val="auto"/>
        </w:rPr>
      </w:pPr>
    </w:p>
    <w:p>
      <w:pPr>
        <w:ind w:left="460" w:right="40"/>
        <w:spacing w:after="0" w:line="272" w:lineRule="auto"/>
        <w:rPr>
          <w:rFonts w:ascii="Arial" w:cs="Arial" w:eastAsia="Arial" w:hAnsi="Arial"/>
          <w:sz w:val="18"/>
          <w:szCs w:val="18"/>
          <w:color w:val="auto"/>
        </w:rPr>
      </w:pPr>
      <w:r>
        <w:rPr>
          <w:rFonts w:ascii="Arial" w:cs="Arial" w:eastAsia="Arial" w:hAnsi="Arial"/>
          <w:sz w:val="17"/>
          <w:szCs w:val="17"/>
          <w:color w:val="auto"/>
        </w:rPr>
        <w:t>Expense incurred by the Insured for that part of the cost of audits or examinations required by State of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acts of one or more of the Employees and the liability of the Underwriter under this paragraph of Insuring Agreement (A) shall be part of, and not in addition to, the Single Loss Limit of Liability stated in Item 4 of the Declarations.</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(d), is deleted in its entirety and the following is inserted:</w:t>
      </w:r>
    </w:p>
    <w:p>
      <w:pPr>
        <w:spacing w:after="0" w:line="117" w:lineRule="exact"/>
        <w:rPr>
          <w:rFonts w:ascii="Arial" w:cs="Arial" w:eastAsia="Arial" w:hAnsi="Arial"/>
          <w:sz w:val="18"/>
          <w:szCs w:val="18"/>
          <w:color w:val="auto"/>
        </w:rPr>
      </w:pPr>
    </w:p>
    <w:p>
      <w:pPr>
        <w:ind w:left="460" w:right="20" w:firstLine="4"/>
        <w:spacing w:after="0" w:line="259" w:lineRule="auto"/>
        <w:tabs>
          <w:tab w:leader="none" w:pos="715" w:val="left"/>
        </w:tabs>
        <w:numPr>
          <w:ilvl w:val="1"/>
          <w:numId w:val="79"/>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3"/>
          <w:numId w:val="79"/>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to the extent covered under the portion of Insuring Agreement (A) entitled Audit Expense;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3"/>
          <w:numId w:val="79"/>
        </w:numPr>
        <w:rPr>
          <w:rFonts w:ascii="Arial" w:cs="Arial" w:eastAsia="Arial" w:hAnsi="Arial"/>
          <w:sz w:val="17"/>
          <w:szCs w:val="17"/>
          <w:color w:val="auto"/>
        </w:rPr>
      </w:pPr>
      <w:r>
        <w:rPr>
          <w:rFonts w:ascii="Arial" w:cs="Arial" w:eastAsia="Arial" w:hAnsi="Arial"/>
          <w:sz w:val="17"/>
          <w:szCs w:val="17"/>
          <w:color w:val="auto"/>
        </w:rPr>
        <w:t>as a party to any legal proceeding whether or not such legal proceeding exposes the Insured to loss covered by this bond.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PF-33839 (05/11)</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-196850</wp:posOffset>
            </wp:positionV>
            <wp:extent cx="16319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be attached to and form part of Financial Institution Bond, Standard Form No. 14 No. G25562823 003 in favor of TPG Specialty Lending, Inc.</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80" w:right="560" w:hanging="567"/>
        <w:spacing w:after="0" w:line="277"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Those premises of Depositories listed in the following Schedule shall be deemed to be premises of the Insured but only as respects coverage on Certificated Securities: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w:t>
      </w:r>
    </w:p>
    <w:p>
      <w:pPr>
        <w:spacing w:after="0" w:line="225" w:lineRule="exact"/>
        <w:rPr>
          <w:sz w:val="20"/>
          <w:szCs w:val="20"/>
          <w:color w:val="auto"/>
        </w:rPr>
      </w:pPr>
    </w:p>
    <w:p>
      <w:pPr>
        <w:ind w:left="3260"/>
        <w:spacing w:after="0"/>
        <w:tabs>
          <w:tab w:leader="none" w:pos="6880" w:val="left"/>
        </w:tabs>
        <w:rPr>
          <w:sz w:val="20"/>
          <w:szCs w:val="20"/>
          <w:color w:val="auto"/>
        </w:rPr>
      </w:pPr>
      <w:r>
        <w:rPr>
          <w:rFonts w:ascii="Arial" w:cs="Arial" w:eastAsia="Arial" w:hAnsi="Arial"/>
          <w:sz w:val="18"/>
          <w:szCs w:val="18"/>
          <w:color w:val="auto"/>
        </w:rPr>
        <w:t>DEPOSITORY</w:t>
      </w:r>
      <w:r>
        <w:rPr>
          <w:sz w:val="20"/>
          <w:szCs w:val="20"/>
          <w:color w:val="auto"/>
        </w:rPr>
        <w:tab/>
      </w:r>
      <w:r>
        <w:rPr>
          <w:rFonts w:ascii="Arial" w:cs="Arial" w:eastAsia="Arial" w:hAnsi="Arial"/>
          <w:sz w:val="18"/>
          <w:szCs w:val="18"/>
          <w:color w:val="auto"/>
        </w:rPr>
        <w:t>LOCATION COVERED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DEPOSITORIES USED BY THE INSURED</w:t>
      </w:r>
    </w:p>
    <w:p>
      <w:pPr>
        <w:spacing w:after="0" w:line="252" w:lineRule="exact"/>
        <w:rPr>
          <w:sz w:val="20"/>
          <w:szCs w:val="20"/>
          <w:color w:val="auto"/>
        </w:rPr>
      </w:pPr>
    </w:p>
    <w:p>
      <w:pPr>
        <w:ind w:left="1480" w:right="620" w:hanging="567"/>
        <w:spacing w:after="0" w:line="342" w:lineRule="auto"/>
        <w:tabs>
          <w:tab w:leader="none" w:pos="1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29" w:lineRule="exact"/>
        <w:rPr>
          <w:rFonts w:ascii="Arial" w:cs="Arial" w:eastAsia="Arial" w:hAnsi="Arial"/>
          <w:sz w:val="16"/>
          <w:szCs w:val="16"/>
          <w:color w:val="auto"/>
        </w:rPr>
      </w:pPr>
    </w:p>
    <w:p>
      <w:pPr>
        <w:ind w:left="1480" w:right="80" w:hanging="567"/>
        <w:spacing w:after="0" w:line="286" w:lineRule="auto"/>
        <w:tabs>
          <w:tab w:leader="none" w:pos="14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70" w:lineRule="exact"/>
        <w:rPr>
          <w:rFonts w:ascii="Arial" w:cs="Arial" w:eastAsia="Arial" w:hAnsi="Arial"/>
          <w:sz w:val="17"/>
          <w:szCs w:val="17"/>
          <w:color w:val="auto"/>
        </w:rPr>
      </w:pPr>
    </w:p>
    <w:p>
      <w:pPr>
        <w:ind w:left="1480" w:right="260" w:hanging="567"/>
        <w:spacing w:after="0" w:line="259" w:lineRule="auto"/>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rules of the Depository named in the Schedule above provide that the Insured shall be assessed for a portion of the judgment (or agreed settlement) taken by the Underwriter based upon the assignment set forth in part 3 above and the Insured actually pays such assessment, then the Underwriter will reimburse the Insured for the amount of the assessment but not exceeding the amount of the loss payment by the Underwriter.</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03/08/2017 standard time.</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CENTRAL HANDLING OF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 STANDARD FORMS NOS. 14,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25 TO SCHEDULE THE PREMISES OF DEPOSITORIES.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REVISED TO OCTOBER, 1987.</w:t>
      </w:r>
    </w:p>
    <w:p>
      <w:pPr>
        <w:spacing w:after="0" w:line="116"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SR 5967e 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UNAUTHORIZED SIGNATURES</w:t>
      </w:r>
    </w:p>
    <w:p>
      <w:pPr>
        <w:spacing w:after="0" w:line="256"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130" w:lineRule="exact"/>
        <w:rPr>
          <w:rFonts w:ascii="Arial" w:cs="Arial" w:eastAsia="Arial" w:hAnsi="Arial"/>
          <w:sz w:val="18"/>
          <w:szCs w:val="18"/>
          <w:color w:val="auto"/>
        </w:rPr>
      </w:pPr>
    </w:p>
    <w:p>
      <w:pPr>
        <w:jc w:val="both"/>
        <w:ind w:left="900" w:right="120" w:hanging="325"/>
        <w:spacing w:after="0" w:line="259"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 of all persons who are signatories on such account.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aggregate Limit of Liability on the Unauthorized Signatures Agreement is $100,000, and the deductible is $10,000.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PF-33854 (05/11)</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-196850</wp:posOffset>
            </wp:positionV>
            <wp:extent cx="16319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DISCOVERY AND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right="8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paragraph of General Agreements, Section F, Notice Of Legal Proceedings Against Insured – Election To Defend, is deleted in its entirety and the following is inserted:</w:t>
      </w:r>
    </w:p>
    <w:p>
      <w:pPr>
        <w:spacing w:after="0" w:line="62"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Office of General Counsel, Risk Management Department, or Human Resources Department</w:t>
      </w:r>
      <w:r>
        <w:rPr>
          <w:rFonts w:ascii="Arial" w:cs="Arial" w:eastAsia="Arial" w:hAnsi="Arial"/>
          <w:sz w:val="18"/>
          <w:szCs w:val="18"/>
          <w:color w:val="auto"/>
        </w:rPr>
        <w:t xml:space="preserve"> shall notify the Underwriter at the earliest practicable moment, not to exceed </w:t>
      </w:r>
      <w:r>
        <w:rPr>
          <w:rFonts w:ascii="Arial" w:cs="Arial" w:eastAsia="Arial" w:hAnsi="Arial"/>
          <w:sz w:val="18"/>
          <w:szCs w:val="18"/>
          <w:u w:val="single" w:color="auto"/>
          <w:color w:val="auto"/>
        </w:rPr>
        <w:t>90</w:t>
      </w:r>
      <w:r>
        <w:rPr>
          <w:rFonts w:ascii="Arial" w:cs="Arial" w:eastAsia="Arial" w:hAnsi="Arial"/>
          <w:sz w:val="18"/>
          <w:szCs w:val="18"/>
          <w:color w:val="auto"/>
        </w:rPr>
        <w:t xml:space="preserve">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Conditions And Limitations, Section 3, Discovery, is deleted in its entirety and the following is inserted:</w:t>
      </w:r>
    </w:p>
    <w:p>
      <w:pPr>
        <w:spacing w:after="0" w:line="117" w:lineRule="exact"/>
        <w:rPr>
          <w:rFonts w:ascii="Arial" w:cs="Arial" w:eastAsia="Arial" w:hAnsi="Arial"/>
          <w:sz w:val="18"/>
          <w:szCs w:val="18"/>
          <w:color w:val="auto"/>
        </w:rPr>
      </w:pPr>
    </w:p>
    <w:p>
      <w:pPr>
        <w:ind w:left="460" w:right="60"/>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This bond applies to loss discovered by the Insured during the Bond Period. Discovery occurs when the </w:t>
      </w:r>
      <w:r>
        <w:rPr>
          <w:rFonts w:ascii="Arial" w:cs="Arial" w:eastAsia="Arial" w:hAnsi="Arial"/>
          <w:sz w:val="17"/>
          <w:szCs w:val="17"/>
          <w:u w:val="single" w:color="auto"/>
          <w:color w:val="auto"/>
        </w:rPr>
        <w:t>Office of General Counsel, Risk Management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Department, or Human Resources Department</w:t>
      </w:r>
      <w:r>
        <w:rPr>
          <w:rFonts w:ascii="Arial" w:cs="Arial" w:eastAsia="Arial" w:hAnsi="Arial"/>
          <w:sz w:val="17"/>
          <w:szCs w:val="17"/>
          <w:color w:val="auto"/>
        </w:rPr>
        <w:t xml:space="preserve"> becomes aware of facts which would cause a reasonable person to assume that a loss of the type covered by this bond has been or will be incurred, even though the exact amount or details of loss may not then be known.</w:t>
      </w:r>
    </w:p>
    <w:p>
      <w:pPr>
        <w:spacing w:after="0" w:line="57"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Discovery also occurs when the </w:t>
      </w:r>
      <w:r>
        <w:rPr>
          <w:rFonts w:ascii="Arial" w:cs="Arial" w:eastAsia="Arial" w:hAnsi="Arial"/>
          <w:sz w:val="18"/>
          <w:szCs w:val="18"/>
          <w:u w:val="single" w:color="auto"/>
          <w:color w:val="auto"/>
        </w:rPr>
        <w:t>Office of General Counsel, Risk Management Department, or Human Resources Department</w:t>
      </w:r>
      <w:r>
        <w:rPr>
          <w:rFonts w:ascii="Arial" w:cs="Arial" w:eastAsia="Arial" w:hAnsi="Arial"/>
          <w:sz w:val="18"/>
          <w:szCs w:val="18"/>
          <w:color w:val="auto"/>
        </w:rPr>
        <w:t xml:space="preserve"> receives notice of an actual or potential claim in which it is alleged that the Insured is liable to a third party under circumstances which, if true, would constitute a loss under this bond.</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paragraph of Conditions And Limitations, Section 5, Notice/Proof – Legal Proceedings Against Underwriter, is deleted in its entirety and the following is inserted:</w:t>
      </w:r>
    </w:p>
    <w:p>
      <w:pPr>
        <w:spacing w:after="0" w:line="75" w:lineRule="exact"/>
        <w:rPr>
          <w:rFonts w:ascii="Arial" w:cs="Arial" w:eastAsia="Arial" w:hAnsi="Arial"/>
          <w:sz w:val="18"/>
          <w:szCs w:val="18"/>
          <w:color w:val="auto"/>
        </w:rPr>
      </w:pPr>
    </w:p>
    <w:p>
      <w:pPr>
        <w:jc w:val="both"/>
        <w:ind w:left="900" w:right="940" w:hanging="446"/>
        <w:spacing w:after="0" w:line="342" w:lineRule="auto"/>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At the earliest practicable moment, not to exceed </w:t>
      </w:r>
      <w:r>
        <w:rPr>
          <w:rFonts w:ascii="Arial" w:cs="Arial" w:eastAsia="Arial" w:hAnsi="Arial"/>
          <w:sz w:val="16"/>
          <w:szCs w:val="16"/>
          <w:u w:val="single" w:color="auto"/>
          <w:color w:val="auto"/>
        </w:rPr>
        <w:t>90</w:t>
      </w:r>
      <w:r>
        <w:rPr>
          <w:rFonts w:ascii="Arial" w:cs="Arial" w:eastAsia="Arial" w:hAnsi="Arial"/>
          <w:sz w:val="16"/>
          <w:szCs w:val="16"/>
          <w:color w:val="auto"/>
        </w:rPr>
        <w:t xml:space="preserve"> days after discovery of loss by the </w:t>
      </w:r>
      <w:r>
        <w:rPr>
          <w:rFonts w:ascii="Arial" w:cs="Arial" w:eastAsia="Arial" w:hAnsi="Arial"/>
          <w:sz w:val="16"/>
          <w:szCs w:val="16"/>
          <w:u w:val="single" w:color="auto"/>
          <w:color w:val="auto"/>
        </w:rPr>
        <w:t>Office of General Counsel, Risk Management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Department, or Human Resources Department</w:t>
      </w:r>
      <w:r>
        <w:rPr>
          <w:rFonts w:ascii="Arial" w:cs="Arial" w:eastAsia="Arial" w:hAnsi="Arial"/>
          <w:sz w:val="16"/>
          <w:szCs w:val="16"/>
          <w:color w:val="auto"/>
        </w:rPr>
        <w:t xml:space="preserve"> the Insured shall give the Underwriter notice of all such losses which exceed $</w:t>
      </w:r>
      <w:r>
        <w:rPr>
          <w:rFonts w:ascii="Arial" w:cs="Arial" w:eastAsia="Arial" w:hAnsi="Arial"/>
          <w:sz w:val="16"/>
          <w:szCs w:val="16"/>
          <w:u w:val="single" w:color="auto"/>
          <w:color w:val="auto"/>
        </w:rPr>
        <w:t>25,000</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PF-39758 (04/13)</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2011</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-196850</wp:posOffset>
            </wp:positionV>
            <wp:extent cx="16319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10</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CLAIMS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Insuring Agreements, is amended to add the following:</w:t>
      </w:r>
    </w:p>
    <w:p>
      <w:pPr>
        <w:spacing w:after="0" w:line="131"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7" w:lineRule="exact"/>
        <w:rPr>
          <w:sz w:val="20"/>
          <w:szCs w:val="20"/>
          <w:color w:val="auto"/>
        </w:rPr>
      </w:pPr>
    </w:p>
    <w:p>
      <w:pPr>
        <w:ind w:left="920" w:right="360"/>
        <w:spacing w:after="0" w:line="312" w:lineRule="auto"/>
        <w:rPr>
          <w:sz w:val="20"/>
          <w:szCs w:val="20"/>
          <w:color w:val="auto"/>
        </w:rPr>
      </w:pPr>
      <w:r>
        <w:rPr>
          <w:rFonts w:ascii="Arial" w:cs="Arial" w:eastAsia="Arial" w:hAnsi="Arial"/>
          <w:sz w:val="16"/>
          <w:szCs w:val="16"/>
          <w:color w:val="auto"/>
        </w:rPr>
        <w:t>Reasonable expenses necessarily incurred and paid by the Insured in preparing any valid claim for loss as set forth in Insuring Agreements A through F, and any other valid coverage added by endorsement, which loss exceeds the Single Loss Deductible Amount of $</w:t>
      </w:r>
      <w:r>
        <w:rPr>
          <w:rFonts w:ascii="Arial" w:cs="Arial" w:eastAsia="Arial" w:hAnsi="Arial"/>
          <w:sz w:val="16"/>
          <w:szCs w:val="16"/>
          <w:u w:val="single" w:color="auto"/>
          <w:color w:val="auto"/>
        </w:rPr>
        <w:t>50,000</w:t>
      </w:r>
      <w:r>
        <w:rPr>
          <w:rFonts w:ascii="Arial" w:cs="Arial" w:eastAsia="Arial" w:hAnsi="Arial"/>
          <w:sz w:val="16"/>
          <w:szCs w:val="16"/>
          <w:color w:val="auto"/>
        </w:rPr>
        <w:t>. The Underwriter’s maximum liability for such expenses paid by the Insured in preparing all such claims shall be limited to $</w:t>
      </w:r>
      <w:r>
        <w:rPr>
          <w:rFonts w:ascii="Arial" w:cs="Arial" w:eastAsia="Arial" w:hAnsi="Arial"/>
          <w:sz w:val="16"/>
          <w:szCs w:val="16"/>
          <w:u w:val="single" w:color="auto"/>
          <w:color w:val="auto"/>
        </w:rPr>
        <w:t>50,000</w:t>
      </w:r>
      <w:r>
        <w:rPr>
          <w:rFonts w:ascii="Arial" w:cs="Arial" w:eastAsia="Arial" w:hAnsi="Arial"/>
          <w:sz w:val="16"/>
          <w:szCs w:val="16"/>
          <w:color w:val="auto"/>
        </w:rPr>
        <w:t>.</w:t>
      </w:r>
    </w:p>
    <w:p>
      <w:pPr>
        <w:spacing w:after="0" w:line="52"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 as a party to any legal proceeding whether or not such legal proceeding exposes the Insured to loss covered by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PF-37674 (05/12)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be attached to and form part of Financial Institution Bond, Standard Form No. 14, No. G25562823 003 in favor of TPG Specialty Lending,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80" w:right="420" w:hanging="567"/>
        <w:spacing w:after="0" w:line="312" w:lineRule="auto"/>
        <w:tabs>
          <w:tab w:leader="none" w:pos="14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attached bond shall not be canceled as provided in parts (a) and (b) of the Termination or Cancelation Condition, or modified by rider, except after written notice shall have been given by the acting party to the affected party, and to the Securities and Exchange Commission, Washington, D.C., not less than sixty days prior to the effective date of such cancelation or modification.</w:t>
      </w:r>
    </w:p>
    <w:p>
      <w:pPr>
        <w:spacing w:after="0" w:line="52" w:lineRule="exact"/>
        <w:rPr>
          <w:rFonts w:ascii="Arial" w:cs="Arial" w:eastAsia="Arial" w:hAnsi="Arial"/>
          <w:sz w:val="16"/>
          <w:szCs w:val="16"/>
          <w:color w:val="auto"/>
        </w:rPr>
      </w:pPr>
    </w:p>
    <w:p>
      <w:pPr>
        <w:ind w:left="1480" w:hanging="56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rider shall become effective when the bond becomes effective.</w:t>
      </w:r>
    </w:p>
    <w:p>
      <w:pPr>
        <w:spacing w:after="0" w:line="200" w:lineRule="exact"/>
        <w:rPr>
          <w:sz w:val="20"/>
          <w:szCs w:val="20"/>
          <w:color w:val="auto"/>
        </w:rPr>
      </w:pPr>
    </w:p>
    <w:p>
      <w:pPr>
        <w:spacing w:after="0" w:line="23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S.E.C.-SOLE INSURED CANCELATION CLAUSE RIDER</w:t>
      </w:r>
    </w:p>
    <w:p>
      <w:pPr>
        <w:spacing w:after="0" w:line="229" w:lineRule="exact"/>
        <w:rPr>
          <w:sz w:val="20"/>
          <w:szCs w:val="20"/>
          <w:color w:val="auto"/>
        </w:rPr>
      </w:pPr>
    </w:p>
    <w:p>
      <w:pPr>
        <w:ind w:left="460" w:right="4100"/>
        <w:spacing w:after="0" w:line="259" w:lineRule="auto"/>
        <w:rPr>
          <w:sz w:val="20"/>
          <w:szCs w:val="20"/>
          <w:color w:val="auto"/>
        </w:rPr>
      </w:pPr>
      <w:r>
        <w:rPr>
          <w:rFonts w:ascii="Arial" w:cs="Arial" w:eastAsia="Arial" w:hAnsi="Arial"/>
          <w:sz w:val="18"/>
          <w:szCs w:val="18"/>
          <w:color w:val="auto"/>
        </w:rPr>
        <w:t>FOR USE WITH FINANCIAL INSTITUTION BOND, STANDARD FORM NO. 14, WHEN ISSUED TO A REGISTERED MANAGEMENT INVESTMENT COMPANY COVERED AS A SOLE INSURED, TO COMPLY WITH THE RULES OF THE SECURITIES AND EXCHANGE COMMISION.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ind w:left="460"/>
              <w:spacing w:after="0"/>
              <w:rPr>
                <w:sz w:val="20"/>
                <w:szCs w:val="20"/>
                <w:color w:val="auto"/>
              </w:rPr>
            </w:pPr>
            <w:r>
              <w:rPr>
                <w:rFonts w:ascii="Arial" w:cs="Arial" w:eastAsia="Arial" w:hAnsi="Arial"/>
                <w:sz w:val="18"/>
                <w:szCs w:val="18"/>
                <w:color w:val="auto"/>
              </w:rPr>
              <w:t>REVISED TO MAY, 2011</w:t>
            </w:r>
          </w:p>
        </w:tc>
        <w:tc>
          <w:tcPr>
            <w:tcW w:w="6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920" w:type="dxa"/>
            <w:vAlign w:val="bottom"/>
            <w:vMerge w:val="restart"/>
          </w:tcPr>
          <w:p>
            <w:pPr>
              <w:spacing w:after="0"/>
              <w:rPr>
                <w:sz w:val="20"/>
                <w:szCs w:val="20"/>
                <w:color w:val="auto"/>
              </w:rPr>
            </w:pPr>
            <w:r>
              <w:rPr>
                <w:rFonts w:ascii="Arial" w:cs="Arial" w:eastAsia="Arial" w:hAnsi="Arial"/>
                <w:sz w:val="18"/>
                <w:szCs w:val="18"/>
                <w:color w:val="auto"/>
              </w:rPr>
              <w:t>SR 5834d</w:t>
            </w:r>
          </w:p>
        </w:tc>
        <w:tc>
          <w:tcPr>
            <w:tcW w:w="6380" w:type="dxa"/>
            <w:vAlign w:val="bottom"/>
          </w:tcPr>
          <w:p>
            <w:pPr>
              <w:jc w:val="center"/>
              <w:ind w:right="690"/>
              <w:spacing w:after="0"/>
              <w:rPr>
                <w:sz w:val="20"/>
                <w:szCs w:val="20"/>
                <w:color w:val="auto"/>
              </w:rPr>
            </w:pPr>
            <w:r>
              <w:rPr>
                <w:rFonts w:ascii="Arial" w:cs="Arial" w:eastAsia="Arial" w:hAnsi="Arial"/>
                <w:sz w:val="18"/>
                <w:szCs w:val="18"/>
                <w:color w:val="auto"/>
                <w:w w:val="93"/>
              </w:rPr>
              <w:t>Copyright The Surety &amp; Fidelity Association of America, 2011</w:t>
            </w:r>
          </w:p>
        </w:tc>
        <w:tc>
          <w:tcPr>
            <w:tcW w:w="2120" w:type="dxa"/>
            <w:vAlign w:val="bottom"/>
            <w:vMerge w:val="restart"/>
          </w:tcPr>
          <w:p>
            <w:pPr>
              <w:ind w:left="130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6380" w:type="dxa"/>
            <w:vAlign w:val="bottom"/>
            <w:vMerge w:val="restart"/>
          </w:tcPr>
          <w:p>
            <w:pPr>
              <w:jc w:val="center"/>
              <w:ind w:right="670"/>
              <w:spacing w:after="0"/>
              <w:rPr>
                <w:sz w:val="20"/>
                <w:szCs w:val="20"/>
                <w:color w:val="auto"/>
              </w:rPr>
            </w:pPr>
            <w:r>
              <w:rPr>
                <w:rFonts w:ascii="Arial" w:cs="Arial" w:eastAsia="Arial" w:hAnsi="Arial"/>
                <w:sz w:val="18"/>
                <w:szCs w:val="18"/>
                <w:b w:val="1"/>
                <w:bCs w:val="1"/>
                <w:color w:val="auto"/>
              </w:rPr>
              <w:t>FI-A-36</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638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ERISA RIDER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employee benefit or welfare plan, now existing or hereinafter created or acquired, whether or not required, to be bonded under the Employee Retirement Income Security Act of 1974, as amended.</w:t>
      </w:r>
    </w:p>
    <w:p>
      <w:pPr>
        <w:spacing w:after="0" w:line="76" w:lineRule="exact"/>
        <w:rPr>
          <w:sz w:val="20"/>
          <w:szCs w:val="20"/>
          <w:color w:val="auto"/>
        </w:rPr>
      </w:pPr>
    </w:p>
    <w:p>
      <w:pPr>
        <w:jc w:val="both"/>
        <w:ind w:left="460" w:right="34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Employees Welfare or Pension Benefit Plan owned, controlled or operated by the Insured or any natural person who is a trustee, manager, officer or employee of any such Plan.</w:t>
      </w:r>
    </w:p>
    <w:p>
      <w:pPr>
        <w:spacing w:after="0" w:line="86" w:lineRule="exact"/>
        <w:rPr>
          <w:rFonts w:ascii="Arial" w:cs="Arial" w:eastAsia="Arial" w:hAnsi="Arial"/>
          <w:sz w:val="18"/>
          <w:szCs w:val="18"/>
          <w:color w:val="auto"/>
        </w:rPr>
      </w:pPr>
    </w:p>
    <w:p>
      <w:pPr>
        <w:ind w:left="460" w:right="140" w:hanging="452"/>
        <w:spacing w:after="0" w:line="276"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77" w:lineRule="exact"/>
        <w:rPr>
          <w:rFonts w:ascii="Arial" w:cs="Arial" w:eastAsia="Arial" w:hAnsi="Arial"/>
          <w:sz w:val="17"/>
          <w:szCs w:val="17"/>
          <w:color w:val="auto"/>
        </w:rPr>
      </w:pPr>
    </w:p>
    <w:p>
      <w:pPr>
        <w:ind w:left="460" w:right="60" w:hanging="452"/>
        <w:spacing w:after="0" w:line="257"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93"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70" w:lineRule="exact"/>
        <w:rPr>
          <w:rFonts w:ascii="Arial" w:cs="Arial" w:eastAsia="Arial" w:hAnsi="Arial"/>
          <w:sz w:val="17"/>
          <w:szCs w:val="17"/>
          <w:color w:val="auto"/>
        </w:rPr>
      </w:pPr>
    </w:p>
    <w:p>
      <w:pPr>
        <w:jc w:val="both"/>
        <w:ind w:left="460" w:right="30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86"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conditions, provisions, agreements or limitations of the bond, other than as stated herein.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rider is effective as of 12:01 a.m. on 03/08/2017.</w:t>
      </w:r>
    </w:p>
    <w:p>
      <w:pPr>
        <w:spacing w:after="0" w:line="117" w:lineRule="exact"/>
        <w:rPr>
          <w:rFonts w:ascii="Arial" w:cs="Arial" w:eastAsia="Arial" w:hAnsi="Arial"/>
          <w:sz w:val="18"/>
          <w:szCs w:val="18"/>
          <w:color w:val="auto"/>
        </w:rPr>
      </w:pPr>
    </w:p>
    <w:p>
      <w:pPr>
        <w:ind w:left="460" w:right="6260"/>
        <w:spacing w:after="0" w:line="269" w:lineRule="auto"/>
        <w:rPr>
          <w:rFonts w:ascii="Arial" w:cs="Arial" w:eastAsia="Arial" w:hAnsi="Arial"/>
          <w:sz w:val="18"/>
          <w:szCs w:val="18"/>
          <w:color w:val="auto"/>
        </w:rPr>
      </w:pPr>
      <w:r>
        <w:rPr>
          <w:rFonts w:ascii="Arial" w:cs="Arial" w:eastAsia="Arial" w:hAnsi="Arial"/>
          <w:sz w:val="17"/>
          <w:szCs w:val="17"/>
          <w:color w:val="auto"/>
        </w:rPr>
        <w:t>TO COMPLY WITH BONDING REGULATIONS MADE APPLICABLE TO THE EMPLOYEE RETIREMENT INCOME SECURITY ACT OF 1974. NOTE: This rider should not be used for any insured exempted from the bonding provisions</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of the Act.</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REVISED TO JUNE, 1990.</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080" w:val="left"/>
          <w:tab w:leader="none" w:pos="10580" w:val="left"/>
        </w:tabs>
        <w:rPr>
          <w:sz w:val="20"/>
          <w:szCs w:val="20"/>
          <w:color w:val="auto"/>
        </w:rPr>
      </w:pPr>
      <w:r>
        <w:rPr>
          <w:rFonts w:ascii="Arial" w:cs="Arial" w:eastAsia="Arial" w:hAnsi="Arial"/>
          <w:sz w:val="18"/>
          <w:szCs w:val="18"/>
          <w:color w:val="auto"/>
        </w:rPr>
        <w:t>SR 6145b</w:t>
      </w:r>
      <w:r>
        <w:rPr>
          <w:sz w:val="20"/>
          <w:szCs w:val="20"/>
          <w:color w:val="auto"/>
        </w:rPr>
        <w:tab/>
      </w:r>
      <w:r>
        <w:rPr>
          <w:rFonts w:ascii="Arial" w:cs="Arial" w:eastAsia="Arial" w:hAnsi="Arial"/>
          <w:sz w:val="18"/>
          <w:szCs w:val="18"/>
          <w:color w:val="auto"/>
        </w:rPr>
        <w:t>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13</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 OF THE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General Agreements, Section (D), REPRESENTATION OF INSURED, is deleted in its entirety and the following is inserted: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REPRESENTATION OF INSURED</w:t>
      </w:r>
    </w:p>
    <w:p>
      <w:pPr>
        <w:spacing w:after="0" w:line="252" w:lineRule="exact"/>
        <w:rPr>
          <w:sz w:val="20"/>
          <w:szCs w:val="20"/>
          <w:color w:val="auto"/>
        </w:rPr>
      </w:pPr>
    </w:p>
    <w:p>
      <w:pPr>
        <w:ind w:left="1480" w:right="480" w:hanging="567"/>
        <w:spacing w:after="0" w:line="277"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Such application constitutes part of this bond.</w:t>
      </w:r>
    </w:p>
    <w:p>
      <w:pPr>
        <w:spacing w:after="0" w:line="62" w:lineRule="exact"/>
        <w:rPr>
          <w:rFonts w:ascii="Arial" w:cs="Arial" w:eastAsia="Arial" w:hAnsi="Arial"/>
          <w:sz w:val="18"/>
          <w:szCs w:val="18"/>
          <w:color w:val="auto"/>
        </w:rPr>
      </w:pPr>
    </w:p>
    <w:p>
      <w:pPr>
        <w:ind w:left="1500" w:right="240"/>
        <w:spacing w:after="0" w:line="277" w:lineRule="auto"/>
        <w:rPr>
          <w:rFonts w:ascii="Arial" w:cs="Arial" w:eastAsia="Arial" w:hAnsi="Arial"/>
          <w:sz w:val="18"/>
          <w:szCs w:val="18"/>
          <w:color w:val="auto"/>
        </w:rPr>
      </w:pPr>
      <w:r>
        <w:rPr>
          <w:rFonts w:ascii="Arial" w:cs="Arial" w:eastAsia="Arial" w:hAnsi="Arial"/>
          <w:sz w:val="18"/>
          <w:szCs w:val="18"/>
          <w:color w:val="auto"/>
        </w:rPr>
        <w:t>Any intentional misrepresentation, omission, concealment or any incorrect statement of a material fact, in the application or otherwise, shall be grounds for the rescission of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PF-37678 (05/12)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14</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be attached to and form part of Financial Institution Bond, Standard Form No. 14, No. G25562823 003 in favor of TPG Specialty Lending, Inc.</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attached bond is hereby amended by adding an additional Insuring Agreement as follows:</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“(G) 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pacing w:after="0" w:line="70"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such facsimile signature is used on a document</w:t>
            </w:r>
          </w:p>
        </w:tc>
      </w:tr>
      <w:tr>
        <w:trPr>
          <w:trHeight w:val="323"/>
        </w:trPr>
        <w:tc>
          <w:tcPr>
            <w:tcW w:w="3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w:t>
            </w:r>
          </w:p>
        </w:tc>
        <w:tc>
          <w:tcPr>
            <w:tcW w:w="9020" w:type="dxa"/>
            <w:vAlign w:val="bottom"/>
          </w:tcPr>
          <w:p>
            <w:pPr>
              <w:ind w:left="120"/>
              <w:spacing w:after="0"/>
              <w:rPr>
                <w:sz w:val="20"/>
                <w:szCs w:val="20"/>
                <w:color w:val="auto"/>
              </w:rPr>
            </w:pPr>
            <w:r>
              <w:rPr>
                <w:rFonts w:ascii="Arial" w:cs="Arial" w:eastAsia="Arial" w:hAnsi="Arial"/>
                <w:sz w:val="18"/>
                <w:szCs w:val="18"/>
                <w:color w:val="auto"/>
                <w:w w:val="95"/>
              </w:rPr>
              <w:t>as the signature to an assignment or other instrument authorizing or effecting the transfer of shares of stock, or other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1"/>
              </w:rPr>
              <w:t>registered securities, which may now or at any time hereafter be registered in the name of the insured on the books of the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association, company or corporation issuing the same; or</w:t>
            </w:r>
          </w:p>
        </w:tc>
      </w:tr>
      <w:tr>
        <w:trPr>
          <w:trHeight w:val="323"/>
        </w:trPr>
        <w:tc>
          <w:tcPr>
            <w:tcW w:w="3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(2)</w:t>
            </w:r>
          </w:p>
        </w:tc>
        <w:tc>
          <w:tcPr>
            <w:tcW w:w="9020" w:type="dxa"/>
            <w:vAlign w:val="bottom"/>
          </w:tcPr>
          <w:p>
            <w:pPr>
              <w:ind w:left="120"/>
              <w:spacing w:after="0"/>
              <w:rPr>
                <w:sz w:val="20"/>
                <w:szCs w:val="20"/>
                <w:color w:val="auto"/>
              </w:rPr>
            </w:pPr>
            <w:r>
              <w:rPr>
                <w:rFonts w:ascii="Arial" w:cs="Arial" w:eastAsia="Arial" w:hAnsi="Arial"/>
                <w:sz w:val="18"/>
                <w:szCs w:val="18"/>
                <w:color w:val="auto"/>
                <w:w w:val="89"/>
              </w:rPr>
              <w:t>as the signature to a power of substitution, designating a substitute or substitutes to make the actual transfer on the books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0"/>
              </w:rPr>
              <w:t>the issuer of shares of stock, or other registered securities, in respect of which the insured may now or at any time hereafter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4"/>
              </w:rPr>
              <w:t>be named as attorney to effect said transfer, whether said power of substitution is embodied in an endorsement on the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certificate for said shares of stock or other registered security or in a separate instrument;</w:t>
            </w:r>
          </w:p>
        </w:tc>
      </w:tr>
      <w:tr>
        <w:trPr>
          <w:trHeight w:val="323"/>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w w:val="92"/>
              </w:rPr>
              <w:t>the New York Stock Exchange has not interposed any objections to the use by the Insured of such facsimile signature and such</w:t>
            </w:r>
          </w:p>
        </w:tc>
      </w:tr>
      <w:tr>
        <w:trPr>
          <w:trHeight w:val="230"/>
        </w:trPr>
        <w:tc>
          <w:tcPr>
            <w:tcW w:w="360" w:type="dxa"/>
            <w:vAlign w:val="bottom"/>
          </w:tcPr>
          <w:p>
            <w:pPr>
              <w:spacing w:after="0"/>
              <w:rPr>
                <w:sz w:val="20"/>
                <w:szCs w:val="20"/>
                <w:color w:val="auto"/>
              </w:rPr>
            </w:pP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agreement, if any, was required by the said Exchange as a condition to its failing to interpose any such objection; and</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this Insuring Agreement (G) shall not apply to any Certificated Securities which are Counterfeit”.</w:t>
            </w:r>
          </w:p>
        </w:tc>
      </w:tr>
    </w:tbl>
    <w:p>
      <w:pPr>
        <w:spacing w:after="0" w:line="10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Sub-sections (a) and (e) of Section 2 of the attached bond shall not apply to Insuring Agreement (G).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03/08/2017.</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INSURING AGREEMENT (G) RIDER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 STANDARD FORM NO. 14, WHEN ISSUED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ELIGIBLE INSURED TO ADD INSURING AGREEMENT (G) TO PERMIT THE USE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SIGNATURES AS THE SIGNATURE TO AN ASSIGNMENT OR TO A POWER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SUBSTITUTION.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REVISED TO NOVEMBER, 1988.</w:t>
      </w:r>
    </w:p>
    <w:p>
      <w:pPr>
        <w:spacing w:after="0" w:line="131" w:lineRule="exact"/>
        <w:rPr>
          <w:sz w:val="20"/>
          <w:szCs w:val="20"/>
          <w:color w:val="auto"/>
        </w:rPr>
      </w:pPr>
    </w:p>
    <w:p>
      <w:pPr>
        <w:spacing w:after="0"/>
        <w:tabs>
          <w:tab w:leader="none" w:pos="1360" w:val="left"/>
          <w:tab w:leader="none" w:pos="10580" w:val="left"/>
        </w:tabs>
        <w:rPr>
          <w:sz w:val="20"/>
          <w:szCs w:val="20"/>
          <w:color w:val="auto"/>
        </w:rPr>
      </w:pPr>
      <w:r>
        <w:rPr>
          <w:rFonts w:ascii="Arial" w:cs="Arial" w:eastAsia="Arial" w:hAnsi="Arial"/>
          <w:sz w:val="18"/>
          <w:szCs w:val="18"/>
          <w:color w:val="auto"/>
        </w:rPr>
        <w:t>SR 5907a</w:t>
      </w:r>
      <w:r>
        <w:rPr>
          <w:sz w:val="20"/>
          <w:szCs w:val="20"/>
          <w:color w:val="auto"/>
        </w:rPr>
        <w:tab/>
      </w:r>
      <w:r>
        <w:rPr>
          <w:rFonts w:ascii="Arial" w:cs="Arial" w:eastAsia="Arial" w:hAnsi="Arial"/>
          <w:sz w:val="18"/>
          <w:szCs w:val="18"/>
          <w:color w:val="auto"/>
        </w:rPr>
        <w:t>Printed In the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15</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UNCERTIFICATED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Insuring Agreements, Section (E) – SECURITIES, Item (1) (e), is deleted in its entirety and the following is inserted: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Statement of Uncertificated Security in any book entry form.</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(w) is deleted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PF-37679 (05/12)</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16</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DEFINITION OF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 Definitions, subsection (e), Employee, of the Conditions and Limitations, is amended to add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also means:</w:t>
      </w:r>
    </w:p>
    <w:p>
      <w:pPr>
        <w:spacing w:after="0" w:line="131" w:lineRule="exact"/>
        <w:rPr>
          <w:sz w:val="20"/>
          <w:szCs w:val="20"/>
          <w:color w:val="auto"/>
        </w:rPr>
      </w:pPr>
    </w:p>
    <w:p>
      <w:pPr>
        <w:ind w:left="900" w:hanging="446"/>
        <w:spacing w:after="0"/>
        <w:tabs>
          <w:tab w:leader="none" w:pos="900" w:val="left"/>
        </w:tabs>
        <w:numPr>
          <w:ilvl w:val="0"/>
          <w:numId w:val="93"/>
        </w:numPr>
        <w:rPr>
          <w:rFonts w:ascii="MS PGothic" w:cs="MS PGothic" w:eastAsia="MS PGothic" w:hAnsi="MS PGothic"/>
          <w:sz w:val="18"/>
          <w:szCs w:val="18"/>
          <w:color w:val="auto"/>
        </w:rPr>
      </w:pPr>
      <w:r>
        <w:rPr>
          <w:rFonts w:ascii="Arial" w:cs="Arial" w:eastAsia="Arial" w:hAnsi="Arial"/>
          <w:sz w:val="18"/>
          <w:szCs w:val="18"/>
          <w:color w:val="auto"/>
        </w:rPr>
        <w:t>Any natural person retained as a consultant of the Insured and supervised by the Insured under written contract with the Insured.</w:t>
      </w:r>
    </w:p>
    <w:p>
      <w:pPr>
        <w:spacing w:after="0" w:line="130" w:lineRule="exact"/>
        <w:rPr>
          <w:rFonts w:ascii="MS PGothic" w:cs="MS PGothic" w:eastAsia="MS PGothic" w:hAnsi="MS PGothic"/>
          <w:sz w:val="18"/>
          <w:szCs w:val="18"/>
          <w:color w:val="auto"/>
        </w:rPr>
      </w:pPr>
    </w:p>
    <w:p>
      <w:pPr>
        <w:ind w:left="900" w:right="60" w:hanging="446"/>
        <w:spacing w:after="0" w:line="277" w:lineRule="auto"/>
        <w:tabs>
          <w:tab w:leader="none" w:pos="900" w:val="left"/>
        </w:tabs>
        <w:numPr>
          <w:ilvl w:val="0"/>
          <w:numId w:val="93"/>
        </w:numPr>
        <w:rPr>
          <w:rFonts w:ascii="MS PGothic" w:cs="MS PGothic" w:eastAsia="MS PGothic" w:hAnsi="MS PGothic"/>
          <w:sz w:val="18"/>
          <w:szCs w:val="18"/>
          <w:color w:val="auto"/>
        </w:rPr>
      </w:pPr>
      <w:r>
        <w:rPr>
          <w:rFonts w:ascii="Arial" w:cs="Arial" w:eastAsia="Arial" w:hAnsi="Arial"/>
          <w:sz w:val="18"/>
          <w:szCs w:val="18"/>
          <w:color w:val="auto"/>
        </w:rPr>
        <w:t>Any person set forth in (1) through (6) above, who resigned, retires or is terminated from service of the Insured during the Bond period. Provided that this extension applies only:</w:t>
      </w:r>
    </w:p>
    <w:p>
      <w:pPr>
        <w:spacing w:after="0" w:line="75" w:lineRule="exact"/>
        <w:rPr>
          <w:rFonts w:ascii="MS PGothic" w:cs="MS PGothic" w:eastAsia="MS PGothic" w:hAnsi="MS PGothic"/>
          <w:sz w:val="18"/>
          <w:szCs w:val="18"/>
          <w:color w:val="auto"/>
        </w:rPr>
      </w:pPr>
    </w:p>
    <w:p>
      <w:pPr>
        <w:ind w:left="1480" w:hanging="567"/>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for a period of </w:t>
      </w:r>
      <w:r>
        <w:rPr>
          <w:rFonts w:ascii="Arial" w:cs="Arial" w:eastAsia="Arial" w:hAnsi="Arial"/>
          <w:sz w:val="18"/>
          <w:szCs w:val="18"/>
          <w:u w:val="single" w:color="auto"/>
          <w:color w:val="auto"/>
        </w:rPr>
        <w:t>60</w:t>
      </w:r>
      <w:r>
        <w:rPr>
          <w:rFonts w:ascii="Arial" w:cs="Arial" w:eastAsia="Arial" w:hAnsi="Arial"/>
          <w:sz w:val="18"/>
          <w:szCs w:val="18"/>
          <w:color w:val="auto"/>
        </w:rPr>
        <w:t xml:space="preserve"> days subsequent to such resignation, retirement or termination; and</w:t>
      </w:r>
    </w:p>
    <w:p>
      <w:pPr>
        <w:spacing w:after="0" w:line="130"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such resignation, retirement or termination has not arisen from or in connection with the discovery by the Insured of any actual or alleged dishonest, fraudulent or criminal act(s) of such person.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MS PGothic" w:cs="MS PGothic" w:eastAsia="MS PGothic" w:hAnsi="MS PGothic"/>
          <w:sz w:val="18"/>
          <w:szCs w:val="18"/>
          <w:color w:val="auto"/>
        </w:rPr>
      </w:pPr>
      <w:r>
        <w:rPr>
          <w:rFonts w:ascii="Arial" w:cs="Arial" w:eastAsia="Arial" w:hAnsi="Arial"/>
          <w:sz w:val="18"/>
          <w:szCs w:val="18"/>
          <w:color w:val="auto"/>
        </w:rPr>
        <w:t>Employees on Leave or Military Service.</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93"/>
        </w:numPr>
        <w:rPr>
          <w:rFonts w:ascii="MS PGothic" w:cs="MS PGothic" w:eastAsia="MS PGothic" w:hAnsi="MS PGothic"/>
          <w:sz w:val="18"/>
          <w:szCs w:val="18"/>
          <w:color w:val="auto"/>
        </w:rPr>
      </w:pPr>
      <w:r>
        <w:rPr>
          <w:rFonts w:ascii="Arial" w:cs="Arial" w:eastAsia="Arial" w:hAnsi="Arial"/>
          <w:sz w:val="18"/>
          <w:szCs w:val="18"/>
          <w:color w:val="auto"/>
        </w:rPr>
        <w:t>Guest Students.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PF-39751 (04/13)</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17</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OMNIBUS NAMED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Item 1 of the Declarations is deleted in its entirety and the following is inserted:</w:t>
      </w:r>
    </w:p>
    <w:p>
      <w:pPr>
        <w:spacing w:after="0" w:line="117"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Item 1. Name of Insured (herein called Insured): TPG Specialty Lending, Inc., Subject to the provisions of General Agreement B, as amended, Insured also means: (i) any subsidiary, joint venture, limited liability company, limited partnership, or general partnership, in which 50% or more of the voting interests are owned directly or indirectly by TPG Specialty Lending, Inc., and only while such interest existed or continues to exist; and, (ii) any employee benefit or welfare plan sponsored by the Insured now existing or hereafter created or acquired, that is required to be bonded under the Employee Retirement Income Security Act of 1974, as amended, so long as the Insured sponsors such plan.</w:t>
      </w:r>
    </w:p>
    <w:p>
      <w:pPr>
        <w:sectPr>
          <w:pgSz w:w="11900" w:h="16838" w:orient="portrait"/>
          <w:cols w:equalWidth="0" w:num="1">
            <w:col w:w="11440"/>
          </w:cols>
          <w:pgMar w:left="240" w:top="270" w:right="219" w:bottom="1440" w:gutter="0" w:footer="0" w:header="0"/>
        </w:sectPr>
      </w:pP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301 Commerce Street, Suite 3300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ectPr>
          <w:pgSz w:w="11900" w:h="16838" w:orient="portrait"/>
          <w:cols w:equalWidth="0" w:num="2">
            <w:col w:w="1780" w:space="600"/>
            <w:col w:w="9060"/>
          </w:cols>
          <w:pgMar w:left="240" w:top="270" w:right="2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0"/>
                <w:szCs w:val="20"/>
                <w:color w:val="auto"/>
              </w:rPr>
            </w:pPr>
            <w:r>
              <w:rPr>
                <w:rFonts w:ascii="Arial" w:cs="Arial" w:eastAsia="Arial" w:hAnsi="Arial"/>
                <w:sz w:val="18"/>
                <w:szCs w:val="18"/>
                <w:color w:val="auto"/>
              </w:rPr>
              <w:t>PF-39759 (04/13)</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type w:val="continuous"/>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18</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PRIVACY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Conditions And Limitations, section 2, Exclusions, is amended to add the following:</w:t>
      </w:r>
    </w:p>
    <w:p>
      <w:pPr>
        <w:spacing w:after="0" w:line="130" w:lineRule="exact"/>
        <w:rPr>
          <w:rFonts w:ascii="Arial" w:cs="Arial" w:eastAsia="Arial" w:hAnsi="Arial"/>
          <w:sz w:val="18"/>
          <w:szCs w:val="18"/>
          <w:color w:val="auto"/>
        </w:rPr>
      </w:pPr>
    </w:p>
    <w:p>
      <w:pPr>
        <w:ind w:left="900" w:right="100" w:hanging="446"/>
        <w:spacing w:after="0" w:line="276" w:lineRule="auto"/>
        <w:tabs>
          <w:tab w:leader="none" w:pos="9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disclosure or use of, or purported use or disclosure of, the Insured’s or another person’s or entity’s confidential or personal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77" w:lineRule="exact"/>
        <w:rPr>
          <w:rFonts w:ascii="Arial" w:cs="Arial" w:eastAsia="Arial" w:hAnsi="Arial"/>
          <w:sz w:val="17"/>
          <w:szCs w:val="17"/>
          <w:color w:val="auto"/>
        </w:rPr>
      </w:pPr>
    </w:p>
    <w:p>
      <w:pPr>
        <w:ind w:left="900" w:right="120" w:hanging="446"/>
        <w:spacing w:after="0" w:line="308" w:lineRule="auto"/>
        <w:tabs>
          <w:tab w:leader="none" w:pos="9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use or disclosure of, or purported use or disclosure of, credit, debit, charge, access, convenience, identification, stored-value or other cards or the information contained on such cards.</w:t>
      </w:r>
    </w:p>
    <w:p>
      <w:pPr>
        <w:spacing w:after="0" w:line="51" w:lineRule="exact"/>
        <w:rPr>
          <w:rFonts w:ascii="Arial" w:cs="Arial" w:eastAsia="Arial" w:hAnsi="Arial"/>
          <w:sz w:val="17"/>
          <w:szCs w:val="17"/>
          <w:color w:val="auto"/>
        </w:rPr>
      </w:pPr>
    </w:p>
    <w:p>
      <w:pPr>
        <w:ind w:left="900" w:right="200" w:hanging="446"/>
        <w:spacing w:after="0" w:line="255"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fees, costs, fines, penalties and other expenses incurred by an Insured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98" w:lineRule="exact"/>
        <w:rPr>
          <w:rFonts w:ascii="Arial" w:cs="Arial" w:eastAsia="Arial" w:hAnsi="Arial"/>
          <w:sz w:val="18"/>
          <w:szCs w:val="18"/>
          <w:color w:val="auto"/>
        </w:rPr>
      </w:pPr>
    </w:p>
    <w:p>
      <w:pPr>
        <w:ind w:left="900" w:right="220" w:hanging="446"/>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expenses related to the Insured’s obligations to comply with federal and state privacy laws and Payment Card Industry Data Security Standards (if applicable) arising from a data security breach, including, but not limited to, forensic audit expenses, fines, penalties and expenses related to notifying affected individuals when the affected individuals’ personally identifiable financial or medical information was stolen, accessed, downloaded or misappropriated while in the Insured’s care, custody or control.</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Conditions And Limitations, is amended to add the following:</w:t>
      </w:r>
    </w:p>
    <w:p>
      <w:pPr>
        <w:spacing w:after="0" w:line="117"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Notwithstanding anything in this Bond to the contrary, including but not limited to any Insuring Agreement or endorsement providing for any coverage whatsoever for fees, costs or expenses, in no event shall there be any coverage under this Bond for fees, costs and expenses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policy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49"/>
        </w:trPr>
        <w:tc>
          <w:tcPr>
            <w:tcW w:w="3300" w:type="dxa"/>
            <w:vAlign w:val="bottom"/>
          </w:tcPr>
          <w:p>
            <w:pPr>
              <w:spacing w:after="0"/>
              <w:rPr>
                <w:sz w:val="20"/>
                <w:szCs w:val="20"/>
                <w:color w:val="auto"/>
              </w:rPr>
            </w:pPr>
            <w:r>
              <w:rPr>
                <w:rFonts w:ascii="Arial" w:cs="Arial" w:eastAsia="Arial" w:hAnsi="Arial"/>
                <w:sz w:val="18"/>
                <w:szCs w:val="18"/>
                <w:color w:val="auto"/>
              </w:rPr>
              <w:t>PF-42750 (07/14)</w:t>
            </w:r>
          </w:p>
        </w:tc>
        <w:tc>
          <w:tcPr>
            <w:tcW w:w="356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2014</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109"/>
        </w:trPr>
        <w:tc>
          <w:tcPr>
            <w:tcW w:w="3300" w:type="dxa"/>
            <w:vAlign w:val="bottom"/>
            <w:vMerge w:val="restart"/>
          </w:tcPr>
          <w:p>
            <w:pPr>
              <w:spacing w:after="0"/>
              <w:rPr>
                <w:sz w:val="20"/>
                <w:szCs w:val="20"/>
                <w:color w:val="auto"/>
              </w:rPr>
            </w:pPr>
            <w:r>
              <w:rPr>
                <w:rFonts w:ascii="Arial" w:cs="Arial" w:eastAsia="Arial" w:hAnsi="Arial"/>
                <w:sz w:val="18"/>
                <w:szCs w:val="18"/>
                <w:color w:val="auto"/>
              </w:rPr>
              <w:t>FI Bonds 14 &amp; 24</w:t>
            </w:r>
          </w:p>
        </w:tc>
        <w:tc>
          <w:tcPr>
            <w:tcW w:w="356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0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-273685</wp:posOffset>
            </wp:positionV>
            <wp:extent cx="16319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19</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DEDUCTIBLE AMOUNT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11., DEDUCTIBLE AMOUNT, of the attached bond is amended to include the following:</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shall be no Single Loss Deductible amount applicable to any loss under Insuring Agreement (A), Employee Dishonesty, sustained by any business development company in compliance with Section 54 of the Investment Company Act of 1940.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c>
          <w:tcPr>
            <w:tcW w:w="0" w:type="dxa"/>
            <w:vAlign w:val="bottom"/>
          </w:tcPr>
          <w:p>
            <w:pPr>
              <w:spacing w:after="0"/>
              <w:rPr>
                <w:sz w:val="1"/>
                <w:szCs w:val="1"/>
                <w:color w:val="auto"/>
              </w:rPr>
            </w:pPr>
          </w:p>
        </w:tc>
      </w:tr>
      <w:tr>
        <w:trPr>
          <w:trHeight w:val="364"/>
        </w:trPr>
        <w:tc>
          <w:tcPr>
            <w:tcW w:w="3320" w:type="dxa"/>
            <w:vAlign w:val="bottom"/>
          </w:tcPr>
          <w:p>
            <w:pPr>
              <w:spacing w:after="0"/>
              <w:rPr>
                <w:sz w:val="20"/>
                <w:szCs w:val="20"/>
                <w:color w:val="auto"/>
              </w:rPr>
            </w:pPr>
            <w:r>
              <w:rPr>
                <w:rFonts w:ascii="Arial" w:cs="Arial" w:eastAsia="Arial" w:hAnsi="Arial"/>
                <w:sz w:val="18"/>
                <w:szCs w:val="18"/>
                <w:color w:val="auto"/>
              </w:rPr>
              <w:t>MS-47981 (03/16)</w:t>
            </w:r>
          </w:p>
        </w:tc>
        <w:tc>
          <w:tcPr>
            <w:tcW w:w="3540" w:type="dxa"/>
            <w:vAlign w:val="bottom"/>
            <w:vMerge w:val="restart"/>
          </w:tcPr>
          <w:p>
            <w:pPr>
              <w:jc w:val="right"/>
              <w:ind w:right="930"/>
              <w:spacing w:after="0"/>
              <w:rPr>
                <w:sz w:val="20"/>
                <w:szCs w:val="20"/>
                <w:color w:val="auto"/>
              </w:rPr>
            </w:pPr>
            <w:r>
              <w:rPr>
                <w:rFonts w:ascii="Arial" w:cs="Arial" w:eastAsia="Arial" w:hAnsi="Arial"/>
                <w:sz w:val="18"/>
                <w:szCs w:val="18"/>
                <w:color w:val="auto"/>
              </w:rPr>
              <w:t>© 2016</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3540" w:type="dxa"/>
            <w:vAlign w:val="bottom"/>
            <w:vMerge w:val="continue"/>
          </w:tcPr>
          <w:p>
            <w:pPr>
              <w:spacing w:after="0"/>
              <w:rPr>
                <w:sz w:val="8"/>
                <w:szCs w:val="8"/>
                <w:color w:val="auto"/>
              </w:rPr>
            </w:pPr>
          </w:p>
        </w:tc>
        <w:tc>
          <w:tcPr>
            <w:tcW w:w="4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-196850</wp:posOffset>
            </wp:positionV>
            <wp:extent cx="16319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 OR ECONOMIC SANCTIONS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03/08/2017 to 03/08/2018</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03/08/2017</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similar laws or regulations prohibit us from providing insurance, including, but not limited to, the payment of claims. All other terms and conditions of policy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271780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Authorized Agent</w:t>
      </w:r>
    </w:p>
    <w:p>
      <w:pPr>
        <w:spacing w:after="0" w:line="15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PF-46422 (07/15)</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078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120015"/>
                    </a:xfrm>
                    <a:prstGeom prst="rect">
                      <a:avLst/>
                    </a:prstGeom>
                    <a:noFill/>
                  </pic:spPr>
                </pic:pic>
              </a:graphicData>
            </a:graphic>
          </wp:anchor>
        </w:drawing>
        <w:t>Chubb Producer Compensation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Practices &amp; Policies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auto"/>
        </w:rPr>
        <w:t>http://www.aceproducercompensation.com</w:t>
      </w:r>
      <w:r>
        <w:rPr>
          <w:rFonts w:ascii="Arial" w:cs="Arial" w:eastAsia="Arial" w:hAnsi="Arial"/>
          <w:sz w:val="18"/>
          <w:szCs w:val="18"/>
          <w:color w:val="auto"/>
        </w:rPr>
        <w:t xml:space="preserve"> or by calling the following toll-free telephone number: 1-866-512-2862.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ALL-20887a (03/16)</w:t>
      </w:r>
    </w:p>
    <w:p>
      <w:pPr>
        <w:sectPr>
          <w:pgSz w:w="11900" w:h="16838" w:orient="portrait"/>
          <w:cols w:equalWidth="0" w:num="1">
            <w:col w:w="11300"/>
          </w:cols>
          <w:pgMar w:left="240" w:top="891"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00785"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785" cy="12001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Advisory Notice to Policyholders</w:t>
      </w:r>
    </w:p>
    <w:p>
      <w:pPr>
        <w:spacing w:after="0" w:line="22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Office of Foreign Assets Control (OFAC) administers and enforces sanctions policy, based on Presidential declarations of “national emergency”. OFAC has identified and listed numerous:</w:t>
      </w:r>
    </w:p>
    <w:p>
      <w:pPr>
        <w:spacing w:after="0" w:line="76"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Terrorists;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“Specially Designated Nationals and Blocked Persons”. This list can be located on the United States Treasury’s web site – http//www.treas.gov/ofac.</w:t>
      </w:r>
    </w:p>
    <w:p>
      <w:pPr>
        <w:spacing w:after="0" w:line="23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420"/>
          </w:cols>
          <w:pgMar w:left="240" w:top="270" w:right="2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PF-17914a (04/16)</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2800"/>
        <w:spacing w:after="0"/>
        <w:rPr>
          <w:sz w:val="20"/>
          <w:szCs w:val="20"/>
          <w:color w:val="auto"/>
        </w:rPr>
      </w:pPr>
      <w:r>
        <w:rPr>
          <w:rFonts w:ascii="Arial" w:cs="Arial" w:eastAsia="Arial" w:hAnsi="Arial"/>
          <w:sz w:val="16"/>
          <w:szCs w:val="16"/>
          <w:color w:val="auto"/>
        </w:rPr>
        <w:t>Reprinted, in part, with permission of</w:t>
      </w:r>
    </w:p>
    <w:p>
      <w:pPr>
        <w:spacing w:after="0" w:line="46"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ISO Properties, Inc.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sectPr>
      <w:pgSz w:w="11900" w:h="16838" w:orient="portrait"/>
      <w:cols w:equalWidth="0" w:num="3">
        <w:col w:w="3660" w:space="720"/>
        <w:col w:w="5500" w:space="720"/>
        <w:col w:w="8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1)"/>
      <w:numFmt w:val="upperLetter"/>
      <w:start w:val="1"/>
    </w:lvl>
  </w:abstractNum>
  <w:abstractNum w:abstractNumId="3">
    <w:nsid w:val="579478FE"/>
    <w:multiLevelType w:val="hybridMultilevel"/>
    <w:lvl w:ilvl="0">
      <w:lvlJc w:val="left"/>
      <w:lvlText w:val="(%1)"/>
      <w:numFmt w:val="lowerRoman"/>
      <w:start w:val="3"/>
    </w:lvl>
  </w:abstractNum>
  <w:abstractNum w:abstractNumId="4">
    <w:nsid w:val="749ABB43"/>
    <w:multiLevelType w:val="hybridMultilevel"/>
    <w:lvl w:ilvl="0">
      <w:lvlJc w:val="left"/>
      <w:lvlText w:val="(%1)"/>
      <w:numFmt w:val="lowerLetter"/>
      <w:start w:val="1"/>
    </w:lvl>
  </w:abstractNum>
  <w:abstractNum w:abstractNumId="5">
    <w:nsid w:val="3DC240FB"/>
    <w:multiLevelType w:val="hybridMultilevel"/>
    <w:lvl w:ilvl="0">
      <w:lvlJc w:val="left"/>
      <w:lvlText w:val="(%1)"/>
      <w:numFmt w:val="upperLetter"/>
      <w:start w:val="2"/>
    </w:lvl>
    <w:lvl w:ilvl="1">
      <w:lvlJc w:val="left"/>
      <w:lvlText w:val="(%2)"/>
      <w:numFmt w:val="lowerLetter"/>
      <w:start w:val="1"/>
    </w:lvl>
  </w:abstractNum>
  <w:abstractNum w:abstractNumId="6">
    <w:nsid w:val="1BA026FA"/>
    <w:multiLevelType w:val="hybridMultilevel"/>
    <w:lvl w:ilvl="0">
      <w:lvlJc w:val="left"/>
      <w:lvlText w:val="(%1)"/>
      <w:numFmt w:val="decimal"/>
      <w:start w:val="2"/>
    </w:lvl>
    <w:lvl w:ilvl="1">
      <w:lvlJc w:val="left"/>
      <w:lvlText w:val="(%2)"/>
      <w:numFmt w:val="lowerLetter"/>
      <w:start w:val="1"/>
    </w:lvl>
  </w:abstractNum>
  <w:abstractNum w:abstractNumId="7">
    <w:nsid w:val="79A1DEAA"/>
    <w:multiLevelType w:val="hybridMultilevel"/>
    <w:lvl w:ilvl="0">
      <w:lvlJc w:val="left"/>
      <w:lvlText w:val="(%1)"/>
      <w:numFmt w:val="lowerRoman"/>
      <w:start w:val="1"/>
    </w:lvl>
  </w:abstractNum>
  <w:abstractNum w:abstractNumId="8">
    <w:nsid w:val="75C6C33A"/>
    <w:multiLevelType w:val="hybridMultilevel"/>
    <w:lvl w:ilvl="0">
      <w:lvlJc w:val="left"/>
      <w:lvlText w:val="(%1)"/>
      <w:numFmt w:val="upperLetter"/>
      <w:start w:val="3"/>
    </w:lvl>
  </w:abstractNum>
  <w:abstractNum w:abstractNumId="9">
    <w:nsid w:val="12E685FB"/>
    <w:multiLevelType w:val="hybridMultilevel"/>
    <w:lvl w:ilvl="0">
      <w:lvlJc w:val="left"/>
      <w:lvlText w:val="(%1)"/>
      <w:numFmt w:val="lowerLetter"/>
      <w:start w:val="1"/>
    </w:lvl>
  </w:abstractNum>
  <w:abstractNum w:abstractNumId="10">
    <w:nsid w:val="70C6A529"/>
    <w:multiLevelType w:val="hybridMultilevel"/>
    <w:lvl w:ilvl="0">
      <w:lvlJc w:val="left"/>
      <w:lvlText w:val="(%1)"/>
      <w:numFmt w:val="upperLetter"/>
      <w:start w:val="4"/>
    </w:lvl>
    <w:lvl w:ilvl="1">
      <w:lvlJc w:val="left"/>
      <w:lvlText w:val="(%2)"/>
      <w:numFmt w:val="decimal"/>
      <w:start w:val="1"/>
    </w:lvl>
  </w:abstractNum>
  <w:abstractNum w:abstractNumId="11">
    <w:nsid w:val="520EEDD1"/>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2">
    <w:nsid w:val="374A3FE6"/>
    <w:multiLevelType w:val="hybridMultilevel"/>
    <w:lvl w:ilvl="0">
      <w:lvlJc w:val="left"/>
      <w:lvlText w:val="%1"/>
      <w:numFmt w:val="decimal"/>
      <w:start w:val="1"/>
    </w:lvl>
    <w:lvl w:ilvl="1">
      <w:lvlJc w:val="left"/>
      <w:lvlText w:val="(%2)"/>
      <w:numFmt w:val="lowerRoman"/>
      <w:start w:val="1"/>
    </w:lvl>
  </w:abstractNum>
  <w:abstractNum w:abstractNumId="13">
    <w:nsid w:val="4F4EF005"/>
    <w:multiLevelType w:val="hybridMultilevel"/>
    <w:lvl w:ilvl="0">
      <w:lvlJc w:val="left"/>
      <w:lvlText w:val="(%1)"/>
      <w:numFmt w:val="decimal"/>
      <w:start w:val="2"/>
    </w:lvl>
    <w:lvl w:ilvl="1">
      <w:lvlJc w:val="left"/>
      <w:lvlText w:val="%2"/>
      <w:numFmt w:val="lowerRoman"/>
      <w:start w:val="1"/>
    </w:lvl>
  </w:abstractNum>
  <w:abstractNum w:abstractNumId="14">
    <w:nsid w:val="23F9C13C"/>
    <w:multiLevelType w:val="hybridMultilevel"/>
    <w:lvl w:ilvl="0">
      <w:lvlJc w:val="left"/>
      <w:lvlText w:val="(%1)"/>
      <w:numFmt w:val="lowerLetter"/>
      <w:start w:val="3"/>
    </w:lvl>
    <w:lvl w:ilvl="1">
      <w:lvlJc w:val="left"/>
      <w:lvlText w:val="(%2)"/>
      <w:numFmt w:val="lowerLetter"/>
      <w:start w:val="9"/>
    </w:lvl>
  </w:abstractNum>
  <w:abstractNum w:abstractNumId="15">
    <w:nsid w:val="649BB77C"/>
    <w:multiLevelType w:val="hybridMultilevel"/>
    <w:lvl w:ilvl="0">
      <w:lvlJc w:val="left"/>
      <w:lvlText w:val="(%1)"/>
      <w:numFmt w:val="lowerRoman"/>
      <w:start w:val="2"/>
    </w:lvl>
  </w:abstractNum>
  <w:abstractNum w:abstractNumId="16">
    <w:nsid w:val="275AC794"/>
    <w:multiLevelType w:val="hybridMultilevel"/>
    <w:lvl w:ilvl="0">
      <w:lvlJc w:val="left"/>
      <w:lvlText w:val="(%1)"/>
      <w:numFmt w:val="upperLetter"/>
      <w:start w:val="6"/>
    </w:lvl>
  </w:abstractNum>
  <w:abstractNum w:abstractNumId="17">
    <w:nsid w:val="39386575"/>
    <w:multiLevelType w:val="hybridMultilevel"/>
    <w:lvl w:ilvl="0">
      <w:lvlJc w:val="left"/>
      <w:lvlText w:val="(%1)"/>
      <w:numFmt w:val="lowerLetter"/>
      <w:start w:val="1"/>
    </w:lvl>
    <w:lvl w:ilvl="1">
      <w:lvlJc w:val="left"/>
      <w:lvlText w:val="(%2)"/>
      <w:numFmt w:val="lowerRoman"/>
      <w:start w:val="1"/>
    </w:lvl>
  </w:abstractNum>
  <w:abstractNum w:abstractNumId="18">
    <w:nsid w:val="1CF10FD8"/>
    <w:multiLevelType w:val="hybridMultilevel"/>
    <w:lvl w:ilvl="0">
      <w:lvlJc w:val="left"/>
      <w:lvlText w:val="(%1)"/>
      <w:numFmt w:val="lowerRoman"/>
      <w:start w:val="3"/>
    </w:lvl>
  </w:abstractNum>
  <w:abstractNum w:abstractNumId="19">
    <w:nsid w:val="180115BE"/>
    <w:multiLevelType w:val="hybridMultilevel"/>
    <w:lvl w:ilvl="0">
      <w:lvlJc w:val="left"/>
      <w:lvlText w:val="(%1)"/>
      <w:numFmt w:val="lowerLetter"/>
      <w:start w:val="1"/>
    </w:lvl>
    <w:lvl w:ilvl="1">
      <w:lvlJc w:val="left"/>
      <w:lvlText w:val="(%2)"/>
      <w:numFmt w:val="decimal"/>
      <w:start w:val="1"/>
    </w:lvl>
  </w:abstractNum>
  <w:abstractNum w:abstractNumId="20">
    <w:nsid w:val="235BA861"/>
    <w:multiLevelType w:val="hybridMultilevel"/>
    <w:lvl w:ilvl="0">
      <w:lvlJc w:val="left"/>
      <w:lvlText w:val="%1"/>
      <w:numFmt w:val="lowerLetter"/>
      <w:start w:val="1"/>
    </w:lvl>
    <w:lvl w:ilvl="1">
      <w:lvlJc w:val="left"/>
      <w:lvlText w:val="(%2)"/>
      <w:numFmt w:val="decimal"/>
      <w:start w:val="6"/>
    </w:lvl>
  </w:abstractNum>
  <w:abstractNum w:abstractNumId="21">
    <w:nsid w:val="47398C89"/>
    <w:multiLevelType w:val="hybridMultilevel"/>
    <w:lvl w:ilvl="0">
      <w:lvlJc w:val="left"/>
      <w:lvlText w:val="(%1)"/>
      <w:numFmt w:val="lowerLetter"/>
      <w:start w:val="6"/>
    </w:lvl>
    <w:lvl w:ilvl="1">
      <w:lvlJc w:val="left"/>
      <w:lvlText w:val="(%2)"/>
      <w:numFmt w:val="decimal"/>
      <w:start w:val="1"/>
    </w:lvl>
  </w:abstractNum>
  <w:abstractNum w:abstractNumId="22">
    <w:nsid w:val="354FE9F9"/>
    <w:multiLevelType w:val="hybridMultilevel"/>
    <w:lvl w:ilvl="0">
      <w:lvlJc w:val="left"/>
      <w:lvlText w:val="(%1)"/>
      <w:numFmt w:val="lowerLetter"/>
      <w:start w:val="5"/>
    </w:lvl>
    <w:lvl w:ilvl="1">
      <w:lvlJc w:val="left"/>
      <w:lvlText w:val="(%2)"/>
      <w:numFmt w:val="decimal"/>
      <w:start w:val="1"/>
    </w:lvl>
  </w:abstractNum>
  <w:abstractNum w:abstractNumId="23">
    <w:nsid w:val="15B5AF5C"/>
    <w:multiLevelType w:val="hybridMultilevel"/>
    <w:lvl w:ilvl="0">
      <w:lvlJc w:val="left"/>
      <w:lvlText w:val="(%1)"/>
      <w:numFmt w:val="lowerLetter"/>
      <w:start w:val="1"/>
    </w:lvl>
  </w:abstractNum>
  <w:abstractNum w:abstractNumId="24">
    <w:nsid w:val="741226BB"/>
    <w:multiLevelType w:val="hybridMultilevel"/>
    <w:lvl w:ilvl="0">
      <w:lvlJc w:val="left"/>
      <w:lvlText w:val="%1"/>
      <w:numFmt w:val="lowerLetter"/>
      <w:start w:val="1"/>
    </w:lvl>
    <w:lvl w:ilvl="1">
      <w:lvlJc w:val="left"/>
      <w:lvlText w:val="(%2)"/>
      <w:numFmt w:val="decimal"/>
      <w:start w:val="2"/>
    </w:lvl>
  </w:abstractNum>
  <w:abstractNum w:abstractNumId="25">
    <w:nsid w:val="D34B6A8"/>
    <w:multiLevelType w:val="hybridMultilevel"/>
    <w:lvl w:ilvl="0">
      <w:lvlJc w:val="left"/>
      <w:lvlText w:val="(%1)"/>
      <w:numFmt w:val="lowerLetter"/>
      <w:start w:val="8"/>
    </w:lvl>
    <w:lvl w:ilvl="1">
      <w:lvlJc w:val="left"/>
      <w:lvlText w:val="%2"/>
      <w:numFmt w:val="decimal"/>
      <w:start w:val="1"/>
    </w:lvl>
  </w:abstractNum>
  <w:abstractNum w:abstractNumId="26">
    <w:nsid w:val="10233C99"/>
    <w:multiLevelType w:val="hybridMultilevel"/>
    <w:lvl w:ilvl="0">
      <w:lvlJc w:val="left"/>
      <w:lvlText w:val="(%1)"/>
      <w:numFmt w:val="upperLetter"/>
      <w:start w:val="9"/>
    </w:lvl>
  </w:abstractNum>
  <w:abstractNum w:abstractNumId="27">
    <w:nsid w:val="3F6AB60F"/>
    <w:multiLevelType w:val="hybridMultilevel"/>
    <w:lvl w:ilvl="0">
      <w:lvlJc w:val="left"/>
      <w:lvlText w:val="(%1)"/>
      <w:numFmt w:val="lowerLetter"/>
      <w:start w:val="13"/>
    </w:lvl>
    <w:lvl w:ilvl="1">
      <w:lvlJc w:val="left"/>
      <w:lvlText w:val="(%2)"/>
      <w:numFmt w:val="decimal"/>
      <w:start w:val="1"/>
    </w:lvl>
    <w:lvl w:ilvl="2">
      <w:lvlJc w:val="left"/>
      <w:lvlText w:val="(%3)"/>
      <w:numFmt w:val="lowerLetter"/>
      <w:start w:val="1"/>
    </w:lvl>
  </w:abstractNum>
  <w:abstractNum w:abstractNumId="28">
    <w:nsid w:val="61574095"/>
    <w:multiLevelType w:val="hybridMultilevel"/>
    <w:lvl w:ilvl="0">
      <w:lvlJc w:val="left"/>
      <w:lvlText w:val="%1"/>
      <w:numFmt w:val="lowerLetter"/>
      <w:start w:val="1"/>
    </w:lvl>
    <w:lvl w:ilvl="1">
      <w:lvlJc w:val="left"/>
      <w:lvlText w:val="(%2)"/>
      <w:numFmt w:val="decimal"/>
      <w:start w:val="3"/>
    </w:lvl>
  </w:abstractNum>
  <w:abstractNum w:abstractNumId="29">
    <w:nsid w:val="7E0C57B1"/>
    <w:multiLevelType w:val="hybridMultilevel"/>
    <w:lvl w:ilvl="0">
      <w:lvlJc w:val="left"/>
      <w:lvlText w:val="(%1)"/>
      <w:numFmt w:val="lowerLetter"/>
      <w:start w:val="19"/>
    </w:lvl>
    <w:lvl w:ilvl="1">
      <w:lvlJc w:val="left"/>
      <w:lvlText w:val="%2"/>
      <w:numFmt w:val="decimal"/>
      <w:start w:val="1"/>
    </w:lvl>
  </w:abstractNum>
  <w:abstractNum w:abstractNumId="30">
    <w:nsid w:val="77AE35E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31">
    <w:nsid w:val="579BE4F1"/>
    <w:multiLevelType w:val="hybridMultilevel"/>
    <w:lvl w:ilvl="0">
      <w:lvlJc w:val="left"/>
      <w:lvlText w:val="(%1)"/>
      <w:numFmt w:val="upperLetter"/>
      <w:start w:val="2"/>
    </w:lvl>
    <w:lvl w:ilvl="1">
      <w:lvlJc w:val="left"/>
      <w:lvlText w:val="(%2)"/>
      <w:numFmt w:val="lowerLetter"/>
      <w:start w:val="9"/>
    </w:lvl>
    <w:lvl w:ilvl="2">
      <w:lvlJc w:val="left"/>
      <w:lvlText w:val="%3"/>
      <w:numFmt w:val="decimal"/>
      <w:start w:val="1"/>
    </w:lvl>
  </w:abstractNum>
  <w:abstractNum w:abstractNumId="32">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3">
    <w:nsid w:val="5FF87E0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4">
    <w:nsid w:val="2F305DEF"/>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35">
    <w:nsid w:val="25A70BF7"/>
    <w:multiLevelType w:val="hybridMultilevel"/>
    <w:lvl w:ilvl="0">
      <w:lvlJc w:val="left"/>
      <w:lvlText w:val="(%1)"/>
      <w:numFmt w:val="lowerLetter"/>
      <w:start w:val="10"/>
    </w:lvl>
    <w:lvl w:ilvl="1">
      <w:lvlJc w:val="left"/>
      <w:lvlText w:val="(%2)"/>
      <w:numFmt w:val="decimal"/>
      <w:start w:val="1"/>
    </w:lvl>
  </w:abstractNum>
  <w:abstractNum w:abstractNumId="36">
    <w:nsid w:val="1DBABF00"/>
    <w:multiLevelType w:val="hybridMultilevel"/>
    <w:lvl w:ilvl="0">
      <w:lvlJc w:val="left"/>
      <w:lvlText w:val="(%1)"/>
      <w:numFmt w:val="upperLetter"/>
      <w:start w:val="9"/>
    </w:lvl>
  </w:abstractNum>
  <w:abstractNum w:abstractNumId="37">
    <w:nsid w:val="4AD084E9"/>
    <w:multiLevelType w:val="hybridMultilevel"/>
    <w:lvl w:ilvl="0">
      <w:lvlJc w:val="left"/>
      <w:lvlText w:val="(%1)"/>
      <w:numFmt w:val="lowerLetter"/>
      <w:start w:val="13"/>
    </w:lvl>
    <w:lvl w:ilvl="1">
      <w:lvlJc w:val="left"/>
      <w:lvlText w:val="(%2)"/>
      <w:numFmt w:val="decimal"/>
      <w:start w:val="1"/>
    </w:lvl>
  </w:abstractNum>
  <w:abstractNum w:abstractNumId="38">
    <w:nsid w:val="1F48EAA1"/>
    <w:multiLevelType w:val="hybridMultilevel"/>
    <w:lvl w:ilvl="0">
      <w:lvlJc w:val="left"/>
      <w:lvlText w:val="(%1)"/>
      <w:numFmt w:val="lowerLetter"/>
      <w:start w:val="19"/>
    </w:lvl>
    <w:lvl w:ilvl="1">
      <w:lvlJc w:val="left"/>
      <w:lvlText w:val="(%2)"/>
      <w:numFmt w:val="decimal"/>
      <w:start w:val="1"/>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1"/>
    </w:lvl>
  </w:abstractNum>
  <w:abstractNum w:abstractNumId="42">
    <w:nsid w:val="6590700B"/>
    <w:multiLevelType w:val="hybridMultilevel"/>
    <w:lvl w:ilvl="0">
      <w:lvlJc w:val="left"/>
      <w:lvlText w:val="(%1)"/>
      <w:numFmt w:val="lowerLetter"/>
      <w:start w:val="20"/>
    </w:lvl>
  </w:abstractNum>
  <w:abstractNum w:abstractNumId="43">
    <w:nsid w:val="15014ACB"/>
    <w:multiLevelType w:val="hybridMultilevel"/>
    <w:lvl w:ilvl="0">
      <w:lvlJc w:val="left"/>
      <w:lvlText w:val="(%1)"/>
      <w:numFmt w:val="lowerLetter"/>
      <w:start w:val="26"/>
    </w:lvl>
  </w:abstractNum>
  <w:abstractNum w:abstractNumId="44">
    <w:nsid w:val="5F5E7FD0"/>
    <w:multiLevelType w:val="hybridMultilevel"/>
    <w:lvl w:ilvl="0">
      <w:lvlJc w:val="left"/>
      <w:lvlText w:val="(%1)"/>
      <w:numFmt w:val="lowerLetter"/>
      <w:start w:val="27"/>
    </w:lvl>
  </w:abstractNum>
  <w:abstractNum w:abstractNumId="45">
    <w:nsid w:val="98A3148"/>
    <w:multiLevelType w:val="hybridMultilevel"/>
    <w:lvl w:ilvl="0">
      <w:lvlJc w:val="left"/>
      <w:lvlText w:val="(%1)"/>
      <w:numFmt w:val="lowerLetter"/>
      <w:start w:val="1"/>
    </w:lvl>
    <w:lvl w:ilvl="1">
      <w:lvlJc w:val="left"/>
      <w:lvlText w:val="(%2)"/>
      <w:numFmt w:val="decimal"/>
      <w:start w:val="1"/>
    </w:lvl>
  </w:abstractNum>
  <w:abstractNum w:abstractNumId="46">
    <w:nsid w:val="799D0247"/>
    <w:multiLevelType w:val="hybridMultilevel"/>
    <w:lvl w:ilvl="0">
      <w:lvlJc w:val="left"/>
      <w:lvlText w:val="(%1)"/>
      <w:numFmt w:val="lowerLetter"/>
      <w:start w:val="17"/>
    </w:lvl>
  </w:abstractNum>
  <w:abstractNum w:abstractNumId="47">
    <w:nsid w:val="6B94764"/>
    <w:multiLevelType w:val="hybridMultilevel"/>
    <w:lvl w:ilvl="0">
      <w:lvlJc w:val="left"/>
      <w:lvlText w:val="(%1)"/>
      <w:numFmt w:val="lowerLetter"/>
      <w:start w:val="2"/>
    </w:lvl>
  </w:abstractNum>
  <w:abstractNum w:abstractNumId="48">
    <w:nsid w:val="42C296BD"/>
    <w:multiLevelType w:val="hybridMultilevel"/>
    <w:lvl w:ilvl="0">
      <w:lvlJc w:val="left"/>
      <w:lvlText w:val="%1."/>
      <w:numFmt w:val="decimal"/>
      <w:start w:val="1"/>
    </w:lvl>
    <w:lvl w:ilvl="1">
      <w:lvlJc w:val="left"/>
      <w:lvlText w:val="(%2)"/>
      <w:numFmt w:val="lowerLetter"/>
      <w:start w:val="4"/>
    </w:lvl>
  </w:abstractNum>
  <w:abstractNum w:abstractNumId="49">
    <w:nsid w:val="168E121F"/>
    <w:multiLevelType w:val="hybridMultilevel"/>
    <w:lvl w:ilvl="0">
      <w:lvlJc w:val="left"/>
      <w:lvlText w:val="%1"/>
      <w:numFmt w:val="decimal"/>
      <w:start w:val="1"/>
    </w:lvl>
    <w:lvl w:ilvl="1">
      <w:lvlJc w:val="left"/>
      <w:lvlText w:val="(%2)"/>
      <w:numFmt w:val="lowerLetter"/>
      <w:start w:val="7"/>
    </w:lvl>
  </w:abstractNum>
  <w:abstractNum w:abstractNumId="50">
    <w:nsid w:val="1EBA5D23"/>
    <w:multiLevelType w:val="hybridMultilevel"/>
    <w:lvl w:ilvl="0">
      <w:lvlJc w:val="left"/>
      <w:lvlText w:val="%1."/>
      <w:numFmt w:val="decimal"/>
      <w:start w:val="3"/>
    </w:lvl>
    <w:lvl w:ilvl="1">
      <w:lvlJc w:val="left"/>
      <w:lvlText w:val="%2"/>
      <w:numFmt w:val="lowerLetter"/>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
      <w:numFmt w:val="bullet"/>
      <w:start w:val="1"/>
    </w:lvl>
    <w:lvl w:ilvl="1">
      <w:lvlJc w:val="left"/>
      <w:lvlText w:val="%2."/>
      <w:numFmt w:val="decimal"/>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
      <w:numFmt w:val="bullet"/>
      <w:start w:val="1"/>
    </w:lvl>
    <w:lvl w:ilvl="1">
      <w:lvlJc w:val="left"/>
      <w:lvlText w:val="%2)"/>
      <w:numFmt w:val="lowerLetter"/>
      <w:start w:val="1"/>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1"/>
    </w:lvl>
    <w:lvl w:ilvl="1">
      <w:lvlJc w:val="left"/>
      <w:lvlText w:val="%2)"/>
      <w:numFmt w:val="lowerLetter"/>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2"/>
    </w:lvl>
  </w:abstractNum>
  <w:abstractNum w:abstractNumId="69">
    <w:nsid w:val="7FFFCA11"/>
    <w:multiLevelType w:val="hybridMultilevel"/>
    <w:lvl w:ilvl="0">
      <w:lvlJc w:val="left"/>
      <w:lvlText w:val="%1."/>
      <w:numFmt w:val="decimal"/>
      <w:start w:val="2"/>
    </w:lvl>
    <w:lvl w:ilvl="1">
      <w:lvlJc w:val="left"/>
      <w:lvlText w:val="•"/>
      <w:numFmt w:val="bullet"/>
      <w:start w:val="1"/>
    </w:lvl>
    <w:lvl w:ilvl="2">
      <w:lvlJc w:val="left"/>
      <w:lvlText w:val="%3."/>
      <w:numFmt w:val="decimal"/>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1."/>
      <w:numFmt w:val="decimal"/>
      <w:start w:val="4"/>
    </w:lvl>
    <w:lvl w:ilvl="1">
      <w:lvlJc w:val="left"/>
      <w:lvlText w:val="•"/>
      <w:numFmt w:val="bullet"/>
      <w:start w:val="1"/>
    </w:lvl>
    <w:lvl w:ilvl="2">
      <w:lvlJc w:val="left"/>
      <w:lvlText w:val="%3."/>
      <w:numFmt w:val="decimal"/>
      <w:start w:val="1"/>
    </w:lvl>
  </w:abstractNum>
  <w:abstractNum w:abstractNumId="73">
    <w:nsid w:val="7FB7E0AA"/>
    <w:multiLevelType w:val="hybridMultilevel"/>
    <w:lvl w:ilvl="0">
      <w:lvlJc w:val="left"/>
      <w:lvlText w:val="•"/>
      <w:numFmt w:val="bullet"/>
      <w:start w:val="1"/>
    </w:lvl>
    <w:lvl w:ilvl="1">
      <w:lvlJc w:val="left"/>
      <w:lvlText w:val="%2."/>
      <w:numFmt w:val="decimal"/>
      <w:start w:val="1"/>
    </w:lvl>
  </w:abstractNum>
  <w:abstractNum w:abstractNumId="74">
    <w:nsid w:val="6EB5BD4"/>
    <w:multiLevelType w:val="hybridMultilevel"/>
    <w:lvl w:ilvl="0">
      <w:lvlJc w:val="left"/>
      <w:lvlText w:val="•"/>
      <w:numFmt w:val="bullet"/>
      <w:start w:val="1"/>
    </w:lvl>
    <w:lvl w:ilvl="1">
      <w:lvlJc w:val="left"/>
      <w:lvlText w:val="(%2)"/>
      <w:numFmt w:val="decimal"/>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1)"/>
      <w:numFmt w:val="lowerLetter"/>
      <w:start w:val="10"/>
    </w:lvl>
  </w:abstractNum>
  <w:abstractNum w:abstractNumId="77">
    <w:nsid w:val="885E1B"/>
    <w:multiLevelType w:val="hybridMultilevel"/>
    <w:lvl w:ilvl="0">
      <w:lvlJc w:val="left"/>
      <w:lvlText w:val="(%1)"/>
      <w:numFmt w:val="upperLetter"/>
      <w:start w:val="6"/>
    </w:lvl>
  </w:abstractNum>
  <w:abstractNum w:abstractNumId="78">
    <w:nsid w:val="7627211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21"/>
    </w:lvl>
    <w:lvl w:ilvl="3">
      <w:lvlJc w:val="left"/>
      <w:lvlText w:val="(%4)"/>
      <w:numFmt w:val="decimal"/>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2"/>
    </w:lvl>
  </w:abstractNum>
  <w:abstractNum w:abstractNumId="81">
    <w:nsid w:val="14E17E33"/>
    <w:multiLevelType w:val="hybridMultilevel"/>
    <w:lvl w:ilvl="0">
      <w:lvlJc w:val="left"/>
      <w:lvlText w:val="%1."/>
      <w:numFmt w:val="decimal"/>
      <w:start w:val="1"/>
    </w:lvl>
    <w:lvl w:ilvl="1">
      <w:lvlJc w:val="left"/>
      <w:lvlText w:val="•"/>
      <w:numFmt w:val="bullet"/>
      <w:start w:val="1"/>
    </w:lvl>
  </w:abstractNum>
  <w:abstractNum w:abstractNumId="82">
    <w:nsid w:val="3222E7CD"/>
    <w:multiLevelType w:val="hybridMultilevel"/>
    <w:lvl w:ilvl="0">
      <w:lvlJc w:val="left"/>
      <w:lvlText w:val="%1."/>
      <w:numFmt w:val="decimal"/>
      <w:start w:val="1"/>
    </w:lvl>
    <w:lvl w:ilvl="1">
      <w:lvlJc w:val="left"/>
      <w:lvlText w:val="(%2)"/>
      <w:numFmt w:val="lowerLetter"/>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decimal"/>
      <w:start w:val="2"/>
    </w:lvl>
    <w:lvl w:ilvl="1">
      <w:lvlJc w:val="left"/>
      <w:lvlText w:val="(%2)"/>
      <w:numFmt w:val="lowerLetter"/>
      <w:start w:val="2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upperLetter"/>
      <w:start w:val="4"/>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2"/>
    </w:lvl>
  </w:abstractNum>
  <w:abstractNum w:abstractNumId="91">
    <w:nsid w:val="43F18422"/>
    <w:multiLevelType w:val="hybridMultilevel"/>
    <w:lvl w:ilvl="0">
      <w:lvlJc w:val="left"/>
      <w:lvlText w:val="%1."/>
      <w:numFmt w:val="decimal"/>
      <w:start w:val="1"/>
    </w:lvl>
    <w:lvl w:ilvl="1">
      <w:lvlJc w:val="left"/>
      <w:lvlText w:val="(%2)"/>
      <w:numFmt w:val="lowerLetter"/>
      <w:start w:val="5"/>
    </w:lvl>
  </w:abstractNum>
  <w:abstractNum w:abstractNumId="92">
    <w:nsid w:val="60EF0119"/>
    <w:multiLevelType w:val="hybridMultilevel"/>
    <w:lvl w:ilvl="0">
      <w:lvlJc w:val="left"/>
      <w:lvlText w:val="☒"/>
      <w:numFmt w:val="bullet"/>
      <w:start w:val="1"/>
    </w:lvl>
    <w:lvl w:ilvl="1">
      <w:lvlJc w:val="left"/>
      <w:lvlText w:val="(%2)"/>
      <w:numFmt w:val="lowerRoman"/>
      <w:start w:val="1"/>
    </w:lvl>
  </w:abstractNum>
  <w:abstractNum w:abstractNumId="93">
    <w:nsid w:val="26F324BA"/>
    <w:multiLevelType w:val="hybridMultilevel"/>
    <w:lvl w:ilvl="0">
      <w:lvlJc w:val="left"/>
      <w:lvlText w:val="%1."/>
      <w:numFmt w:val="decimal"/>
      <w:start w:val="1"/>
    </w:lvl>
    <w:lvl w:ilvl="1">
      <w:lvlJc w:val="left"/>
      <w:lvlText w:val="•"/>
      <w:numFmt w:val="bullet"/>
      <w:start w:val="1"/>
    </w:lvl>
  </w:abstractNum>
  <w:abstractNum w:abstractNumId="94">
    <w:nsid w:val="7F0157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2019-12-07T14:15:19Z</dcterms:created>
  <dcterms:modified xsi:type="dcterms:W3CDTF">2019-12-07T14:15:19Z</dcterms:modified>
</cp:coreProperties>
</file>