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24,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33"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62" w:lineRule="exact"/>
        <w:rPr>
          <w:sz w:val="24"/>
          <w:szCs w:val="24"/>
          <w:color w:val="auto"/>
        </w:rPr>
      </w:pPr>
    </w:p>
    <w:p>
      <w:pPr>
        <w:sectPr>
          <w:pgSz w:w="11900" w:h="16838" w:orient="portrait"/>
          <w:cols w:equalWidth="0" w:num="2">
            <w:col w:w="7680" w:space="720"/>
            <w:col w:w="2900"/>
          </w:cols>
          <w:pgMar w:left="240" w:top="368" w:right="35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000"/>
          </w:cols>
          <w:pgMar w:left="240" w:top="368"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February 24, 2016, the registrant issued a press release announcing its financial results for the quarter and year ended December 31, 2015. The text of the press release is included as Exhibit 99.1 to this Form 8-K.</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February 24, 2016, the registrant issued a press release, included herewith as Exhibit 99.1, announcing the declaration of a first fiscal quarter 2016 dividend of $0.39 per share, payable on or about April 29, 2016 to stockholders of record as of March 31, 2016.</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24, 2016</w:t>
      </w:r>
    </w:p>
    <w:p>
      <w:pPr>
        <w:sectPr>
          <w:pgSz w:w="11900" w:h="16838" w:orient="portrait"/>
          <w:cols w:equalWidth="0" w:num="1">
            <w:col w:w="11320"/>
          </w:cols>
          <w:pgMar w:left="240" w:top="270"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6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24, 2016</w:t>
      </w:r>
      <w:r>
        <w:rPr>
          <w:sz w:val="20"/>
          <w:szCs w:val="20"/>
          <w:color w:val="auto"/>
        </w:rPr>
        <w:tab/>
      </w:r>
      <w:r>
        <w:rPr>
          <w:rFonts w:ascii="Arial" w:cs="Arial" w:eastAsia="Arial" w:hAnsi="Arial"/>
          <w:sz w:val="17"/>
          <w:szCs w:val="17"/>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TPG Specialty Lending, Inc. Announces Quarter and Fiscal Year Ended December 31, 2015 Financial Results; Board Declares Quarterly Dividend of $0.39 Per Share for the First Fiscal Quarter of 2016 and Renewal of $50 Million Stock Repurchase Plan</w:t>
      </w:r>
    </w:p>
    <w:p>
      <w:pPr>
        <w:spacing w:after="0" w:line="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YORK – (BUSINESS WIRE) – February 24, 2016 – TPG Specialty Lending, Inc. (NYSE: TSLX, or the “Company”) today reported net investment income of $23.6 million, or $0.44 per share, for the quarter ended December 31, 2015. Net asset value per share was $15.15 at December 31, 2015 as compared to $15.62 at September 30, 2015. The Company’s Board of Directors declared a fourth quarter dividend of $0.39 per share, payable to stockholders of record as of December 31, 2015 that was paid on January 29, 2016.</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$0.39 per share for stockholders of record as of March 31, 2016, payable on or about April 29, 2016.</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Company’s Board of Directors also reapproved a stock repurchase plan (“Company 10b5-1 Plan”) to acquire up to $50 million in the aggregate of TSLX’s common stock at prices just below TSLX’s net asset value per share, in accordance with the guidelines specified in Rule 10b-18 and Rule 10b5-1 of the Securities Exchange Act of 1934. Unless extended or terminated by its Board of Directors, the Company expects that the stock repurchase plan will be in effect through the earlier of August 31, 2016, or such time as the approved $50 million repurchase amount has been fully utilized, subject to certain conditions. Under the Company 10b5-1 Plan, no shares were purchased during the three month ended December 31, 2015, and 2,000 shares were purchased during the fiscal year ended December 31, 2015.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(amounts in thousands,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0" w:type="dxa"/>
            <w:vAlign w:val="bottom"/>
            <w:gridSpan w:val="3"/>
          </w:tcPr>
          <w:p>
            <w:pPr>
              <w:jc w:val="center"/>
              <w:ind w:right="50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560" w:type="dxa"/>
            <w:vAlign w:val="bottom"/>
            <w:gridSpan w:val="2"/>
            <w:vMerge w:val="restart"/>
          </w:tcPr>
          <w:p>
            <w:pPr>
              <w:jc w:val="right"/>
              <w:ind w:right="950"/>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32"/>
              <w:spacing w:after="0" w:line="119" w:lineRule="exact"/>
              <w:rPr>
                <w:sz w:val="20"/>
                <w:szCs w:val="20"/>
                <w:color w:val="auto"/>
              </w:rPr>
            </w:pPr>
            <w:r>
              <w:rPr>
                <w:rFonts w:ascii="Arial" w:cs="Arial" w:eastAsia="Arial" w:hAnsi="Arial"/>
                <w:sz w:val="13"/>
                <w:szCs w:val="13"/>
                <w:color w:val="auto"/>
              </w:rPr>
              <w:t>(unaudited)</w:t>
            </w:r>
          </w:p>
        </w:tc>
        <w:tc>
          <w:tcPr>
            <w:tcW w:w="500" w:type="dxa"/>
            <w:vAlign w:val="bottom"/>
          </w:tcPr>
          <w:p>
            <w:pPr>
              <w:spacing w:after="0"/>
              <w:rPr>
                <w:sz w:val="10"/>
                <w:szCs w:val="10"/>
                <w:color w:val="auto"/>
              </w:rPr>
            </w:pPr>
          </w:p>
        </w:tc>
        <w:tc>
          <w:tcPr>
            <w:tcW w:w="17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560" w:type="dxa"/>
            <w:vAlign w:val="bottom"/>
            <w:gridSpan w:val="2"/>
            <w:vMerge w:val="continue"/>
          </w:tcPr>
          <w:p>
            <w:pPr>
              <w:spacing w:after="0"/>
              <w:rPr>
                <w:sz w:val="14"/>
                <w:szCs w:val="14"/>
                <w:color w:val="auto"/>
              </w:rPr>
            </w:pPr>
          </w:p>
        </w:tc>
        <w:tc>
          <w:tcPr>
            <w:tcW w:w="180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1,485,709</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1,396,426</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Total Assets</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50"/>
              <w:spacing w:after="0"/>
              <w:rPr>
                <w:sz w:val="20"/>
                <w:szCs w:val="20"/>
                <w:color w:val="auto"/>
              </w:rPr>
            </w:pPr>
            <w:r>
              <w:rPr>
                <w:rFonts w:ascii="Arial" w:cs="Arial" w:eastAsia="Arial" w:hAnsi="Arial"/>
                <w:sz w:val="18"/>
                <w:szCs w:val="18"/>
                <w:color w:val="auto"/>
              </w:rPr>
              <w:t>1,516,933</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1,429,009</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1,303,731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15.62</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950"/>
              <w:spacing w:after="0"/>
              <w:rPr>
                <w:sz w:val="20"/>
                <w:szCs w:val="20"/>
                <w:color w:val="auto"/>
              </w:rPr>
            </w:pPr>
            <w:r>
              <w:rPr>
                <w:rFonts w:ascii="Arial" w:cs="Arial" w:eastAsia="Arial" w:hAnsi="Arial"/>
                <w:sz w:val="18"/>
                <w:szCs w:val="18"/>
                <w:color w:val="auto"/>
              </w:rPr>
              <w:t>43,559</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46,774</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23,643</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25,849</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(4,342)</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00"/>
              <w:spacing w:after="0"/>
              <w:rPr>
                <w:sz w:val="20"/>
                <w:szCs w:val="20"/>
                <w:color w:val="auto"/>
              </w:rPr>
            </w:pPr>
            <w:r>
              <w:rPr>
                <w:rFonts w:ascii="Arial" w:cs="Arial" w:eastAsia="Arial" w:hAnsi="Arial"/>
                <w:sz w:val="18"/>
                <w:szCs w:val="18"/>
                <w:color w:val="auto"/>
              </w:rPr>
              <w:t>9,337</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13,805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0.48</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6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890"/>
              <w:spacing w:after="0"/>
              <w:rPr>
                <w:sz w:val="20"/>
                <w:szCs w:val="20"/>
                <w:color w:val="auto"/>
              </w:rPr>
            </w:pPr>
            <w:r>
              <w:rPr>
                <w:rFonts w:ascii="Arial" w:cs="Arial" w:eastAsia="Arial" w:hAnsi="Arial"/>
                <w:sz w:val="18"/>
                <w:szCs w:val="18"/>
                <w:color w:val="auto"/>
              </w:rPr>
              <w:t>(0.52)</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440"/>
              <w:spacing w:after="0"/>
              <w:rPr>
                <w:sz w:val="20"/>
                <w:szCs w:val="20"/>
                <w:color w:val="auto"/>
              </w:rPr>
            </w:pPr>
            <w:r>
              <w:rPr>
                <w:rFonts w:ascii="Arial" w:cs="Arial" w:eastAsia="Arial" w:hAnsi="Arial"/>
                <w:sz w:val="18"/>
                <w:szCs w:val="18"/>
                <w:color w:val="auto"/>
              </w:rPr>
              <w:t>(0.31)</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0.17</w:t>
            </w:r>
          </w:p>
        </w:tc>
        <w:tc>
          <w:tcPr>
            <w:tcW w:w="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310"/>
        </w:trPr>
        <w:tc>
          <w:tcPr>
            <w:tcW w:w="5340" w:type="dxa"/>
            <w:vAlign w:val="bottom"/>
            <w:gridSpan w:val="2"/>
          </w:tcPr>
          <w:p>
            <w:pPr>
              <w:spacing w:after="0"/>
              <w:rPr>
                <w:sz w:val="20"/>
                <w:szCs w:val="20"/>
                <w:color w:val="auto"/>
              </w:rPr>
            </w:pPr>
            <w:r>
              <w:rPr>
                <w:rFonts w:ascii="Arial" w:cs="Arial" w:eastAsia="Arial" w:hAnsi="Arial"/>
                <w:sz w:val="18"/>
                <w:szCs w:val="18"/>
                <w:color w:val="auto"/>
                <w:w w:val="97"/>
              </w:rPr>
              <w:t>Weighted Average Yield of Debt and Income Producing Securities at</w:t>
            </w: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Fair Value</w:t>
            </w:r>
          </w:p>
        </w:tc>
        <w:tc>
          <w:tcPr>
            <w:tcW w:w="660" w:type="dxa"/>
            <w:vAlign w:val="bottom"/>
          </w:tcPr>
          <w:p>
            <w:pPr>
              <w:spacing w:after="0"/>
              <w:rPr>
                <w:sz w:val="20"/>
                <w:szCs w:val="20"/>
                <w:color w:val="auto"/>
              </w:rPr>
            </w:pPr>
          </w:p>
        </w:tc>
        <w:tc>
          <w:tcPr>
            <w:tcW w:w="1900" w:type="dxa"/>
            <w:vAlign w:val="bottom"/>
          </w:tcPr>
          <w:p>
            <w:pPr>
              <w:jc w:val="right"/>
              <w:ind w:right="79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Yield of Debt and Income Producing Securities at</w:t>
            </w:r>
          </w:p>
        </w:tc>
        <w:tc>
          <w:tcPr>
            <w:tcW w:w="6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Amortized Cost</w:t>
            </w:r>
          </w:p>
        </w:tc>
        <w:tc>
          <w:tcPr>
            <w:tcW w:w="660" w:type="dxa"/>
            <w:vAlign w:val="bottom"/>
            <w:shd w:val="clear" w:color="auto" w:fill="CCEEFF"/>
          </w:tcPr>
          <w:p>
            <w:pPr>
              <w:spacing w:after="0"/>
              <w:rPr>
                <w:sz w:val="20"/>
                <w:szCs w:val="20"/>
                <w:color w:val="auto"/>
              </w:rPr>
            </w:pPr>
          </w:p>
        </w:tc>
        <w:tc>
          <w:tcPr>
            <w:tcW w:w="19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4"/>
        </w:trPr>
        <w:tc>
          <w:tcPr>
            <w:tcW w:w="5340" w:type="dxa"/>
            <w:vAlign w:val="bottom"/>
            <w:gridSpan w:val="2"/>
          </w:tcPr>
          <w:p>
            <w:pPr>
              <w:spacing w:after="0"/>
              <w:rPr>
                <w:sz w:val="20"/>
                <w:szCs w:val="20"/>
                <w:color w:val="auto"/>
              </w:rPr>
            </w:pPr>
            <w:r>
              <w:rPr>
                <w:rFonts w:ascii="Arial" w:cs="Arial" w:eastAsia="Arial" w:hAnsi="Arial"/>
                <w:sz w:val="18"/>
                <w:szCs w:val="18"/>
                <w:color w:val="auto"/>
              </w:rPr>
              <w:t>Percentage of Debt Investment Commitments at Floating Rates</w:t>
            </w:r>
          </w:p>
        </w:tc>
        <w:tc>
          <w:tcPr>
            <w:tcW w:w="660" w:type="dxa"/>
            <w:vAlign w:val="bottom"/>
          </w:tcPr>
          <w:p>
            <w:pPr>
              <w:spacing w:after="0"/>
              <w:rPr>
                <w:sz w:val="24"/>
                <w:szCs w:val="24"/>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color w:val="auto"/>
              </w:rPr>
              <w:t>95%</w:t>
            </w:r>
            <w:r>
              <w:rPr>
                <w:rFonts w:ascii="Arial" w:cs="Arial" w:eastAsia="Arial" w:hAnsi="Arial"/>
                <w:sz w:val="15"/>
                <w:szCs w:val="15"/>
                <w:color w:val="auto"/>
              </w:rPr>
              <w:t>(1)</w:t>
            </w:r>
          </w:p>
        </w:tc>
        <w:tc>
          <w:tcPr>
            <w:tcW w:w="220" w:type="dxa"/>
            <w:vAlign w:val="bottom"/>
          </w:tcPr>
          <w:p>
            <w:pPr>
              <w:spacing w:after="0"/>
              <w:rPr>
                <w:sz w:val="24"/>
                <w:szCs w:val="24"/>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95%</w:t>
            </w:r>
          </w:p>
        </w:tc>
        <w:tc>
          <w:tcPr>
            <w:tcW w:w="6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fixed rate investment that has been entered into an interest rate swap agreement to swap to a floating rate.</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February 25, 2016. </w:t>
      </w:r>
      <w:r>
        <w:rPr>
          <w:rFonts w:ascii="Arial" w:cs="Arial" w:eastAsia="Arial" w:hAnsi="Arial"/>
          <w:sz w:val="18"/>
          <w:szCs w:val="18"/>
          <w:b w:val="1"/>
          <w:bCs w:val="1"/>
          <w:i w:val="1"/>
          <w:iCs w:val="1"/>
          <w:color w:val="auto"/>
        </w:rPr>
        <w:t>Please visit TSLX’s webcast link located on the Events &amp;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Presentation 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32762989</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February 25</w:t>
      </w:r>
      <w:r>
        <w:rPr>
          <w:rFonts w:ascii="Arial" w:cs="Arial" w:eastAsia="Arial" w:hAnsi="Arial"/>
          <w:sz w:val="14"/>
          <w:szCs w:val="14"/>
          <w:color w:val="auto"/>
        </w:rPr>
        <w:t>th</w:t>
      </w:r>
      <w:r>
        <w:rPr>
          <w:rFonts w:ascii="Arial" w:cs="Arial" w:eastAsia="Arial" w:hAnsi="Arial"/>
          <w:sz w:val="17"/>
          <w:szCs w:val="17"/>
          <w:color w:val="auto"/>
        </w:rPr>
        <w:t xml:space="preserve"> through March 10</w:t>
      </w:r>
      <w:r>
        <w:rPr>
          <w:rFonts w:ascii="Arial" w:cs="Arial" w:eastAsia="Arial" w:hAnsi="Arial"/>
          <w:sz w:val="14"/>
          <w:szCs w:val="14"/>
          <w:color w:val="auto"/>
        </w:rPr>
        <w:t>th</w:t>
      </w:r>
      <w:r>
        <w:rPr>
          <w:rFonts w:ascii="Arial" w:cs="Arial" w:eastAsia="Arial" w:hAnsi="Arial"/>
          <w:sz w:val="17"/>
          <w:szCs w:val="17"/>
          <w:color w:val="auto"/>
        </w:rPr>
        <w:t xml:space="preserve">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the Company’s website, and via the dial-in numbers listed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32762989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three months ended December 31, 2015, gross originations totaled $399.3 million. This compares to $184.8 million for the three months ended September 30, 2015 and $304.8 million for the three months ended December 31, 2014. For the twelve months ended December 31, 2015, gross originations totaled $964.2 million. This compares to gross originations of $1,120.1 million for the year ended December 31, 2014.</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December 31, 2015, the Company made new investment commitments and fundings of $283.8 million, $272.9 million in six new portfolio companies and $10.9 million in three existing portfolio companies. For this period, the Company had $154.5 million aggregate principal amount in exits and repayments, resulting in a net portfolio increase of $129.3 million aggregate principal amount.</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December 31, 2014, the Company made new investment commitments of $204.8 million, $171.0 million in six new portfolio companies and $33.8 million in four existing portfolio companies. Of the $204.8 million of new investment commitments, $198.4 million was funded during the period. For this period, the Company had $148.5 million aggregate principal amount in exits and repayments, resulting in a net portfolio increase of $49.9 million aggregate principal amount.</w:t>
      </w:r>
    </w:p>
    <w:p>
      <w:pPr>
        <w:sectPr>
          <w:pgSz w:w="11900" w:h="16838" w:orient="portrait"/>
          <w:cols w:equalWidth="0" w:num="1">
            <w:col w:w="11360"/>
          </w:cols>
          <w:pgMar w:left="240" w:top="270" w:right="299" w:bottom="1440" w:gutter="0" w:footer="0" w:header="0"/>
        </w:sectPr>
      </w:pPr>
    </w:p>
    <w:bookmarkStart w:id="5" w:name="page6"/>
    <w:bookmarkEnd w:id="5"/>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twelve months ended December 31, 2015, the Company made new investment commitments of $718.7 million, $631.6 million in 20 new portfolio companies and $87.1 million in 14 existing portfolio companies, of which $664.0 million was funded. Net funding activity for the twelve months ended December 31, 2015 was $278.8 million aggregate principal amount.</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For the twelve months ended December 31, 2014, the Company made new investment commitments of $884.4 million, $805.7 million in 20 new portfolio companies and $78.7 million in seven existing portfolio companies, of which $814.9 million was funded. Net funding activity for the twelve months ended December 31, 2014 was $296.5 million aggregate principal amount.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2015 and September 30, 2015, the Company had investments in 46 and 44 portfolio companies, respectively, with an aggregate fair value of $1,485.7 million and $1,396.4 million, respectively.</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of December 31, 2015, the portfolio consisted of 88.2% first-lien debt investments, 8.1% second-lien debt investments, 1.9% mezzanine and unsecured debt investments, and 1.8% equity and other investments. As of September 30, 2015, the portfolio consisted of 87.0% first-lien debt investments, 8.8% second-lien debt investments, 1.9% mezzanine and unsecured debt investments, and 2.3% equity and other investments.</w:t>
      </w:r>
    </w:p>
    <w:p>
      <w:pPr>
        <w:spacing w:after="0" w:line="16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of December 31, 2015, approximately 95.3% of our debt investments based on fair value were floating rate in nature (when including investment specific hedges), with 94.2% of these debt investments subject to interest rate floors. The Company’s credit facility also bears interest at floating rates.</w:t>
      </w:r>
    </w:p>
    <w:p>
      <w:pPr>
        <w:spacing w:after="0" w:line="147"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As of December 31, 2015 and September 30, 2015, the weighted average total yield of debt and income producing securities at fair value was 10.3% and 10.5%, respectively, and the weighted average total yield of debt and income producing securities at amortized cost was 10.1% and 10.5%, respectively.</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December 31, 2015, 100.0% of debt investments were meeting all payment requirements and 98.2% of debt investments were meeting all covenant requirements. No investments were on non-accrual status at December 31, 2015.</w:t>
      </w:r>
    </w:p>
    <w:p>
      <w:pPr>
        <w:spacing w:after="0" w:line="275" w:lineRule="exact"/>
        <w:rPr>
          <w:sz w:val="20"/>
          <w:szCs w:val="20"/>
          <w:color w:val="auto"/>
        </w:rPr>
      </w:pPr>
    </w:p>
    <w:p>
      <w:pPr>
        <w:ind w:right="152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December 31, 2015 compared to the Three Months Ended December 31, 2014 </w:t>
      </w:r>
      <w:r>
        <w:rPr>
          <w:rFonts w:ascii="Arial" w:cs="Arial" w:eastAsia="Arial" w:hAnsi="Arial"/>
          <w:sz w:val="18"/>
          <w:szCs w:val="18"/>
          <w:b w:val="1"/>
          <w:bCs w:val="1"/>
          <w:i w:val="1"/>
          <w:iCs w:val="1"/>
          <w:color w:val="auto"/>
        </w:rPr>
        <w:t>Investment Income</w:t>
      </w:r>
    </w:p>
    <w:p>
      <w:pPr>
        <w:ind w:right="60"/>
        <w:spacing w:after="0" w:line="264" w:lineRule="auto"/>
        <w:rPr>
          <w:sz w:val="20"/>
          <w:szCs w:val="20"/>
          <w:color w:val="auto"/>
        </w:rPr>
      </w:pPr>
      <w:r>
        <w:rPr>
          <w:rFonts w:ascii="Arial" w:cs="Arial" w:eastAsia="Arial" w:hAnsi="Arial"/>
          <w:sz w:val="18"/>
          <w:szCs w:val="18"/>
          <w:color w:val="auto"/>
        </w:rPr>
        <w:t>For the three months ended December 31, 2015 and 2014, investment income totaled $43.6 million and $45.8 million, respectively. Interest from investments increased as a result of an increase in the average size of our investment portfolio. However, this was offset by a decrease in accelerated amortization of upfront fees from unscheduled paydowns and prepayment fees.</w:t>
      </w:r>
    </w:p>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expenses totaled $19.7 million and $14.6 million for the three months ended December 31, 2015 and 2014, respectively. The increase in net expenses was due to higher interest expense related to an increase in the weighted average debt outstanding, higher professional fees, and higher general and administrative expenses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December 31, 2015, the Company had $2.4 million in cash and cash equivalents, total debt outstanding of $652.8 million, and $280.9 million of undrawn commitments on its revolving credit facility, subject to borrowing base and other limitations. The Company’s weighted average interest rate on debt outstanding was 2.5% for the three months ended December 31, 2015, as compared to 2.6% for the three months ended September 30,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rated BBB- with stable outlook by Fitch Ratings and Standard and Poor’s.</w:t>
      </w:r>
    </w:p>
    <w:p>
      <w:pPr>
        <w:sectPr>
          <w:pgSz w:w="11900" w:h="16838" w:orient="portrait"/>
          <w:cols w:equalWidth="0" w:num="1">
            <w:col w:w="11400"/>
          </w:cols>
          <w:pgMar w:left="240" w:top="27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r>
      <w:tr>
        <w:trPr>
          <w:trHeight w:val="196"/>
        </w:trPr>
        <w:tc>
          <w:tcPr>
            <w:tcW w:w="20" w:type="dxa"/>
            <w:vAlign w:val="bottom"/>
          </w:tcPr>
          <w:p>
            <w:pPr>
              <w:spacing w:after="0"/>
              <w:rPr>
                <w:sz w:val="17"/>
                <w:szCs w:val="17"/>
                <w:color w:val="auto"/>
              </w:rPr>
            </w:pPr>
          </w:p>
        </w:tc>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5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157,964</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151,020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90,374</w:t>
            </w: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9,162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w:t>
            </w: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Interest from cash and cash equivalents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investment income from non-controlled, non-affiliated</w:t>
            </w:r>
          </w:p>
        </w:tc>
        <w:tc>
          <w:tcPr>
            <w:tcW w:w="5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investments</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166,537</w:t>
            </w:r>
          </w:p>
        </w:tc>
        <w:tc>
          <w:tcPr>
            <w:tcW w:w="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160,183</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92,610</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from investments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 income from controlled, affiliated investments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860" w:type="dxa"/>
            <w:vAlign w:val="bottom"/>
          </w:tcPr>
          <w:p>
            <w:pPr>
              <w:ind w:left="1060"/>
              <w:spacing w:after="0"/>
              <w:rPr>
                <w:sz w:val="20"/>
                <w:szCs w:val="20"/>
                <w:color w:val="auto"/>
              </w:rPr>
            </w:pPr>
            <w:r>
              <w:rPr>
                <w:rFonts w:ascii="Arial" w:cs="Arial" w:eastAsia="Arial" w:hAnsi="Arial"/>
                <w:sz w:val="18"/>
                <w:szCs w:val="18"/>
                <w:b w:val="1"/>
                <w:bCs w:val="1"/>
                <w:color w:val="auto"/>
              </w:rPr>
              <w:t>Total Investment Income</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173,415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163,320</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Interest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22,010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15,078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10,469</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21,276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13,376</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Incentive fees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20,180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17,839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11,790</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3,691</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Directors’ fees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342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w:t>
            </w:r>
          </w:p>
        </w:tc>
      </w:tr>
      <w:tr>
        <w:trPr>
          <w:trHeight w:val="230"/>
        </w:trPr>
        <w:tc>
          <w:tcPr>
            <w:tcW w:w="20" w:type="dxa"/>
            <w:vAlign w:val="bottom"/>
          </w:tcPr>
          <w:p>
            <w:pPr>
              <w:spacing w:after="0"/>
              <w:rPr>
                <w:sz w:val="20"/>
                <w:szCs w:val="20"/>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76,843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42,045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incentive fees waived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(7,135)</w:t>
            </w:r>
          </w:p>
        </w:tc>
      </w:tr>
      <w:tr>
        <w:trPr>
          <w:trHeight w:val="230"/>
        </w:trPr>
        <w:tc>
          <w:tcPr>
            <w:tcW w:w="20" w:type="dxa"/>
            <w:vAlign w:val="bottom"/>
          </w:tcPr>
          <w:p>
            <w:pPr>
              <w:spacing w:after="0"/>
              <w:rPr>
                <w:sz w:val="20"/>
                <w:szCs w:val="20"/>
                <w:color w:val="auto"/>
              </w:rPr>
            </w:pPr>
          </w:p>
        </w:tc>
        <w:tc>
          <w:tcPr>
            <w:tcW w:w="5860" w:type="dxa"/>
            <w:vAlign w:val="bottom"/>
          </w:tcPr>
          <w:p>
            <w:pPr>
              <w:ind w:left="1060"/>
              <w:spacing w:after="0"/>
              <w:rPr>
                <w:sz w:val="20"/>
                <w:szCs w:val="20"/>
                <w:color w:val="auto"/>
              </w:rPr>
            </w:pPr>
            <w:r>
              <w:rPr>
                <w:rFonts w:ascii="Arial" w:cs="Arial" w:eastAsia="Arial" w:hAnsi="Arial"/>
                <w:sz w:val="18"/>
                <w:szCs w:val="18"/>
                <w:b w:val="1"/>
                <w:bCs w:val="1"/>
                <w:color w:val="auto"/>
              </w:rPr>
              <w:t>Net Expenses</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76,617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57,701</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105,619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57,700</w:t>
            </w: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taxes, including excise taxes</w:t>
            </w: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104,475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57,501</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(17,008)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(22,950)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9,630</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affiliated investments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(17,217)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Translation of assets and liabilities in foreign currencies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6,275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8,909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swaps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Foreign currency forward contracts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(1,244)</w:t>
            </w:r>
          </w:p>
        </w:tc>
      </w:tr>
      <w:tr>
        <w:trPr>
          <w:trHeight w:val="27"/>
        </w:trPr>
        <w:tc>
          <w:tcPr>
            <w:tcW w:w="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net change in unrealized gains (losses)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(28,568)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8,386</w:t>
            </w: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rPr>
              <w:t>Realized gains (losses):</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(5,042)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1,851</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transactions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30"/>
        </w:trPr>
        <w:tc>
          <w:tcPr>
            <w:tcW w:w="20" w:type="dxa"/>
            <w:vAlign w:val="bottom"/>
          </w:tcPr>
          <w:p>
            <w:pPr>
              <w:spacing w:after="0"/>
              <w:rPr>
                <w:sz w:val="20"/>
                <w:szCs w:val="20"/>
                <w:color w:val="auto"/>
              </w:rPr>
            </w:pPr>
          </w:p>
        </w:tc>
        <w:tc>
          <w:tcPr>
            <w:tcW w:w="5860" w:type="dxa"/>
            <w:vAlign w:val="bottom"/>
          </w:tcPr>
          <w:p>
            <w:pPr>
              <w:ind w:left="1060"/>
              <w:spacing w:after="0"/>
              <w:rPr>
                <w:sz w:val="20"/>
                <w:szCs w:val="20"/>
                <w:color w:val="auto"/>
              </w:rPr>
            </w:pPr>
            <w:r>
              <w:rPr>
                <w:rFonts w:ascii="Arial" w:cs="Arial" w:eastAsia="Arial" w:hAnsi="Arial"/>
                <w:sz w:val="18"/>
                <w:szCs w:val="18"/>
                <w:color w:val="auto"/>
              </w:rPr>
              <w:t>Total realized gains (losses)</w:t>
            </w: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240"/>
              <w:spacing w:after="0"/>
              <w:rPr>
                <w:sz w:val="20"/>
                <w:szCs w:val="20"/>
                <w:color w:val="auto"/>
              </w:rPr>
            </w:pPr>
            <w:r>
              <w:rPr>
                <w:rFonts w:ascii="Arial" w:cs="Arial" w:eastAsia="Arial" w:hAnsi="Arial"/>
                <w:sz w:val="18"/>
                <w:szCs w:val="18"/>
                <w:b w:val="1"/>
                <w:bCs w:val="1"/>
                <w:color w:val="auto"/>
              </w:rPr>
              <w:t>Total Unrealized and Realized Gains (Losses)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(31,730)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(19,425)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9,482</w:t>
            </w:r>
          </w:p>
        </w:tc>
      </w:tr>
      <w:tr>
        <w:trPr>
          <w:trHeight w:val="223"/>
        </w:trPr>
        <w:tc>
          <w:tcPr>
            <w:tcW w:w="20" w:type="dxa"/>
            <w:vAlign w:val="bottom"/>
          </w:tcPr>
          <w:p>
            <w:pPr>
              <w:spacing w:after="0"/>
              <w:rPr>
                <w:sz w:val="19"/>
                <w:szCs w:val="19"/>
                <w:color w:val="auto"/>
              </w:rPr>
            </w:pPr>
          </w:p>
        </w:tc>
        <w:tc>
          <w:tcPr>
            <w:tcW w:w="5860" w:type="dxa"/>
            <w:vAlign w:val="bottom"/>
          </w:tcPr>
          <w:p>
            <w:pPr>
              <w:ind w:left="124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63,568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85,050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color w:val="auto"/>
                <w:w w:val="98"/>
              </w:rPr>
              <w:t>Weighted average shares of common stock outstanding—basic and diluted</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54,006,322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50,509,692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34,635,208</w:t>
            </w:r>
          </w:p>
        </w:tc>
        <w:tc>
          <w:tcPr>
            <w:tcW w:w="10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2014</w:t>
            </w:r>
          </w:p>
        </w:tc>
      </w:tr>
      <w:tr>
        <w:trPr>
          <w:trHeight w:val="196"/>
        </w:trPr>
        <w:tc>
          <w:tcPr>
            <w:tcW w:w="20" w:type="dxa"/>
            <w:vAlign w:val="bottom"/>
          </w:tcPr>
          <w:p>
            <w:pPr>
              <w:spacing w:after="0"/>
              <w:rPr>
                <w:sz w:val="17"/>
                <w:szCs w:val="17"/>
                <w:color w:val="auto"/>
              </w:rPr>
            </w:pPr>
          </w:p>
        </w:tc>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(amortized cost of $1,443,017 and $1,225,672,</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1,422,211</w:t>
            </w:r>
          </w:p>
        </w:tc>
        <w:tc>
          <w:tcPr>
            <w:tcW w:w="6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1,221,875</w:t>
            </w: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$86,659 and $47,580, respectively)</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$1,529,676 and $1,273,252, respectively)</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1,485,709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1,263,511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2,431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402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18,245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30,650</w:t>
            </w: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1,516,933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Debt</w:t>
            </w:r>
          </w:p>
        </w:tc>
        <w:tc>
          <w:tcPr>
            <w:tcW w:w="8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652,788</w:t>
            </w:r>
          </w:p>
        </w:tc>
        <w:tc>
          <w:tcPr>
            <w:tcW w:w="60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395,864</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4,915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21,124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4,435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29,017</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1,492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696,192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5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w w:val="96"/>
              </w:rPr>
              <w:t>Preferred stock, $0.01 par value; 100,000,000 shares authorized; no shares issued and outstanding</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$0.01 par value; 400,000,000 shares authorized, 54,166,959 and 53,798,357 shares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issued, respectively; and 54,163,960 and 53,797,358 shares outstanding, respectively</w:t>
            </w: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542</w:t>
            </w: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812,586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2,999 and 999 shares held, respectively</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27,521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(28,380)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820,741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1,516,933</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1,303,731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w:t>
            </w:r>
          </w:p>
        </w:tc>
        <w:tc>
          <w:tcPr>
            <w:tcW w:w="60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year ended December 31, 2015, 2014 and 2013 is presented below (information presented herein is at par value unless otherwise indicated).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00" w:type="dxa"/>
            <w:vAlign w:val="bottom"/>
            <w:tcBorders>
              <w:bottom w:val="single" w:sz="8" w:color="CCEEFF"/>
            </w:tcBorders>
            <w:vMerge w:val="continue"/>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964.2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1,120.1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245.5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718.7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581.3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681.3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664.0</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579.4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353.3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395.0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385.2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Average new investment commitment amount in new portfolio companies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Weighted average term for new investment commitments in new portfolio</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companies (in years)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Percentage of new debt investment commitments at floating rates </w:t>
            </w:r>
            <w:r>
              <w:rPr>
                <w:rFonts w:ascii="Arial" w:cs="Arial" w:eastAsia="Arial" w:hAnsi="Arial"/>
                <w:sz w:val="15"/>
                <w:szCs w:val="15"/>
                <w:color w:val="auto"/>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8"/>
        </w:trPr>
        <w:tc>
          <w:tcPr>
            <w:tcW w:w="61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2015 that has been entered into an interest rate swap agreement to swap to a floating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SEC-registered investment adviser. TSLX leverages the deep investment, sector, and operating resources of TPG Special Situations Partners, the dedicated special situations and credit platform of TPG, with over $16 billion of assets under management as of December 31, 2015 and the broader TPG platform, a global private investment firm with over $70 billion of assets under management as of September 30, 2015. For more information, visit the Company’s website at www.tpgspecialtylending.com.</w:t>
      </w:r>
    </w:p>
    <w:p>
      <w:pPr>
        <w:sectPr>
          <w:pgSz w:w="11900" w:h="16838" w:orient="portrait"/>
          <w:cols w:equalWidth="0" w:num="1">
            <w:col w:w="11280"/>
          </w:cols>
          <w:pgMar w:left="240" w:top="27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2019-12-08T20:21:18Z</dcterms:created>
  <dcterms:modified xsi:type="dcterms:W3CDTF">2019-12-08T20:21:18Z</dcterms:modified>
</cp:coreProperties>
</file>