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80"/>
              <w:spacing w:after="0"/>
              <w:rPr>
                <w:sz w:val="20"/>
                <w:szCs w:val="20"/>
                <w:color w:val="auto"/>
              </w:rPr>
            </w:pPr>
            <w:r>
              <w:rPr>
                <w:rFonts w:ascii="Arial" w:cs="Arial" w:eastAsia="Arial" w:hAnsi="Arial"/>
                <w:sz w:val="18"/>
                <w:szCs w:val="18"/>
                <w:color w:val="0000FF"/>
              </w:rPr>
              <w:t>12/31/2013</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422.15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15.35</w:t>
            </w:r>
          </w:p>
        </w:tc>
        <w:tc>
          <w:tcPr>
            <w:tcW w:w="1300" w:type="dxa"/>
            <w:vAlign w:val="bottom"/>
            <w:gridSpan w:val="3"/>
            <w:vMerge w:val="restart"/>
          </w:tcPr>
          <w:p>
            <w:pPr>
              <w:ind w:left="340"/>
              <w:spacing w:after="0"/>
              <w:rPr>
                <w:sz w:val="20"/>
                <w:szCs w:val="20"/>
                <w:color w:val="auto"/>
              </w:rPr>
            </w:pPr>
            <w:r>
              <w:rPr>
                <w:rFonts w:ascii="Arial" w:cs="Arial" w:eastAsia="Arial" w:hAnsi="Arial"/>
                <w:sz w:val="18"/>
                <w:szCs w:val="18"/>
                <w:color w:val="0000FF"/>
              </w:rPr>
              <w:t>3,889.97</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2,604,620 shares of Common Stock of the Issuer, including 3,889.97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2019-12-16T07:44:25Z</dcterms:created>
  <dcterms:modified xsi:type="dcterms:W3CDTF">2019-12-16T07:44:25Z</dcterms:modified>
</cp:coreProperties>
</file>