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333-276252</w:t>
      </w:r>
    </w:p>
    <w:p>
      <w:pPr>
        <w:spacing w:after="0" w:line="13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 Prospectus dated December 22, 2023)</w:t>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86360</wp:posOffset>
            </wp:positionV>
            <wp:extent cx="147447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4"/>
          <w:szCs w:val="24"/>
          <w:color w:val="auto"/>
        </w:rPr>
      </w:pPr>
    </w:p>
    <w:p>
      <w:pPr>
        <w:ind w:left="120" w:right="140" w:firstLine="440"/>
        <w:spacing w:after="0" w:line="236" w:lineRule="auto"/>
        <w:rPr>
          <w:sz w:val="20"/>
          <w:szCs w:val="20"/>
          <w:color w:val="auto"/>
        </w:rPr>
      </w:pPr>
      <w:r>
        <w:rPr>
          <w:rFonts w:ascii="Times New Roman" w:cs="Times New Roman" w:eastAsia="Times New Roman" w:hAnsi="Times New Roman"/>
          <w:sz w:val="14"/>
          <w:szCs w:val="14"/>
          <w:color w:val="auto"/>
        </w:rPr>
        <w:t>We have entered into separate equity distribution agreements (the “equity distribution agreements”) with RBC Capital Markets, LLC, Truist Securities, Inc., Citizens JMP Securities, LLC, Keefe, Bruyette &amp; Woods, Inc. and Raymond James &amp; Associates, Inc. (each, a “sales agent”) relating to the offer and sale of our common stock, par value $0.01 per share (the “common stock”), pursuant to this prospectus supplement and the accompanying prospectus. In accordance with the terms of the equity distribution agreements, we may from time to time offer and sell our common stock having an aggregate offering price of up to $100.0 million through the sales agents.</w:t>
      </w:r>
    </w:p>
    <w:p>
      <w:pPr>
        <w:spacing w:after="0" w:line="69" w:lineRule="exact"/>
        <w:rPr>
          <w:sz w:val="24"/>
          <w:szCs w:val="24"/>
          <w:color w:val="auto"/>
        </w:rPr>
      </w:pPr>
    </w:p>
    <w:p>
      <w:pPr>
        <w:jc w:val="both"/>
        <w:ind w:left="120" w:right="340" w:firstLine="440"/>
        <w:spacing w:after="0" w:line="241"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69" w:lineRule="exact"/>
        <w:rPr>
          <w:sz w:val="24"/>
          <w:szCs w:val="24"/>
          <w:color w:val="auto"/>
        </w:rPr>
      </w:pPr>
    </w:p>
    <w:p>
      <w:pPr>
        <w:jc w:val="both"/>
        <w:ind w:left="120" w:right="260" w:firstLine="440"/>
        <w:spacing w:after="0" w:line="241" w:lineRule="auto"/>
        <w:rPr>
          <w:sz w:val="20"/>
          <w:szCs w:val="20"/>
          <w:color w:val="auto"/>
        </w:rPr>
      </w:pPr>
      <w:r>
        <w:rPr>
          <w:rFonts w:ascii="Times New Roman" w:cs="Times New Roman" w:eastAsia="Times New Roman" w:hAnsi="Times New Roman"/>
          <w:sz w:val="14"/>
          <w:szCs w:val="14"/>
          <w:color w:val="auto"/>
        </w:rPr>
        <w:t>As of December 31, 2024, our investment portfolio consisted of investments in 116 portfolio companies (including one structured credit investment, which includes each series of collateralized loan obligation as a separate portfolio company investment) with an aggregate fair value of $3,518.4 million. We intend to continue to pursue an investment strategy focused primarily on direct origination of loans to middle-market companies domiciled in the United States.</w:t>
      </w:r>
    </w:p>
    <w:p>
      <w:pPr>
        <w:spacing w:after="0" w:line="69" w:lineRule="exact"/>
        <w:rPr>
          <w:sz w:val="24"/>
          <w:szCs w:val="24"/>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$100 billion in assets under management as of December 31, 2024.</w:t>
      </w:r>
    </w:p>
    <w:p>
      <w:pPr>
        <w:spacing w:after="0" w:line="55" w:lineRule="exact"/>
        <w:rPr>
          <w:sz w:val="24"/>
          <w:szCs w:val="24"/>
          <w:color w:val="auto"/>
        </w:rPr>
      </w:pPr>
    </w:p>
    <w:p>
      <w:pPr>
        <w:ind w:left="120" w:right="40" w:firstLine="440"/>
        <w:spacing w:after="0"/>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207" w:lineRule="exact"/>
        <w:rPr>
          <w:sz w:val="24"/>
          <w:szCs w:val="24"/>
          <w:color w:val="auto"/>
        </w:rPr>
      </w:pPr>
    </w:p>
    <w:p>
      <w:pPr>
        <w:ind w:left="120" w:right="240" w:firstLine="440"/>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Euro Interbank Offered Rate, the Canadian Dollar Offered Rate, the Secured Overnight Financing Rate, the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69" w:lineRule="exact"/>
        <w:rPr>
          <w:sz w:val="24"/>
          <w:szCs w:val="24"/>
          <w:color w:val="auto"/>
        </w:rPr>
      </w:pPr>
    </w:p>
    <w:p>
      <w:pPr>
        <w:ind w:left="120" w:right="120" w:firstLine="440"/>
        <w:spacing w:after="0" w:line="236" w:lineRule="auto"/>
        <w:rPr>
          <w:sz w:val="20"/>
          <w:szCs w:val="20"/>
          <w:color w:val="auto"/>
        </w:rPr>
      </w:pPr>
      <w:r>
        <w:rPr>
          <w:rFonts w:ascii="Times New Roman" w:cs="Times New Roman" w:eastAsia="Times New Roman" w:hAnsi="Times New Roman"/>
          <w:sz w:val="14"/>
          <w:szCs w:val="14"/>
          <w:color w:val="auto"/>
        </w:rPr>
        <w:t>All of the common stock offered by this prospectus supplement are being sold by us. Our common stock is traded on the New York Stock Exchange (the “NYSE”) under the symbol “TSLX.” On February 26, 2025, the last reported closing price of our common stock on the NYSE was $23.26 per share. The net asset value (“NAV”) per share of our common stock at December 31, 2024 (the last date prior to the date of this prospectus supplement on which we determined NAV) was $17.16. The offering price per share of our common stock sold in this offering less the sales agent commissions or discounts payable by us will not be less than the NAV per share of our common stock at the time we sell common stock pursuant to this offering.</w:t>
      </w:r>
    </w:p>
    <w:p>
      <w:pPr>
        <w:spacing w:after="0" w:line="69" w:lineRule="exact"/>
        <w:rPr>
          <w:sz w:val="24"/>
          <w:szCs w:val="24"/>
          <w:color w:val="auto"/>
        </w:rPr>
      </w:pPr>
    </w:p>
    <w:p>
      <w:pPr>
        <w:ind w:left="120" w:right="100" w:firstLine="440"/>
        <w:spacing w:after="0" w:line="231" w:lineRule="auto"/>
        <w:rPr>
          <w:sz w:val="20"/>
          <w:szCs w:val="20"/>
          <w:color w:val="auto"/>
        </w:rPr>
      </w:pPr>
      <w:r>
        <w:rPr>
          <w:rFonts w:ascii="Times New Roman" w:cs="Times New Roman" w:eastAsia="Times New Roman" w:hAnsi="Times New Roman"/>
          <w:sz w:val="14"/>
          <w:szCs w:val="14"/>
          <w:color w:val="auto"/>
        </w:rPr>
        <w:t>Sales of our common stock, if any, under this prospectus supplement and the accompanying prospectus may be made in transactions that are deemed to be an “at the market” offering as defined in Rule 415(a)(4) under the Securities Act of 1933, as amended (the “Securities Act”), including without limitation sales made directly on or through the NYSE, sales made to or through market makers and sales made through any other existing trading market or electronic communications network, and by any other method permitted by law, including but not limited to privately negotiated transactions, which may include block trades, as we and the sales agents may agree. None of the sales agents are required to sell any specific number or dollar amount of our common stock but, if and when instructed by us, will make all sales using commercially reasonable efforts consistent with their normal trading and sales practices on mutually agreed terms between the sales agents and us.</w:t>
      </w:r>
    </w:p>
    <w:p>
      <w:pPr>
        <w:spacing w:after="0" w:line="69" w:lineRule="exact"/>
        <w:rPr>
          <w:sz w:val="24"/>
          <w:szCs w:val="24"/>
          <w:color w:val="auto"/>
        </w:rPr>
      </w:pPr>
    </w:p>
    <w:p>
      <w:pPr>
        <w:ind w:left="120" w:right="300" w:firstLine="440"/>
        <w:spacing w:after="0" w:line="241" w:lineRule="auto"/>
        <w:rPr>
          <w:sz w:val="20"/>
          <w:szCs w:val="20"/>
          <w:color w:val="auto"/>
        </w:rPr>
      </w:pPr>
      <w:r>
        <w:rPr>
          <w:rFonts w:ascii="Times New Roman" w:cs="Times New Roman" w:eastAsia="Times New Roman" w:hAnsi="Times New Roman"/>
          <w:sz w:val="14"/>
          <w:szCs w:val="14"/>
          <w:color w:val="auto"/>
        </w:rPr>
        <w:t>Each of the sales agents will be entitled to compensation of up to 1.50% of the gross sales price for any common stock sold through it as a sales agent under the equity distribution agreements, as further described herein under the caption “Plan of Distribution.” In connection with the sale of common stock on our behalf, each sales agent may be deemed to be an “underwriter” within the meaning of the Securities Act, and the compensation of each sales agent may be deemed to be underwriting commissions or discounts.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2" w:lineRule="exact"/>
        <w:rPr>
          <w:sz w:val="24"/>
          <w:szCs w:val="24"/>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including the risk of leverage, that are described in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section beginning on page S-7 of this prospectus supplement and page 24 of the accompanying prospectus and the matters discussed in the documents incorporated or deemed to be incorporated by reference in this prospectus supplement and the accompanying prospectus.</w:t>
      </w:r>
    </w:p>
    <w:p>
      <w:pPr>
        <w:spacing w:after="0" w:line="62" w:lineRule="exact"/>
        <w:rPr>
          <w:sz w:val="24"/>
          <w:szCs w:val="24"/>
          <w:color w:val="auto"/>
        </w:rPr>
      </w:pPr>
    </w:p>
    <w:p>
      <w:pPr>
        <w:ind w:left="120" w:right="140" w:firstLine="440"/>
        <w:spacing w:after="0" w:line="229"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2100 McKinney Avenue, Suite 1500, Dallas, TX 75201,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0" w:lineRule="exact"/>
        <w:rPr>
          <w:sz w:val="24"/>
          <w:szCs w:val="24"/>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5"/>
          <w:szCs w:val="15"/>
          <w:b w:val="1"/>
          <w:bCs w:val="1"/>
          <w:color w:val="auto"/>
        </w:rPr>
        <w:t>Neither the SEC,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ectPr>
          <w:pgSz w:w="11900" w:h="16838" w:orient="portrait"/>
          <w:cols w:equalWidth="0" w:num="1">
            <w:col w:w="11140"/>
          </w:cols>
          <w:pgMar w:left="320" w:top="225" w:right="439" w:bottom="1440" w:gutter="0" w:footer="0" w:header="0"/>
        </w:sectPr>
      </w:pPr>
    </w:p>
    <w:p>
      <w:pPr>
        <w:spacing w:after="0" w:line="1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RBC Capital Markets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Truist Securities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Citizens JMP</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both"/>
        <w:ind w:right="340" w:hanging="3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Keefe, Bruyette &amp; Woods              </w:t>
      </w:r>
      <w:r>
        <w:rPr>
          <w:rFonts w:ascii="Times New Roman" w:cs="Times New Roman" w:eastAsia="Times New Roman" w:hAnsi="Times New Roman"/>
          <w:sz w:val="17"/>
          <w:szCs w:val="17"/>
          <w:i w:val="1"/>
          <w:iCs w:val="1"/>
          <w:color w:val="auto"/>
        </w:rPr>
        <w:t> A Stifel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James</w:t>
      </w:r>
    </w:p>
    <w:p>
      <w:pPr>
        <w:spacing w:after="0" w:line="344" w:lineRule="exact"/>
        <w:rPr>
          <w:sz w:val="24"/>
          <w:szCs w:val="24"/>
          <w:color w:val="auto"/>
        </w:rPr>
      </w:pPr>
    </w:p>
    <w:p>
      <w:pPr>
        <w:sectPr>
          <w:pgSz w:w="11900" w:h="16838" w:orient="portrait"/>
          <w:cols w:equalWidth="0" w:num="5">
            <w:col w:w="1860" w:space="720"/>
            <w:col w:w="1660" w:space="720"/>
            <w:col w:w="1200" w:space="720"/>
            <w:col w:w="2260" w:space="720"/>
            <w:col w:w="1280"/>
          </w:cols>
          <w:pgMar w:left="320" w:top="22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February 28, 2025.</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60" w:type="dxa"/>
            <w:vAlign w:val="bottom"/>
            <w:gridSpan w:val="31"/>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THE COMPANY</w:t>
            </w:r>
          </w:p>
        </w:tc>
        <w:tc>
          <w:tcPr>
            <w:tcW w:w="4020" w:type="dxa"/>
            <w:vAlign w:val="bottom"/>
            <w:tcBorders>
              <w:top w:val="single" w:sz="8" w:color="0000EE"/>
            </w:tcBorders>
            <w:gridSpan w:val="24"/>
          </w:tcPr>
          <w:p>
            <w:pPr>
              <w:spacing w:after="0"/>
              <w:rPr>
                <w:sz w:val="18"/>
                <w:szCs w:val="18"/>
                <w:color w:val="auto"/>
              </w:rPr>
            </w:pPr>
          </w:p>
        </w:tc>
        <w:tc>
          <w:tcPr>
            <w:tcW w:w="5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27"/>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00" w:type="dxa"/>
            <w:vAlign w:val="bottom"/>
            <w:tcBorders>
              <w:top w:val="single" w:sz="8" w:color="0000EE"/>
            </w:tcBorders>
          </w:tcPr>
          <w:p>
            <w:pPr>
              <w:spacing w:after="0"/>
              <w:rPr>
                <w:sz w:val="17"/>
                <w:szCs w:val="17"/>
                <w:color w:val="auto"/>
              </w:rPr>
            </w:pPr>
          </w:p>
        </w:tc>
        <w:tc>
          <w:tcPr>
            <w:tcW w:w="878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5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CAPITALIZATION</w:t>
            </w:r>
          </w:p>
        </w:tc>
        <w:tc>
          <w:tcPr>
            <w:tcW w:w="9060" w:type="dxa"/>
            <w:vAlign w:val="bottom"/>
            <w:gridSpan w:val="2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9260" w:type="dxa"/>
            <w:vAlign w:val="bottom"/>
            <w:gridSpan w:val="2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0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MATTERS</w:t>
            </w:r>
          </w:p>
        </w:tc>
        <w:tc>
          <w:tcPr>
            <w:tcW w:w="9080" w:type="dxa"/>
            <w:vAlign w:val="bottom"/>
            <w:gridSpan w:val="2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31"/>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12"/>
          </w:tcPr>
          <w:p>
            <w:pPr>
              <w:spacing w:after="0"/>
              <w:rPr>
                <w:sz w:val="17"/>
                <w:szCs w:val="17"/>
                <w:color w:val="auto"/>
              </w:rPr>
            </w:pPr>
          </w:p>
        </w:tc>
        <w:tc>
          <w:tcPr>
            <w:tcW w:w="834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2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46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20"/>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5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878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40" w:type="dxa"/>
            <w:vAlign w:val="bottom"/>
            <w:tcBorders>
              <w:top w:val="single" w:sz="8" w:color="0000EE"/>
            </w:tcBorders>
            <w:gridSpan w:val="6"/>
          </w:tcPr>
          <w:p>
            <w:pPr>
              <w:spacing w:after="0"/>
              <w:rPr>
                <w:sz w:val="17"/>
                <w:szCs w:val="17"/>
                <w:color w:val="auto"/>
              </w:rPr>
            </w:pPr>
          </w:p>
        </w:tc>
        <w:tc>
          <w:tcPr>
            <w:tcW w:w="852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592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74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10"/>
          </w:tcPr>
          <w:p>
            <w:pPr>
              <w:spacing w:after="0"/>
              <w:rPr>
                <w:sz w:val="17"/>
                <w:szCs w:val="17"/>
                <w:color w:val="auto"/>
              </w:rPr>
            </w:pPr>
          </w:p>
        </w:tc>
        <w:tc>
          <w:tcPr>
            <w:tcW w:w="570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668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5"/>
          </w:tcPr>
          <w:p>
            <w:pPr>
              <w:spacing w:after="0"/>
              <w:rPr>
                <w:sz w:val="17"/>
                <w:szCs w:val="17"/>
                <w:color w:val="auto"/>
              </w:rPr>
            </w:pPr>
          </w:p>
        </w:tc>
        <w:tc>
          <w:tcPr>
            <w:tcW w:w="43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0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2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14"/>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654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260" w:type="dxa"/>
            <w:vAlign w:val="bottom"/>
            <w:gridSpan w:val="15"/>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654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5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1" w:lineRule="exact"/>
        <w:rPr>
          <w:sz w:val="20"/>
          <w:szCs w:val="20"/>
          <w:color w:val="auto"/>
        </w:rPr>
      </w:pPr>
    </w:p>
    <w:p>
      <w:pPr>
        <w:ind w:left="1080" w:right="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the accompanying prospectus and in Part I, Item 1A of our Annual Report on Form 10-K for the year ended December 31, 2024 (the “2024 Annual Report”), any subsequent Quarterly Reports on Form 10-Q or Current Reports on Form 8-K we file after the date of this prospectus supplement, and those discussed in other documents we file with the SEC.</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2024 Annual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82"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left="300" w:right="12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1240" w:right="180" w:hanging="415"/>
        <w:spacing w:after="0" w:line="284"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40" w:hanging="415"/>
        <w:spacing w:after="0" w:line="267"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7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to Sixth Street Partners, LLC together with its affiliates.</w:t>
      </w:r>
    </w:p>
    <w:p>
      <w:pPr>
        <w:spacing w:after="0" w:line="225" w:lineRule="exact"/>
        <w:rPr>
          <w:sz w:val="20"/>
          <w:szCs w:val="20"/>
          <w:color w:val="auto"/>
        </w:rPr>
      </w:pPr>
    </w:p>
    <w:p>
      <w:pPr>
        <w:ind w:left="300" w:right="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2024, we have originated more than $46.2 billion aggregate principal amount of investments and retained approximately $10.9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83"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2024, our core portfolio companies, which exclude certain investments that fall outside of our typical borrower profile and represent 95.4% of our total investments based on fair value, had weighted average annual revenue of $336.0 million and weighted average annual EBITDA of $110.2 million. As of December 31, 2024, our core portfolio companies had a median annual revenue of $146.9 million and a median annual EBITDA of $53.1 million.</w:t>
      </w:r>
    </w:p>
    <w:p>
      <w:pPr>
        <w:spacing w:after="0" w:line="187"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82"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As of December 31, 2024, our portfolio based on fair value consisted of 93.9% first-lien debt investments, 0.6% second-lien debt investments, 1.1% mezzanine debt investments, 4.4% equity and less than 0.1% structured credit investments. As of December 31, 2024, 97.2%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As of December 31, 2024, we had investments in 116 portfolio companies (including one structured credit investment, which includes each series of collateralized loan obligation as a separate portfolio company investment) with an aggregate fair value of $3,518.4 million. For the year ended December 31, 2024, the principal amount of new investments funded was $838.9 million in 34 new portfolio companies and 21 existing portfolio companies. For this period, we had $793.7 million aggregate principal amount in exits and repayments.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2024, the largest single investment based on fair value represented 2.3% of our total investment portfolio.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2024, the average investment size in each of our portfolio companies was approximately $30.3 million based on fair value. Portfolio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companies includes investments in structured products including each series of collateralized loan obligation as a portfolio company investment.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When excluding investments in structured credit investments, the average investment in our remaining portfolio companies was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$30.6 million as of December 31, 2024. As of December 31, 2024, the largest industry represented 16.4% of our total portfolio based on fair value.</w:t>
      </w:r>
    </w:p>
    <w:p>
      <w:pPr>
        <w:spacing w:after="0" w:line="207" w:lineRule="exact"/>
        <w:rPr>
          <w:sz w:val="20"/>
          <w:szCs w:val="20"/>
          <w:color w:val="auto"/>
        </w:rPr>
      </w:pPr>
    </w:p>
    <w:p>
      <w:pPr>
        <w:ind w:left="300" w:right="200" w:firstLine="426"/>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began investing in 2011 through December 31, 2024, weighted by capital invested, our exited investments have generated an average realized gross internal rate of return to us of 17.1% (based on total capital invested of $7.9 billion and total proceeds from these exited investments of $10.0 billion). Ninety-two percent of these exited investments resulted in a realized gross internal rate of return to us of 10% or greater. For a description of how we calculate gross internal rates of return, see the section entitled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Operations—Results of Operations—Realized Gross Internal Rate of Return</w:t>
      </w:r>
      <w:r>
        <w:rPr>
          <w:rFonts w:ascii="Times New Roman" w:cs="Times New Roman" w:eastAsia="Times New Roman" w:hAnsi="Times New Roman"/>
          <w:sz w:val="18"/>
          <w:szCs w:val="18"/>
          <w:color w:val="auto"/>
        </w:rPr>
        <w:t>” in Part II, Item 7 of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which is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162"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82"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right="400"/>
        <w:spacing w:after="0" w:line="284" w:lineRule="auto"/>
        <w:rPr>
          <w:sz w:val="20"/>
          <w:szCs w:val="20"/>
          <w:color w:val="auto"/>
        </w:rPr>
      </w:pPr>
      <w:r>
        <w:rPr>
          <w:rFonts w:ascii="Times New Roman" w:cs="Times New Roman" w:eastAsia="Times New Roman" w:hAnsi="Times New Roman"/>
          <w:sz w:val="18"/>
          <w:szCs w:val="18"/>
          <w:color w:val="auto"/>
        </w:rPr>
        <w:t>on April 15, 2011. We intend to maintain these elections. See “</w:t>
      </w:r>
      <w:r>
        <w:rPr>
          <w:rFonts w:ascii="Times New Roman" w:cs="Times New Roman" w:eastAsia="Times New Roman" w:hAnsi="Times New Roman"/>
          <w:sz w:val="18"/>
          <w:szCs w:val="18"/>
          <w:i w:val="1"/>
          <w:iCs w:val="1"/>
          <w:color w:val="auto"/>
        </w:rPr>
        <w:t>Regulation as a Business Development Company</w:t>
      </w:r>
      <w:r>
        <w:rPr>
          <w:rFonts w:ascii="Times New Roman" w:cs="Times New Roman" w:eastAsia="Times New Roman" w:hAnsi="Times New Roman"/>
          <w:sz w:val="18"/>
          <w:szCs w:val="18"/>
          <w:color w:val="auto"/>
        </w:rPr>
        <w:t>” in Part I, Item 1 of our 2024 Annual Report, which is incorporated herein by reference, for more information on these requirements.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3" w:lineRule="exact"/>
        <w:rPr>
          <w:sz w:val="20"/>
          <w:szCs w:val="20"/>
          <w:color w:val="auto"/>
        </w:rPr>
      </w:pPr>
    </w:p>
    <w:p>
      <w:pPr>
        <w:ind w:left="300" w:right="20" w:firstLine="426"/>
        <w:spacing w:after="0" w:line="269" w:lineRule="auto"/>
        <w:rPr>
          <w:sz w:val="20"/>
          <w:szCs w:val="20"/>
          <w:color w:val="auto"/>
        </w:rPr>
      </w:pPr>
      <w:r>
        <w:rPr>
          <w:rFonts w:ascii="Times New Roman" w:cs="Times New Roman" w:eastAsia="Times New Roman" w:hAnsi="Times New Roman"/>
          <w:sz w:val="17"/>
          <w:szCs w:val="17"/>
          <w:color w:val="auto"/>
        </w:rPr>
        <w:t>Sixth Street is a global investment business with over $100 billion of assets under management as of December 31, 2024.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December 31, 2024, seventy-two (72) of these personnel are dedicated to our business, including fifty-seven (57) investment professionals.</w:t>
      </w:r>
    </w:p>
    <w:p>
      <w:pPr>
        <w:spacing w:after="0" w:line="182" w:lineRule="exact"/>
        <w:rPr>
          <w:sz w:val="20"/>
          <w:szCs w:val="20"/>
          <w:color w:val="auto"/>
        </w:rPr>
      </w:pPr>
    </w:p>
    <w:p>
      <w:pPr>
        <w:ind w:left="300" w:right="4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00"/>
          </w:cols>
          <w:pgMar w:left="320" w:top="482"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Sixth Street Specialty Lending, Inc.</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7"/>
          <w:szCs w:val="17"/>
          <w:color w:val="auto"/>
        </w:rPr>
        <w:t>Common stock having an aggregate maximum offering price of up to $100.0 million. We</w:t>
      </w:r>
    </w:p>
    <w:p>
      <w:pPr>
        <w:spacing w:after="0" w:line="27" w:lineRule="exact"/>
        <w:rPr>
          <w:sz w:val="20"/>
          <w:szCs w:val="20"/>
          <w:color w:val="auto"/>
        </w:rPr>
      </w:pPr>
    </w:p>
    <w:p>
      <w:pPr>
        <w:ind w:left="4340" w:right="300"/>
        <w:spacing w:after="0" w:line="255" w:lineRule="auto"/>
        <w:rPr>
          <w:sz w:val="20"/>
          <w:szCs w:val="20"/>
          <w:color w:val="auto"/>
        </w:rPr>
      </w:pPr>
      <w:r>
        <w:rPr>
          <w:rFonts w:ascii="Times New Roman" w:cs="Times New Roman" w:eastAsia="Times New Roman" w:hAnsi="Times New Roman"/>
          <w:sz w:val="18"/>
          <w:szCs w:val="18"/>
          <w:color w:val="auto"/>
        </w:rPr>
        <w:t>may from time to time increase or decrease the size of this “at the market” offering. If we do so, it will be pursuant to a new prospectus supplement or supplement to this prospectus supplement.</w:t>
      </w:r>
    </w:p>
    <w:p>
      <w:pPr>
        <w:sectPr>
          <w:pgSz w:w="11900" w:h="16838" w:orient="portrait"/>
          <w:cols w:equalWidth="0" w:num="1">
            <w:col w:w="11140"/>
          </w:cols>
          <w:pgMar w:left="320" w:top="482" w:right="439" w:bottom="1440" w:gutter="0" w:footer="0" w:header="0"/>
        </w:sectPr>
      </w:pPr>
    </w:p>
    <w:p>
      <w:pPr>
        <w:spacing w:after="0" w:line="213" w:lineRule="exact"/>
        <w:rPr>
          <w:sz w:val="20"/>
          <w:szCs w:val="20"/>
          <w:color w:val="auto"/>
        </w:rPr>
      </w:pPr>
    </w:p>
    <w:p>
      <w:pPr>
        <w:ind w:left="300"/>
        <w:spacing w:after="0" w:line="579" w:lineRule="auto"/>
        <w:rPr>
          <w:sz w:val="20"/>
          <w:szCs w:val="20"/>
          <w:color w:val="auto"/>
        </w:rPr>
      </w:pPr>
      <w:r>
        <w:rPr>
          <w:rFonts w:ascii="Times New Roman" w:cs="Times New Roman" w:eastAsia="Times New Roman" w:hAnsi="Times New Roman"/>
          <w:sz w:val="18"/>
          <w:szCs w:val="18"/>
          <w:color w:val="auto"/>
        </w:rPr>
        <w:t>Common stock outstanding prior to this offering Manner of offering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93,661,436 common stock outstanding as of February 28, 2025.</w:t>
      </w:r>
    </w:p>
    <w:p>
      <w:pPr>
        <w:spacing w:after="0" w:line="266"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7"/>
          <w:szCs w:val="17"/>
          <w:color w:val="auto"/>
        </w:rPr>
        <w:t>“At the market offering” that may be made from time to time through RBC Capital Markets, LLC, Truist Securities, Inc., Citizens JMP Securities, LLC, Keefe, Bruyette &amp; Woods, Inc. and Raymond James &amp; Associates, Inc. as sales agents, using commercially reasonable efforts.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in this prospectus supplement.</w:t>
      </w:r>
    </w:p>
    <w:p>
      <w:pPr>
        <w:spacing w:after="0" w:line="191" w:lineRule="exact"/>
        <w:rPr>
          <w:sz w:val="20"/>
          <w:szCs w:val="20"/>
          <w:color w:val="auto"/>
        </w:rPr>
      </w:pPr>
    </w:p>
    <w:p>
      <w:pPr>
        <w:sectPr>
          <w:pgSz w:w="11900" w:h="16838" w:orient="portrait"/>
          <w:cols w:equalWidth="0" w:num="2">
            <w:col w:w="3780" w:space="560"/>
            <w:col w:w="68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may include, among other things, investing in accordance with our investment objectives</w:t>
            </w:r>
          </w:p>
        </w:tc>
      </w:tr>
      <w:tr>
        <w:trPr>
          <w:trHeight w:val="214"/>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and strategies described in this prospectus supplement and the accompanying prospectus</w:t>
            </w:r>
          </w:p>
        </w:tc>
      </w:tr>
      <w:tr>
        <w:trPr>
          <w:trHeight w:val="218"/>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and repaying indebtedness (which will be subject to reborrowing).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 this prospectus supplement.</w:t>
            </w:r>
          </w:p>
        </w:tc>
      </w:tr>
      <w:tr>
        <w:trPr>
          <w:trHeight w:val="441"/>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w:t>
            </w:r>
          </w:p>
        </w:tc>
      </w:tr>
      <w:tr>
        <w:trPr>
          <w:trHeight w:val="214"/>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will be reported to stockholders after the end of the calendar year. Future quarterly</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dividends, if any, will be determined by our Board. See “</w:t>
            </w:r>
            <w:r>
              <w:rPr>
                <w:rFonts w:ascii="Times New Roman" w:cs="Times New Roman" w:eastAsia="Times New Roman" w:hAnsi="Times New Roman"/>
                <w:sz w:val="18"/>
                <w:szCs w:val="18"/>
                <w:i w:val="1"/>
                <w:iCs w:val="1"/>
                <w:color w:val="auto"/>
              </w:rPr>
              <w:t>Price Range of Common Stock</w:t>
            </w:r>
          </w:p>
        </w:tc>
      </w:tr>
      <w:tr>
        <w:trPr>
          <w:trHeight w:val="236"/>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i w:val="1"/>
                <w:iCs w:val="1"/>
                <w:color w:val="auto"/>
              </w:rPr>
              <w:t>and Distributions</w:t>
            </w:r>
            <w:r>
              <w:rPr>
                <w:rFonts w:ascii="Times New Roman" w:cs="Times New Roman" w:eastAsia="Times New Roman" w:hAnsi="Times New Roman"/>
                <w:sz w:val="18"/>
                <w:szCs w:val="18"/>
                <w:color w:val="auto"/>
              </w:rPr>
              <w:t>” in the accompanying prospectus.</w:t>
            </w:r>
          </w:p>
        </w:tc>
      </w:tr>
      <w:tr>
        <w:trPr>
          <w:trHeight w:val="439"/>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 maintain our tax treatment as a RIC, we must make certain distributions. See “</w:t>
            </w:r>
            <w:r>
              <w:rPr>
                <w:rFonts w:ascii="Times New Roman" w:cs="Times New Roman" w:eastAsia="Times New Roman" w:hAnsi="Times New Roman"/>
                <w:sz w:val="18"/>
                <w:szCs w:val="18"/>
                <w:i w:val="1"/>
                <w:iCs w:val="1"/>
                <w:color w:val="auto"/>
              </w:rPr>
              <w:t>Material</w:t>
            </w:r>
          </w:p>
        </w:tc>
      </w:tr>
      <w:tr>
        <w:trPr>
          <w:trHeight w:val="218"/>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Considerations-Regulated Investment Company Classification</w:t>
            </w:r>
            <w:r>
              <w:rPr>
                <w:rFonts w:ascii="Times New Roman" w:cs="Times New Roman" w:eastAsia="Times New Roman" w:hAnsi="Times New Roman"/>
                <w:sz w:val="18"/>
                <w:szCs w:val="18"/>
                <w:color w:val="auto"/>
              </w:rPr>
              <w:t>” in</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accompanying prospectus.</w:t>
            </w:r>
          </w:p>
        </w:tc>
      </w:tr>
      <w:tr>
        <w:trPr>
          <w:trHeight w:val="441"/>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Taxation</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 RIC will enable us to deduct qualifying distributions to our stockholders, so that we will</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be subject to corporate-level U.S. federal income taxation only in respect of earnings that</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retain and do not distribute.</w:t>
            </w:r>
          </w:p>
        </w:tc>
      </w:tr>
      <w:tr>
        <w:trPr>
          <w:trHeight w:val="441"/>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income taxation on our earnings, we must, among other things:</w:t>
            </w:r>
          </w:p>
        </w:tc>
      </w:tr>
      <w:tr>
        <w:trPr>
          <w:trHeight w:val="338"/>
        </w:trPr>
        <w:tc>
          <w:tcPr>
            <w:tcW w:w="2780" w:type="dxa"/>
            <w:vAlign w:val="bottom"/>
          </w:tcPr>
          <w:p>
            <w:pPr>
              <w:spacing w:after="0"/>
              <w:rPr>
                <w:sz w:val="24"/>
                <w:szCs w:val="24"/>
                <w:color w:val="auto"/>
              </w:rPr>
            </w:pPr>
          </w:p>
        </w:tc>
        <w:tc>
          <w:tcPr>
            <w:tcW w:w="82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   maintain our election under the 1940 Act to be treated as a BDC;</w:t>
            </w:r>
          </w:p>
        </w:tc>
      </w:tr>
      <w:tr>
        <w:trPr>
          <w:trHeight w:val="172"/>
        </w:trPr>
        <w:tc>
          <w:tcPr>
            <w:tcW w:w="278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361"/>
        </w:trPr>
        <w:tc>
          <w:tcPr>
            <w:tcW w:w="2780" w:type="dxa"/>
            <w:vAlign w:val="bottom"/>
          </w:tcPr>
          <w:p>
            <w:pPr>
              <w:spacing w:after="0"/>
              <w:rPr>
                <w:sz w:val="24"/>
                <w:szCs w:val="24"/>
                <w:color w:val="auto"/>
              </w:rPr>
            </w:pPr>
          </w:p>
        </w:tc>
        <w:tc>
          <w:tcPr>
            <w:tcW w:w="82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44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998970" cy="53447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40" w:right="600" w:hanging="279"/>
        <w:spacing w:after="0" w:line="266" w:lineRule="auto"/>
        <w:tabs>
          <w:tab w:leader="none" w:pos="4820" w:val="left"/>
        </w:tabs>
        <w:rPr>
          <w:sz w:val="20"/>
          <w:szCs w:val="20"/>
          <w:color w:val="auto"/>
        </w:rPr>
      </w:pPr>
      <w:r>
        <w:rPr>
          <w:rFonts w:ascii="Times New Roman" w:cs="Times New Roman" w:eastAsia="Times New Roman" w:hAnsi="Times New Roman"/>
          <w:sz w:val="18"/>
          <w:szCs w:val="18"/>
          <w:color w:val="auto"/>
        </w:rPr>
        <w:t>•</w:t>
        <w:tab/>
        <w:t>derive in each taxable year at least 90% of our gross income from dividends, interest, gains from the sale or other disposition of stock or securities and other specified categories of investment income; and</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maintain diversified holdings.</w:t>
            </w:r>
          </w:p>
        </w:tc>
      </w:tr>
      <w:tr>
        <w:trPr>
          <w:trHeight w:val="441"/>
        </w:trPr>
        <w:tc>
          <w:tcPr>
            <w:tcW w:w="42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addition, we must distribute (or be treated as distributing) in each taxable year dividends</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tax purposes equal to at least 90% of our investment company taxable income and net</w:t>
            </w:r>
          </w:p>
        </w:tc>
      </w:tr>
      <w:tr>
        <w:trPr>
          <w:trHeight w:val="234"/>
        </w:trPr>
        <w:tc>
          <w:tcPr>
            <w:tcW w:w="42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tax-exempt income for that taxable year.</w:t>
            </w:r>
          </w:p>
        </w:tc>
      </w:tr>
      <w:tr>
        <w:trPr>
          <w:trHeight w:val="441"/>
        </w:trPr>
        <w:tc>
          <w:tcPr>
            <w:tcW w:w="42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investment company taxable income and net capital gains that we distribute to</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If we fail to distribute our investment company taxable income or net capital</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gains on a timely basis, we will be subject to a nondeductible 4% U.S. federal excise tax.</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can be expected to carry forward investment company taxable income in excess of</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year distributions into the next tax year and pay a 4% excise tax on such income.</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carryover of investment company taxable income or net capital gains must be timely</w:t>
            </w:r>
          </w:p>
        </w:tc>
      </w:tr>
      <w:tr>
        <w:trPr>
          <w:trHeight w:val="214"/>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declared and distributed as a dividend in the taxable year following the taxable year in</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the income or gains were earned. See “</w:t>
            </w:r>
            <w:r>
              <w:rPr>
                <w:rFonts w:ascii="Times New Roman" w:cs="Times New Roman" w:eastAsia="Times New Roman" w:hAnsi="Times New Roman"/>
                <w:sz w:val="18"/>
                <w:szCs w:val="18"/>
                <w:i w:val="1"/>
                <w:iCs w:val="1"/>
                <w:color w:val="auto"/>
              </w:rPr>
              <w:t>Price Range of Common Stock and</w:t>
            </w:r>
          </w:p>
        </w:tc>
      </w:tr>
      <w:tr>
        <w:trPr>
          <w:trHeight w:val="218"/>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in the</w:t>
            </w:r>
          </w:p>
        </w:tc>
      </w:tr>
      <w:tr>
        <w:trPr>
          <w:trHeight w:val="234"/>
        </w:trPr>
        <w:tc>
          <w:tcPr>
            <w:tcW w:w="42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441"/>
        </w:trPr>
        <w:tc>
          <w:tcPr>
            <w:tcW w:w="42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who receive dividends and other distributions in the form of shares of</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generally are subject to the same U.S. federal tax consequences as</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who elect to receive their distributions in cash; however, since their cash</w:t>
            </w:r>
          </w:p>
        </w:tc>
      </w:tr>
      <w:tr>
        <w:trPr>
          <w:trHeight w:val="214"/>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will be reinvested, those stockholders will not receive cash with which to pay</w:t>
            </w:r>
          </w:p>
        </w:tc>
      </w:tr>
      <w:tr>
        <w:trPr>
          <w:trHeight w:val="218"/>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applicable taxes on reinvested dividends. See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in the</w:t>
            </w:r>
          </w:p>
        </w:tc>
      </w:tr>
      <w:tr>
        <w:trPr>
          <w:trHeight w:val="234"/>
        </w:trPr>
        <w:tc>
          <w:tcPr>
            <w:tcW w:w="42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441"/>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in our common stock involves risks. You should read “Risk Factors” in this</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prospectus supplement, and under similar headings in our most recent annual report on</w:t>
            </w:r>
          </w:p>
        </w:tc>
      </w:tr>
      <w:tr>
        <w:trPr>
          <w:trHeight w:val="194"/>
        </w:trPr>
        <w:tc>
          <w:tcPr>
            <w:tcW w:w="4220" w:type="dxa"/>
            <w:vAlign w:val="bottom"/>
          </w:tcPr>
          <w:p>
            <w:pPr>
              <w:spacing w:after="0"/>
              <w:rPr>
                <w:sz w:val="16"/>
                <w:szCs w:val="16"/>
                <w:color w:val="auto"/>
              </w:rPr>
            </w:pPr>
          </w:p>
        </w:tc>
        <w:tc>
          <w:tcPr>
            <w:tcW w:w="6800" w:type="dxa"/>
            <w:vAlign w:val="bottom"/>
            <w:gridSpan w:val="2"/>
          </w:tcPr>
          <w:p>
            <w:pPr>
              <w:spacing w:after="0" w:line="194"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 xml:space="preserve">Form 10-K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herein, in the accompanying prospectus, and in the</w:t>
            </w:r>
          </w:p>
        </w:tc>
      </w:tr>
      <w:tr>
        <w:trPr>
          <w:trHeight w:val="20"/>
        </w:trPr>
        <w:tc>
          <w:tcPr>
            <w:tcW w:w="4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18"/>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documents that are filed with the SEC on or after the date hereof that are incorporated by</w:t>
            </w:r>
          </w:p>
        </w:tc>
      </w:tr>
      <w:tr>
        <w:trPr>
          <w:trHeight w:val="216"/>
        </w:trPr>
        <w:tc>
          <w:tcPr>
            <w:tcW w:w="42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into this prospectus supplement and the accompanying prospectus, for a</w:t>
            </w:r>
          </w:p>
        </w:tc>
      </w:tr>
      <w:tr>
        <w:trPr>
          <w:trHeight w:val="234"/>
        </w:trPr>
        <w:tc>
          <w:tcPr>
            <w:tcW w:w="42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discussion of factors to consider carefully before making an investment.</w:t>
            </w:r>
          </w:p>
        </w:tc>
      </w:tr>
      <w:tr>
        <w:trPr>
          <w:trHeight w:val="459"/>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NYSE symbol for our common stock</w:t>
            </w: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“TSLX.”</w:t>
            </w:r>
          </w:p>
        </w:tc>
      </w:tr>
      <w:tr>
        <w:trPr>
          <w:trHeight w:val="186"/>
        </w:trPr>
        <w:tc>
          <w:tcPr>
            <w:tcW w:w="4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00" w:type="dxa"/>
            <w:vAlign w:val="bottom"/>
            <w:tcBorders>
              <w:bottom w:val="single" w:sz="8" w:color="auto"/>
            </w:tcBorders>
          </w:tcPr>
          <w:p>
            <w:pPr>
              <w:spacing w:after="0"/>
              <w:rPr>
                <w:sz w:val="16"/>
                <w:szCs w:val="16"/>
                <w:color w:val="auto"/>
              </w:rPr>
            </w:pPr>
          </w:p>
        </w:tc>
      </w:tr>
      <w:tr>
        <w:trPr>
          <w:trHeight w:val="361"/>
        </w:trPr>
        <w:tc>
          <w:tcPr>
            <w:tcW w:w="4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Investing in our common stock involves a number of significant risks. Before deciding whether to invest in our common stock, you should carefully consider the risks and uncertainties described in the section titled “Risk Factors” in our most recent annual report on </w:t>
      </w:r>
      <w:hyperlink r:id="rId18">
        <w:r>
          <w:rPr>
            <w:rFonts w:ascii="Times New Roman" w:cs="Times New Roman" w:eastAsia="Times New Roman" w:hAnsi="Times New Roman"/>
            <w:sz w:val="18"/>
            <w:szCs w:val="18"/>
            <w:i w:val="1"/>
            <w:iCs w:val="1"/>
            <w:u w:val="single" w:color="auto"/>
            <w:color w:val="0000EE"/>
          </w:rPr>
          <w:t>Form 10-K</w:t>
        </w:r>
      </w:hyperlink>
      <w:r>
        <w:rPr>
          <w:rFonts w:ascii="Times New Roman" w:cs="Times New Roman" w:eastAsia="Times New Roman" w:hAnsi="Times New Roman"/>
          <w:sz w:val="18"/>
          <w:szCs w:val="18"/>
          <w:i w:val="1"/>
          <w:iCs w:val="1"/>
          <w:color w:val="auto"/>
        </w:rPr>
        <w:t>, as well as in subsequent filings with the SEC, which are incorporated by reference into this prospectus supplement and the accompanying prospectus in their entirety, together with other information in this prospectus supplement, the accompanying prospectus and the documents incorporated by reference herein and therein. The risks described in these documents are not the only ones we face. Additional risks and uncertainties not presently known to us or not presently deemed material by us might also impair our operations and performance. Past financial performance may not be a reliable indicator of future performance, and historical trends should not be used to anticipate results or trends in future periods. If any of these risks occur, our business, financial condition and results of operations could be materially and adversely affected. In such case, our net asset value, the trading price of our common stock and the value of our other securities could decline, and you may lose all or part of your investment. Please also read carefully the section titled “Special Note Regarding Forward-Looking Statements” in this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which may be greater or less than shown. The offering expenses shown assume that we issue 1,000,000 shares of common stock in the offering at the February 27, 2025 closing price of $23.19 and that the sales agents do not exercise their option to purchase any additional shares.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supplement or the accompanying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load</w:t>
            </w:r>
          </w:p>
        </w:tc>
        <w:tc>
          <w:tcPr>
            <w:tcW w:w="1040" w:type="dxa"/>
            <w:vAlign w:val="bottom"/>
            <w:gridSpan w:val="4"/>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1.50%</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1040" w:type="dxa"/>
            <w:vAlign w:val="bottom"/>
            <w:gridSpan w:val="4"/>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0.01%</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96"/>
        </w:trPr>
        <w:tc>
          <w:tcPr>
            <w:tcW w:w="88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2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Estimated annual expenses (as a percentage of net assets attributable to common stock) </w:t>
            </w:r>
            <w:r>
              <w:rPr>
                <w:rFonts w:ascii="Times New Roman" w:cs="Times New Roman" w:eastAsia="Times New Roman" w:hAnsi="Times New Roman"/>
                <w:sz w:val="22"/>
                <w:szCs w:val="22"/>
                <w:b w:val="1"/>
                <w:bCs w:val="1"/>
                <w:color w:val="auto"/>
                <w:vertAlign w:val="superscript"/>
              </w:rPr>
              <w:t>(4)</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1040" w:type="dxa"/>
            <w:vAlign w:val="bottom"/>
            <w:gridSpan w:val="4"/>
          </w:tcPr>
          <w:p>
            <w:pPr>
              <w:jc w:val="right"/>
              <w:ind w:right="160"/>
              <w:spacing w:after="0" w:line="243" w:lineRule="exact"/>
              <w:rPr>
                <w:sz w:val="20"/>
                <w:szCs w:val="20"/>
                <w:color w:val="auto"/>
              </w:rPr>
            </w:pPr>
            <w:r>
              <w:rPr>
                <w:rFonts w:ascii="Times New Roman" w:cs="Times New Roman" w:eastAsia="Times New Roman" w:hAnsi="Times New Roman"/>
                <w:sz w:val="18"/>
                <w:szCs w:val="18"/>
                <w:color w:val="auto"/>
              </w:rPr>
              <w:t>3.22 %</w:t>
            </w:r>
            <w:r>
              <w:rPr>
                <w:rFonts w:ascii="Times New Roman" w:cs="Times New Roman" w:eastAsia="Times New Roman" w:hAnsi="Times New Roman"/>
                <w:sz w:val="22"/>
                <w:szCs w:val="22"/>
                <w:color w:val="auto"/>
                <w:vertAlign w:val="superscript"/>
              </w:rPr>
              <w:t>(5)</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1040" w:type="dxa"/>
            <w:vAlign w:val="bottom"/>
            <w:gridSpan w:val="4"/>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18"/>
                <w:szCs w:val="18"/>
                <w:color w:val="auto"/>
              </w:rPr>
              <w:t>2.89 %</w:t>
            </w:r>
            <w:r>
              <w:rPr>
                <w:rFonts w:ascii="Times New Roman" w:cs="Times New Roman" w:eastAsia="Times New Roman" w:hAnsi="Times New Roman"/>
                <w:sz w:val="22"/>
                <w:szCs w:val="22"/>
                <w:color w:val="auto"/>
                <w:vertAlign w:val="superscript"/>
              </w:rPr>
              <w:t>(6)</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1040" w:type="dxa"/>
            <w:vAlign w:val="bottom"/>
            <w:gridSpan w:val="4"/>
          </w:tcPr>
          <w:p>
            <w:pPr>
              <w:jc w:val="right"/>
              <w:ind w:right="160"/>
              <w:spacing w:after="0" w:line="243" w:lineRule="exact"/>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22"/>
                <w:szCs w:val="22"/>
                <w:color w:val="auto"/>
                <w:vertAlign w:val="superscript"/>
              </w:rPr>
              <w:t>(7)</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40" w:type="dxa"/>
            <w:vAlign w:val="bottom"/>
            <w:gridSpan w:val="4"/>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22"/>
                <w:szCs w:val="22"/>
                <w:color w:val="auto"/>
                <w:vertAlign w:val="superscript"/>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annual expenses:</w:t>
            </w: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tcPr>
          <w:p>
            <w:pPr>
              <w:spacing w:after="0"/>
              <w:rPr>
                <w:sz w:val="21"/>
                <w:szCs w:val="21"/>
                <w:color w:val="auto"/>
              </w:rPr>
            </w:pPr>
          </w:p>
        </w:tc>
        <w:tc>
          <w:tcPr>
            <w:tcW w:w="8220" w:type="dxa"/>
            <w:vAlign w:val="bottom"/>
            <w:gridSpan w:val="2"/>
            <w:vMerge w:val="continue"/>
          </w:tcPr>
          <w:p>
            <w:pPr>
              <w:spacing w:after="0"/>
              <w:rPr>
                <w:sz w:val="21"/>
                <w:szCs w:val="21"/>
                <w:color w:val="auto"/>
              </w:rPr>
            </w:pPr>
          </w:p>
        </w:tc>
        <w:tc>
          <w:tcPr>
            <w:tcW w:w="10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16.34 %</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300" w:hanging="424"/>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load (underwriting discount or commission) with respect to the shares of common stock sold in this offering, which is a one-time fee paid to the sales agents, is the only sales load paid in connection with this offering.</w:t>
      </w: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estimated offering expenses of approximately $0.5 million.</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in the accompanying prospectus for additional information regarding our dividend reinvestment plan.</w:t>
      </w:r>
    </w:p>
    <w:p>
      <w:pPr>
        <w:spacing w:after="0" w:line="2" w:lineRule="exact"/>
        <w:rPr>
          <w:rFonts w:ascii="Times New Roman" w:cs="Times New Roman" w:eastAsia="Times New Roman" w:hAnsi="Times New Roman"/>
          <w:sz w:val="18"/>
          <w:szCs w:val="18"/>
          <w:color w:val="auto"/>
        </w:rPr>
      </w:pPr>
    </w:p>
    <w:p>
      <w:pPr>
        <w:ind w:left="540" w:right="78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$1,607.5 million as of December 31, 2024.</w:t>
      </w:r>
    </w:p>
    <w:p>
      <w:pPr>
        <w:ind w:left="540" w:right="80" w:hanging="424"/>
        <w:spacing w:after="0" w:line="253"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(as defined in the accompanying prospectus). Under the 1940 Act, any material change to our Investment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80"/>
        <w:spacing w:after="0" w:line="284" w:lineRule="auto"/>
        <w:rPr>
          <w:sz w:val="20"/>
          <w:szCs w:val="20"/>
          <w:color w:val="auto"/>
        </w:rPr>
      </w:pPr>
      <w:r>
        <w:rPr>
          <w:rFonts w:ascii="Times New Roman" w:cs="Times New Roman" w:eastAsia="Times New Roman" w:hAnsi="Times New Roman"/>
          <w:sz w:val="18"/>
          <w:szCs w:val="18"/>
          <w:color w:val="auto"/>
        </w:rPr>
        <w:t>Advisory Agreement must be submitted to stockholders for approval. See “</w:t>
      </w:r>
      <w:r>
        <w:rPr>
          <w:rFonts w:ascii="Times New Roman" w:cs="Times New Roman" w:eastAsia="Times New Roman" w:hAnsi="Times New Roman"/>
          <w:sz w:val="18"/>
          <w:szCs w:val="18"/>
          <w:i w:val="1"/>
          <w:iCs w:val="1"/>
          <w:color w:val="auto"/>
        </w:rPr>
        <w:t>Management Agreements</w:t>
      </w:r>
      <w:r>
        <w:rPr>
          <w:rFonts w:ascii="Times New Roman" w:cs="Times New Roman" w:eastAsia="Times New Roman" w:hAnsi="Times New Roman"/>
          <w:sz w:val="18"/>
          <w:szCs w:val="18"/>
          <w:color w:val="auto"/>
        </w:rPr>
        <w:t>” in Part I, Item 1 of our 2024 Annual Report and in Note 3 to our consolidated financial statements in our 2024 Annual Report.</w:t>
      </w:r>
    </w:p>
    <w:p>
      <w:pPr>
        <w:spacing w:after="0" w:line="52"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for the year ended December 31, 2024 bears to our net assets attributable to common stock (rather than our gross assets).</w:t>
      </w:r>
    </w:p>
    <w:p>
      <w:pPr>
        <w:spacing w:after="0" w:line="52"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Operations-Results of Operations-Management Fees</w:t>
      </w:r>
      <w:r>
        <w:rPr>
          <w:rFonts w:ascii="Times New Roman" w:cs="Times New Roman" w:eastAsia="Times New Roman" w:hAnsi="Times New Roman"/>
          <w:sz w:val="18"/>
          <w:szCs w:val="18"/>
          <w:color w:val="auto"/>
        </w:rPr>
        <w:t>” in Part II, Item 2 of our 2024 Annual Report. The above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our actual Management Fees for the year ended December 31, 2024. For the year ended December 31, 2024, Management Fees of $1.5 million were waived consisting solely of Management Fees pursuant to the Leverage Waiver.</w:t>
      </w:r>
    </w:p>
    <w:p>
      <w:pPr>
        <w:spacing w:after="0" w:line="74"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w:t>
      </w:r>
    </w:p>
    <w:p>
      <w:pPr>
        <w:spacing w:after="0" w:line="89" w:lineRule="exact"/>
        <w:rPr>
          <w:sz w:val="20"/>
          <w:szCs w:val="20"/>
          <w:color w:val="auto"/>
        </w:rPr>
      </w:pPr>
    </w:p>
    <w:p>
      <w:pPr>
        <w:ind w:left="540" w:right="200" w:hanging="424"/>
        <w:spacing w:after="0" w:line="261"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capital gains and interest income that could result in the payment of an Incentive Fee to the Adviser in the twelve months after the date of this prospectus supplement. The Incentive Fee payable in the example below is based upon our actual results for the year ended December 31, 2024 and assumes that the Incentive Fee is 17.5% for all relevant periods. However, the Incentive Fee payable to the Adviser is based on our performance and will not be paid unless we achieve certain goals.</w:t>
      </w:r>
    </w:p>
    <w:p>
      <w:pPr>
        <w:spacing w:after="0" w:line="7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rFonts w:ascii="Times New Roman" w:cs="Times New Roman" w:eastAsia="Times New Roman" w:hAnsi="Times New Roman"/>
          <w:sz w:val="18"/>
          <w:szCs w:val="18"/>
          <w:color w:val="auto"/>
        </w:rPr>
      </w:pPr>
    </w:p>
    <w:p>
      <w:pPr>
        <w:ind w:left="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1"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79" w:lineRule="exact"/>
        <w:rPr>
          <w:sz w:val="20"/>
          <w:szCs w:val="20"/>
          <w:color w:val="auto"/>
        </w:rPr>
      </w:pPr>
    </w:p>
    <w:p>
      <w:pPr>
        <w:ind w:left="560" w:right="40" w:hanging="4"/>
        <w:spacing w:after="0" w:line="261" w:lineRule="auto"/>
        <w:tabs>
          <w:tab w:leader="none" w:pos="8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81"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54"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84"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 See Note 3 to our consolidated financial statements in our 2024 Annual Report and “</w:t>
      </w:r>
      <w:r>
        <w:rPr>
          <w:rFonts w:ascii="Times New Roman" w:cs="Times New Roman" w:eastAsia="Times New Roman" w:hAnsi="Times New Roman"/>
          <w:sz w:val="18"/>
          <w:szCs w:val="18"/>
          <w:i w:val="1"/>
          <w:iCs w:val="1"/>
          <w:color w:val="auto"/>
        </w:rPr>
        <w:t>Management Agreements-Investment Advisory Agreement; Administration Agreement;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in Part I, Item 1 of our 2024 Annual Report.</w:t>
      </w:r>
    </w:p>
    <w:p>
      <w:pPr>
        <w:spacing w:after="0" w:line="70" w:lineRule="exact"/>
        <w:rPr>
          <w:sz w:val="20"/>
          <w:szCs w:val="20"/>
          <w:color w:val="auto"/>
        </w:rPr>
      </w:pPr>
    </w:p>
    <w:p>
      <w:pPr>
        <w:ind w:left="560"/>
        <w:spacing w:after="0" w:line="267" w:lineRule="auto"/>
        <w:rPr>
          <w:sz w:val="20"/>
          <w:szCs w:val="20"/>
          <w:color w:val="auto"/>
        </w:rPr>
      </w:pPr>
      <w:r>
        <w:rPr>
          <w:rFonts w:ascii="Times New Roman" w:cs="Times New Roman" w:eastAsia="Times New Roman" w:hAnsi="Times New Roman"/>
          <w:sz w:val="18"/>
          <w:szCs w:val="18"/>
          <w:color w:val="auto"/>
        </w:rPr>
        <w:t>From time to time, our Adviser has voluntarily waived certain Incentive Fees. See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Operations-Results of Operations-Incentive Fees</w:t>
      </w:r>
      <w:r>
        <w:rPr>
          <w:rFonts w:ascii="Times New Roman" w:cs="Times New Roman" w:eastAsia="Times New Roman" w:hAnsi="Times New Roman"/>
          <w:sz w:val="18"/>
          <w:szCs w:val="18"/>
          <w:color w:val="auto"/>
        </w:rPr>
        <w:t>” in Part II, Item 7 of our 2024 Annual Report. The above estimates do not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assume any such waivers.</w:t>
      </w:r>
    </w:p>
    <w:p>
      <w:pPr>
        <w:spacing w:after="0" w:line="81" w:lineRule="exact"/>
        <w:rPr>
          <w:sz w:val="20"/>
          <w:szCs w:val="20"/>
          <w:color w:val="auto"/>
        </w:rPr>
      </w:pPr>
    </w:p>
    <w:p>
      <w:pPr>
        <w:ind w:left="540" w:right="80" w:hanging="424"/>
        <w:spacing w:after="0" w:line="253"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is based on our interest expense for the year ended December 31, 2024 under our credit facilities excluding fees (such as fees on undrawn amounts and amortization of upfront fees) and including the swap-adjusted interest expense related to our 2026 Notes, 2028 Notes and 2029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Our stockholders indirectly bear the costs of borrowings under any debt instruments we may enter into.</w:t>
      </w:r>
    </w:p>
    <w:p>
      <w:pPr>
        <w:spacing w:after="0" w:line="2"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and excise taxes. See “</w:t>
      </w:r>
      <w:r>
        <w:rPr>
          <w:rFonts w:ascii="Times New Roman" w:cs="Times New Roman" w:eastAsia="Times New Roman" w:hAnsi="Times New Roman"/>
          <w:sz w:val="18"/>
          <w:szCs w:val="18"/>
          <w:i w:val="1"/>
          <w:iCs w:val="1"/>
          <w:color w:val="auto"/>
        </w:rPr>
        <w:t>Agreements and Related Party Transactions-Administration Agreement; Investment Advisory Agreement</w:t>
      </w:r>
      <w:r>
        <w:rPr>
          <w:rFonts w:ascii="Times New Roman" w:cs="Times New Roman" w:eastAsia="Times New Roman" w:hAnsi="Times New Roman"/>
          <w:sz w:val="18"/>
          <w:szCs w:val="18"/>
          <w:color w:val="auto"/>
        </w:rPr>
        <w:t>;” in Part I, Item 1 of our 2024 Annual Report and Note 3 to our consolidated financial statements in our 2024 Annual Report. The expenses in this table are based on our actual other expenses and excise taxes for the year ended December 31, 2024.</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1</w:t>
            </w:r>
          </w:p>
        </w:tc>
        <w:tc>
          <w:tcPr>
            <w:tcW w:w="440" w:type="dxa"/>
            <w:vAlign w:val="bottom"/>
          </w:tcPr>
          <w:p>
            <w:pPr>
              <w:spacing w:after="0"/>
              <w:rPr>
                <w:sz w:val="13"/>
                <w:szCs w:val="13"/>
                <w:color w:val="auto"/>
              </w:rPr>
            </w:pP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w:t>
            </w:r>
          </w:p>
        </w:tc>
        <w:tc>
          <w:tcPr>
            <w:tcW w:w="440" w:type="dxa"/>
            <w:vAlign w:val="bottom"/>
          </w:tcPr>
          <w:p>
            <w:pPr>
              <w:spacing w:after="0"/>
              <w:rPr>
                <w:sz w:val="13"/>
                <w:szCs w:val="13"/>
                <w:color w:val="auto"/>
              </w:rPr>
            </w:pP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5</w:t>
            </w:r>
          </w:p>
        </w:tc>
        <w:tc>
          <w:tcPr>
            <w:tcW w:w="440" w:type="dxa"/>
            <w:vAlign w:val="bottom"/>
          </w:tcPr>
          <w:p>
            <w:pPr>
              <w:spacing w:after="0"/>
              <w:rPr>
                <w:sz w:val="13"/>
                <w:szCs w:val="13"/>
                <w:color w:val="auto"/>
              </w:rPr>
            </w:pPr>
          </w:p>
        </w:tc>
        <w:tc>
          <w:tcPr>
            <w:tcW w:w="3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10</w:t>
            </w:r>
          </w:p>
        </w:tc>
        <w:tc>
          <w:tcPr>
            <w:tcW w:w="40" w:type="dxa"/>
            <w:vAlign w:val="bottom"/>
          </w:tcPr>
          <w:p>
            <w:pPr>
              <w:spacing w:after="0"/>
              <w:rPr>
                <w:sz w:val="13"/>
                <w:szCs w:val="13"/>
                <w:color w:val="auto"/>
              </w:rPr>
            </w:pPr>
          </w:p>
        </w:tc>
      </w:tr>
      <w:tr>
        <w:trPr>
          <w:trHeight w:val="173"/>
        </w:trPr>
        <w:tc>
          <w:tcPr>
            <w:tcW w:w="72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78"/>
        </w:trPr>
        <w:tc>
          <w:tcPr>
            <w:tcW w:w="7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w:t>
            </w:r>
          </w:p>
        </w:tc>
        <w:tc>
          <w:tcPr>
            <w:tcW w:w="3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annual return from realized capital gains</w:t>
            </w: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4"/>
              </w:rPr>
              <w:t>$143</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$391</w:t>
            </w: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4"/>
              </w:rPr>
              <w:t>$594</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$959</w:t>
            </w:r>
          </w:p>
        </w:tc>
      </w:tr>
    </w:tbl>
    <w:p>
      <w:pPr>
        <w:spacing w:after="0" w:line="19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in the accompanying prospectus for additional information regarding our dividend reinvestment plan.</w:t>
      </w:r>
    </w:p>
    <w:p>
      <w:pPr>
        <w:spacing w:after="0" w:line="188"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82"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transactions that are deemed to be an “at the market” offering as defined in Rule 415(a)(4) under the Securities Act, including without limitation sales made directly on or through the NYSE, sales made to or through market makers and sales made through any other existing trading market or electronic communications network, and by any other method permitted by law, including but not limited to privately negotiated transactions, which may include block trades, as we and the sales agents may agree. There is no guarantee that there will be any sales of our common stock pursuant to this prospectus supplement and the accompanying prospectus. Actual sales, if any, of our common stock under this prospectus supplement and the accompanying prospectus may be less than as set forth in this paragraph depending on, among other things, the market price of our common stock and the NAV per share of our common stock at the time of any such sale. As a result, the actual net proceeds we receive may be more or less than the amount of net proceeds estimated in this prospectus supplement. However, the sales price per share of our common stock offered by this prospectus supplement and the accompanying prospectus, less the sales agents’ commission, discount or other compensation for such sales payable under the equity distribution agreements, will not be less than the NAV per share of our common stock at the time of such sale, unless we have received approval of a majority of our shareholders (including a majority of our unaffiliated shareholders) and our Independent Trustees. Assuming the sale of common stock having an aggregate offering price of $100.0 million pursuant to this prospectus supplement and the accompanying prospectus, we estimate that the net proceeds would be approximately $98.0 million after deducting the sales agents’ estimated commissions of approximately $1.5 million payable by us and estimated offering expenses of approximately $0.5 million payable by us.</w:t>
      </w:r>
    </w:p>
    <w:p>
      <w:pPr>
        <w:spacing w:after="0" w:line="19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among other things, investing in accordance with our investment objectives and strategies described in this prospectus supplement and the accompanying prospectus and repaying indebtedness (which will be subject to reborrowing). We may use a portion of net proceeds of any sale of our common stock pursuant to this offering to repay existing borrowings outstanding. As of December 31, 2024, aggregate commitments under the facility were $1.7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April 24, 2029 with respect to $1.505 billion of commitments, February 4, 2026 for $25.0 million of commitments and April 23, 2027 for $170.0 million of commitments. As of December 31, 2024, amounts drawn under the facility bear interest at either the applicable reference rate plus an applicable credit spread adjustment, plus a margin of either 1.75% or 1.875%, or the base rate plus a margin of either 0.75% or 0.875%. See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Operations—Financial Condition, Liquidity and Capital Resources—Revolving Credit Facility</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II, Item 2 of our 2024 Annual Report.</w:t>
      </w:r>
    </w:p>
    <w:p>
      <w:pPr>
        <w:spacing w:after="0" w:line="19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Affiliates of certain sales agents are lenders under certain of our indebtedness, including our Revolving Credit Facility. Accordingly, affiliates of certain of the sales agents may receive more than 5% of the proceeds of this offering to the extent such proceeds are used to repay or repurchase such outstanding indebtedness.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20"/>
          </w:cols>
          <w:pgMar w:left="320" w:top="482" w:right="5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left="120" w:firstLine="440"/>
        <w:spacing w:after="0" w:line="281"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information required by this item is contained in our </w:t>
      </w:r>
      <w:hyperlink r:id="rId32">
        <w:r>
          <w:rPr>
            <w:rFonts w:ascii="Times New Roman" w:cs="Times New Roman" w:eastAsia="Times New Roman" w:hAnsi="Times New Roman"/>
            <w:sz w:val="17"/>
            <w:szCs w:val="17"/>
            <w:u w:val="single" w:color="auto"/>
            <w:color w:val="0000EE"/>
          </w:rPr>
          <w:t>Quarterly Report</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on Form 10-Q for the quarter ended March 31, 2024, filed with the </w:t>
      </w:r>
      <w:hyperlink r:id="rId33">
        <w:r>
          <w:rPr>
            <w:rFonts w:ascii="Times New Roman" w:cs="Times New Roman" w:eastAsia="Times New Roman" w:hAnsi="Times New Roman"/>
            <w:sz w:val="17"/>
            <w:szCs w:val="17"/>
            <w:color w:val="auto"/>
          </w:rPr>
          <w:t xml:space="preserve">SEC on May 1, 2024, our </w:t>
        </w:r>
        <w:r>
          <w:rPr>
            <w:rFonts w:ascii="Times New Roman" w:cs="Times New Roman" w:eastAsia="Times New Roman" w:hAnsi="Times New Roman"/>
            <w:sz w:val="17"/>
            <w:szCs w:val="17"/>
            <w:u w:val="single" w:color="auto"/>
            <w:color w:val="0000EE"/>
          </w:rPr>
          <w:t>Quarterly Report</w:t>
        </w:r>
        <w:r>
          <w:rPr>
            <w:rFonts w:ascii="Times New Roman" w:cs="Times New Roman" w:eastAsia="Times New Roman" w:hAnsi="Times New Roman"/>
            <w:sz w:val="17"/>
            <w:szCs w:val="17"/>
            <w:color w:val="auto"/>
          </w:rPr>
          <w:t xml:space="preserve"> on Form 10-Q for the quarter ended June 30, 2024, filed with the SEC on July 31, 2024, our </w:t>
        </w:r>
        <w:r>
          <w:rPr>
            <w:rFonts w:ascii="Times New Roman" w:cs="Times New Roman" w:eastAsia="Times New Roman" w:hAnsi="Times New Roman"/>
            <w:sz w:val="17"/>
            <w:szCs w:val="17"/>
            <w:u w:val="single" w:color="auto"/>
            <w:color w:val="0000EE"/>
          </w:rPr>
          <w:t>Quarterly</w:t>
        </w:r>
      </w:hyperlink>
      <w:r>
        <w:rPr>
          <w:rFonts w:ascii="Times New Roman" w:cs="Times New Roman" w:eastAsia="Times New Roman" w:hAnsi="Times New Roman"/>
          <w:sz w:val="17"/>
          <w:szCs w:val="17"/>
          <w:color w:val="auto"/>
        </w:rPr>
        <w:t xml:space="preserve"> </w:t>
      </w:r>
      <w:hyperlink r:id="rId33">
        <w:r>
          <w:rPr>
            <w:rFonts w:ascii="Times New Roman" w:cs="Times New Roman" w:eastAsia="Times New Roman" w:hAnsi="Times New Roman"/>
            <w:sz w:val="17"/>
            <w:szCs w:val="17"/>
            <w:u w:val="single" w:color="auto"/>
            <w:color w:val="0000EE"/>
          </w:rPr>
          <w:t>Report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on Form 10-Q for the quarter ended September 30, 2024, filed with the SEC on November 5, 2024, and our annual report on</w:t>
        </w:r>
        <w:r>
          <w:rPr>
            <w:rFonts w:ascii="Times New Roman" w:cs="Times New Roman" w:eastAsia="Times New Roman" w:hAnsi="Times New Roman"/>
            <w:sz w:val="17"/>
            <w:szCs w:val="17"/>
            <w:color w:val="0000EE"/>
          </w:rPr>
          <w:t xml:space="preserve"> </w:t>
        </w:r>
      </w:hyperlink>
      <w:hyperlink r:id="rId18">
        <w:r>
          <w:rPr>
            <w:rFonts w:ascii="Times New Roman" w:cs="Times New Roman" w:eastAsia="Times New Roman" w:hAnsi="Times New Roman"/>
            <w:sz w:val="17"/>
            <w:szCs w:val="17"/>
            <w:u w:val="single" w:color="auto"/>
            <w:color w:val="0000EE"/>
          </w:rPr>
          <w:t xml:space="preserve">Form 10-K </w:t>
        </w:r>
      </w:hyperlink>
      <w:r>
        <w:rPr>
          <w:rFonts w:ascii="Times New Roman" w:cs="Times New Roman" w:eastAsia="Times New Roman" w:hAnsi="Times New Roman"/>
          <w:sz w:val="17"/>
          <w:szCs w:val="17"/>
          <w:color w:val="000000"/>
        </w:rPr>
        <w:t>for</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the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year ended December 31, 2024, filed with the SEC on February 13, 2025, each of which is incorporated by reference in this prospectus supplement.</w:t>
      </w:r>
    </w:p>
    <w:p>
      <w:pPr>
        <w:spacing w:after="0" w:line="97" w:lineRule="exact"/>
        <w:rPr>
          <w:rFonts w:ascii="Times New Roman" w:cs="Times New Roman" w:eastAsia="Times New Roman" w:hAnsi="Times New Roman"/>
          <w:sz w:val="17"/>
          <w:szCs w:val="17"/>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80"/>
          </w:cols>
          <w:pgMar w:left="320" w:top="482" w:right="5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consolidated capitalization at December 31, 2024. You should read this table together with “Use of Proceeds” described in this prospectus supplement and our most recent balance sheet included in our 2024 Annual Report incorporated by reference in this prospectus supplement.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amounts)</w:t>
            </w:r>
          </w:p>
        </w:tc>
        <w:tc>
          <w:tcPr>
            <w:tcW w:w="17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22"/>
                <w:szCs w:val="22"/>
                <w:b w:val="1"/>
                <w:bCs w:val="1"/>
                <w:color w:val="auto"/>
                <w:vertAlign w:val="superscript"/>
              </w:rPr>
              <w:t>(1)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Notes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2029 Notes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94,325,686 shares issued and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93,661,436 shares outstanding</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664,250 shares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line="256"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reflects the principal amount of indebtedness outstanding as of December 31, 2024. Outstanding indebtedness under the Revolving Credit Facility was $689.9 million as of February 26, 2025. The net proceeds from this offering are expected to be used for general corporate purposes, which may include, among other things, investing in accordance with our investment objectives and strategies described in this prospectus supplement and the accompanying prospectus and repaying indebtedness (which will be subject to reborrowing). We may use a portion of net proceeds of any sale of our common stock pursuant to this offering to repay existing borrowings outstanding. See “Use of Proceeds” in this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Please refer to our most recent definitive proxy statement relating to our 2024 Annual Meeting of Stockholders and in our 2024 Annual Report, as well as subsequent filings with the SEC, which are incorporated by reference herein, for information relating to the management of the Company and for information relating to the Adviser.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table below shows the dollar range of shares of common stock beneficially owned by our portfolio manager as of December 31, 2023:</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Over 1,000,000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Joshua Easterly managed, or was a member of the management team for, the following client accounts: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6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6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 Registered Investment</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2"/>
                <w:szCs w:val="22"/>
                <w:color w:val="auto"/>
                <w:vertAlign w:val="superscript"/>
              </w:rPr>
              <w:t>(1)</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68.5 billion</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 billion</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6.8 billion</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460" w:right="880" w:hanging="5344"/>
        <w:spacing w:after="0" w:line="454" w:lineRule="auto"/>
        <w:tabs>
          <w:tab w:leader="none" w:pos="5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S-15</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separate equity distribution agreements with RBC Capital Markets, LLC, Truist Securities, Inc., Citizens JMP Securities, LLC, Keefe, Bruyette &amp; Woods, Inc. and Raymond James &amp; Associates, Inc. under which each will act as our sales agent in connection with the offer and sale of our common stock pursuant to this prospectus supplement and the accompanying prospectus.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Upon written instructions from us, a sales agent will use its commercially reasonable efforts consistent with its normal sales and trading practices to sell, as our sales agent, our common stock under the terms and subject to the conditions set forth in the respective equity distribution agreement. We will instruct each sales agent as to the amount of our common stock to be sold by it. We may instruct a sales agent not to sell our common stock if the sales cannot be effected at or above the price designated by us in any instruction. The sales price per share of our common stock offered by this prospectus supplement and the accompanying prospectus, less the sales agent’s commission, discount or other compensation for such sales payable under the applicable equity distribution agreement, will not be less than the NAV per share of our common stock as determined within 48 hours of such sale unless we have received requisite approval of a majority of our shareholders (including a majority of our unaffiliated shareholders) and our Independent Trustees, in accordance with the applicable equity distribution agreement. We or the sales agents may suspend this offering of our common stock upon proper notice and subject to other conditions. We cannot predict the number of such shares of common stock that we may sell hereby or if any such shares will be sold.</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negotiated transactions or transactions that are deemed to be “at the market” offerings, as defined in Rule 415(a)(4) under the Securities Act, including, without limitation, sales made directly on the NYSE or a similar securities exchange or sales made to or through a market maker other than on an exchange at prices related to the prevailing market prices or at negotiated prices.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our common stock is sold by one or more of the sales agents, the applicable sales agent will provide written confirmation of a sale to us following the close of trading on the NYSE each trading day on which our common stock is sold under such sales agent’s equity distribution agreement. Each confirmation will include the number of our common stock sold that day, the net proceeds to us and the compensation payable by us to such sales agent in connection with the sales.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equity distribution agreements, each of the sales agents will be entitled to compensation of up to 1.50% of the gross sales price of any common stock sold through it as sales agents. We may reimburse the sales agents for certain expenses associated with this offering. We estimate that the total expenses for this offering, excluding compensation payable to the sales agents under the terms of each equity distribution agreement, will be approximately $0.5 million.</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Settlement for sales of our common stock will occur on the second trading day following the date on which such sales are made, or on some other date that is agreed upon by us and the applicable sales agent in connection with a particular transaction, in return for payment of the net proceeds to us. There is no arrangement for funds to be received in an escrow, trust or similar arrangement.</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equity distribution agreements, we also may sell our common stock to the sales agents as principal for their own accounts at a price agreed upon at the time of sale. The sales agents may from time to time offer the common stock sold to them as principal through public or private transactions at market prices prevailing at the time of sale, at fixed prices, at negotiated prices, at various prices determined at the time of sale or at prices related to prevailing market prices. If we sell shares to a sales agent as principal, we will enter into a separate terms agreement with the applicable sales agent, setting forth the terms of such transaction, and we will describe the agreement in a separate prospectus supplement to the extent required by law.</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82"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will report in a prospectus supplement and/or our filings under the Exchange Act, at least quarterly, the number of our common stock sold through the sales agents under the equity distribution agreements and the net proceeds to us.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sale of our common stock on our behalf, each of the sales agents may be deemed to be an “underwriter” within the meaning of the Securities Act, and the compensation of the sales agents may be deemed to be underwriting commissions or discounts. We have agreed to provide indemnification and contribution to the sales agents with respect to certain civil liabilities, including liabilities under the Securities Act.</w:t>
      </w:r>
    </w:p>
    <w:p>
      <w:pPr>
        <w:spacing w:after="0" w:line="176"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we have reason to believe that our common stock is no longer an “actively traded security” as defined under Rule 101(c)(1) of Regulation M under the Exchange Act we will promptly notify the sales agents and sales of our common stock pursuant to the equity distribution agreements will be suspended until in our collective judgment Rule 101(c)(1) or another exemptive provision has been satisfied.</w:t>
      </w:r>
    </w:p>
    <w:p>
      <w:pPr>
        <w:spacing w:after="0" w:line="176" w:lineRule="exact"/>
        <w:rPr>
          <w:sz w:val="20"/>
          <w:szCs w:val="20"/>
          <w:color w:val="auto"/>
        </w:rPr>
      </w:pPr>
    </w:p>
    <w:p>
      <w:pPr>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The offering of our common stock pursuant to the equity distribution agreements will terminate upon the earlier of (i) the sale of all of our common stock subject to the equity distribution agreements or (ii) the termination of the equity distribution agreements as permitted therein.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sales agents and their respective affiliates are full service financial institutions engaged in various activities, which may include sales and trading, commercial and investment banking, financial advisory, investment management, investment research, principal investment, hedging, market making, brokerage and other financial and non-financial activities and services. The sales agents and their respective affiliates have provided in the past and may provide from time to time in the future in the ordinary course of their business certain commercial banking, financial advisory, investment banking and other services to, and their respective affiliates have provided, and may from time to time in the future provide, a variety of these services to the Company and to persons and entities with relationships with the Company, for which they received or will receive customary fees and expenses. In particular, the sales agents or their respective affiliates may execute transactions with the Company or on behalf of the Company, the Advisers and/or its affiliates or any of our or their portfolio companies, affiliates and/or managed funds. In addition, the sales agents or their affiliates may act as arrangers, underwriters or placement agents for companies whose securities are sold to or whose loans are syndicated to the Company, the Adviser, and their affiliates and managed funds.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sales agents or their affiliates may also trade in our securities, securities of our portfolio companies or other financial instruments related thereto for their own accounts or for the account of others and may extend loans or financing directly or through derivative transactions to the Company, the Adviser or any of our portfolio companies.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purchase securities of third parties from the sales agents or their affiliates. However, we have not entered into any agreement or arrangement regarding the acquisition of any such securities. We would purchase any such securities only if, among other things, we identified securities that satisfied our investment needs and completed our due diligence review of such securities.</w:t>
      </w:r>
    </w:p>
    <w:p>
      <w:pPr>
        <w:spacing w:after="0" w:line="176"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After the date of this prospectus supplement, the sales agents and their affiliates may from time to time obtain information regarding specific portfolio companies or us that may not be available to the general public. Any such information is obtained by the sales agents and their affiliates in the ordinary course of their business and not in connection with this offering. In addition, the sales agents or their affiliates may develop analyses or opinions related to the Company, the Adviser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the Adviser to our shareholders or any other persons.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business activities, the sales agents and their respective affiliates, officers, directors and employees may purchase, sell or hold a broad array of investments and actively traded securities, derivatives, loans, commodities, currencies, credit default swaps and other financial instruments for their own accounts and for the accounts of their customers, and such investment and trading activities may involve or relate to the Company’s assets, securities or instruments (directly, as collateral securing other obligations or otherwise) or persons and entities with relationships with the Company. The sales agents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 Such investment and securities activities may involve our securities and instruments.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Proceeds of the sale of our common stock pursuant to this offering may be used to repay or repurchase outstanding indebtedness under the Revolving Credit Facility. Affiliates of certain sales agents are lenders under the Revolving Credit Facility and may receive proceeds of this offering to the extent proceeds are used to repay or repurchase outstanding indebtedness under the Revolving Credit Facility.</w:t>
      </w:r>
    </w:p>
    <w:p>
      <w:pPr>
        <w:spacing w:after="0" w:line="176" w:lineRule="exact"/>
        <w:rPr>
          <w:sz w:val="20"/>
          <w:szCs w:val="20"/>
          <w:color w:val="auto"/>
        </w:rPr>
      </w:pPr>
    </w:p>
    <w:p>
      <w:pPr>
        <w:ind w:left="120" w:right="20" w:firstLine="440"/>
        <w:spacing w:after="0" w:line="244" w:lineRule="auto"/>
        <w:rPr>
          <w:sz w:val="20"/>
          <w:szCs w:val="20"/>
          <w:color w:val="auto"/>
        </w:rPr>
      </w:pPr>
      <w:r>
        <w:rPr>
          <w:rFonts w:ascii="Times New Roman" w:cs="Times New Roman" w:eastAsia="Times New Roman" w:hAnsi="Times New Roman"/>
          <w:sz w:val="18"/>
          <w:szCs w:val="18"/>
          <w:color w:val="auto"/>
        </w:rPr>
        <w:t>The principal business address of RBC Capital Markets, LLC is Brookfield Place 200 Vesey Street, New York, New York 10281. The principal business address of Truist Securities, Inc. is 50 Hudson Yards, 70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New York, New York 10001. The principal business address of Citizens JMP Securities, LLC is 101 California Street, Suite 1700, San Francisco, California 94111. The principal business address of Keefe, Bruyette &amp; Woods, Inc. is 787 Seventh Avenue, 4th Floor, New York, New York 10019. The principal business address of Raymond James &amp; Associates, Inc. is 880 Carillon Parkway, St. Petersburg, Florida 33716.</w:t>
      </w:r>
    </w:p>
    <w:p>
      <w:pPr>
        <w:spacing w:after="0" w:line="1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20"/>
          </w:cols>
          <w:pgMar w:left="320" w:top="482"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for us by Simpson Thacher &amp; Bartlett LLP, Washington, D.C. In addition, Morris, Nichols, Arsht &amp; Tunnell LLP will pass on certain legal matters for us. Certain legal matters in connection with the offering will be passed upon for the sales agents by Ropes &amp; Gray LLP.</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0840"/>
          </w:cols>
          <w:pgMar w:left="320" w:top="482" w:right="7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4" w:lineRule="exact"/>
        <w:rPr>
          <w:sz w:val="20"/>
          <w:szCs w:val="20"/>
          <w:color w:val="auto"/>
        </w:rPr>
      </w:pPr>
    </w:p>
    <w:p>
      <w:pPr>
        <w:ind w:left="1080" w:right="5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13, 2025 (the “2024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4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February 13, 2025;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Annual Report on Form 10-K for the fiscal year ended </w:t>
      </w:r>
      <w:hyperlink r:id="rId43">
        <w:r>
          <w:rPr>
            <w:rFonts w:ascii="Times New Roman" w:cs="Times New Roman" w:eastAsia="Times New Roman" w:hAnsi="Times New Roman"/>
            <w:sz w:val="18"/>
            <w:szCs w:val="18"/>
            <w:u w:val="single" w:color="auto"/>
            <w:color w:val="0000EE"/>
          </w:rPr>
          <w:t>December 31, 2023</w:t>
        </w:r>
      </w:hyperlink>
      <w:r>
        <w:rPr>
          <w:rFonts w:ascii="Times New Roman" w:cs="Times New Roman" w:eastAsia="Times New Roman" w:hAnsi="Times New Roman"/>
          <w:sz w:val="18"/>
          <w:szCs w:val="18"/>
          <w:color w:val="auto"/>
        </w:rPr>
        <w:t xml:space="preserve">, filed with the SEC on February 15, 2024 from our Definitive Proxy Statement on </w:t>
      </w:r>
      <w:hyperlink r:id="rId44">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2024 Annual Meeting of Stockholders, filed with the SEC on April 11, 2024.</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87"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TSLX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IRTSLX@sixthstreet.com.</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1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757045" cy="548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7570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w:t>
      </w:r>
    </w:p>
    <w:p>
      <w:pPr>
        <w:sectPr>
          <w:pgSz w:w="11900" w:h="16838" w:orient="portrait"/>
          <w:cols w:equalWidth="0" w:num="1">
            <w:col w:w="11000"/>
          </w:cols>
          <w:pgMar w:left="440" w:top="293" w:right="459" w:bottom="1440" w:gutter="0" w:footer="0" w:header="0"/>
        </w:sectPr>
      </w:pPr>
    </w:p>
    <w:bookmarkStart w:id="24" w:name="page25"/>
    <w:bookmarkEnd w:id="24"/>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convertible or exchangeable into shares of our common stock. The securities may be offered at prices and on terms to be described in one or more supplements to this prospectus.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w:t>
      </w:r>
    </w:p>
    <w:p>
      <w:pPr>
        <w:spacing w:after="0" w:line="163" w:lineRule="exact"/>
        <w:rPr>
          <w:sz w:val="20"/>
          <w:szCs w:val="20"/>
          <w:color w:val="auto"/>
        </w:rPr>
      </w:pPr>
    </w:p>
    <w:p>
      <w:pPr>
        <w:ind w:right="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24 of this prospectus and in the documents incorporated by reference herein.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accompanied by a prospectus supplement.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18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22, 2023</w:t>
      </w:r>
    </w:p>
    <w:p>
      <w:pPr>
        <w:sectPr>
          <w:pgSz w:w="11900" w:h="16838" w:orient="portrait"/>
          <w:cols w:equalWidth="0" w:num="1">
            <w:col w:w="10980"/>
          </w:cols>
          <w:pgMar w:left="440" w:top="297" w:right="4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18"/>
        </w:trPr>
        <w:tc>
          <w:tcPr>
            <w:tcW w:w="86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9"/>
          </w:tcPr>
          <w:p>
            <w:pPr>
              <w:spacing w:after="0"/>
              <w:rPr>
                <w:sz w:val="17"/>
                <w:szCs w:val="17"/>
                <w:color w:val="auto"/>
              </w:rPr>
            </w:pPr>
          </w:p>
        </w:tc>
        <w:tc>
          <w:tcPr>
            <w:tcW w:w="64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340" w:type="dxa"/>
            <w:vAlign w:val="bottom"/>
            <w:gridSpan w:val="2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652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9"/>
          </w:tcPr>
          <w:p>
            <w:pPr>
              <w:spacing w:after="0"/>
              <w:rPr>
                <w:sz w:val="17"/>
                <w:szCs w:val="17"/>
                <w:color w:val="auto"/>
              </w:rPr>
            </w:pPr>
          </w:p>
        </w:tc>
        <w:tc>
          <w:tcPr>
            <w:tcW w:w="33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8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38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6840" w:type="dxa"/>
            <w:vAlign w:val="bottom"/>
            <w:gridSpan w:val="2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40" w:type="dxa"/>
            <w:vAlign w:val="bottom"/>
            <w:tcBorders>
              <w:top w:val="single" w:sz="8" w:color="0000EE"/>
            </w:tcBorders>
            <w:gridSpan w:val="4"/>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39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2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580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29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10"/>
          </w:tcPr>
          <w:p>
            <w:pPr>
              <w:spacing w:after="0"/>
              <w:rPr>
                <w:sz w:val="17"/>
                <w:szCs w:val="17"/>
                <w:color w:val="auto"/>
              </w:rPr>
            </w:pPr>
          </w:p>
        </w:tc>
        <w:tc>
          <w:tcPr>
            <w:tcW w:w="37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38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47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438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5"/>
          </w:tcPr>
          <w:p>
            <w:pPr>
              <w:spacing w:after="0"/>
              <w:rPr>
                <w:sz w:val="17"/>
                <w:szCs w:val="17"/>
                <w:color w:val="auto"/>
              </w:rPr>
            </w:pPr>
          </w:p>
        </w:tc>
        <w:tc>
          <w:tcPr>
            <w:tcW w:w="24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2260" w:type="dxa"/>
            <w:vAlign w:val="bottom"/>
            <w:gridSpan w:val="12"/>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6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firstLine="440"/>
        <w:spacing w:after="0" w:line="273" w:lineRule="auto"/>
        <w:rPr>
          <w:sz w:val="20"/>
          <w:szCs w:val="20"/>
          <w:color w:val="auto"/>
        </w:rPr>
      </w:pPr>
      <w:r>
        <w:rPr>
          <w:rFonts w:ascii="Times New Roman" w:cs="Times New Roman" w:eastAsia="Times New Roman" w:hAnsi="Times New Roman"/>
          <w:sz w:val="17"/>
          <w:szCs w:val="17"/>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93" w:right="439" w:bottom="1440" w:gutter="0" w:footer="0" w:header="0"/>
        </w:sectPr>
      </w:pPr>
    </w:p>
    <w:bookmarkStart w:id="26" w:name="page27"/>
    <w:bookmarkEnd w:id="26"/>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80"/>
          </w:cols>
          <w:pgMar w:left="440" w:top="297" w:right="47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02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6002655"/>
                    </a:xfrm>
                    <a:prstGeom prst="rect">
                      <a:avLst/>
                    </a:prstGeom>
                    <a:noFill/>
                  </pic:spPr>
                </pic:pic>
              </a:graphicData>
            </a:graphic>
          </wp:anchor>
        </w:drawing>
        <w:t>SUMMARY</w:t>
      </w:r>
    </w:p>
    <w:p>
      <w:pPr>
        <w:spacing w:after="0" w:line="229" w:lineRule="exact"/>
        <w:rPr>
          <w:sz w:val="20"/>
          <w:szCs w:val="20"/>
          <w:color w:val="auto"/>
        </w:rPr>
      </w:pPr>
    </w:p>
    <w:p>
      <w:pPr>
        <w:ind w:right="20" w:firstLine="426"/>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used in the prospectus, except where the context suggests otherwise, references to:</w:t>
      </w:r>
    </w:p>
    <w:p>
      <w:pPr>
        <w:spacing w:after="0" w:line="131" w:lineRule="exact"/>
        <w:rPr>
          <w:sz w:val="20"/>
          <w:szCs w:val="20"/>
          <w:color w:val="auto"/>
        </w:rPr>
      </w:pPr>
    </w:p>
    <w:p>
      <w:pPr>
        <w:ind w:left="940" w:right="360" w:hanging="523"/>
        <w:spacing w:after="0" w:line="282"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“TSLX,” “Sixth Street Specialty Lending,” “we,” “us,” “our,” the “Company,” and the “Registrant” refer to Sixth Street Specialty Lending, Inc., a Delaware corporation, and its consolidated subsidiaries;</w:t>
      </w:r>
    </w:p>
    <w:p>
      <w:pPr>
        <w:spacing w:after="0" w:line="67" w:lineRule="exact"/>
        <w:rPr>
          <w:rFonts w:ascii="Times New Roman" w:cs="Times New Roman" w:eastAsia="Times New Roman" w:hAnsi="Times New Roman"/>
          <w:sz w:val="18"/>
          <w:szCs w:val="18"/>
          <w:color w:val="auto"/>
        </w:rPr>
      </w:pPr>
    </w:p>
    <w:p>
      <w:pPr>
        <w:jc w:val="both"/>
        <w:ind w:left="940" w:right="120" w:hanging="523"/>
        <w:spacing w:after="0" w:line="266"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refers to Sixth Street Partners, LLC.</w:t>
      </w:r>
    </w:p>
    <w:p>
      <w:pPr>
        <w:spacing w:after="0" w:line="225"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September 30, 2023, we have originated more than $28.6 billion aggregate principal amount of investments and retained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 billion aggregate principal amount of these investments on our balance sheet prior to any subsequent exits and repayments. We seek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 current income primarily in U.S.-domiciled middle-market companies through direct originations of senior secured loans and, to a lesser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originations of mezzanine and unsecured loans and investments in corporate bonds and equity securities. By “middle-market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mean companies that have annual earnings before interest, income taxes, depreciation and amortization, or EBITDA, which we believe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useful proxy for cash flow, of $10 million to $250 million, although we may invest in larger or smaller companies on occasion.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our core portfolio companies, which excludes certain investments that fall outside of our typical borrower profile and represent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92.8% of our total investments based on fair value, had weighted average annual revenue of $209.0 million and weighted average annual 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$69.2 million.</w:t>
      </w:r>
    </w:p>
    <w:p>
      <w:pPr>
        <w:spacing w:after="0" w:line="207" w:lineRule="exact"/>
        <w:rPr>
          <w:sz w:val="20"/>
          <w:szCs w:val="20"/>
          <w:color w:val="auto"/>
        </w:rPr>
      </w:pPr>
    </w:p>
    <w:p>
      <w:pPr>
        <w:ind w:right="40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40"/>
          </w:cols>
          <w:pgMar w:left="620" w:top="482"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Investment Portfolio</w:t>
      </w:r>
    </w:p>
    <w:p>
      <w:pPr>
        <w:spacing w:after="0" w:line="121" w:lineRule="exact"/>
        <w:rPr>
          <w:sz w:val="20"/>
          <w:szCs w:val="20"/>
          <w:color w:val="auto"/>
        </w:rPr>
      </w:pPr>
    </w:p>
    <w:p>
      <w:pPr>
        <w:ind w:firstLine="426"/>
        <w:spacing w:after="0" w:line="25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right="20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jc w:val="both"/>
        <w:ind w:right="6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80" w:lineRule="exact"/>
        <w:rPr>
          <w:sz w:val="20"/>
          <w:szCs w:val="20"/>
          <w:color w:val="auto"/>
        </w:rPr>
      </w:pPr>
    </w:p>
    <w:p>
      <w:pPr>
        <w:ind w:right="22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76" w:lineRule="exact"/>
        <w:rPr>
          <w:sz w:val="20"/>
          <w:szCs w:val="20"/>
          <w:color w:val="auto"/>
        </w:rPr>
      </w:pPr>
    </w:p>
    <w:p>
      <w:pPr>
        <w:ind w:firstLine="426"/>
        <w:spacing w:after="0" w:line="277" w:lineRule="auto"/>
        <w:rPr>
          <w:sz w:val="20"/>
          <w:szCs w:val="20"/>
          <w:color w:val="auto"/>
        </w:rPr>
      </w:pPr>
      <w:r>
        <w:rPr>
          <w:rFonts w:ascii="Times New Roman" w:cs="Times New Roman" w:eastAsia="Times New Roman" w:hAnsi="Times New Roman"/>
          <w:sz w:val="17"/>
          <w:szCs w:val="17"/>
          <w:color w:val="auto"/>
        </w:rPr>
        <w:t>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w:t>
      </w:r>
    </w:p>
    <w:p>
      <w:pPr>
        <w:spacing w:after="0" w:line="168" w:lineRule="exact"/>
        <w:rPr>
          <w:sz w:val="20"/>
          <w:szCs w:val="20"/>
          <w:color w:val="auto"/>
        </w:rPr>
      </w:pPr>
    </w:p>
    <w:p>
      <w:pPr>
        <w:ind w:right="20" w:firstLine="426"/>
        <w:spacing w:after="0" w:line="274" w:lineRule="auto"/>
        <w:rPr>
          <w:sz w:val="20"/>
          <w:szCs w:val="20"/>
          <w:color w:val="auto"/>
        </w:rPr>
      </w:pPr>
      <w:r>
        <w:rPr>
          <w:rFonts w:ascii="Times New Roman" w:cs="Times New Roman" w:eastAsia="Times New Roman" w:hAnsi="Times New Roman"/>
          <w:sz w:val="17"/>
          <w:szCs w:val="17"/>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right="4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620" w:top="482" w:right="679" w:bottom="1440" w:gutter="0" w:footer="0" w:header="0"/>
        </w:sectPr>
      </w:pPr>
    </w:p>
    <w:bookmarkStart w:id="29" w:name="page30"/>
    <w:bookmarkEnd w:id="29"/>
    <w:p>
      <w:pPr>
        <w:ind w:firstLine="42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68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5968365"/>
                    </a:xfrm>
                    <a:prstGeom prst="rect">
                      <a:avLst/>
                    </a:prstGeom>
                    <a:noFill/>
                  </pic:spPr>
                </pic:pic>
              </a:graphicData>
            </a:graphic>
          </wp:anchor>
        </w:drawing>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right="360" w:firstLine="426"/>
        <w:spacing w:after="0" w:line="26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76" w:lineRule="exact"/>
        <w:rPr>
          <w:sz w:val="20"/>
          <w:szCs w:val="20"/>
          <w:color w:val="auto"/>
        </w:rPr>
      </w:pPr>
    </w:p>
    <w:p>
      <w:pPr>
        <w:ind w:right="2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3"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92" w:lineRule="exact"/>
        <w:rPr>
          <w:sz w:val="20"/>
          <w:szCs w:val="20"/>
          <w:color w:val="auto"/>
        </w:rPr>
      </w:pPr>
    </w:p>
    <w:p>
      <w:pPr>
        <w:ind w:right="6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160" w:firstLine="42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20"/>
          </w:cols>
          <w:pgMar w:left="620" w:top="486"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About Our Administrator</w:t>
      </w:r>
    </w:p>
    <w:p>
      <w:pPr>
        <w:spacing w:after="0" w:line="121" w:lineRule="exact"/>
        <w:rPr>
          <w:sz w:val="20"/>
          <w:szCs w:val="20"/>
          <w:color w:val="auto"/>
        </w:rPr>
      </w:pPr>
    </w:p>
    <w:p>
      <w:pPr>
        <w:ind w:right="100" w:firstLine="426"/>
        <w:spacing w:after="0" w:line="255"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9"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ind w:right="100" w:firstLine="426"/>
        <w:spacing w:after="0" w:line="266" w:lineRule="auto"/>
        <w:rPr>
          <w:sz w:val="20"/>
          <w:szCs w:val="20"/>
          <w:color w:val="auto"/>
        </w:rPr>
      </w:pPr>
      <w:r>
        <w:rPr>
          <w:rFonts w:ascii="Times New Roman" w:cs="Times New Roman" w:eastAsia="Times New Roman" w:hAnsi="Times New Roman"/>
          <w:sz w:val="18"/>
          <w:szCs w:val="18"/>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section entitled “Administration Agreement” in Note 3 to our consolidated financial statements in our 3Q 2023 Quarterly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right="80" w:firstLine="42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right="2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8" w:lineRule="exact"/>
        <w:rPr>
          <w:sz w:val="20"/>
          <w:szCs w:val="20"/>
          <w:color w:val="auto"/>
        </w:rPr>
      </w:pPr>
    </w:p>
    <w:p>
      <w:pPr>
        <w:ind w:right="1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40"/>
          </w:cols>
          <w:pgMar w:left="620" w:top="482" w:right="639" w:bottom="1440" w:gutter="0" w:footer="0" w:header="0"/>
        </w:sectPr>
      </w:pPr>
    </w:p>
    <w:bookmarkStart w:id="31" w:name="page32"/>
    <w:bookmarkEnd w:id="31"/>
    <w:p>
      <w:pPr>
        <w:ind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42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6242685"/>
                    </a:xfrm>
                    <a:prstGeom prst="rect">
                      <a:avLst/>
                    </a:prstGeom>
                    <a:noFill/>
                  </pic:spPr>
                </pic:pic>
              </a:graphicData>
            </a:graphic>
          </wp:anchor>
        </w:drawing>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2" w:lineRule="exact"/>
        <w:rPr>
          <w:sz w:val="20"/>
          <w:szCs w:val="20"/>
          <w:color w:val="auto"/>
        </w:rPr>
      </w:pPr>
    </w:p>
    <w:p>
      <w:pPr>
        <w:ind w:right="2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3"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80" w:lineRule="exact"/>
        <w:rPr>
          <w:sz w:val="20"/>
          <w:szCs w:val="20"/>
          <w:color w:val="auto"/>
        </w:rPr>
      </w:pPr>
    </w:p>
    <w:p>
      <w:pPr>
        <w:ind w:right="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right="1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w:t>
      </w:r>
    </w:p>
    <w:p>
      <w:pPr>
        <w:spacing w:after="0" w:line="185" w:lineRule="exact"/>
        <w:rPr>
          <w:sz w:val="20"/>
          <w:szCs w:val="20"/>
          <w:color w:val="auto"/>
        </w:rPr>
      </w:pPr>
    </w:p>
    <w:p>
      <w:pPr>
        <w:ind w:right="240" w:firstLine="426"/>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3"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74" w:lineRule="exact"/>
        <w:rPr>
          <w:sz w:val="20"/>
          <w:szCs w:val="20"/>
          <w:color w:val="auto"/>
        </w:rPr>
      </w:pPr>
    </w:p>
    <w:p>
      <w:pPr>
        <w:ind w:right="4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seeks to</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40"/>
          </w:cols>
          <w:pgMar w:left="620" w:top="484" w:right="639" w:bottom="1440" w:gutter="0" w:footer="0" w:header="0"/>
        </w:sectPr>
      </w:pPr>
    </w:p>
    <w:bookmarkStart w:id="32" w:name="page33"/>
    <w:bookmarkEnd w:id="32"/>
    <w:p>
      <w:pPr>
        <w:ind w:right="9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741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6174105"/>
                    </a:xfrm>
                    <a:prstGeom prst="rect">
                      <a:avLst/>
                    </a:prstGeom>
                    <a:noFill/>
                  </pic:spPr>
                </pic:pic>
              </a:graphicData>
            </a:graphic>
          </wp:anchor>
        </w:drawing>
        <w:t>combine a rigorous analysis of macroeconomic and market factors with a deep understanding of individual companies and their assets, management and prospects. We believe four factors distinguish our investment approach:</w:t>
      </w:r>
    </w:p>
    <w:p>
      <w:pPr>
        <w:spacing w:after="0" w:line="65" w:lineRule="exact"/>
        <w:rPr>
          <w:sz w:val="20"/>
          <w:szCs w:val="20"/>
          <w:color w:val="auto"/>
        </w:rPr>
      </w:pPr>
    </w:p>
    <w:p>
      <w:pPr>
        <w:ind w:left="940" w:right="340" w:hanging="523"/>
        <w:spacing w:after="0" w:line="284"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Sixth Street allow us to determine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opportunities and identify relative value.</w:t>
      </w:r>
    </w:p>
    <w:p>
      <w:pPr>
        <w:spacing w:after="0" w:line="63" w:lineRule="exact"/>
        <w:rPr>
          <w:rFonts w:ascii="Times New Roman" w:cs="Times New Roman" w:eastAsia="Times New Roman" w:hAnsi="Times New Roman"/>
          <w:sz w:val="18"/>
          <w:szCs w:val="18"/>
          <w:color w:val="auto"/>
        </w:rPr>
      </w:pPr>
    </w:p>
    <w:p>
      <w:pPr>
        <w:ind w:left="940" w:right="180" w:hanging="523"/>
        <w:spacing w:after="0" w:line="258"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940" w:right="320" w:hanging="523"/>
        <w:spacing w:after="0" w:line="284"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3" w:lineRule="exact"/>
        <w:rPr>
          <w:rFonts w:ascii="Times New Roman" w:cs="Times New Roman" w:eastAsia="Times New Roman" w:hAnsi="Times New Roman"/>
          <w:sz w:val="18"/>
          <w:szCs w:val="18"/>
          <w:color w:val="auto"/>
        </w:rPr>
      </w:pPr>
    </w:p>
    <w:p>
      <w:pPr>
        <w:ind w:left="940" w:right="160" w:hanging="523"/>
        <w:spacing w:after="0" w:line="258"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88" w:lineRule="exact"/>
        <w:rPr>
          <w:rFonts w:ascii="Times New Roman" w:cs="Times New Roman" w:eastAsia="Times New Roman" w:hAnsi="Times New Roman"/>
          <w:sz w:val="18"/>
          <w:szCs w:val="18"/>
          <w:color w:val="auto"/>
        </w:rPr>
      </w:pPr>
    </w:p>
    <w:p>
      <w:pPr>
        <w:ind w:left="940" w:right="100" w:hanging="523"/>
        <w:spacing w:after="0" w:line="257"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jc w:val="both"/>
        <w:ind w:left="940" w:hanging="523"/>
        <w:spacing w:after="0" w:line="267"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78" w:lineRule="exact"/>
        <w:rPr>
          <w:rFonts w:ascii="Times New Roman" w:cs="Times New Roman" w:eastAsia="Times New Roman" w:hAnsi="Times New Roman"/>
          <w:sz w:val="18"/>
          <w:szCs w:val="18"/>
          <w:color w:val="auto"/>
        </w:rPr>
      </w:pPr>
    </w:p>
    <w:p>
      <w:pPr>
        <w:ind w:left="940" w:right="400" w:hanging="523"/>
        <w:spacing w:after="0" w:line="267"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future payment income. In addition, most of our investments are floating rate in nature, which we believe helps act as a portfolio-wide hedge against inflation.</w:t>
      </w:r>
    </w:p>
    <w:p>
      <w:pPr>
        <w:spacing w:after="0" w:line="78" w:lineRule="exact"/>
        <w:rPr>
          <w:rFonts w:ascii="Times New Roman" w:cs="Times New Roman" w:eastAsia="Times New Roman" w:hAnsi="Times New Roman"/>
          <w:sz w:val="18"/>
          <w:szCs w:val="18"/>
          <w:color w:val="auto"/>
        </w:rPr>
      </w:pPr>
    </w:p>
    <w:p>
      <w:pPr>
        <w:ind w:left="940" w:right="180" w:hanging="523"/>
        <w:spacing w:after="0" w:line="267"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w:t>
      </w:r>
    </w:p>
    <w:p>
      <w:pPr>
        <w:spacing w:after="0" w:line="223" w:lineRule="exact"/>
        <w:rPr>
          <w:sz w:val="20"/>
          <w:szCs w:val="20"/>
          <w:color w:val="auto"/>
        </w:rPr>
      </w:pPr>
    </w:p>
    <w:p>
      <w:pPr>
        <w:ind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Carefully constructed, existing portfolio consisting of predominantly senior, floating rate loans across a broad range of industries and borrowers</w:t>
      </w:r>
      <w:r>
        <w:rPr>
          <w:rFonts w:ascii="Times New Roman" w:cs="Times New Roman" w:eastAsia="Times New Roman" w:hAnsi="Times New Roman"/>
          <w:sz w:val="18"/>
          <w:szCs w:val="18"/>
          <w:color w:val="auto"/>
        </w:rPr>
        <w:t>. Since we began investing in July 2011, through September 30, 2023, we have originated more than $28.6 billion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investments. As of September 30, 2023, our investment portfolio consisted of investments in 131 portfolio companies (including 42 structured credit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40"/>
          </w:cols>
          <w:pgMar w:left="620" w:top="486" w:right="639" w:bottom="1440" w:gutter="0" w:footer="0" w:header="0"/>
        </w:sectPr>
      </w:pPr>
    </w:p>
    <w:bookmarkStart w:id="33" w:name="page34"/>
    <w:bookmarkEnd w:id="3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17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6217285"/>
                    </a:xfrm>
                    <a:prstGeom prst="rect">
                      <a:avLst/>
                    </a:prstGeom>
                    <a:noFill/>
                  </pic:spPr>
                </pic:pic>
              </a:graphicData>
            </a:graphic>
          </wp:anchor>
        </w:drawing>
        <w:t>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w:t>
      </w:r>
    </w:p>
    <w:p>
      <w:pPr>
        <w:spacing w:after="0" w:line="181" w:lineRule="exact"/>
        <w:rPr>
          <w:sz w:val="20"/>
          <w:szCs w:val="20"/>
          <w:color w:val="auto"/>
        </w:rPr>
      </w:pPr>
    </w:p>
    <w:p>
      <w:pPr>
        <w:ind w:right="18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nine Sixth Street Partners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jc w:val="both"/>
        <w:ind w:right="3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right="80" w:firstLine="426"/>
        <w:spacing w:after="0" w:line="312" w:lineRule="auto"/>
        <w:rPr>
          <w:sz w:val="20"/>
          <w:szCs w:val="20"/>
          <w:color w:val="auto"/>
        </w:rPr>
      </w:pPr>
      <w:r>
        <w:rPr>
          <w:rFonts w:ascii="Times New Roman" w:cs="Times New Roman" w:eastAsia="Times New Roman" w:hAnsi="Times New Roman"/>
          <w:sz w:val="17"/>
          <w:szCs w:val="17"/>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940" w:right="120" w:hanging="523"/>
        <w:spacing w:after="0" w:line="257"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w:t>
      </w:r>
    </w:p>
    <w:p>
      <w:pPr>
        <w:spacing w:after="0" w:line="87" w:lineRule="exact"/>
        <w:rPr>
          <w:rFonts w:ascii="Times New Roman" w:cs="Times New Roman" w:eastAsia="Times New Roman" w:hAnsi="Times New Roman"/>
          <w:sz w:val="18"/>
          <w:szCs w:val="18"/>
          <w:color w:val="auto"/>
        </w:rPr>
      </w:pPr>
    </w:p>
    <w:p>
      <w:pPr>
        <w:ind w:left="940" w:right="180" w:hanging="523"/>
        <w:spacing w:after="0" w:line="290" w:lineRule="auto"/>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 Allocation</w:t>
      </w:r>
      <w:r>
        <w:rPr>
          <w:rFonts w:ascii="Times New Roman" w:cs="Times New Roman" w:eastAsia="Times New Roman" w:hAnsi="Times New Roman"/>
          <w:sz w:val="17"/>
          <w:szCs w:val="17"/>
          <w:color w:val="auto"/>
        </w:rPr>
        <w:t>. As a BDC, we are required to invest at least 70% of our total assets in qualifying assets, which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62" w:lineRule="exact"/>
        <w:rPr>
          <w:rFonts w:ascii="Times New Roman" w:cs="Times New Roman" w:eastAsia="Times New Roman" w:hAnsi="Times New Roman"/>
          <w:sz w:val="17"/>
          <w:szCs w:val="17"/>
          <w:color w:val="auto"/>
        </w:rPr>
      </w:pPr>
    </w:p>
    <w:p>
      <w:pPr>
        <w:ind w:left="940" w:hanging="523"/>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940" w:right="80" w:hanging="523"/>
        <w:spacing w:after="0" w:line="312" w:lineRule="auto"/>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45" w:lineRule="exact"/>
        <w:rPr>
          <w:rFonts w:ascii="Times New Roman" w:cs="Times New Roman" w:eastAsia="Times New Roman" w:hAnsi="Times New Roman"/>
          <w:sz w:val="17"/>
          <w:szCs w:val="17"/>
          <w:color w:val="auto"/>
        </w:rPr>
      </w:pPr>
    </w:p>
    <w:p>
      <w:pPr>
        <w:ind w:left="940" w:hanging="523"/>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20"/>
          </w:cols>
          <w:pgMar w:left="620" w:top="486" w:right="659" w:bottom="1440" w:gutter="0" w:footer="0" w:header="0"/>
        </w:sectPr>
      </w:pPr>
    </w:p>
    <w:bookmarkStart w:id="34" w:name="page35"/>
    <w:bookmarkEnd w:id="34"/>
    <w:p>
      <w:pPr>
        <w:ind w:right="200" w:firstLine="42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458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6045835"/>
                    </a:xfrm>
                    <a:prstGeom prst="rect">
                      <a:avLst/>
                    </a:prstGeom>
                    <a:noFill/>
                  </pic:spPr>
                </pic:pic>
              </a:graphicData>
            </a:graphic>
          </wp:anchor>
        </w:drawing>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940" w:right="80" w:hanging="523"/>
        <w:spacing w:after="0" w:line="267"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our earnings subject to corporate-level U.S. federal income taxation, we must satisfy certain source of income, asset diversification and distribution requirements.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right="80" w:firstLine="426"/>
        <w:spacing w:after="0" w:line="261"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6" w:lineRule="exact"/>
        <w:rPr>
          <w:sz w:val="20"/>
          <w:szCs w:val="20"/>
          <w:color w:val="auto"/>
        </w:rPr>
      </w:pPr>
    </w:p>
    <w:p>
      <w:pPr>
        <w:ind w:firstLine="426"/>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w:t>
      </w:r>
    </w:p>
    <w:p>
      <w:pPr>
        <w:spacing w:after="0" w:line="189" w:lineRule="exact"/>
        <w:rPr>
          <w:sz w:val="20"/>
          <w:szCs w:val="20"/>
          <w:color w:val="auto"/>
        </w:rPr>
      </w:pPr>
    </w:p>
    <w:p>
      <w:pPr>
        <w:jc w:val="both"/>
        <w:ind w:right="40" w:firstLine="426"/>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7" w:lineRule="exact"/>
        <w:rPr>
          <w:sz w:val="20"/>
          <w:szCs w:val="20"/>
          <w:color w:val="auto"/>
        </w:rPr>
      </w:pPr>
    </w:p>
    <w:p>
      <w:pPr>
        <w:ind w:right="160" w:firstLine="426"/>
        <w:spacing w:after="0" w:line="274" w:lineRule="auto"/>
        <w:rPr>
          <w:sz w:val="20"/>
          <w:szCs w:val="20"/>
          <w:color w:val="auto"/>
        </w:rPr>
      </w:pPr>
      <w:r>
        <w:rPr>
          <w:rFonts w:ascii="Times New Roman" w:cs="Times New Roman" w:eastAsia="Times New Roman" w:hAnsi="Times New Roman"/>
          <w:sz w:val="17"/>
          <w:szCs w:val="17"/>
          <w:color w:val="auto"/>
        </w:rPr>
        <w:t>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20"/>
          </w:cols>
          <w:pgMar w:left="620" w:top="486"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Conflicts of Interests</w:t>
      </w:r>
    </w:p>
    <w:p>
      <w:pPr>
        <w:spacing w:after="0" w:line="121" w:lineRule="exact"/>
        <w:rPr>
          <w:sz w:val="20"/>
          <w:szCs w:val="20"/>
          <w:color w:val="auto"/>
        </w:rPr>
      </w:pPr>
    </w:p>
    <w:p>
      <w:pPr>
        <w:ind w:firstLine="426"/>
        <w:spacing w:after="0" w:line="252"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196" w:lineRule="exact"/>
        <w:rPr>
          <w:sz w:val="20"/>
          <w:szCs w:val="20"/>
          <w:color w:val="auto"/>
        </w:rPr>
      </w:pPr>
    </w:p>
    <w:p>
      <w:pPr>
        <w:ind w:right="60" w:firstLine="426"/>
        <w:spacing w:after="0" w:line="253"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94" w:lineRule="exact"/>
        <w:rPr>
          <w:sz w:val="20"/>
          <w:szCs w:val="20"/>
          <w:color w:val="auto"/>
        </w:rPr>
      </w:pPr>
    </w:p>
    <w:p>
      <w:pPr>
        <w:ind w:right="60" w:firstLine="42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89" w:lineRule="exact"/>
        <w:rPr>
          <w:sz w:val="20"/>
          <w:szCs w:val="20"/>
          <w:color w:val="auto"/>
        </w:rPr>
      </w:pPr>
    </w:p>
    <w:p>
      <w:pPr>
        <w:ind w:right="80" w:firstLine="426"/>
        <w:spacing w:after="0" w:line="266" w:lineRule="auto"/>
        <w:rPr>
          <w:sz w:val="20"/>
          <w:szCs w:val="20"/>
          <w:color w:val="auto"/>
        </w:rPr>
      </w:pPr>
      <w:r>
        <w:rPr>
          <w:rFonts w:ascii="Times New Roman" w:cs="Times New Roman" w:eastAsia="Times New Roman" w:hAnsi="Times New Roman"/>
          <w:sz w:val="18"/>
          <w:szCs w:val="18"/>
          <w:color w:val="auto"/>
        </w:rPr>
        <w:t>See “Certain Relationships and Related Party Transactions” in our Definitive Proxy Statement on Schedule 14A relating to our 2023 Annual Meeting of Stockholders filed with the SEC on April 13, 2023 (“2023 Annual Proxy”), and such section is incorporated by reference in this prospectus.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20"/>
          </w:cols>
          <w:pgMar w:left="620" w:top="482" w:right="6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9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6259830"/>
                    </a:xfrm>
                    <a:prstGeom prst="rect">
                      <a:avLst/>
                    </a:prstGeom>
                    <a:noFill/>
                  </pic:spPr>
                </pic:pic>
              </a:graphicData>
            </a:graphic>
          </wp:anchor>
        </w:drawing>
        <w:t>Exemptive Order</w:t>
      </w:r>
    </w:p>
    <w:p>
      <w:pPr>
        <w:spacing w:after="0" w:line="121" w:lineRule="exact"/>
        <w:rPr>
          <w:sz w:val="20"/>
          <w:szCs w:val="20"/>
          <w:color w:val="auto"/>
        </w:rPr>
      </w:pPr>
    </w:p>
    <w:p>
      <w:pPr>
        <w:jc w:val="both"/>
        <w:ind w:right="140" w:firstLine="426"/>
        <w:spacing w:after="0" w:line="266"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76" w:lineRule="exact"/>
        <w:rPr>
          <w:sz w:val="20"/>
          <w:szCs w:val="20"/>
          <w:color w:val="auto"/>
        </w:rPr>
      </w:pPr>
    </w:p>
    <w:p>
      <w:pPr>
        <w:ind w:right="20" w:firstLine="426"/>
        <w:spacing w:after="0" w:line="261" w:lineRule="auto"/>
        <w:rPr>
          <w:sz w:val="20"/>
          <w:szCs w:val="20"/>
          <w:color w:val="auto"/>
        </w:rPr>
      </w:pPr>
      <w:r>
        <w:rPr>
          <w:rFonts w:ascii="Times New Roman" w:cs="Times New Roman" w:eastAsia="Times New Roman" w:hAnsi="Times New Roman"/>
          <w:sz w:val="18"/>
          <w:szCs w:val="18"/>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80" w:lineRule="exact"/>
        <w:rPr>
          <w:sz w:val="20"/>
          <w:szCs w:val="20"/>
          <w:color w:val="auto"/>
        </w:rPr>
      </w:pPr>
    </w:p>
    <w:p>
      <w:pPr>
        <w:ind w:right="40" w:firstLine="426"/>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right="420" w:firstLine="426"/>
        <w:spacing w:after="0" w:line="282" w:lineRule="auto"/>
        <w:rPr>
          <w:sz w:val="20"/>
          <w:szCs w:val="20"/>
          <w:color w:val="auto"/>
        </w:rPr>
      </w:pPr>
      <w:r>
        <w:rPr>
          <w:rFonts w:ascii="Times New Roman" w:cs="Times New Roman" w:eastAsia="Times New Roman" w:hAnsi="Times New Roman"/>
          <w:sz w:val="18"/>
          <w:szCs w:val="18"/>
          <w:color w:val="auto"/>
        </w:rPr>
        <w:t>See “Regulation as a Business Development Company-Transactions with our Affiliates” in our 2022 Annual Report, and such section is incorporated by reference in this prospectus.</w:t>
      </w:r>
    </w:p>
    <w:p>
      <w:pPr>
        <w:spacing w:after="0" w:line="162" w:lineRule="exact"/>
        <w:rPr>
          <w:sz w:val="20"/>
          <w:szCs w:val="20"/>
          <w:color w:val="auto"/>
        </w:rPr>
      </w:pPr>
    </w:p>
    <w:p>
      <w:pPr>
        <w:ind w:right="180" w:firstLine="426"/>
        <w:spacing w:after="0" w:line="282" w:lineRule="auto"/>
        <w:rPr>
          <w:sz w:val="20"/>
          <w:szCs w:val="20"/>
          <w:color w:val="auto"/>
        </w:rPr>
      </w:pPr>
      <w:r>
        <w:rPr>
          <w:rFonts w:ascii="Times New Roman" w:cs="Times New Roman" w:eastAsia="Times New Roman" w:hAnsi="Times New Roman"/>
          <w:sz w:val="18"/>
          <w:szCs w:val="18"/>
          <w:color w:val="auto"/>
        </w:rPr>
        <w:t>See “Certain Relationships and Related Party Transactions—Exemptive Order” in our 2023 Annual Proxy, and such section is incorporated by reference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140" w:firstLine="426"/>
        <w:spacing w:after="0" w:line="258"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33" w:lineRule="exact"/>
        <w:rPr>
          <w:sz w:val="20"/>
          <w:szCs w:val="20"/>
          <w:color w:val="auto"/>
        </w:rPr>
      </w:pPr>
    </w:p>
    <w:p>
      <w:pPr>
        <w:ind w:left="940" w:hanging="523"/>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30" w:lineRule="exact"/>
        <w:rPr>
          <w:rFonts w:ascii="Times New Roman" w:cs="Times New Roman" w:eastAsia="Times New Roman" w:hAnsi="Times New Roman"/>
          <w:sz w:val="18"/>
          <w:szCs w:val="18"/>
          <w:color w:val="auto"/>
        </w:rPr>
      </w:pPr>
    </w:p>
    <w:p>
      <w:pPr>
        <w:ind w:left="940" w:right="40" w:hanging="523"/>
        <w:spacing w:after="0" w:line="28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40"/>
          </w:cols>
          <w:pgMar w:left="620" w:top="482" w:right="639" w:bottom="1440" w:gutter="0" w:footer="0" w:header="0"/>
        </w:sectPr>
      </w:pPr>
    </w:p>
    <w:bookmarkStart w:id="37" w:name="page38"/>
    <w:bookmarkEnd w:id="37"/>
    <w:p>
      <w:pPr>
        <w:ind w:left="940" w:hanging="523"/>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80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6680200"/>
                    </a:xfrm>
                    <a:prstGeom prst="rect">
                      <a:avLst/>
                    </a:prstGeom>
                    <a:noFill/>
                  </pic:spPr>
                </pic:pic>
              </a:graphicData>
            </a:graphic>
          </wp:anchor>
        </w:drawing>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940" w:right="560" w:hanging="523"/>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940" w:hanging="523"/>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940" w:right="140" w:hanging="523"/>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940" w:right="20" w:hanging="523"/>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940" w:hanging="523"/>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a nondeductible 4% U.S. federal excise tax.</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940" w:hanging="523"/>
        <w:spacing w:after="0" w:line="266"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81" w:lineRule="exact"/>
        <w:rPr>
          <w:rFonts w:ascii="Times New Roman" w:cs="Times New Roman" w:eastAsia="Times New Roman" w:hAnsi="Times New Roman"/>
          <w:sz w:val="18"/>
          <w:szCs w:val="18"/>
          <w:color w:val="auto"/>
        </w:rPr>
      </w:pPr>
    </w:p>
    <w:p>
      <w:pPr>
        <w:ind w:left="940" w:right="140" w:hanging="523"/>
        <w:spacing w:after="0" w:line="312" w:lineRule="auto"/>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5" w:lineRule="exact"/>
        <w:rPr>
          <w:rFonts w:ascii="Times New Roman" w:cs="Times New Roman" w:eastAsia="Times New Roman" w:hAnsi="Times New Roman"/>
          <w:sz w:val="17"/>
          <w:szCs w:val="17"/>
          <w:color w:val="auto"/>
        </w:rPr>
      </w:pPr>
    </w:p>
    <w:p>
      <w:pPr>
        <w:ind w:left="940" w:hanging="523"/>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ind w:left="940" w:right="520" w:hanging="523"/>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940" w:right="140" w:hanging="523"/>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33" w:lineRule="exact"/>
        <w:rPr>
          <w:sz w:val="20"/>
          <w:szCs w:val="20"/>
          <w:color w:val="auto"/>
        </w:rPr>
      </w:pPr>
    </w:p>
    <w:p>
      <w:pPr>
        <w:ind w:left="940" w:right="500" w:hanging="523"/>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67" w:lineRule="exact"/>
        <w:rPr>
          <w:rFonts w:ascii="Times New Roman" w:cs="Times New Roman" w:eastAsia="Times New Roman" w:hAnsi="Times New Roman"/>
          <w:sz w:val="18"/>
          <w:szCs w:val="18"/>
          <w:color w:val="auto"/>
        </w:rPr>
      </w:pPr>
    </w:p>
    <w:p>
      <w:pPr>
        <w:ind w:left="940" w:right="40" w:hanging="523"/>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67" w:lineRule="exact"/>
        <w:rPr>
          <w:rFonts w:ascii="Times New Roman" w:cs="Times New Roman" w:eastAsia="Times New Roman" w:hAnsi="Times New Roman"/>
          <w:sz w:val="18"/>
          <w:szCs w:val="18"/>
          <w:color w:val="auto"/>
        </w:rPr>
      </w:pPr>
    </w:p>
    <w:p>
      <w:pPr>
        <w:ind w:left="940" w:right="600" w:hanging="523"/>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financial stability could have a significant adverse effect on our business, results of operations and financial condition.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20"/>
          </w:cols>
          <w:pgMar w:left="620" w:top="486" w:right="659" w:bottom="1440" w:gutter="0" w:footer="0" w:header="0"/>
        </w:sectPr>
      </w:pPr>
    </w:p>
    <w:bookmarkStart w:id="38" w:name="page39"/>
    <w:bookmarkEnd w:id="38"/>
    <w:p>
      <w:pPr>
        <w:ind w:left="940" w:hanging="523"/>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48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6748780"/>
                    </a:xfrm>
                    <a:prstGeom prst="rect">
                      <a:avLst/>
                    </a:prstGeom>
                    <a:noFill/>
                  </pic:spPr>
                </pic:pic>
              </a:graphicData>
            </a:graphic>
          </wp:anchor>
        </w:drawing>
        <w:t>Economic recessions or downturns could impair our portfolio companies and harm our operating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33" w:lineRule="exact"/>
        <w:rPr>
          <w:sz w:val="20"/>
          <w:szCs w:val="20"/>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jc w:val="both"/>
        <w:ind w:left="940" w:right="180" w:hanging="523"/>
        <w:spacing w:after="0" w:line="26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940" w:right="200" w:hanging="523"/>
        <w:spacing w:after="0" w:line="26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30" w:lineRule="exact"/>
        <w:rPr>
          <w:rFonts w:ascii="Times New Roman" w:cs="Times New Roman" w:eastAsia="Times New Roman" w:hAnsi="Times New Roman"/>
          <w:sz w:val="18"/>
          <w:szCs w:val="18"/>
          <w:color w:val="auto"/>
        </w:rPr>
      </w:pPr>
    </w:p>
    <w:p>
      <w:pPr>
        <w:ind w:left="940" w:hanging="523"/>
        <w:spacing w:after="0" w:line="26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30" w:lineRule="exact"/>
        <w:rPr>
          <w:rFonts w:ascii="Times New Roman" w:cs="Times New Roman" w:eastAsia="Times New Roman" w:hAnsi="Times New Roman"/>
          <w:sz w:val="18"/>
          <w:szCs w:val="18"/>
          <w:color w:val="auto"/>
        </w:rPr>
      </w:pPr>
    </w:p>
    <w:p>
      <w:pPr>
        <w:ind w:left="940" w:right="80" w:hanging="523"/>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940" w:hanging="523"/>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940" w:right="60" w:hanging="523"/>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30" w:lineRule="exact"/>
        <w:rPr>
          <w:rFonts w:ascii="Times New Roman" w:cs="Times New Roman" w:eastAsia="Times New Roman" w:hAnsi="Times New Roman"/>
          <w:sz w:val="18"/>
          <w:szCs w:val="18"/>
          <w:color w:val="auto"/>
        </w:rPr>
      </w:pPr>
    </w:p>
    <w:p>
      <w:pPr>
        <w:ind w:left="940" w:right="360" w:hanging="523"/>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market structure applicable to derivatives imposed by the Dodd-Frank Act may affect our ability to use over-the-counter (“OTC”) derivatives for hedging purposes.</w:t>
      </w:r>
    </w:p>
    <w:p>
      <w:pPr>
        <w:spacing w:after="0" w:line="67" w:lineRule="exact"/>
        <w:rPr>
          <w:rFonts w:ascii="Times New Roman" w:cs="Times New Roman" w:eastAsia="Times New Roman" w:hAnsi="Times New Roman"/>
          <w:sz w:val="18"/>
          <w:szCs w:val="18"/>
          <w:color w:val="auto"/>
        </w:rPr>
      </w:pPr>
    </w:p>
    <w:p>
      <w:pPr>
        <w:ind w:left="940" w:right="40" w:hanging="523"/>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 and there are certain risks associated with holding debt obligations that have original issue discount or payment-in-kind interest.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940" w:hanging="523"/>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333" w:lineRule="exact"/>
        <w:rPr>
          <w:rFonts w:ascii="Times New Roman" w:cs="Times New Roman" w:eastAsia="Times New Roman" w:hAnsi="Times New Roman"/>
          <w:sz w:val="18"/>
          <w:szCs w:val="18"/>
          <w:color w:val="auto"/>
        </w:rPr>
      </w:pPr>
    </w:p>
    <w:p>
      <w:pPr>
        <w:ind w:left="5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ectPr>
          <w:pgSz w:w="11900" w:h="16838" w:orient="portrait"/>
          <w:cols w:equalWidth="0" w:num="1">
            <w:col w:w="10620"/>
          </w:cols>
          <w:pgMar w:left="620" w:top="486" w:right="659" w:bottom="1440" w:gutter="0" w:footer="0" w:header="0"/>
        </w:sectPr>
      </w:pPr>
    </w:p>
    <w:bookmarkStart w:id="39" w:name="page40"/>
    <w:bookmarkEnd w:id="39"/>
    <w:p>
      <w:pPr>
        <w:ind w:left="940" w:hanging="523"/>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97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6097270"/>
                    </a:xfrm>
                    <a:prstGeom prst="rect">
                      <a:avLst/>
                    </a:prstGeom>
                    <a:noFill/>
                  </pic:spPr>
                </pic:pic>
              </a:graphicData>
            </a:graphic>
          </wp:anchor>
        </w:drawing>
        <w:t>Investing in our securities may involve a high degree of risk and the market price of our common stock may fluctuate significantly and could decline.</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experience dilution in their ownership percentage if they opt out of our dividend reinvestment plan.</w:t>
      </w:r>
    </w:p>
    <w:p>
      <w:pPr>
        <w:spacing w:after="0" w:line="130" w:lineRule="exact"/>
        <w:rPr>
          <w:rFonts w:ascii="Times New Roman" w:cs="Times New Roman" w:eastAsia="Times New Roman" w:hAnsi="Times New Roman"/>
          <w:sz w:val="18"/>
          <w:szCs w:val="18"/>
          <w:color w:val="auto"/>
        </w:rPr>
      </w:pPr>
    </w:p>
    <w:p>
      <w:pPr>
        <w:ind w:left="940" w:right="180" w:hanging="523"/>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33" w:lineRule="exact"/>
        <w:rPr>
          <w:sz w:val="20"/>
          <w:szCs w:val="20"/>
          <w:color w:val="auto"/>
        </w:rPr>
      </w:pPr>
    </w:p>
    <w:p>
      <w:pPr>
        <w:ind w:left="940" w:right="320" w:hanging="523"/>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climate change may impact the operations of our portfolio companies.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allows us to incur additional leverage.</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business, financial conditions or results of operations.</w:t>
      </w:r>
    </w:p>
    <w:p>
      <w:pPr>
        <w:spacing w:after="0" w:line="130" w:lineRule="exact"/>
        <w:rPr>
          <w:rFonts w:ascii="Times New Roman" w:cs="Times New Roman" w:eastAsia="Times New Roman" w:hAnsi="Times New Roman"/>
          <w:sz w:val="18"/>
          <w:szCs w:val="18"/>
          <w:color w:val="auto"/>
        </w:rPr>
      </w:pPr>
    </w:p>
    <w:p>
      <w:pPr>
        <w:ind w:left="940" w:right="20" w:hanging="523"/>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proceeds of any offering made pursuant to this prospectus, to the extent it is successful.</w:t>
      </w:r>
    </w:p>
    <w:p>
      <w:pPr>
        <w:spacing w:after="0" w:line="130" w:lineRule="exact"/>
        <w:rPr>
          <w:rFonts w:ascii="Times New Roman" w:cs="Times New Roman" w:eastAsia="Times New Roman" w:hAnsi="Times New Roman"/>
          <w:sz w:val="18"/>
          <w:szCs w:val="18"/>
          <w:color w:val="auto"/>
        </w:rPr>
      </w:pPr>
    </w:p>
    <w:p>
      <w:pPr>
        <w:ind w:left="940" w:right="180" w:hanging="523"/>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67" w:lineRule="exact"/>
        <w:rPr>
          <w:rFonts w:ascii="Times New Roman" w:cs="Times New Roman" w:eastAsia="Times New Roman" w:hAnsi="Times New Roman"/>
          <w:sz w:val="18"/>
          <w:szCs w:val="18"/>
          <w:color w:val="auto"/>
        </w:rPr>
      </w:pPr>
    </w:p>
    <w:p>
      <w:pPr>
        <w:ind w:left="940" w:right="160" w:hanging="523"/>
        <w:spacing w:after="0" w:line="266"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81" w:lineRule="exact"/>
        <w:rPr>
          <w:rFonts w:ascii="Times New Roman" w:cs="Times New Roman" w:eastAsia="Times New Roman" w:hAnsi="Times New Roman"/>
          <w:sz w:val="18"/>
          <w:szCs w:val="18"/>
          <w:color w:val="auto"/>
        </w:rPr>
      </w:pPr>
    </w:p>
    <w:p>
      <w:pPr>
        <w:ind w:left="940" w:right="420" w:hanging="523"/>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determine to issue preferred stock, which could adversely affect the market value of our common stock and cause the net asset value and market value of our common stock to be more volatile.</w:t>
      </w:r>
    </w:p>
    <w:p>
      <w:pPr>
        <w:spacing w:after="0" w:line="67" w:lineRule="exact"/>
        <w:rPr>
          <w:rFonts w:ascii="Times New Roman" w:cs="Times New Roman" w:eastAsia="Times New Roman" w:hAnsi="Times New Roman"/>
          <w:sz w:val="18"/>
          <w:szCs w:val="18"/>
          <w:color w:val="auto"/>
        </w:rPr>
      </w:pPr>
    </w:p>
    <w:p>
      <w:pPr>
        <w:ind w:left="940" w:right="140" w:hanging="523"/>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any preferred stock we might issue would have the right to elect members of the board of directors and class voting rights on certain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40"/>
          </w:cols>
          <w:pgMar w:left="620" w:top="486" w:right="6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48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5848350"/>
                    </a:xfrm>
                    <a:prstGeom prst="rect">
                      <a:avLst/>
                    </a:prstGeom>
                    <a:noFill/>
                  </pic:spPr>
                </pic:pic>
              </a:graphicData>
            </a:graphic>
          </wp:anchor>
        </w:drawing>
        <w:t>THE OFFERING</w:t>
      </w:r>
    </w:p>
    <w:p>
      <w:pPr>
        <w:spacing w:after="0" w:line="229" w:lineRule="exact"/>
        <w:rPr>
          <w:sz w:val="20"/>
          <w:szCs w:val="20"/>
          <w:color w:val="auto"/>
        </w:rPr>
      </w:pPr>
    </w:p>
    <w:p>
      <w:pPr>
        <w:ind w:left="180" w:right="220" w:firstLine="426"/>
        <w:spacing w:after="0" w:line="268" w:lineRule="auto"/>
        <w:rPr>
          <w:sz w:val="20"/>
          <w:szCs w:val="20"/>
          <w:color w:val="auto"/>
        </w:rPr>
      </w:pPr>
      <w:r>
        <w:rPr>
          <w:rFonts w:ascii="Times New Roman" w:cs="Times New Roman" w:eastAsia="Times New Roman" w:hAnsi="Times New Roman"/>
          <w:sz w:val="17"/>
          <w:szCs w:val="17"/>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180" w:right="380" w:hanging="2"/>
        <w:spacing w:after="0" w:line="255" w:lineRule="auto"/>
        <w:tabs>
          <w:tab w:leader="none" w:pos="4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86" w:lineRule="exact"/>
        <w:rPr>
          <w:sz w:val="20"/>
          <w:szCs w:val="20"/>
          <w:color w:val="auto"/>
        </w:rPr>
      </w:pPr>
    </w:p>
    <w:p>
      <w:pPr>
        <w:ind w:left="180" w:right="280" w:firstLine="426"/>
        <w:spacing w:after="0" w:line="266"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w:t>
      </w:r>
    </w:p>
    <w:p>
      <w:pPr>
        <w:spacing w:after="0" w:line="176" w:lineRule="exact"/>
        <w:rPr>
          <w:sz w:val="20"/>
          <w:szCs w:val="20"/>
          <w:color w:val="auto"/>
        </w:rPr>
      </w:pPr>
    </w:p>
    <w:p>
      <w:pPr>
        <w:ind w:left="180" w:right="300" w:firstLine="426"/>
        <w:spacing w:after="0" w:line="256" w:lineRule="auto"/>
        <w:rPr>
          <w:sz w:val="20"/>
          <w:szCs w:val="20"/>
          <w:color w:val="auto"/>
        </w:rPr>
      </w:pPr>
      <w:r>
        <w:rPr>
          <w:rFonts w:ascii="Times New Roman" w:cs="Times New Roman" w:eastAsia="Times New Roman" w:hAnsi="Times New Roman"/>
          <w:sz w:val="18"/>
          <w:szCs w:val="18"/>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80" w:right="460" w:firstLine="959"/>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76" w:lineRule="exact"/>
        <w:rPr>
          <w:sz w:val="20"/>
          <w:szCs w:val="20"/>
          <w:color w:val="auto"/>
        </w:rPr>
      </w:pPr>
    </w:p>
    <w:p>
      <w:pPr>
        <w:ind w:left="180" w:right="500" w:firstLine="426"/>
        <w:spacing w:after="0" w:line="282" w:lineRule="auto"/>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 of the proceeds from such offering. See “Use of Proceeds.”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“TSLX”</w:t>
            </w:r>
          </w:p>
        </w:tc>
      </w:tr>
      <w:tr>
        <w:trPr>
          <w:trHeight w:val="41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 will</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 reported to stockholders after the end of the calendar year. Future quarterly dividends, if any,</w:t>
            </w:r>
          </w:p>
        </w:tc>
      </w:tr>
      <w:tr>
        <w:trPr>
          <w:trHeight w:val="234"/>
        </w:trPr>
        <w:tc>
          <w:tcPr>
            <w:tcW w:w="2860" w:type="dxa"/>
            <w:vAlign w:val="bottom"/>
          </w:tcPr>
          <w:p>
            <w:pPr>
              <w:spacing w:after="0"/>
              <w:rPr>
                <w:sz w:val="20"/>
                <w:szCs w:val="20"/>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will be determined by our Board. See “Price Range of Common Stock and Distributions.”</w:t>
            </w:r>
          </w:p>
        </w:tc>
      </w:tr>
      <w:tr>
        <w:trPr>
          <w:trHeight w:val="159"/>
        </w:trPr>
        <w:tc>
          <w:tcPr>
            <w:tcW w:w="2860" w:type="dxa"/>
            <w:vAlign w:val="bottom"/>
            <w:tcBorders>
              <w:bottom w:val="single" w:sz="8" w:color="auto"/>
            </w:tcBorders>
          </w:tcPr>
          <w:p>
            <w:pPr>
              <w:spacing w:after="0"/>
              <w:rPr>
                <w:sz w:val="13"/>
                <w:szCs w:val="13"/>
                <w:color w:val="auto"/>
              </w:rPr>
            </w:pPr>
          </w:p>
        </w:tc>
        <w:tc>
          <w:tcPr>
            <w:tcW w:w="8160" w:type="dxa"/>
            <w:vAlign w:val="bottom"/>
            <w:tcBorders>
              <w:bottom w:val="single" w:sz="8" w:color="auto"/>
            </w:tcBorders>
          </w:tcPr>
          <w:p>
            <w:pPr>
              <w:spacing w:after="0"/>
              <w:rPr>
                <w:sz w:val="13"/>
                <w:szCs w:val="13"/>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020"/>
          </w:cols>
          <w:pgMar w:left="440" w:top="482" w:right="439" w:bottom="1440" w:gutter="0" w:footer="0" w:header="0"/>
        </w:sectPr>
      </w:pPr>
    </w:p>
    <w:bookmarkStart w:id="41" w:name="page42"/>
    <w:bookmarkEnd w:id="41"/>
    <w:p>
      <w:pPr>
        <w:ind w:left="37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14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6114415"/>
                    </a:xfrm>
                    <a:prstGeom prst="rect">
                      <a:avLst/>
                    </a:prstGeom>
                    <a:noFill/>
                  </pic:spPr>
                </pic:pic>
              </a:graphicData>
            </a:graphic>
          </wp:anchor>
        </w:drawing>
        <w:t>To maintain our tax treatment as a RIC, we must make certain distributions. See “Material U.S.</w:t>
      </w:r>
    </w:p>
    <w:p>
      <w:pPr>
        <w:spacing w:after="0" w:line="3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Federal Income Tax Considerations-Regulated Investment Company Classification.”</w:t>
      </w:r>
    </w:p>
    <w:p>
      <w:pPr>
        <w:sectPr>
          <w:pgSz w:w="11900" w:h="16838" w:orient="portrait"/>
          <w:cols w:equalWidth="0" w:num="1">
            <w:col w:w="10640"/>
          </w:cols>
          <w:pgMar w:left="620" w:top="729" w:right="6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79"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spacing w:after="0" w:line="3" w:lineRule="exact"/>
        <w:rPr>
          <w:sz w:val="20"/>
          <w:szCs w:val="20"/>
          <w:color w:val="auto"/>
        </w:rPr>
      </w:pPr>
    </w:p>
    <w:p>
      <w:pPr>
        <w:ind w:left="3740" w:right="140"/>
        <w:spacing w:after="0" w:line="255"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p>
      <w:pPr>
        <w:sectPr>
          <w:pgSz w:w="11900" w:h="16838" w:orient="portrait"/>
          <w:cols w:equalWidth="0" w:num="1">
            <w:col w:w="10640"/>
          </w:cols>
          <w:pgMar w:left="620" w:top="729" w:right="6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183"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180"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ind w:right="140" w:firstLine="426"/>
        <w:spacing w:after="0" w:line="282" w:lineRule="auto"/>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 income taxation on our earnings, we must, among other things:</w:t>
      </w:r>
    </w:p>
    <w:p>
      <w:pPr>
        <w:spacing w:after="0" w:line="67" w:lineRule="exact"/>
        <w:rPr>
          <w:sz w:val="20"/>
          <w:szCs w:val="20"/>
          <w:color w:val="auto"/>
        </w:rPr>
      </w:pPr>
    </w:p>
    <w:p>
      <w:pPr>
        <w:ind w:left="940" w:hanging="523"/>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940" w:right="100" w:hanging="523"/>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40"/>
          </w:cols>
          <w:pgMar w:left="620" w:top="729" w:right="639" w:bottom="1440" w:gutter="0" w:footer="0" w:header="0"/>
          <w:type w:val="continuous"/>
        </w:sectPr>
      </w:pPr>
    </w:p>
    <w:bookmarkStart w:id="42" w:name="page43"/>
    <w:bookmarkEnd w:id="42"/>
    <w:p>
      <w:pPr>
        <w:ind w:right="380" w:firstLine="42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05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6105525"/>
                    </a:xfrm>
                    <a:prstGeom prst="rect">
                      <a:avLst/>
                    </a:prstGeom>
                    <a:noFill/>
                  </pic:spPr>
                </pic:pic>
              </a:graphicData>
            </a:graphic>
          </wp:anchor>
        </w:drawing>
        <w:t>In addition, we must distribute (or be treated as distributing) in each taxable year dividends for tax purposes equal to at least 90% of our investment company taxable income and net tax-exempt income for that taxable year.</w:t>
      </w:r>
    </w:p>
    <w:p>
      <w:pPr>
        <w:spacing w:after="0" w:line="162"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pacing w:after="0" w:line="192" w:lineRule="exact"/>
        <w:rPr>
          <w:sz w:val="20"/>
          <w:szCs w:val="20"/>
          <w:color w:val="auto"/>
        </w:rPr>
      </w:pPr>
    </w:p>
    <w:p>
      <w:pPr>
        <w:jc w:val="both"/>
        <w:ind w:right="280" w:firstLine="426"/>
        <w:spacing w:after="0" w:line="289" w:lineRule="auto"/>
        <w:rPr>
          <w:sz w:val="20"/>
          <w:szCs w:val="20"/>
          <w:color w:val="auto"/>
        </w:rPr>
      </w:pPr>
      <w:r>
        <w:rPr>
          <w:rFonts w:ascii="Times New Roman" w:cs="Times New Roman" w:eastAsia="Times New Roman" w:hAnsi="Times New Roman"/>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Arrangements</w:t>
      </w:r>
    </w:p>
    <w:p>
      <w:pPr>
        <w:spacing w:after="0" w:line="121" w:lineRule="exact"/>
        <w:rPr>
          <w:sz w:val="20"/>
          <w:szCs w:val="20"/>
          <w:color w:val="auto"/>
        </w:rPr>
      </w:pPr>
    </w:p>
    <w:p>
      <w:pPr>
        <w:jc w:val="both"/>
        <w:ind w:right="260" w:firstLine="426"/>
        <w:spacing w:after="0" w:line="266" w:lineRule="auto"/>
        <w:rPr>
          <w:sz w:val="20"/>
          <w:szCs w:val="20"/>
          <w:color w:val="auto"/>
        </w:rPr>
      </w:pPr>
      <w:r>
        <w:rPr>
          <w:rFonts w:ascii="Times New Roman" w:cs="Times New Roman" w:eastAsia="Times New Roman" w:hAnsi="Times New Roman"/>
          <w:sz w:val="18"/>
          <w:szCs w:val="18"/>
          <w:color w:val="auto"/>
        </w:rPr>
        <w:t>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at a Discount</w:t>
      </w:r>
    </w:p>
    <w:p>
      <w:pPr>
        <w:spacing w:after="0" w:line="121" w:lineRule="exact"/>
        <w:rPr>
          <w:sz w:val="20"/>
          <w:szCs w:val="20"/>
          <w:color w:val="auto"/>
        </w:rPr>
      </w:pPr>
    </w:p>
    <w:p>
      <w:pPr>
        <w:ind w:right="140" w:firstLine="959"/>
        <w:spacing w:after="0" w:line="256"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1384"/>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w:t>
      </w:r>
    </w:p>
    <w:p>
      <w:pPr>
        <w:spacing w:after="0" w:line="176" w:lineRule="exact"/>
        <w:rPr>
          <w:sz w:val="20"/>
          <w:szCs w:val="20"/>
          <w:color w:val="auto"/>
        </w:rPr>
      </w:pPr>
    </w:p>
    <w:p>
      <w:pPr>
        <w:ind w:right="40" w:firstLine="426"/>
        <w:spacing w:after="0" w:line="282"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information available, free of charge, on or through our website. Information</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00"/>
          </w:cols>
          <w:pgMar w:left="620" w:top="486" w:right="67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442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1442085"/>
                    </a:xfrm>
                    <a:prstGeom prst="rect">
                      <a:avLst/>
                    </a:prstGeom>
                    <a:noFill/>
                  </pic:spPr>
                </pic:pic>
              </a:graphicData>
            </a:graphic>
          </wp:anchor>
        </w:drawing>
        <w:t>on our website is not incorporated into or part of this prospectus. You may also obtain such information free of charge by contacting us in writing at 888 7th Avenue, 41st Floor, New York, NY 10106, Attention: TSLX Investor Relations, or by emailing us at IRTSLX@sixthstreet.com.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40"/>
          </w:cols>
          <w:pgMar w:left="620" w:top="486" w:right="639" w:bottom="1440" w:gutter="0" w:footer="0" w:header="0"/>
        </w:sectPr>
      </w:pPr>
    </w:p>
    <w:bookmarkStart w:id="44" w:name="page45"/>
    <w:bookmarkEnd w:id="44"/>
    <w:p>
      <w:pPr>
        <w:jc w:val="center"/>
        <w:ind w:right="-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1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6251575"/>
                    </a:xfrm>
                    <a:prstGeom prst="rect">
                      <a:avLst/>
                    </a:prstGeom>
                    <a:noFill/>
                  </pic:spPr>
                </pic:pic>
              </a:graphicData>
            </a:graphic>
          </wp:anchor>
        </w:drawing>
        <w:t>FEES AND EXPENSES</w:t>
      </w:r>
    </w:p>
    <w:p>
      <w:pPr>
        <w:spacing w:after="0" w:line="229" w:lineRule="exact"/>
        <w:rPr>
          <w:sz w:val="20"/>
          <w:szCs w:val="20"/>
          <w:color w:val="auto"/>
        </w:rPr>
      </w:pPr>
    </w:p>
    <w:p>
      <w:pPr>
        <w:ind w:left="2" w:right="6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234"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Estimated annual expenses (as a percentage of net assets attributable to common stock)</w:t>
            </w:r>
            <w:r>
              <w:rPr>
                <w:rFonts w:ascii="Times New Roman" w:cs="Times New Roman" w:eastAsia="Times New Roman" w:hAnsi="Times New Roman"/>
                <w:sz w:val="25"/>
                <w:szCs w:val="25"/>
                <w:b w:val="1"/>
                <w:bCs w:val="1"/>
                <w:color w:val="auto"/>
                <w:vertAlign w:val="superscript"/>
              </w:rPr>
              <w:t>(4)</w:t>
            </w:r>
            <w:r>
              <w:rPr>
                <w:rFonts w:ascii="Times New Roman" w:cs="Times New Roman" w:eastAsia="Times New Roman" w:hAnsi="Times New Roman"/>
                <w:sz w:val="17"/>
                <w:szCs w:val="17"/>
                <w:b w:val="1"/>
                <w:bCs w:val="1"/>
                <w:color w:val="auto"/>
              </w:rPr>
              <w:t>:</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2" w:right="280" w:hanging="422"/>
        <w:spacing w:after="0" w:line="282" w:lineRule="auto"/>
        <w:tabs>
          <w:tab w:leader="none" w:pos="4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67" w:lineRule="exact"/>
        <w:rPr>
          <w:rFonts w:ascii="Times New Roman" w:cs="Times New Roman" w:eastAsia="Times New Roman" w:hAnsi="Times New Roman"/>
          <w:sz w:val="18"/>
          <w:szCs w:val="18"/>
          <w:color w:val="auto"/>
        </w:rPr>
      </w:pPr>
    </w:p>
    <w:p>
      <w:pPr>
        <w:ind w:left="422" w:right="460" w:hanging="422"/>
        <w:spacing w:after="0" w:line="282" w:lineRule="auto"/>
        <w:tabs>
          <w:tab w:leader="none" w:pos="4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spacing w:after="0" w:line="67" w:lineRule="exact"/>
        <w:rPr>
          <w:rFonts w:ascii="Times New Roman" w:cs="Times New Roman" w:eastAsia="Times New Roman" w:hAnsi="Times New Roman"/>
          <w:sz w:val="18"/>
          <w:szCs w:val="18"/>
          <w:color w:val="auto"/>
        </w:rPr>
      </w:pPr>
    </w:p>
    <w:p>
      <w:pPr>
        <w:ind w:left="422" w:right="180" w:hanging="422"/>
        <w:spacing w:after="0" w:line="258" w:lineRule="auto"/>
        <w:tabs>
          <w:tab w:leader="none" w:pos="4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88" w:lineRule="exact"/>
        <w:rPr>
          <w:rFonts w:ascii="Times New Roman" w:cs="Times New Roman" w:eastAsia="Times New Roman" w:hAnsi="Times New Roman"/>
          <w:sz w:val="18"/>
          <w:szCs w:val="18"/>
          <w:color w:val="auto"/>
        </w:rPr>
      </w:pPr>
    </w:p>
    <w:p>
      <w:pPr>
        <w:ind w:left="422" w:right="440" w:hanging="422"/>
        <w:spacing w:after="0" w:line="282" w:lineRule="auto"/>
        <w:tabs>
          <w:tab w:leader="none" w:pos="4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$1,341.6 million as of December 31, 2022.</w:t>
      </w:r>
    </w:p>
    <w:p>
      <w:pPr>
        <w:spacing w:after="0" w:line="67" w:lineRule="exact"/>
        <w:rPr>
          <w:rFonts w:ascii="Times New Roman" w:cs="Times New Roman" w:eastAsia="Times New Roman" w:hAnsi="Times New Roman"/>
          <w:sz w:val="18"/>
          <w:szCs w:val="18"/>
          <w:color w:val="auto"/>
        </w:rPr>
      </w:pPr>
    </w:p>
    <w:p>
      <w:pPr>
        <w:ind w:left="422" w:right="40" w:hanging="422"/>
        <w:spacing w:after="0" w:line="256" w:lineRule="auto"/>
        <w:tabs>
          <w:tab w:leader="none" w:pos="4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w:t>
      </w:r>
    </w:p>
    <w:p>
      <w:pPr>
        <w:spacing w:after="0" w:line="29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42"/>
          </w:cols>
          <w:pgMar w:left="618" w:top="482" w:right="639" w:bottom="1440" w:gutter="0" w:footer="0" w:header="0"/>
        </w:sectPr>
      </w:pPr>
    </w:p>
    <w:bookmarkStart w:id="45" w:name="page46"/>
    <w:bookmarkEnd w:id="45"/>
    <w:p>
      <w:pPr>
        <w:ind w:left="422"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85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5985510"/>
                    </a:xfrm>
                    <a:prstGeom prst="rect">
                      <a:avLst/>
                    </a:prstGeom>
                    <a:noFill/>
                  </pic:spPr>
                </pic:pic>
              </a:graphicData>
            </a:graphic>
          </wp:anchor>
        </w:drawing>
        <w:t>The Management Fee reflected in the table is calculated by determining the ratio that the Management Fee for the year ended December 31, 2022 bears to our net assets attributable to common stock (rather than our gross assets).</w:t>
      </w:r>
    </w:p>
    <w:p>
      <w:pPr>
        <w:spacing w:after="0" w:line="162" w:lineRule="exact"/>
        <w:rPr>
          <w:sz w:val="20"/>
          <w:szCs w:val="20"/>
          <w:color w:val="auto"/>
        </w:rPr>
      </w:pPr>
    </w:p>
    <w:p>
      <w:pPr>
        <w:ind w:left="422"/>
        <w:spacing w:after="0" w:line="258"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w:t>
      </w:r>
    </w:p>
    <w:p>
      <w:pPr>
        <w:spacing w:after="0" w:line="183" w:lineRule="exact"/>
        <w:rPr>
          <w:sz w:val="20"/>
          <w:szCs w:val="20"/>
          <w:color w:val="auto"/>
        </w:rPr>
      </w:pPr>
    </w:p>
    <w:p>
      <w:pPr>
        <w:ind w:left="422" w:right="80"/>
        <w:spacing w:after="0" w:line="253"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w:t>
      </w:r>
    </w:p>
    <w:p>
      <w:pPr>
        <w:spacing w:after="0" w:line="221" w:lineRule="exact"/>
        <w:rPr>
          <w:sz w:val="20"/>
          <w:szCs w:val="20"/>
          <w:color w:val="auto"/>
        </w:rPr>
      </w:pPr>
    </w:p>
    <w:p>
      <w:pPr>
        <w:ind w:left="422" w:hanging="422"/>
        <w:spacing w:after="0"/>
        <w:tabs>
          <w:tab w:leader="none" w:pos="42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 as follows:</w:t>
      </w:r>
    </w:p>
    <w:p>
      <w:pPr>
        <w:spacing w:after="0" w:line="225" w:lineRule="exact"/>
        <w:rPr>
          <w:rFonts w:ascii="Times New Roman" w:cs="Times New Roman" w:eastAsia="Times New Roman" w:hAnsi="Times New Roman"/>
          <w:sz w:val="18"/>
          <w:szCs w:val="18"/>
          <w:color w:val="auto"/>
        </w:rPr>
      </w:pPr>
    </w:p>
    <w:p>
      <w:pPr>
        <w:ind w:left="422"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1" w:lineRule="exact"/>
        <w:rPr>
          <w:rFonts w:ascii="Times New Roman" w:cs="Times New Roman" w:eastAsia="Times New Roman" w:hAnsi="Times New Roman"/>
          <w:sz w:val="18"/>
          <w:szCs w:val="18"/>
          <w:color w:val="auto"/>
        </w:rPr>
      </w:pPr>
    </w:p>
    <w:p>
      <w:pPr>
        <w:ind w:left="422"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87" w:lineRule="exact"/>
        <w:rPr>
          <w:sz w:val="20"/>
          <w:szCs w:val="20"/>
          <w:color w:val="auto"/>
        </w:rPr>
      </w:pPr>
    </w:p>
    <w:p>
      <w:pPr>
        <w:ind w:left="422" w:right="6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87" w:lineRule="exact"/>
        <w:rPr>
          <w:sz w:val="20"/>
          <w:szCs w:val="20"/>
          <w:color w:val="auto"/>
        </w:rPr>
      </w:pPr>
    </w:p>
    <w:p>
      <w:pPr>
        <w:ind w:left="422" w:right="260" w:firstLine="4"/>
        <w:spacing w:after="0" w:line="266" w:lineRule="auto"/>
        <w:tabs>
          <w:tab w:leader="none" w:pos="68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w:t>
      </w:r>
    </w:p>
    <w:p>
      <w:pPr>
        <w:spacing w:after="0" w:line="28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22"/>
          </w:cols>
          <w:pgMar w:left="618" w:top="486" w:right="659" w:bottom="1440" w:gutter="0" w:footer="0" w:header="0"/>
        </w:sectPr>
      </w:pPr>
    </w:p>
    <w:bookmarkStart w:id="46" w:name="page47"/>
    <w:bookmarkEnd w:id="46"/>
    <w:p>
      <w:pPr>
        <w:ind w:left="422"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086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5908675"/>
                    </a:xfrm>
                    <a:prstGeom prst="rect">
                      <a:avLst/>
                    </a:prstGeom>
                    <a:noFill/>
                  </pic:spPr>
                </pic:pic>
              </a:graphicData>
            </a:graphic>
          </wp:anchor>
        </w:drawing>
        <w:t>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8" w:lineRule="exact"/>
        <w:rPr>
          <w:sz w:val="20"/>
          <w:szCs w:val="20"/>
          <w:color w:val="auto"/>
        </w:rPr>
      </w:pPr>
    </w:p>
    <w:p>
      <w:pPr>
        <w:ind w:left="422" w:right="380"/>
        <w:spacing w:after="0" w:line="312" w:lineRule="auto"/>
        <w:rPr>
          <w:sz w:val="20"/>
          <w:szCs w:val="20"/>
          <w:color w:val="auto"/>
        </w:rPr>
      </w:pPr>
      <w:r>
        <w:rPr>
          <w:rFonts w:ascii="Times New Roman" w:cs="Times New Roman" w:eastAsia="Times New Roman" w:hAnsi="Times New Roman"/>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0" w:lineRule="exact"/>
        <w:rPr>
          <w:sz w:val="20"/>
          <w:szCs w:val="20"/>
          <w:color w:val="auto"/>
        </w:rPr>
      </w:pPr>
    </w:p>
    <w:p>
      <w:pPr>
        <w:ind w:left="422"/>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8" w:lineRule="exact"/>
        <w:rPr>
          <w:sz w:val="20"/>
          <w:szCs w:val="20"/>
          <w:color w:val="auto"/>
        </w:rPr>
      </w:pPr>
    </w:p>
    <w:p>
      <w:pPr>
        <w:ind w:left="422" w:right="100"/>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left="422" w:right="100"/>
        <w:spacing w:after="0" w:line="266" w:lineRule="auto"/>
        <w:rPr>
          <w:sz w:val="20"/>
          <w:szCs w:val="20"/>
          <w:color w:val="auto"/>
        </w:rPr>
      </w:pPr>
      <w:r>
        <w:rPr>
          <w:rFonts w:ascii="Times New Roman" w:cs="Times New Roman" w:eastAsia="Times New Roman" w:hAnsi="Times New Roman"/>
          <w:sz w:val="18"/>
          <w:szCs w:val="18"/>
          <w:color w:val="auto"/>
        </w:rPr>
        <w:t>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w:t>
      </w:r>
    </w:p>
    <w:p>
      <w:pPr>
        <w:spacing w:after="0" w:line="176" w:lineRule="exact"/>
        <w:rPr>
          <w:sz w:val="20"/>
          <w:szCs w:val="20"/>
          <w:color w:val="auto"/>
        </w:rPr>
      </w:pPr>
    </w:p>
    <w:p>
      <w:pPr>
        <w:ind w:left="422" w:right="20"/>
        <w:spacing w:after="0" w:line="266" w:lineRule="auto"/>
        <w:rPr>
          <w:sz w:val="20"/>
          <w:szCs w:val="20"/>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w:t>
      </w:r>
    </w:p>
    <w:p>
      <w:pPr>
        <w:spacing w:after="0" w:line="81" w:lineRule="exact"/>
        <w:rPr>
          <w:sz w:val="20"/>
          <w:szCs w:val="20"/>
          <w:color w:val="auto"/>
        </w:rPr>
      </w:pPr>
    </w:p>
    <w:p>
      <w:pPr>
        <w:ind w:left="422" w:right="60" w:hanging="422"/>
        <w:spacing w:after="0" w:line="268" w:lineRule="auto"/>
        <w:tabs>
          <w:tab w:leader="none" w:pos="42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w:t>
      </w:r>
    </w:p>
    <w:p>
      <w:pPr>
        <w:spacing w:after="0" w:line="4" w:lineRule="exact"/>
        <w:rPr>
          <w:rFonts w:ascii="Times New Roman" w:cs="Times New Roman" w:eastAsia="Times New Roman" w:hAnsi="Times New Roman"/>
          <w:sz w:val="17"/>
          <w:szCs w:val="17"/>
          <w:color w:val="auto"/>
        </w:rPr>
      </w:pPr>
    </w:p>
    <w:p>
      <w:pPr>
        <w:ind w:left="42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SBCAA.</w:t>
      </w:r>
    </w:p>
    <w:p>
      <w:pPr>
        <w:spacing w:after="0" w:line="315"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02"/>
          </w:cols>
          <w:pgMar w:left="618" w:top="486" w:right="679" w:bottom="1440" w:gutter="0" w:footer="0" w:header="0"/>
        </w:sectPr>
      </w:pPr>
    </w:p>
    <w:bookmarkStart w:id="47" w:name="page48"/>
    <w:bookmarkEnd w:id="47"/>
    <w:p>
      <w:pPr>
        <w:ind w:left="422" w:right="60" w:hanging="422"/>
        <w:spacing w:after="0" w:line="261" w:lineRule="auto"/>
        <w:tabs>
          <w:tab w:leader="none" w:pos="4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08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4708525"/>
                    </a:xfrm>
                    <a:prstGeom prst="rect">
                      <a:avLst/>
                    </a:prstGeom>
                    <a:noFill/>
                  </pic:spPr>
                </pic:pic>
              </a:graphicData>
            </a:graphic>
          </wp:anchor>
        </w:drawing>
        <w:t>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w:t>
      </w:r>
    </w:p>
    <w:p>
      <w:pPr>
        <w:spacing w:after="0" w:line="2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2" w:right="180" w:firstLine="426"/>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3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7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92</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$ 265</w:t>
            </w:r>
          </w:p>
        </w:tc>
        <w:tc>
          <w:tcPr>
            <w:tcW w:w="9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$ 423</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765</w:t>
            </w:r>
          </w:p>
        </w:tc>
      </w:tr>
    </w:tbl>
    <w:p>
      <w:pPr>
        <w:spacing w:after="0" w:line="198" w:lineRule="exact"/>
        <w:rPr>
          <w:sz w:val="20"/>
          <w:szCs w:val="20"/>
          <w:color w:val="auto"/>
        </w:rPr>
      </w:pPr>
    </w:p>
    <w:p>
      <w:pPr>
        <w:ind w:left="2" w:firstLine="426"/>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8" w:lineRule="exact"/>
        <w:rPr>
          <w:sz w:val="20"/>
          <w:szCs w:val="20"/>
          <w:color w:val="auto"/>
        </w:rPr>
      </w:pPr>
    </w:p>
    <w:p>
      <w:pPr>
        <w:ind w:left="2" w:right="5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6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42"/>
          </w:cols>
          <w:pgMar w:left="618" w:top="486" w:right="6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FINANCIAL HIGHLIGHTS</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02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1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2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16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66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4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50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388"/>
              <w:spacing w:after="0" w:line="155"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center"/>
              <w:ind w:left="388"/>
              <w:spacing w:after="0" w:line="155" w:lineRule="exact"/>
              <w:rPr>
                <w:sz w:val="20"/>
                <w:szCs w:val="20"/>
                <w:color w:val="auto"/>
              </w:rPr>
            </w:pPr>
            <w:r>
              <w:rPr>
                <w:rFonts w:ascii="Times New Roman" w:cs="Times New Roman" w:eastAsia="Times New Roman" w:hAnsi="Times New Roman"/>
                <w:sz w:val="14"/>
                <w:szCs w:val="14"/>
                <w:color w:val="auto"/>
              </w:rPr>
              <w:t>0.58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50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Year</w:t>
            </w:r>
          </w:p>
        </w:tc>
        <w:tc>
          <w:tcPr>
            <w:tcW w:w="4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4"/>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spacing w:after="0"/>
              <w:rPr>
                <w:sz w:val="12"/>
                <w:szCs w:val="12"/>
                <w:color w:val="auto"/>
              </w:rPr>
            </w:pPr>
          </w:p>
        </w:tc>
        <w:tc>
          <w:tcPr>
            <w:tcW w:w="8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140" w:type="dxa"/>
            <w:vAlign w:val="bottom"/>
          </w:tcPr>
          <w:p>
            <w:pPr>
              <w:spacing w:after="0"/>
              <w:rPr>
                <w:sz w:val="12"/>
                <w:szCs w:val="12"/>
                <w:color w:val="auto"/>
              </w:rPr>
            </w:pPr>
          </w:p>
        </w:tc>
        <w:tc>
          <w:tcPr>
            <w:tcW w:w="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3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260" w:type="dxa"/>
            <w:vAlign w:val="bottom"/>
          </w:tcPr>
          <w:p>
            <w:pPr>
              <w:spacing w:after="0"/>
              <w:rPr>
                <w:sz w:val="12"/>
                <w:szCs w:val="12"/>
                <w:color w:val="auto"/>
              </w:rPr>
            </w:pP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1.83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1.76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0.51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(0.58)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1.86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2.34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1.18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97"/>
              </w:rPr>
              <w:t>0.03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w w:val="97"/>
              </w:rPr>
              <w:t>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center"/>
              <w:ind w:left="348"/>
              <w:spacing w:after="0" w:line="155" w:lineRule="exact"/>
              <w:rPr>
                <w:sz w:val="20"/>
                <w:szCs w:val="20"/>
                <w:color w:val="auto"/>
              </w:rPr>
            </w:pPr>
            <w:r>
              <w:rPr>
                <w:rFonts w:ascii="Times New Roman" w:cs="Times New Roman" w:eastAsia="Times New Roman" w:hAnsi="Times New Roman"/>
                <w:sz w:val="14"/>
                <w:szCs w:val="14"/>
                <w:color w:val="auto"/>
                <w:w w:val="97"/>
              </w:rPr>
              <w:t>0.14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center"/>
              <w:ind w:left="48"/>
              <w:spacing w:after="0" w:line="155" w:lineRule="exact"/>
              <w:rPr>
                <w:sz w:val="20"/>
                <w:szCs w:val="20"/>
                <w:color w:val="auto"/>
              </w:rPr>
            </w:pPr>
            <w:r>
              <w:rPr>
                <w:rFonts w:ascii="Times New Roman" w:cs="Times New Roman" w:eastAsia="Times New Roman" w:hAnsi="Times New Roman"/>
                <w:sz w:val="14"/>
                <w:szCs w:val="14"/>
                <w:color w:val="auto"/>
                <w:w w:val="97"/>
              </w:rPr>
              <w:t>0.81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center"/>
              <w:ind w:left="268"/>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center"/>
              <w:ind w:left="328"/>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93" w:right="439" w:bottom="1440" w:gutter="0" w:footer="0" w:header="0"/>
        </w:sectPr>
      </w:pPr>
    </w:p>
    <w:bookmarkStart w:id="49" w:name="page50"/>
    <w:bookmarkEnd w:id="49"/>
    <w:tbl>
      <w:tblPr>
        <w:tblLayout w:type="fixed"/>
        <w:tblInd w:w="4"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9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20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9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23.65%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(15.78)%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30.57%</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25.14%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28.69%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14.71%</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87,546,498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75,771,542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67,684,209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66,524,591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65,412,817</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30.89%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1,485,822</w:t>
            </w:r>
          </w:p>
        </w:tc>
        <w:tc>
          <w:tcPr>
            <w:tcW w:w="4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1,341,569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1,275,848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1,161,315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1,119,297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1,063,202</w:t>
            </w:r>
          </w:p>
        </w:tc>
        <w:tc>
          <w:tcPr>
            <w:tcW w:w="0" w:type="dxa"/>
            <w:vAlign w:val="bottom"/>
          </w:tcPr>
          <w:p>
            <w:pPr>
              <w:spacing w:after="0"/>
              <w:rPr>
                <w:sz w:val="1"/>
                <w:szCs w:val="1"/>
                <w:color w:val="auto"/>
              </w:rPr>
            </w:pPr>
          </w:p>
        </w:tc>
      </w:tr>
      <w:tr>
        <w:trPr>
          <w:trHeight w:val="327"/>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24"/>
                <w:szCs w:val="24"/>
                <w:color w:val="auto"/>
              </w:rPr>
            </w:pP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24"/>
                <w:szCs w:val="24"/>
                <w:color w:val="auto"/>
              </w:rPr>
            </w:pPr>
          </w:p>
        </w:tc>
        <w:tc>
          <w:tcPr>
            <w:tcW w:w="1420" w:type="dxa"/>
            <w:vAlign w:val="bottom"/>
            <w:gridSpan w:val="7"/>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14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19.80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18.68</w:t>
            </w: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16.22</w:t>
            </w: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15.75%</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w w:val="99"/>
              </w:rPr>
              <w:t>5.75%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12.28%</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15.36%</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24.78%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5.71%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11.87%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7.62%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60,247,201</w:t>
            </w:r>
          </w:p>
        </w:tc>
        <w:tc>
          <w:tcPr>
            <w:tcW w:w="140" w:type="dxa"/>
            <w:vAlign w:val="bottom"/>
            <w:shd w:val="clear" w:color="auto" w:fill="CCEEFF"/>
          </w:tcPr>
          <w:p>
            <w:pPr>
              <w:spacing w:after="0"/>
              <w:rPr>
                <w:sz w:val="12"/>
                <w:szCs w:val="12"/>
                <w:color w:val="auto"/>
              </w:rPr>
            </w:pPr>
          </w:p>
        </w:tc>
        <w:tc>
          <w:tcPr>
            <w:tcW w:w="1280" w:type="dxa"/>
            <w:vAlign w:val="bottom"/>
            <w:gridSpan w:val="6"/>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59,716,205</w:t>
            </w:r>
          </w:p>
        </w:tc>
        <w:tc>
          <w:tcPr>
            <w:tcW w:w="1860" w:type="dxa"/>
            <w:vAlign w:val="bottom"/>
            <w:gridSpan w:val="7"/>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54,163,960</w:t>
            </w: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53,797,358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37,026,023</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9.31%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12.49%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58.08%</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37.40%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53.16%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969,284</w:t>
            </w:r>
          </w:p>
        </w:tc>
        <w:tc>
          <w:tcPr>
            <w:tcW w:w="14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952,212</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820,741</w:t>
            </w:r>
          </w:p>
        </w:tc>
        <w:tc>
          <w:tcPr>
            <w:tcW w:w="1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835,405</w:t>
            </w: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574,696</w:t>
            </w:r>
          </w:p>
        </w:tc>
        <w:tc>
          <w:tcPr>
            <w:tcW w:w="0" w:type="dxa"/>
            <w:vAlign w:val="bottom"/>
          </w:tcPr>
          <w:p>
            <w:pPr>
              <w:spacing w:after="0"/>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24" w:hanging="424"/>
        <w:spacing w:after="0"/>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weighted average shares outstanding during the period.</w:t>
      </w:r>
    </w:p>
    <w:p>
      <w:pPr>
        <w:spacing w:after="0" w:line="3" w:lineRule="exact"/>
        <w:rPr>
          <w:rFonts w:ascii="Times New Roman" w:cs="Times New Roman" w:eastAsia="Times New Roman" w:hAnsi="Times New Roman"/>
          <w:sz w:val="14"/>
          <w:szCs w:val="14"/>
          <w:color w:val="auto"/>
        </w:rPr>
      </w:pPr>
    </w:p>
    <w:p>
      <w:pPr>
        <w:ind w:left="424" w:hanging="424"/>
        <w:spacing w:after="0" w:line="221"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actual shares outstanding at the date of the relevant transactions.</w:t>
      </w:r>
    </w:p>
    <w:p>
      <w:pPr>
        <w:ind w:left="424" w:right="440" w:hanging="424"/>
        <w:spacing w:after="0" w:line="221"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424" w:right="60" w:hanging="424"/>
        <w:spacing w:after="0" w:line="221"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is calculated as the change in market value per share during the period plus declared dividends per share, divided by the beginning market value per share.</w:t>
      </w:r>
    </w:p>
    <w:p>
      <w:pPr>
        <w:ind w:left="424" w:right="340" w:hanging="424"/>
        <w:spacing w:after="0" w:line="221"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is calculated as the change in net asset value per share during the period plus declared dividends per share, divided by the beginning net asset value per share.</w:t>
      </w:r>
    </w:p>
    <w:p>
      <w:pPr>
        <w:ind w:left="424" w:hanging="424"/>
        <w:spacing w:after="0" w:line="221"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ratios reflect an annualized amount.</w:t>
      </w:r>
    </w:p>
    <w:p>
      <w:pPr>
        <w:ind w:left="424" w:hanging="424"/>
        <w:spacing w:after="0" w:line="221"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sum due to rounding.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8" w:right="4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FACTORS</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at a price below our then-current net asset value per share, subject to the approval of our Board and certain other conditions.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stockholder approval expires on May 25, 2024. We intend to propose the extension of this approval in future years.</w:t>
      </w:r>
    </w:p>
    <w:p>
      <w:pPr>
        <w:spacing w:after="0" w:line="20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62"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93" w:right="459" w:bottom="1440" w:gutter="0" w:footer="0" w:header="0"/>
        </w:sectPr>
      </w:pPr>
    </w:p>
    <w:bookmarkStart w:id="51" w:name="page52"/>
    <w:bookmarkEnd w:id="51"/>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5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93" w:right="45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440" w:top="297" w:right="5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67" w:lineRule="exact"/>
        <w:rPr>
          <w:sz w:val="20"/>
          <w:szCs w:val="20"/>
          <w:color w:val="auto"/>
        </w:rPr>
      </w:pPr>
    </w:p>
    <w:p>
      <w:pPr>
        <w:ind w:left="960" w:right="40" w:hanging="532"/>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960" w:right="140" w:hanging="532"/>
        <w:spacing w:after="0" w:line="266"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ind w:left="960" w:right="140" w:hanging="532"/>
        <w:spacing w:after="0" w:line="312" w:lineRule="auto"/>
        <w:tabs>
          <w:tab w:leader="none" w:pos="9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 entitled “Risk Factors” in this prospectus and in Part I, Item 1A of our 2022 Annual Report and Part II, Item 1A of our 3Q 2023 Quarterly Report, and those discussed in other documents we file with the SEC.</w:t>
      </w:r>
    </w:p>
    <w:p>
      <w:pPr>
        <w:spacing w:after="0" w:line="140"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w:t>
      </w:r>
    </w:p>
    <w:p>
      <w:pPr>
        <w:spacing w:after="0" w:line="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“TSLX” and “TAO” marks are marks of Sixth Street.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93" w:right="4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USE OF PROCEEDS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93" w:right="459" w:bottom="1440" w:gutter="0" w:footer="0" w:header="0"/>
        </w:sectPr>
      </w:pPr>
    </w:p>
    <w:bookmarkStart w:id="55" w:name="page56"/>
    <w:bookmarkEnd w:id="5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PRICE RANGE OF COMMON STOCK AND DISTRIBUTIONS</w:t>
      </w:r>
    </w:p>
    <w:p>
      <w:pPr>
        <w:spacing w:after="0" w:line="229"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vMerge w:val="restart"/>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2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18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21"/>
                <w:szCs w:val="21"/>
                <w:b w:val="1"/>
                <w:bCs w:val="1"/>
                <w:color w:val="auto"/>
                <w:vertAlign w:val="superscript"/>
              </w:rPr>
              <w:t>(1)</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1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$22.76</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$20.46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17.18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21.13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$24.27</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16.27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18.09</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2023</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$19.83</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$16.86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16.97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19.02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December 20, 2023)</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21.49</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22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67"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 Does not reflect intraday trading prices.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131"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25" w:lineRule="exact"/>
        <w:rPr>
          <w:sz w:val="20"/>
          <w:szCs w:val="20"/>
          <w:color w:val="auto"/>
        </w:rPr>
      </w:pPr>
    </w:p>
    <w:p>
      <w:pPr>
        <w:ind w:left="4"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93" w:right="43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tables summarize dividends declared during the nine months ended September 30, 2023 and years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20, 2023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June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29,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18,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July 15,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30,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15,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8,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28,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July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October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30,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7,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December 20,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January 14,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97" w:right="439" w:bottom="1440" w:gutter="0" w:footer="0" w:header="0"/>
        </w:sectPr>
      </w:pPr>
    </w:p>
    <w:bookmarkStart w:id="57" w:name="page58"/>
    <w:bookmarkEnd w:id="57"/>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1" w:lineRule="exact"/>
        <w:rPr>
          <w:sz w:val="20"/>
          <w:szCs w:val="20"/>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97" w:right="479" w:bottom="1440" w:gutter="0" w:footer="0" w:header="0"/>
        </w:sectPr>
      </w:pPr>
    </w:p>
    <w:bookmarkStart w:id="58" w:name="page59"/>
    <w:bookmarkEnd w:id="5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SENIOR SECURITIES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71"/>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8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0"/>
        </w:trPr>
        <w:tc>
          <w:tcPr>
            <w:tcW w:w="3560" w:type="dxa"/>
            <w:vAlign w:val="bottom"/>
            <w:gridSpan w:val="6"/>
            <w:vMerge w:val="continue"/>
          </w:tcPr>
          <w:p>
            <w:pPr>
              <w:spacing w:after="0"/>
              <w:rPr>
                <w:sz w:val="13"/>
                <w:szCs w:val="13"/>
                <w:color w:val="auto"/>
              </w:rPr>
            </w:pPr>
          </w:p>
        </w:tc>
        <w:tc>
          <w:tcPr>
            <w:tcW w:w="1740" w:type="dxa"/>
            <w:vAlign w:val="bottom"/>
            <w:gridSpan w:val="3"/>
          </w:tcPr>
          <w:p>
            <w:pPr>
              <w:ind w:left="88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66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Facilities</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2,329.5</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Convertible Senior Notes due 2019</w:t>
            </w:r>
          </w:p>
        </w:tc>
        <w:tc>
          <w:tcPr>
            <w:tcW w:w="9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Convertible Senior Notes due 2022</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2023 Notes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w w:val="88"/>
              </w:rPr>
              <w:t>32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440" w:top="293" w:right="919" w:bottom="144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0"/>
        </w:trPr>
        <w:tc>
          <w:tcPr>
            <w:tcW w:w="3380" w:type="dxa"/>
            <w:vAlign w:val="bottom"/>
            <w:gridSpan w:val="4"/>
            <w:vMerge w:val="continue"/>
          </w:tcPr>
          <w:p>
            <w:pPr>
              <w:spacing w:after="0"/>
              <w:rPr>
                <w:sz w:val="15"/>
                <w:szCs w:val="15"/>
                <w:color w:val="auto"/>
              </w:rPr>
            </w:pPr>
          </w:p>
        </w:tc>
        <w:tc>
          <w:tcPr>
            <w:tcW w:w="1920" w:type="dxa"/>
            <w:vAlign w:val="bottom"/>
            <w:gridSpan w:val="3"/>
          </w:tcPr>
          <w:p>
            <w:pPr>
              <w:ind w:left="106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6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2024 Notes</w:t>
            </w: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2026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2028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94"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44"/>
          </w:cols>
          <w:pgMar w:left="436" w:top="278" w:right="12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PORTFOLIO COMPANIES</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60" w:type="dxa"/>
            <w:vAlign w:val="bottom"/>
            <w:vMerge w:val="restart"/>
          </w:tcPr>
          <w:p>
            <w:pPr>
              <w:spacing w:after="0"/>
              <w:rPr>
                <w:sz w:val="11"/>
                <w:szCs w:val="11"/>
                <w:color w:val="auto"/>
              </w:rPr>
            </w:pPr>
          </w:p>
        </w:tc>
        <w:tc>
          <w:tcPr>
            <w:tcW w:w="21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8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4"/>
                <w:szCs w:val="14"/>
                <w:color w:val="auto"/>
              </w:rPr>
            </w:pPr>
          </w:p>
        </w:tc>
        <w:tc>
          <w:tcPr>
            <w:tcW w:w="8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80" w:type="dxa"/>
            <w:vAlign w:val="bottom"/>
          </w:tcPr>
          <w:p>
            <w:pPr>
              <w:spacing w:after="0"/>
              <w:rPr>
                <w:sz w:val="14"/>
                <w:szCs w:val="14"/>
                <w:color w:val="auto"/>
              </w:rPr>
            </w:pPr>
          </w:p>
        </w:tc>
        <w:tc>
          <w:tcPr>
            <w:tcW w:w="10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2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Bestpass, Inc. </w:t>
            </w:r>
            <w:r>
              <w:rPr>
                <w:rFonts w:ascii="Times New Roman" w:cs="Times New Roman" w:eastAsia="Times New Roman" w:hAnsi="Times New Roman"/>
                <w:sz w:val="10"/>
                <w:szCs w:val="10"/>
                <w:color w:val="auto"/>
              </w:rPr>
              <w:t>(3)(5)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New Karner Road</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($39,900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Albany, NY 12205</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5/26/2023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11.07%</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38,810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39,202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Carlstar Group, LLC </w:t>
            </w:r>
            <w:r>
              <w:rPr>
                <w:rFonts w:ascii="Times New Roman" w:cs="Times New Roman" w:eastAsia="Times New Roman" w:hAnsi="Times New Roman"/>
                <w:sz w:val="10"/>
                <w:szCs w:val="10"/>
                <w:color w:val="auto"/>
              </w:rPr>
              <w:t>(3)</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725 Cool Springs Boulevard</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($26,118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Franklin, TN 37067</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7/8/2022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25,508</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26,378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64,318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65,580</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Acceo Solutions, Inc. </w:t>
            </w:r>
            <w:r>
              <w:rPr>
                <w:rFonts w:ascii="Times New Roman" w:cs="Times New Roman" w:eastAsia="Times New Roman" w:hAnsi="Times New Roman"/>
                <w:sz w:val="10"/>
                <w:szCs w:val="10"/>
                <w:color w:val="auto"/>
              </w:rPr>
              <w:t>(3)(4)(5)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 Queen Street</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6100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(CAD 57,353 par,</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42,633</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Montreal, Quebec H3C 2N6</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+ 4.75%</w:t>
            </w: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43,340</w:t>
            </w:r>
          </w:p>
        </w:tc>
        <w:tc>
          <w:tcPr>
            <w:tcW w:w="8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10/2025)</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57,640)</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Alpha Midco, Inc. </w:t>
            </w:r>
            <w:r>
              <w:rPr>
                <w:rFonts w:ascii="Times New Roman" w:cs="Times New Roman" w:eastAsia="Times New Roman" w:hAnsi="Times New Roman"/>
                <w:sz w:val="10"/>
                <w:szCs w:val="10"/>
                <w:color w:val="auto"/>
              </w:rPr>
              <w:t>(3)(5)</w:t>
            </w:r>
            <w:r>
              <w:rPr>
                <w:rFonts w:ascii="Times New Roman" w:cs="Times New Roman" w:eastAsia="Times New Roman" w:hAnsi="Times New Roman"/>
                <w:sz w:val="14"/>
                <w:szCs w:val="14"/>
                <w:color w:val="auto"/>
              </w:rPr>
              <w:t xml:space="preserve"> 3933 Lake</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Washington Blvd NE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60" w:type="dxa"/>
            <w:vAlign w:val="bottom"/>
          </w:tcPr>
          <w:p>
            <w:pPr>
              <w:spacing w:after="0"/>
              <w:rPr>
                <w:sz w:val="12"/>
                <w:szCs w:val="12"/>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($68,794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Kirkland, WA 98033</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8/15/2019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940" w:type="dxa"/>
            <w:vAlign w:val="bottom"/>
            <w:gridSpan w:val="2"/>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68,125</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69,660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Ignition Purchaser, Inc. </w:t>
            </w:r>
            <w:r>
              <w:rPr>
                <w:rFonts w:ascii="Times New Roman" w:cs="Times New Roman" w:eastAsia="Times New Roman" w:hAnsi="Times New Roman"/>
                <w:sz w:val="10"/>
                <w:szCs w:val="10"/>
                <w:color w:val="auto"/>
              </w:rPr>
              <w:t>(3)</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1801 West End Ave</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holdco loan ($30,913</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Nashville, TN 37203</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4/18/2023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+ 9.00%</w:t>
            </w: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30,045</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30,449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10/2030)</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PIK</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Dye &amp; Durham Corp. </w:t>
            </w:r>
            <w:r>
              <w:rPr>
                <w:rFonts w:ascii="Times New Roman" w:cs="Times New Roman" w:eastAsia="Times New Roman" w:hAnsi="Times New Roman"/>
                <w:sz w:val="10"/>
                <w:szCs w:val="10"/>
                <w:color w:val="auto"/>
              </w:rPr>
              <w:t>(3)(4)</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 York Street</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(CAD 36,778 par,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27,483</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28,026</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(CAD 37,157)</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(CAD</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804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1,086 par, due 12/2026)</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1,086)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93" w:right="4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2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8"/>
                <w:szCs w:val="8"/>
                <w:color w:val="auto"/>
              </w:rPr>
              <w:t>(3)(5)</w:t>
            </w:r>
          </w:p>
        </w:tc>
        <w:tc>
          <w:tcPr>
            <w:tcW w:w="2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 Pike St</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($64,162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1600</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12.92%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63,157</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63,681</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98101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ForeScout Technologies, Inc.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300</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Santana Row</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($2,788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Suite 400</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2,737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2,803</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San Jose, CA 95128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($2,566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8/17/2020</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14.49%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2,554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2,572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Galileo Parent, Inc. </w:t>
            </w:r>
            <w:r>
              <w:rPr>
                <w:rFonts w:ascii="Times New Roman" w:cs="Times New Roman" w:eastAsia="Times New Roman" w:hAnsi="Times New Roman"/>
                <w:sz w:val="10"/>
                <w:szCs w:val="10"/>
                <w:color w:val="auto"/>
              </w:rPr>
              <w:t>(3)</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Prudential Tower, 800 Boylston</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($64,904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 Boston, MA 02199</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63,030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63,930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($4,471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4,189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4,320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5/2029)</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Hornetsecurity Holding GmbH (3)(4)</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Am Listholze 78</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3,335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3,335</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30177 Hanover</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11/14/2022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3,150</w:t>
            </w: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11/2029)</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3,150)</w:t>
            </w: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Information Clearinghouse, LLC and</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MS Market Service, LLC </w:t>
            </w:r>
            <w:r>
              <w:rPr>
                <w:rFonts w:ascii="Times New Roman" w:cs="Times New Roman" w:eastAsia="Times New Roman" w:hAnsi="Times New Roman"/>
                <w:sz w:val="10"/>
                <w:szCs w:val="10"/>
                <w:color w:val="auto"/>
              </w:rPr>
              <w:t>(3)(5)</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($17,685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310 East Shore Road</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+ 6.65%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12.05%</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17,361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17,596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Great Neck, NY 11023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Corporate Purchaser, Inc. </w:t>
            </w:r>
            <w:r>
              <w:rPr>
                <w:rFonts w:ascii="Times New Roman" w:cs="Times New Roman" w:eastAsia="Times New Roman" w:hAnsi="Times New Roman"/>
                <w:sz w:val="10"/>
                <w:szCs w:val="10"/>
                <w:color w:val="auto"/>
              </w:rPr>
              <w:t>(3)(9)</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+ 4.60%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9.97%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317</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Auburn, AL 36832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Netwrix Corp. </w:t>
            </w:r>
            <w:r>
              <w:rPr>
                <w:rFonts w:ascii="Times New Roman" w:cs="Times New Roman" w:eastAsia="Times New Roman" w:hAnsi="Times New Roman"/>
                <w:sz w:val="10"/>
                <w:szCs w:val="10"/>
                <w:color w:val="auto"/>
              </w:rPr>
              <w:t>(3)</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6160 Warren Parkway</w:t>
            </w: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($36,456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Frisco, TX 75034</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35,952</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($718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682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718</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6/2029)</w:t>
            </w: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OutSystems Luxco SARL</w:t>
            </w:r>
            <w:r>
              <w:rPr>
                <w:rFonts w:ascii="Times New Roman" w:cs="Times New Roman" w:eastAsia="Times New Roman" w:hAnsi="Times New Roman"/>
                <w:sz w:val="10"/>
                <w:szCs w:val="10"/>
                <w:color w:val="auto"/>
              </w:rPr>
              <w:t>(3)(4)(5)</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55 Thomson Place</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3,180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3,180</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2nd Floor</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+ 5.75%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02210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3,004)</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80" w:right="4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8"/>
                <w:szCs w:val="8"/>
                <w:color w:val="auto"/>
              </w:rPr>
              <w:t>(3)(5)</w:t>
            </w:r>
          </w:p>
        </w:tc>
        <w:tc>
          <w:tcPr>
            <w:tcW w:w="1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Boulevard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($76,220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10/8/2020</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75,271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77,172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Wrangler TopCo, LLC </w:t>
            </w:r>
            <w:r>
              <w:rPr>
                <w:rFonts w:ascii="Times New Roman" w:cs="Times New Roman" w:eastAsia="Times New Roman" w:hAnsi="Times New Roman"/>
                <w:sz w:val="10"/>
                <w:szCs w:val="10"/>
                <w:color w:val="auto"/>
              </w:rPr>
              <w:t>(3)</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555 California Street</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($4,153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12.88%</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4,041</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4,095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445,788</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451,204</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Erling Lux Bidco SARL</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 Boulevard De La Foire</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(EUR 9,625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10,257</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1528 Luxembourg</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E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9,514</w:t>
            </w: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Luxembourg</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(EUR 9,688)</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loan (GBP 10,217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11,276</w:t>
            </w:r>
          </w:p>
        </w:tc>
        <w:tc>
          <w:tcPr>
            <w:tcW w:w="10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12,533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10,269)</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revolving loan (GBP</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382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312 par, 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(GBP 313)</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21,190</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23,172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Banyan Software Holdings, LLC </w:t>
            </w:r>
            <w:r>
              <w:rPr>
                <w:rFonts w:ascii="Times New Roman" w:cs="Times New Roman" w:eastAsia="Times New Roman" w:hAnsi="Times New Roman"/>
                <w:sz w:val="10"/>
                <w:szCs w:val="10"/>
                <w:color w:val="auto"/>
              </w:rPr>
              <w:t>(3)</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w:t>
            </w: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303 Perimeter Center North</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450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($19,850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Atlanta, GA 30346</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18,803</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545 Boylston Street</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($34,256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11/19/2021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33,521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33,742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11/2026)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($33,925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13.79%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33,899</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33,586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xml:space="preserve">12/2024) </w:t>
            </w:r>
            <w:r>
              <w:rPr>
                <w:rFonts w:ascii="Times New Roman" w:cs="Times New Roman" w:eastAsia="Times New Roman" w:hAnsi="Times New Roman"/>
                <w:sz w:val="10"/>
                <w:szCs w:val="10"/>
                <w:color w:val="auto"/>
              </w:rPr>
              <w:t>(3)</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Convertible note ($4,619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7.00%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4,590</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4,803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90,813</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91,782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6.2%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Acquisition Corp. </w:t>
            </w:r>
            <w:r>
              <w:rPr>
                <w:rFonts w:ascii="Times New Roman" w:cs="Times New Roman" w:eastAsia="Times New Roman" w:hAnsi="Times New Roman"/>
                <w:sz w:val="10"/>
                <w:szCs w:val="10"/>
                <w:color w:val="auto"/>
              </w:rPr>
              <w:t>(3)</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Second-lien loan ($43,479 par,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10/25/2021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+ 8.99%</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14.53%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42,796</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34,566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10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10/2029)</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Destiny Solutions Parent Holding</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Company </w:t>
            </w:r>
            <w:r>
              <w:rPr>
                <w:rFonts w:ascii="Times New Roman" w:cs="Times New Roman" w:eastAsia="Times New Roman" w:hAnsi="Times New Roman"/>
                <w:sz w:val="10"/>
                <w:szCs w:val="10"/>
                <w:color w:val="auto"/>
              </w:rPr>
              <w:t>(3)(5)</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($59,700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+ 5.85%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58,941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59,103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Camarillo, CA 93012</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80" w:right="4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(3)</w:t>
            </w:r>
          </w:p>
        </w:tc>
        <w:tc>
          <w:tcPr>
            <w:tcW w:w="20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($56,216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11.67%</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55,240</w:t>
            </w:r>
          </w:p>
        </w:tc>
        <w:tc>
          <w:tcPr>
            <w:tcW w:w="140" w:type="dxa"/>
            <w:vAlign w:val="bottom"/>
            <w:vMerge w:val="restart"/>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156,977</w:t>
            </w:r>
          </w:p>
        </w:tc>
        <w:tc>
          <w:tcPr>
            <w:tcW w:w="1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148,585</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Alaska Bidco Oy </w:t>
            </w:r>
            <w:r>
              <w:rPr>
                <w:rFonts w:ascii="Times New Roman" w:cs="Times New Roman" w:eastAsia="Times New Roman" w:hAnsi="Times New Roman"/>
                <w:sz w:val="10"/>
                <w:szCs w:val="10"/>
                <w:color w:val="auto"/>
              </w:rPr>
              <w:t>(3)(4)</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727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763</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Linnoitustie 6</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5/30/2023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10.39%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754</w:t>
            </w:r>
          </w:p>
        </w:tc>
        <w:tc>
          <w:tcPr>
            <w:tcW w:w="102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02600, Norway</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720)</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Bluebill Buyer,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($28,164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6100 W. 96th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7/20/2023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27,122</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27,319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Indianapolis, IN 46278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BTRS Holdings, Inc.</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1009 Lenox</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($46,580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Drive, Suite 101</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12/16/2022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+ 8.00%</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13.41%</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45,277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46,323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Lawrenceville, NJ 08648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Bear OpCo, LLC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($21,082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5435 Corporate Drive, Suite 300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10/10/2019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20,953</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21,345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Troy, MI 48098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BlueSnap, Inc. </w:t>
            </w:r>
            <w:r>
              <w:rPr>
                <w:rFonts w:ascii="Times New Roman" w:cs="Times New Roman" w:eastAsia="Times New Roman" w:hAnsi="Times New Roman"/>
                <w:sz w:val="10"/>
                <w:szCs w:val="10"/>
                <w:color w:val="auto"/>
              </w:rPr>
              <w:t>(3)(5)</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800 South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($42,000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640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10/25/2019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12.54%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41,786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42,223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Waltham, MA 02453</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Intermediate Co.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($1,514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485 Lexington Ave, 20th Floor</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+ 4.65%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10.07%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1,359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1,593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US Blocker Co.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485 Lexington</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($15,419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13.82%</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Ave, 20th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15,196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15,342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color w:val="auto"/>
                <w:w w:val="97"/>
              </w:rPr>
              <w:t>PIK</w:t>
            </w:r>
          </w:p>
        </w:tc>
        <w:tc>
          <w:tcPr>
            <w:tcW w:w="7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Kyriba Corp.</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($20,382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14.72%</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4435 Eastgate Mall, Suite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+ 9.25%</w:t>
            </w:r>
          </w:p>
        </w:tc>
        <w:tc>
          <w:tcPr>
            <w:tcW w:w="134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20,255</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20,433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10,617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+ 9.00%</w:t>
            </w:r>
          </w:p>
        </w:tc>
        <w:tc>
          <w:tcPr>
            <w:tcW w:w="1340" w:type="dxa"/>
            <w:vAlign w:val="bottom"/>
            <w:gridSpan w:val="2"/>
          </w:tcPr>
          <w:p>
            <w:pPr>
              <w:jc w:val="center"/>
              <w:ind w:left="509"/>
              <w:spacing w:after="0" w:line="135" w:lineRule="exact"/>
              <w:rPr>
                <w:sz w:val="20"/>
                <w:szCs w:val="20"/>
                <w:color w:val="auto"/>
              </w:rPr>
            </w:pPr>
            <w:r>
              <w:rPr>
                <w:rFonts w:ascii="Times New Roman" w:cs="Times New Roman" w:eastAsia="Times New Roman" w:hAnsi="Times New Roman"/>
                <w:sz w:val="14"/>
                <w:szCs w:val="14"/>
                <w:color w:val="auto"/>
              </w:rPr>
              <w:t>13.14%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11,782</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11,269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4/2025)</w:t>
            </w: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10,644)</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($1,411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1,399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4/2025)</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(EUR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+ 7.25%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11.39%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374</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336 par, due 4/2025)</w:t>
            </w: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336)</w:t>
            </w: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80" w:right="4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4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2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Passport Labs, Inc.</w:t>
            </w:r>
          </w:p>
        </w:tc>
        <w:tc>
          <w:tcPr>
            <w:tcW w:w="20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($24,349 par, due</w:t>
            </w: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0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4/28/2021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13.79%</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24,174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24,294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4/2026)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Convertible Promissory Note A</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694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943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($694 par, due 9/2024)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Ping Identity Holding Corp. </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($22,727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17th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10/17/2022</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+ 7.00%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12.32%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22,165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23,040</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10"/>
                <w:szCs w:val="10"/>
                <w:color w:val="auto"/>
              </w:rPr>
              <w:t>(3)</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($15,007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Peachtree St NE, Suite 4400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12/31/2018</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14,997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15,113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Atlanta, GA 30308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($47,318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4/30/2021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11.72%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46,421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47,081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Volante Technologies, Inc.</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Harborside 5</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($2,500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185 Hudson Street, #1605</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9/29/2023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134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2,438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2,438</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Jersey City, NJ 07311</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297,146</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301,290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Ace Purchaser, Inc. </w:t>
            </w:r>
            <w:r>
              <w:rPr>
                <w:rFonts w:ascii="Times New Roman" w:cs="Times New Roman" w:eastAsia="Times New Roman" w:hAnsi="Times New Roman"/>
                <w:sz w:val="10"/>
                <w:szCs w:val="10"/>
                <w:color w:val="auto"/>
              </w:rPr>
              <w:t>(3)</w:t>
            </w: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3675 Mt. Diablo Boulevard, Suite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($69,231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100B</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11/23/2020</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13.87%</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68,271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69,577</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Lafayette, CA 94549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11/2027) </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Second-lien loan ($5,401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+ 10.70%</w:t>
            </w: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16.05%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5,266</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5,374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Edge Bidco B.V </w:t>
            </w:r>
            <w:r>
              <w:rPr>
                <w:rFonts w:ascii="Times New Roman" w:cs="Times New Roman" w:eastAsia="Times New Roman" w:hAnsi="Times New Roman"/>
                <w:sz w:val="10"/>
                <w:szCs w:val="10"/>
                <w:color w:val="auto"/>
              </w:rPr>
              <w:t>(3)(4)(5)</w:t>
            </w:r>
            <w:r>
              <w:rPr>
                <w:rFonts w:ascii="Times New Roman" w:cs="Times New Roman" w:eastAsia="Times New Roman" w:hAnsi="Times New Roman"/>
                <w:sz w:val="14"/>
                <w:szCs w:val="14"/>
                <w:color w:val="auto"/>
              </w:rPr>
              <w:t xml:space="preserve"> De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3,520 par,</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10.97%</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3,727</w:t>
            </w: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Lairessestraat 145</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2/24/2023</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+ 7.00%</w:t>
            </w:r>
          </w:p>
        </w:tc>
        <w:tc>
          <w:tcPr>
            <w:tcW w:w="1340" w:type="dxa"/>
            <w:vAlign w:val="bottom"/>
            <w:gridSpan w:val="2"/>
            <w:vMerge w:val="continue"/>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3,590</w:t>
            </w:r>
          </w:p>
        </w:tc>
        <w:tc>
          <w:tcPr>
            <w:tcW w:w="940" w:type="dxa"/>
            <w:vAlign w:val="bottom"/>
            <w:gridSpan w:val="2"/>
            <w:vMerge w:val="continue"/>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1075 HJ Amsterdam</w:t>
            </w: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2/2029)</w:t>
            </w:r>
          </w:p>
        </w:tc>
        <w:tc>
          <w:tcPr>
            <w:tcW w:w="84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3.25% PIK)</w:t>
            </w:r>
          </w:p>
        </w:tc>
        <w:tc>
          <w:tcPr>
            <w:tcW w:w="7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(EUR 3,520)</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Homecare Software Solutions, LLC</w:t>
            </w: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(3)(5)</w:t>
            </w:r>
          </w:p>
        </w:tc>
        <w:tc>
          <w:tcPr>
            <w:tcW w:w="15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130 West 42nd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2nd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10/6/2021</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+ 5.70%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11.03%</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63,942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64,675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10036</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10/2026)</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80" w:right="4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8"/>
                <w:szCs w:val="8"/>
                <w:color w:val="auto"/>
              </w:rPr>
              <w:t>(3)(5)</w:t>
            </w: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20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($70,103 par, due</w:t>
            </w:r>
          </w:p>
        </w:tc>
        <w:tc>
          <w:tcPr>
            <w:tcW w:w="180" w:type="dxa"/>
            <w:vAlign w:val="bottom"/>
            <w:tcBorders>
              <w:top w:val="single" w:sz="8" w:color="CCEEFF"/>
            </w:tcBorders>
            <w:vMerge w:val="restart"/>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120" w:type="dxa"/>
            <w:vAlign w:val="bottom"/>
            <w:vMerge w:val="continue"/>
            <w:shd w:val="clear" w:color="auto" w:fill="CCEEFF"/>
          </w:tcPr>
          <w:p>
            <w:pPr>
              <w:spacing w:after="0"/>
              <w:rPr>
                <w:sz w:val="12"/>
                <w:szCs w:val="12"/>
                <w:color w:val="auto"/>
              </w:rPr>
            </w:pPr>
          </w:p>
        </w:tc>
        <w:tc>
          <w:tcPr>
            <w:tcW w:w="202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68,127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69,052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205</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($15,609 par, due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Wacker Drive, Suite 1800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3/24/2023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15,083</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15,413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SL Buyer Corp. </w:t>
            </w:r>
            <w:r>
              <w:rPr>
                <w:rFonts w:ascii="Times New Roman" w:cs="Times New Roman" w:eastAsia="Times New Roman" w:hAnsi="Times New Roman"/>
                <w:sz w:val="10"/>
                <w:szCs w:val="10"/>
                <w:color w:val="auto"/>
              </w:rPr>
              <w:t>(3)(5)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($31,475 par, due</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 South Wood Avenue Iselin,</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+ 7.00%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30,096</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30,520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NJ 08830</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254,375</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258,338</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17.5%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ASG II, LLC </w:t>
            </w:r>
            <w:r>
              <w:rPr>
                <w:rFonts w:ascii="Times New Roman" w:cs="Times New Roman" w:eastAsia="Times New Roman" w:hAnsi="Times New Roman"/>
                <w:sz w:val="10"/>
                <w:szCs w:val="10"/>
                <w:color w:val="auto"/>
              </w:rPr>
              <w:t>(3)(5)</w:t>
            </w: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loan ($60,693 par, due</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59,414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60,693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Walnut Creek, CA 94596 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(3)(6)</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($30,261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28,594</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30,034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6/2024)</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revolving loan ($24,752</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24,752</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24,564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6/2024)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112,760</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115,291</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Human Resource Support</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($40,920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40,312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(3)(5)</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($44,470 par, due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+ 6.63%</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43,287</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44,582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11/2028)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Elysian Finco Ltd.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27-28 Clements Lane</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($18,955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EC4N 7AE</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18,528</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19,356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Employment Hero Holdings Pty</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Ltd.</w:t>
            </w:r>
            <w:r>
              <w:rPr>
                <w:rFonts w:ascii="Times New Roman" w:cs="Times New Roman" w:eastAsia="Times New Roman" w:hAnsi="Times New Roman"/>
                <w:sz w:val="8"/>
                <w:szCs w:val="8"/>
                <w:color w:val="auto"/>
              </w:rPr>
              <w:t xml:space="preserve"> (3)(4)</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(AUD 32,270 par,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32,067</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12/6/2021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B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34,791</w:t>
            </w: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120" w:type="dxa"/>
            <w:vAlign w:val="bottom"/>
          </w:tcPr>
          <w:p>
            <w:pPr>
              <w:spacing w:after="0"/>
              <w:rPr>
                <w:sz w:val="15"/>
                <w:szCs w:val="15"/>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12/2026)</w:t>
            </w: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(AUD 49,685)</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HireVue, Inc.</w:t>
            </w:r>
            <w:r>
              <w:rPr>
                <w:rFonts w:ascii="Times New Roman" w:cs="Times New Roman" w:eastAsia="Times New Roman" w:hAnsi="Times New Roman"/>
                <w:sz w:val="10"/>
                <w:szCs w:val="10"/>
                <w:color w:val="auto"/>
              </w:rPr>
              <w:t>(3)</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10876 South River Front</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Parkway</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($54,113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Jordan, UT 84095</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53,350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80" w:right="4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0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8"/>
                <w:szCs w:val="8"/>
                <w:color w:val="auto"/>
              </w:rPr>
              <w:t>(3)(4)(5)</w:t>
            </w:r>
          </w:p>
        </w:tc>
        <w:tc>
          <w:tcPr>
            <w:tcW w:w="19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S5051, Level 5, 447 Collins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(AUD 13,916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8,982</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Melbourne, Victoria 3000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B + 5.25%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9.36%</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10,500</w:t>
            </w:r>
          </w:p>
        </w:tc>
        <w:tc>
          <w:tcPr>
            <w:tcW w:w="112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(AUD 13,916)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3,258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+ 5.28%</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4,487</w:t>
            </w:r>
          </w:p>
        </w:tc>
        <w:tc>
          <w:tcPr>
            <w:tcW w:w="11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3,976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3,258)</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($11,441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+ 5.35%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11,431</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11,441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PayScale Holdings, Inc. </w:t>
            </w:r>
            <w:r>
              <w:rPr>
                <w:rFonts w:ascii="Times New Roman" w:cs="Times New Roman" w:eastAsia="Times New Roman" w:hAnsi="Times New Roman"/>
                <w:sz w:val="10"/>
                <w:szCs w:val="10"/>
                <w:color w:val="auto"/>
              </w:rPr>
              <w:t>(3)(5)</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 King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800</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($71,379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Seattle, WA 98104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70,985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71,379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PrimePay Intermediate, LLC </w:t>
            </w:r>
            <w:r>
              <w:rPr>
                <w:rFonts w:ascii="Times New Roman" w:cs="Times New Roman" w:eastAsia="Times New Roman" w:hAnsi="Times New Roman"/>
                <w:sz w:val="10"/>
                <w:szCs w:val="10"/>
                <w:color w:val="auto"/>
              </w:rPr>
              <w:t>(3)(5)</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($34,462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1487 Dunwoody Drive West</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33,697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34,290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 PA 19380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320,440</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320,343</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21.6%</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Disco Parent,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 Boston Wharf Road Boston,</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($4,545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 02210</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4,431</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Arrow Buyer,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 East 49th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Tower 49</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($33,125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10017</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32,225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32,514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(3)</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($35,464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1400 Liberty Ridge Drive</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+ 7.60%</w:t>
            </w:r>
          </w:p>
        </w:tc>
        <w:tc>
          <w:tcPr>
            <w:tcW w:w="1040" w:type="dxa"/>
            <w:vAlign w:val="bottom"/>
            <w:gridSpan w:val="2"/>
            <w:vMerge w:val="continue"/>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35,198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($480</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461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10/2027)</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Coupa Holdings, LLC </w:t>
            </w:r>
            <w:r>
              <w:rPr>
                <w:rFonts w:ascii="Times New Roman" w:cs="Times New Roman" w:eastAsia="Times New Roman" w:hAnsi="Times New Roman"/>
                <w:sz w:val="10"/>
                <w:szCs w:val="10"/>
                <w:color w:val="auto"/>
              </w:rPr>
              <w:t>(3)</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1855 S. Grant 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($43,191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42,092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43,066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CrunchTime Information, Systems,</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 xml:space="preserve"> (3)(5)</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129 Portland Street</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($59,651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+ 6.00%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11.32%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58,579</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EDB Parent, LLC </w:t>
            </w:r>
            <w:r>
              <w:rPr>
                <w:rFonts w:ascii="Times New Roman" w:cs="Times New Roman" w:eastAsia="Times New Roman" w:hAnsi="Times New Roman"/>
                <w:sz w:val="10"/>
                <w:szCs w:val="10"/>
                <w:color w:val="auto"/>
              </w:rPr>
              <w:t>(3)(5)</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 Crosby Drive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201, CORPORATION</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TRUST CENTER 1209</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ORANGE ST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($61,858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Bedford, MA 01730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60,612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61,394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80" w:right="4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2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8"/>
                <w:szCs w:val="8"/>
                <w:color w:val="auto"/>
              </w:rPr>
              <w:t>(3)(5)</w:t>
            </w:r>
          </w:p>
        </w:tc>
        <w:tc>
          <w:tcPr>
            <w:tcW w:w="2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1919 North Lynn Street</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($53,658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Arlington, VA 22209</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6/18/2018</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53,464</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53,792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LeanTaaS Holdings,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471 El Camino Real Suite 230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($35,413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 Clara, CA 95050</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34,602</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35,556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Lithium Technologies, LLC </w:t>
            </w:r>
            <w:r>
              <w:rPr>
                <w:rFonts w:ascii="Times New Roman" w:cs="Times New Roman" w:eastAsia="Times New Roman" w:hAnsi="Times New Roman"/>
                <w:sz w:val="10"/>
                <w:szCs w:val="10"/>
                <w:color w:val="auto"/>
              </w:rPr>
              <w:t>(3)</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($57,009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10/3/2017</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+ 9.00%</w:t>
            </w:r>
          </w:p>
        </w:tc>
        <w:tc>
          <w:tcPr>
            <w:tcW w:w="13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56,996</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55,726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4.50% PIK)</w:t>
            </w: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($8,764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San Francisco, CA 94104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8,763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8,717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3.50% PIK)</w:t>
            </w:r>
          </w:p>
        </w:tc>
        <w:tc>
          <w:tcPr>
            <w:tcW w:w="7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(3)(5)</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($51,218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50,545</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50,706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(3)</w:t>
            </w: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(5)</w:t>
            </w:r>
          </w:p>
        </w:tc>
        <w:tc>
          <w:tcPr>
            <w:tcW w:w="1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Pawkway</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($36,833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35,406</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36,649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Houston, TX 77044 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468,675</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473,430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ASP Unifrax Holdings, Inc. </w:t>
            </w:r>
            <w:r>
              <w:rPr>
                <w:rFonts w:ascii="Times New Roman" w:cs="Times New Roman" w:eastAsia="Times New Roman" w:hAnsi="Times New Roman"/>
                <w:sz w:val="10"/>
                <w:szCs w:val="10"/>
                <w:color w:val="auto"/>
              </w:rPr>
              <w:t>(9)</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Riverwalk Parkway</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120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($1,133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Tonawanda, NY 14150</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8/25/2023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+ 3.90%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1,051</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364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9/14/2023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+ 3.75%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7.72%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357</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(EUR 335)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($227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8/31/2023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80" w:right="4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0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4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8"/>
                <w:szCs w:val="8"/>
                <w:color w:val="auto"/>
              </w:rPr>
              <w:t>(3)</w:t>
            </w: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($38,636 par, due</w:t>
            </w:r>
          </w:p>
        </w:tc>
        <w:tc>
          <w:tcPr>
            <w:tcW w:w="80" w:type="dxa"/>
            <w:vAlign w:val="bottom"/>
            <w:tcBorders>
              <w:top w:val="single" w:sz="8" w:color="CCEEFF"/>
            </w:tcBorders>
            <w:vMerge w:val="restart"/>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South King Street #1200</w:t>
            </w:r>
          </w:p>
        </w:tc>
        <w:tc>
          <w:tcPr>
            <w:tcW w:w="198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10/19/2022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37,701</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38,424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98104</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Skylark UK DebtCo Limited </w:t>
            </w:r>
            <w:r>
              <w:rPr>
                <w:rFonts w:ascii="Times New Roman" w:cs="Times New Roman" w:eastAsia="Times New Roman" w:hAnsi="Times New Roman"/>
                <w:sz w:val="10"/>
                <w:szCs w:val="10"/>
                <w:color w:val="auto"/>
              </w:rPr>
              <w:t>(3)(4)</w:t>
            </w: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4th Floor 100 Pall Mall</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($16,340 par,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SW1Y 5NQ United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11.65%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15,705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15,697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Kingdom</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9/2030)</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4,851 par,</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10.08%</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5,051</w:t>
            </w: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5,021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(EUR 4,742)</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16,640 par,</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40" w:type="dxa"/>
            <w:vAlign w:val="bottom"/>
            <w:vMerge w:val="restart"/>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19,852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(GBP 16,265)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80,178</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0"/>
                <w:szCs w:val="10"/>
                <w:color w:val="auto"/>
              </w:rPr>
              <w:t>(3)(5)</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ABL FILO term loan ($17,500</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Staples Drive MS: E5A</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4/25/2022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+ 6.50%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11.83%</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17,185</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17,369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Framingham, MA 01702</w:t>
            </w: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4/2027)</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Laramie Energy,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($27,317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730 17th Street</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26,724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($29,478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6/30/2022</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28,986</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29,887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+ 7.76%</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13.15%</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64,299</w:t>
            </w:r>
          </w:p>
        </w:tc>
        <w:tc>
          <w:tcPr>
            <w:tcW w:w="14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67,310</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120,009</w:t>
            </w:r>
          </w:p>
        </w:tc>
        <w:tc>
          <w:tcPr>
            <w:tcW w:w="14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124,252</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Omnigo Software, LLC </w:t>
            </w:r>
            <w:r>
              <w:rPr>
                <w:rFonts w:ascii="Times New Roman" w:cs="Times New Roman" w:eastAsia="Times New Roman" w:hAnsi="Times New Roman"/>
                <w:sz w:val="10"/>
                <w:szCs w:val="10"/>
                <w:color w:val="auto"/>
              </w:rPr>
              <w:t>(3)(5)</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($40,045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10430 Baur Boulevard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3/31/2021</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+ 6.60%</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39,492</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39,745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Saint Louis, MO 63132</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ABL FILO term loan ($25,000</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4000 Union Pacific Avenue</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9/6/2017</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24,845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Commerce, CA 90023</w:t>
            </w: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5/2025)</w:t>
            </w: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(3)(14)</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($27,089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11.68%</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1550 W Mockingbird Lane</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9/30/2015</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4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26,260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20,452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9/2026)</w:t>
            </w: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(incl. 11.19% PIK)</w:t>
            </w: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80" w:right="4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($1,355 par, due</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+ 14.10%</w:t>
            </w:r>
          </w:p>
        </w:tc>
        <w:tc>
          <w:tcPr>
            <w:tcW w:w="14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19.43%</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18.93%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Subordinated note ($4,740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3/16/2021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+ 1.15%</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6.40%</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9/2026)</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Bed Bath and Beyond Inc. </w:t>
            </w:r>
            <w:r>
              <w:rPr>
                <w:rFonts w:ascii="Times New Roman" w:cs="Times New Roman" w:eastAsia="Times New Roman" w:hAnsi="Times New Roman"/>
                <w:sz w:val="10"/>
                <w:szCs w:val="10"/>
                <w:color w:val="auto"/>
              </w:rPr>
              <w:t>(3)(15)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ABL FILO term loan ($15,375</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650 Liberty Avenue</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9/2/2022</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+ 9.90%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Union, NJ 07083</w:t>
            </w: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8/2027)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Roll Up DIP term loan ($25,914</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25,914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25,331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9/2024)</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13.22% 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Super-Priority DIP term loan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4,946</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4,835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($4,946 par, due 9/2024)</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Cordance Operations,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($47,006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 W. Martin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7/25/2022</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+ 9.25%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14.62%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46,095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47,006</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Raleigh, NC 27601</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(3)(5)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($57,701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+ 7.65%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13.02%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56,869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57,990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 P Intermediate 2,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ABL FILO term loan ($71,250</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461 Nott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11/8/2021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+ 8.10%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70,344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72,141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Schenectady, NY 12308</w:t>
            </w:r>
          </w:p>
        </w:tc>
        <w:tc>
          <w:tcPr>
            <w:tcW w:w="6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5/2026)</w:t>
            </w: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Rapid Data GmbH</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Unternehmensberatung </w:t>
            </w:r>
            <w:r>
              <w:rPr>
                <w:rFonts w:ascii="Times New Roman" w:cs="Times New Roman" w:eastAsia="Times New Roman" w:hAnsi="Times New Roman"/>
                <w:sz w:val="10"/>
                <w:szCs w:val="10"/>
                <w:color w:val="auto"/>
              </w:rPr>
              <w:t>(3)(4)</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(EUR 4,495 par,</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4,625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Agricolastr. 54 30952</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 + 6.50%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10.15%</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4,666</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Ronnenberg, Germany</w:t>
            </w:r>
          </w:p>
        </w:tc>
        <w:tc>
          <w:tcPr>
            <w:tcW w:w="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7/2029)</w:t>
            </w: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4,368)</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Tango Management Consulting, LLC</w:t>
            </w:r>
          </w:p>
        </w:tc>
        <w:tc>
          <w:tcPr>
            <w:tcW w:w="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(3)(5)</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9797 Rombauer Road Suite #450</w:t>
            </w:r>
          </w:p>
        </w:tc>
        <w:tc>
          <w:tcPr>
            <w:tcW w:w="21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First-lien loan ($54,052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+ 6.85%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12.18%</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53,318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53,512</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Dallas, TX 75019</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First-lien revolving loan ($9 par,</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P + 6.85%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15.25%</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330,156</w:t>
            </w:r>
          </w:p>
        </w:tc>
        <w:tc>
          <w:tcPr>
            <w:tcW w:w="18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326,065</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Project44, Inc. </w:t>
            </w:r>
            <w:r>
              <w:rPr>
                <w:rFonts w:ascii="Times New Roman" w:cs="Times New Roman" w:eastAsia="Times New Roman" w:hAnsi="Times New Roman"/>
                <w:sz w:val="10"/>
                <w:szCs w:val="10"/>
                <w:color w:val="auto"/>
              </w:rPr>
              <w:t>(3)(5)</w:t>
            </w:r>
          </w:p>
        </w:tc>
        <w:tc>
          <w:tcPr>
            <w:tcW w:w="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222 W Merchandise Mart Plaza</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($35,139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1744</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11/12/2021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+ 6.40%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11.76%</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34,210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34,864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60654</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11/2027)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Marcura Equities LTD </w:t>
            </w:r>
            <w:r>
              <w:rPr>
                <w:rFonts w:ascii="Times New Roman" w:cs="Times New Roman" w:eastAsia="Times New Roman" w:hAnsi="Times New Roman"/>
                <w:sz w:val="10"/>
                <w:szCs w:val="10"/>
                <w:color w:val="auto"/>
              </w:rPr>
              <w:t>(3)(4)</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Highdown House Yeoman Way</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($31,667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13.14%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Worthing, West Sussex</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+ 7.75%</w:t>
            </w:r>
          </w:p>
        </w:tc>
        <w:tc>
          <w:tcPr>
            <w:tcW w:w="1420" w:type="dxa"/>
            <w:vAlign w:val="bottom"/>
            <w:gridSpan w:val="2"/>
            <w:vMerge w:val="continue"/>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30,641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31,146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BN99 3HH United Kingdom</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8/2029)</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4.25%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80" w:right="4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280" w:type="dxa"/>
            <w:vAlign w:val="bottom"/>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vMerge w:val="restart"/>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40" w:type="dxa"/>
            <w:vAlign w:val="bottom"/>
          </w:tcPr>
          <w:p>
            <w:pPr>
              <w:spacing w:after="0"/>
              <w:rPr>
                <w:sz w:val="12"/>
                <w:szCs w:val="12"/>
                <w:color w:val="auto"/>
              </w:rPr>
            </w:pPr>
          </w:p>
        </w:tc>
        <w:tc>
          <w:tcPr>
            <w:tcW w:w="640" w:type="dxa"/>
            <w:vAlign w:val="bottom"/>
          </w:tcPr>
          <w:p>
            <w:pPr>
              <w:jc w:val="right"/>
              <w:ind w:righ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Pr>
          <w:p>
            <w:pPr>
              <w:spacing w:after="0"/>
              <w:rPr>
                <w:sz w:val="12"/>
                <w:szCs w:val="12"/>
                <w:color w:val="auto"/>
              </w:rPr>
            </w:pP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($1,667 par,</w:t>
            </w:r>
          </w:p>
        </w:tc>
        <w:tc>
          <w:tcPr>
            <w:tcW w:w="80" w:type="dxa"/>
            <w:vAlign w:val="bottom"/>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8/11/2023</w:t>
            </w:r>
          </w:p>
        </w:tc>
        <w:tc>
          <w:tcPr>
            <w:tcW w:w="10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SOFR + 7.00%</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12.39%</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00" w:type="dxa"/>
            <w:vAlign w:val="bottom"/>
            <w:tcBorders>
              <w:right w:val="single" w:sz="8" w:color="CCEEFF"/>
            </w:tcBorders>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8/2029)</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66,436</w:t>
            </w:r>
          </w:p>
        </w:tc>
        <w:tc>
          <w:tcPr>
            <w:tcW w:w="12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67,635</w:t>
            </w:r>
          </w:p>
        </w:tc>
        <w:tc>
          <w:tcPr>
            <w:tcW w:w="200" w:type="dxa"/>
            <w:vAlign w:val="bottom"/>
            <w:vMerge w:val="continue"/>
          </w:tcPr>
          <w:p>
            <w:pPr>
              <w:spacing w:after="0"/>
              <w:rPr>
                <w:sz w:val="13"/>
                <w:szCs w:val="13"/>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2,890,369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2,909,102</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195.8%</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Dye &amp; Durham, Ltd. (4)(10) 25 York</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1,248</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(126,968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3,909</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5"/>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(CAD 1,688)</w:t>
            </w:r>
          </w:p>
        </w:tc>
        <w:tc>
          <w:tcPr>
            <w:tcW w:w="9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TA Aggregator, LP </w:t>
            </w:r>
            <w:r>
              <w:rPr>
                <w:rFonts w:ascii="Times New Roman" w:cs="Times New Roman" w:eastAsia="Times New Roman" w:hAnsi="Times New Roman"/>
                <w:sz w:val="10"/>
                <w:szCs w:val="10"/>
                <w:color w:val="auto"/>
              </w:rPr>
              <w:t>(11)(13)</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(0.43%</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Auburn, AL 36832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5,243</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5,243</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ReliaQuest, LLC </w:t>
            </w:r>
            <w:r>
              <w:rPr>
                <w:rFonts w:ascii="Times New Roman" w:cs="Times New Roman" w:eastAsia="Times New Roman" w:hAnsi="Times New Roman"/>
                <w:sz w:val="10"/>
                <w:szCs w:val="10"/>
                <w:color w:val="auto"/>
              </w:rPr>
              <w:t>(11)(13)</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 Boulevard</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(567,683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A-2 Units (2,580 units)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Sprinklr, Inc. </w:t>
            </w:r>
            <w:r>
              <w:rPr>
                <w:rFonts w:ascii="Times New Roman" w:cs="Times New Roman" w:eastAsia="Times New Roman" w:hAnsi="Times New Roman"/>
                <w:sz w:val="10"/>
                <w:szCs w:val="10"/>
                <w:color w:val="auto"/>
              </w:rPr>
              <w:t>(10)(11)</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29 West 35th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7th Floor</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(315,005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6/24/2021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2,716</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4,360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10001</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Warrior TopCo LP </w:t>
            </w:r>
            <w:r>
              <w:rPr>
                <w:rFonts w:ascii="Times New Roman" w:cs="Times New Roman" w:eastAsia="Times New Roman" w:hAnsi="Times New Roman"/>
                <w:sz w:val="10"/>
                <w:szCs w:val="10"/>
                <w:color w:val="auto"/>
              </w:rPr>
              <w:t>(11)(12)</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 Suite 200</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(423,728 units)</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7/7/2023</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23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13,418</w:t>
            </w:r>
          </w:p>
        </w:tc>
        <w:tc>
          <w:tcPr>
            <w:tcW w:w="12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12,607</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545</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Boylston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(1,250,000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11/19/2021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1,250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IntelePeer Holdings, Inc. </w:t>
            </w:r>
            <w:r>
              <w:rPr>
                <w:rFonts w:ascii="Times New Roman" w:cs="Times New Roman" w:eastAsia="Times New Roman" w:hAnsi="Times New Roman"/>
                <w:sz w:val="10"/>
                <w:szCs w:val="10"/>
                <w:color w:val="auto"/>
              </w:rPr>
              <w:t>(11)</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 Preferred Shares (1,816,295</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1,816</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(1,598,874</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2,925</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280,000 Warrants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2/28/2020</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106,592 Warrants</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2L Holdings II LLC </w:t>
            </w:r>
            <w:r>
              <w:rPr>
                <w:rFonts w:ascii="Times New Roman" w:cs="Times New Roman" w:eastAsia="Times New Roman" w:hAnsi="Times New Roman"/>
                <w:sz w:val="10"/>
                <w:szCs w:val="10"/>
                <w:color w:val="auto"/>
              </w:rPr>
              <w:t>(11)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(10.17%</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1/13/2022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3,255</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80" w:right="4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800" w:type="dxa"/>
            <w:vAlign w:val="bottom"/>
            <w:vMerge w:val="restart"/>
          </w:tcPr>
          <w:p>
            <w:pPr>
              <w:spacing w:after="0"/>
              <w:rPr>
                <w:sz w:val="11"/>
                <w:szCs w:val="11"/>
                <w:color w:val="auto"/>
              </w:rPr>
            </w:pPr>
          </w:p>
        </w:tc>
        <w:tc>
          <w:tcPr>
            <w:tcW w:w="24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5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(11)</w:t>
            </w:r>
          </w:p>
        </w:tc>
        <w:tc>
          <w:tcPr>
            <w:tcW w:w="2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 STE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0" w:type="dxa"/>
            <w:vAlign w:val="bottom"/>
            <w:shd w:val="clear" w:color="auto" w:fill="CCEEFF"/>
          </w:tcPr>
          <w:p>
            <w:pPr>
              <w:spacing w:after="0"/>
              <w:rPr>
                <w:sz w:val="12"/>
                <w:szCs w:val="12"/>
                <w:color w:val="auto"/>
              </w:rPr>
            </w:pP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Units (5,522,526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RMCF IV CIV XXXV, LP. </w:t>
            </w:r>
            <w:r>
              <w:rPr>
                <w:rFonts w:ascii="Times New Roman" w:cs="Times New Roman" w:eastAsia="Times New Roman" w:hAnsi="Times New Roman"/>
                <w:sz w:val="10"/>
                <w:szCs w:val="10"/>
                <w:color w:val="auto"/>
              </w:rPr>
              <w:t>(11)</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Partnership Interest (11.94%</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 Camarillo,</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 93012</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9,778</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0"/>
                <w:szCs w:val="10"/>
                <w:color w:val="auto"/>
              </w:rPr>
              <w:t>(10)(11)</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1210 AvidXchange Lane</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(50,179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10/15/2021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Newport Parent Holdings, LP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58</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Durham Road</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A-2 Units (131,569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12/10/2020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4,177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9,607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DH3 2QJ</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Oxford Square Capital Corp. </w:t>
            </w:r>
            <w:r>
              <w:rPr>
                <w:rFonts w:ascii="Times New Roman" w:cs="Times New Roman" w:eastAsia="Times New Roman" w:hAnsi="Times New Roman"/>
                <w:sz w:val="10"/>
                <w:szCs w:val="10"/>
                <w:color w:val="auto"/>
              </w:rPr>
              <w:t>(4)(10)</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 Sound Shore Drive Suite 255</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255</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(1,620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8/5/2015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Greenwich, CT 06830</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Passport Labs,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17,534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(11)(13)</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(600,000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5/14/2021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5,231</w:t>
            </w:r>
          </w:p>
        </w:tc>
        <w:tc>
          <w:tcPr>
            <w:tcW w:w="220" w:type="dxa"/>
            <w:vAlign w:val="bottom"/>
            <w:vMerge w:val="continue"/>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10,690</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Caris Life Sciences,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750 W John Carpenter Fwy</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C Preferred Shares (1,915,114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800</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10/13/2020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6,703</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Irving, TX 75039</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(1,240,740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10,050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9,573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633,376 Warrants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569,991 Warrants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4/2/2020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Merative L.P. </w:t>
            </w:r>
            <w:r>
              <w:rPr>
                <w:rFonts w:ascii="Times New Roman" w:cs="Times New Roman" w:eastAsia="Times New Roman" w:hAnsi="Times New Roman"/>
                <w:sz w:val="10"/>
                <w:szCs w:val="10"/>
                <w:color w:val="auto"/>
              </w:rPr>
              <w:t>(11)(13)</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989,691 Class A-1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9,897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9,897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(11)(12)</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 Ordinary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A</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B</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C</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D</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F</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G</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H</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I</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25,919</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30,292</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80" w:right="4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80" w:type="dxa"/>
            <w:vAlign w:val="bottom"/>
            <w:vMerge w:val="restart"/>
          </w:tcPr>
          <w:p>
            <w:pPr>
              <w:spacing w:after="0"/>
              <w:rPr>
                <w:sz w:val="11"/>
                <w:szCs w:val="11"/>
                <w:color w:val="auto"/>
              </w:rPr>
            </w:pPr>
          </w:p>
        </w:tc>
        <w:tc>
          <w:tcPr>
            <w:tcW w:w="2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4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21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(7)(11)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(33,790,171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21,842</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6,336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C-1 Units (8,800,000 units)</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12/21/2018</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21,942</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6,379</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(4)(11)(13)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(3,780,000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3,780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3,837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(11)(12)</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A-1 Units (2,393,509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2,394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10"/>
                <w:szCs w:val="10"/>
                <w:color w:val="auto"/>
              </w:rPr>
              <w:t>(11)(13)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312 Soutg State Street Fl 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(166,811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1,347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2,030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48104</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Employment Hero Holdings Pty Ltd.</w:t>
            </w:r>
          </w:p>
        </w:tc>
        <w:tc>
          <w:tcPr>
            <w:tcW w:w="2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(4)(11)</w:t>
            </w:r>
          </w:p>
        </w:tc>
        <w:tc>
          <w:tcPr>
            <w:tcW w:w="168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E Preferred Shares (113,250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2,493</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2,134</w:t>
            </w:r>
          </w:p>
        </w:tc>
        <w:tc>
          <w:tcPr>
            <w:tcW w:w="1020" w:type="dxa"/>
            <w:vAlign w:val="bottom"/>
            <w:gridSpan w:val="2"/>
            <w:vMerge w:val="continue"/>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(AUD 3,862)</w:t>
            </w: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9,655</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10,754</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(11)(13)</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Co-Invest Common Units (8,837,008</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1400 Liberty Ridge Drive</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8,837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8,152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Co-Invest 2 Common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3,223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(3,493,701 units)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 Suite 500</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F Preferred Shares (199,054</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800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(11)</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 Suite 46D</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C-1 Preferred Shares (418,527</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80" w:right="4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6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3280" w:type="dxa"/>
            <w:vAlign w:val="bottom"/>
            <w:vMerge w:val="restart"/>
          </w:tcPr>
          <w:p>
            <w:pPr>
              <w:ind w:left="22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6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00" w:type="dxa"/>
            <w:vAlign w:val="bottom"/>
          </w:tcPr>
          <w:p>
            <w:pPr>
              <w:spacing w:after="0"/>
              <w:rPr>
                <w:sz w:val="11"/>
                <w:szCs w:val="11"/>
                <w:color w:val="auto"/>
              </w:rPr>
            </w:pPr>
          </w:p>
        </w:tc>
        <w:tc>
          <w:tcPr>
            <w:tcW w:w="840" w:type="dxa"/>
            <w:vAlign w:val="bottom"/>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9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74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1260" w:type="dxa"/>
            <w:vAlign w:val="bottom"/>
          </w:tcPr>
          <w:p>
            <w:pPr>
              <w:jc w:val="center"/>
              <w:ind w:left="217"/>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1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40" w:type="dxa"/>
            <w:vAlign w:val="bottom"/>
          </w:tcPr>
          <w:p>
            <w:pPr>
              <w:jc w:val="center"/>
              <w:ind w:lef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tcPr>
          <w:p>
            <w:pPr>
              <w:ind w:left="1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740" w:type="dxa"/>
            <w:vAlign w:val="bottom"/>
          </w:tcPr>
          <w:p>
            <w:pPr>
              <w:jc w:val="center"/>
              <w:ind w:lef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230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300" w:type="dxa"/>
            <w:vAlign w:val="bottom"/>
            <w:shd w:val="clear" w:color="auto" w:fill="CCEEFF"/>
          </w:tcPr>
          <w:p>
            <w:pPr>
              <w:spacing w:after="0"/>
              <w:rPr>
                <w:sz w:val="8"/>
                <w:szCs w:val="8"/>
                <w:color w:val="auto"/>
              </w:rPr>
            </w:pPr>
          </w:p>
        </w:tc>
        <w:tc>
          <w:tcPr>
            <w:tcW w:w="2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Series C-2 Preferred Shares</w:t>
            </w:r>
          </w:p>
        </w:tc>
        <w:tc>
          <w:tcPr>
            <w:tcW w:w="160" w:type="dxa"/>
            <w:vAlign w:val="bottom"/>
            <w:vMerge w:val="continue"/>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11/18/2022</w:t>
            </w: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(27,588 shares)</w:t>
            </w:r>
            <w:r>
              <w:rPr>
                <w:rFonts w:ascii="Times New Roman" w:cs="Times New Roman" w:eastAsia="Times New Roman" w:hAnsi="Times New Roman"/>
                <w:sz w:val="10"/>
                <w:szCs w:val="10"/>
                <w:color w:val="auto"/>
              </w:rPr>
              <w:t>(12)</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(11)(12)</w:t>
            </w: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Pawkway 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(1,300 shares)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11/21/2022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Units (923,250 shares)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11/21/2022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17,629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16,673</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Summer St</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A Preferred 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5/31/2018</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3,840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10,944</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(3,840,000 shares)</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(13)</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13,355 Preferred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13,355</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14,891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(11)(13)</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 Interest (1.89%</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8,732</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11,811</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22,087</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26,702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10"/>
                <w:szCs w:val="10"/>
                <w:color w:val="auto"/>
              </w:rPr>
              <w:t>(4)(11)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 Second Street, Suite 206</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14,256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8/5/2020</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Jersey City, NJ</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1550 W Mockingbird Lane</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(687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3/16/2021</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Copper Bidco, LLC</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951 Yamato Road</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 Certificates (132,928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220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12/7/2020</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33431</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Certificates)</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Trust Certificates (996,958</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1/30/2021</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2,589</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Certificates) </w:t>
            </w:r>
            <w:r>
              <w:rPr>
                <w:rFonts w:ascii="Times New Roman" w:cs="Times New Roman" w:eastAsia="Times New Roman" w:hAnsi="Times New Roman"/>
                <w:sz w:val="10"/>
                <w:szCs w:val="10"/>
                <w:color w:val="auto"/>
              </w:rPr>
              <w:t>(9)</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(11)(13)</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(1,176,494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12/21/2021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2,468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1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5,589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13,252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Structured Credit</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Allegro CLO Ltd, Series 2018-1A,</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West Putnam Ave, Third</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SOFR + 3.11%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8.42%</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973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953</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Greenwich, CT 06830</w:t>
            </w: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6/2031)</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80" w:right="4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American Money Management Corp</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2016-18A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301 East Fourth Street, 38 Th</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+ 3.31%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Cincinnati, OH 45202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Ares CLO Ltd, Series 2021-59A </w:t>
            </w:r>
            <w:r>
              <w:rPr>
                <w:rFonts w:ascii="Times New Roman" w:cs="Times New Roman" w:eastAsia="Times New Roman" w:hAnsi="Times New Roman"/>
                <w:sz w:val="10"/>
                <w:szCs w:val="10"/>
                <w:color w:val="auto"/>
              </w:rPr>
              <w:t>(3)(4)</w:t>
            </w: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Ares Loan Funding I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2021-ALFA, Class E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+ 6.96%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Bain Capital Credit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 Clarendon St, Boston, MA</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10/15/2020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+ 5.61%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10.96%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02116</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Battalion CLO Ltd, Series 2021-21A</w:t>
            </w:r>
          </w:p>
        </w:tc>
        <w:tc>
          <w:tcPr>
            <w:tcW w:w="2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($1,300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399 Park Avenue, 16th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+ 3.56%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2015-BR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9.44%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2,190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($1,425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+ 3.01%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shd w:val="clear" w:color="auto" w:fill="CCEEFF"/>
          </w:tcPr>
          <w:p>
            <w:pPr>
              <w:spacing w:after="0"/>
              <w:rPr>
                <w:sz w:val="14"/>
                <w:szCs w:val="14"/>
                <w:color w:val="auto"/>
              </w:rPr>
            </w:pP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2014-4RA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80" w:type="dxa"/>
            <w:vAlign w:val="bottom"/>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 xml:space="preserve">CLO Ltd, Series 2016-1, Ltd </w:t>
            </w:r>
            <w:r>
              <w:rPr>
                <w:rFonts w:ascii="Times New Roman" w:cs="Times New Roman" w:eastAsia="Times New Roman" w:hAnsi="Times New Roman"/>
                <w:sz w:val="10"/>
                <w:szCs w:val="10"/>
                <w:color w:val="auto"/>
              </w:rPr>
              <w:t>(3)(4)</w:t>
            </w:r>
          </w:p>
        </w:tc>
        <w:tc>
          <w:tcPr>
            <w:tcW w:w="2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($1,600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2/15/2023</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12.19%</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($1,550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8/11/2020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1,259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80" w:right="4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08"/>
        </w:trPr>
        <w:tc>
          <w:tcPr>
            <w:tcW w:w="22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CarVal CLO III Ltd, Series 2019-2A</w:t>
            </w:r>
          </w:p>
        </w:tc>
        <w:tc>
          <w:tcPr>
            <w:tcW w:w="100" w:type="dxa"/>
            <w:vAlign w:val="bottom"/>
            <w:tcBorders>
              <w:top w:val="single" w:sz="8" w:color="CCEEFF"/>
            </w:tcBorders>
            <w:shd w:val="clear" w:color="auto" w:fill="CCEEFF"/>
          </w:tcPr>
          <w:p>
            <w:pPr>
              <w:spacing w:after="0"/>
              <w:rPr>
                <w:sz w:val="9"/>
                <w:szCs w:val="9"/>
                <w:color w:val="auto"/>
              </w:rPr>
            </w:pPr>
          </w:p>
        </w:tc>
        <w:tc>
          <w:tcPr>
            <w:tcW w:w="21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1601 Utica Avenue South, Suite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12.03%</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1000. Minneapolis, MN 55416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7/2032)</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Cedar Funding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1201 Wills Street, Suite 800.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+ 4.81%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871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867</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Baltimore, MD 21231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2018-3A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6/16/2022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2021-4A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11.57%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7/2033)</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Crown Point CLO Ltd, Series</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2021-10A</w:t>
            </w:r>
            <w:r>
              <w:rPr>
                <w:rFonts w:ascii="Times New Roman" w:cs="Times New Roman" w:eastAsia="Times New Roman" w:hAnsi="Times New Roman"/>
                <w:sz w:val="8"/>
                <w:szCs w:val="8"/>
                <w:color w:val="auto"/>
              </w:rPr>
              <w:t xml:space="preserve"> (3)(4)(9)</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+ 7.11%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810 7th Ave, New York, NY 10019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2018-55A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2020-86A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2015-1A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2,252</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1/2030)</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2020-1A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934</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GoldenTree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300 Park Avenue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10022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2021-4A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($1,015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+ 6.61%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11.98%</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2021-6A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1,849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1,785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1/2037)</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80" w:right="4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Jefferson Mill CLO Ltd, Series</w:t>
            </w:r>
          </w:p>
        </w:tc>
        <w:tc>
          <w:tcPr>
            <w:tcW w:w="100" w:type="dxa"/>
            <w:vAlign w:val="bottom"/>
            <w:tcBorders>
              <w:top w:val="single" w:sz="8" w:color="CCEEFF"/>
            </w:tcBorders>
            <w:shd w:val="clear" w:color="auto" w:fill="CCEEFF"/>
          </w:tcPr>
          <w:p>
            <w:pPr>
              <w:spacing w:after="0"/>
              <w:rPr>
                <w:sz w:val="8"/>
                <w:szCs w:val="8"/>
                <w:color w:val="auto"/>
              </w:rPr>
            </w:pPr>
          </w:p>
        </w:tc>
        <w:tc>
          <w:tcPr>
            <w:tcW w:w="21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151 W 42nd St 29th Floor,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+ 3.81%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10036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KKR CLO Ltd, 49A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+ 8.26%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977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Madison Park CLO, Series 2018-28A</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 Madison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6/28/2022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908</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10010</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Magnetite CLO Ltd, Series 2021-30A</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+ 6.46%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2016-6A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($3,500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+ 3.78%</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3,165</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2018-9A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($1,100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+ 6.31%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11.64%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Octagon 57 LLC, Series 2021-1A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18 Ltd,</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+ 2.96%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38 Ltd,</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2018-1A </w:t>
            </w:r>
            <w:r>
              <w:rPr>
                <w:rFonts w:ascii="Times New Roman" w:cs="Times New Roman" w:eastAsia="Times New Roman" w:hAnsi="Times New Roman"/>
                <w:sz w:val="10"/>
                <w:szCs w:val="10"/>
                <w:color w:val="auto"/>
              </w:rPr>
              <w:t>(3)(4)(9)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($2,800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+ 3.21%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Park Avenue Institutional Advisers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 Hanover Square,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+ 3.59%</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10004</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Pikes Peak CLO, Series 2021-9A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1114 6th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10036</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RR Ltd, Series 2020-8A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126 East 56th Street, New York,</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10022</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80" w:right="439" w:bottom="1440" w:gutter="0" w:footer="0" w:header="0"/>
        </w:sectPr>
      </w:pPr>
    </w:p>
    <w:bookmarkStart w:id="77" w:name="page78"/>
    <w:bookmarkEnd w:id="77"/>
    <w:tbl>
      <w:tblPr>
        <w:tblLayout w:type="fixed"/>
        <w:tblInd w:w="4"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0" w:type="dxa"/>
            <w:vAlign w:val="bottom"/>
          </w:tcPr>
          <w:p>
            <w:pPr>
              <w:spacing w:after="0"/>
              <w:rPr>
                <w:sz w:val="14"/>
                <w:szCs w:val="14"/>
                <w:color w:val="auto"/>
              </w:rPr>
            </w:pPr>
          </w:p>
        </w:tc>
        <w:tc>
          <w:tcPr>
            <w:tcW w:w="8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3"/>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Signal Peak CLO LLC, Series</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2018-5A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($333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280 Park Avenue, 40 West</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11.26%</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Southwick Park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2019-4A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345 PARK AVENUE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11.84%</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10154</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7/2032)</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Stewart Park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345 PARK AVENUE</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+ 2.86%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10154</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Voya CLO Ltd, Series 2018-3A </w:t>
            </w:r>
            <w:r>
              <w:rPr>
                <w:rFonts w:ascii="Times New Roman" w:cs="Times New Roman" w:eastAsia="Times New Roman" w:hAnsi="Times New Roman"/>
                <w:sz w:val="10"/>
                <w:szCs w:val="10"/>
                <w:color w:val="auto"/>
              </w:rPr>
              <w:t>(3)</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($2,750 par, due</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11.32%</w:t>
            </w:r>
          </w:p>
        </w:tc>
        <w:tc>
          <w:tcPr>
            <w:tcW w:w="8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230 Park Ave, United States</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2014-2A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2017-1A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($3,000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+ 3.98%</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w:t>
            </w:r>
          </w:p>
        </w:tc>
        <w:tc>
          <w:tcPr>
            <w:tcW w:w="8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Wind River CLO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2018-3A</w:t>
            </w:r>
            <w:r>
              <w:rPr>
                <w:rFonts w:ascii="Times New Roman" w:cs="Times New Roman" w:eastAsia="Times New Roman" w:hAnsi="Times New Roman"/>
                <w:sz w:val="8"/>
                <w:szCs w:val="8"/>
                <w:color w:val="auto"/>
              </w:rPr>
              <w:t xml:space="preserve"> (3)(4)(9)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1345 Avenue of the Americas.</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11.24%</w:t>
            </w:r>
          </w:p>
        </w:tc>
        <w:tc>
          <w:tcPr>
            <w:tcW w:w="20" w:type="dxa"/>
            <w:vAlign w:val="bottom"/>
            <w:vMerge w:val="restart"/>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10105.</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52,718</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53,995</w:t>
            </w:r>
          </w:p>
        </w:tc>
        <w:tc>
          <w:tcPr>
            <w:tcW w:w="220" w:type="dxa"/>
            <w:vAlign w:val="bottom"/>
            <w:vMerge w:val="continue"/>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26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Equity and Other</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195,009</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204,175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6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3,085,378</w:t>
            </w: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3,113,277</w:t>
            </w:r>
          </w:p>
        </w:tc>
        <w:tc>
          <w:tcPr>
            <w:tcW w:w="220" w:type="dxa"/>
            <w:vAlign w:val="bottom"/>
            <w:vMerge w:val="continue"/>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209.5%</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24" w:hanging="424"/>
        <w:spacing w:after="0"/>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67"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w:t>
      </w:r>
    </w:p>
    <w:p>
      <w:pPr>
        <w:spacing w:after="0" w:line="94"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4"/>
          </w:cols>
          <w:pgMar w:left="436" w:top="280" w:right="439" w:bottom="1440" w:gutter="0" w:footer="0" w:header="0"/>
        </w:sectPr>
      </w:pPr>
    </w:p>
    <w:bookmarkStart w:id="78" w:name="page79"/>
    <w:bookmarkEnd w:id="78"/>
    <w:p>
      <w:pPr>
        <w:ind w:left="42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asset unless, at the time such acquisition is made, qualifying assets represent at least 70% of total assets. Non-qualifying assets represented 11.0% of total assets as of September 30, 2023.</w:t>
      </w:r>
    </w:p>
    <w:p>
      <w:pPr>
        <w:spacing w:after="0" w:line="67" w:lineRule="exact"/>
        <w:rPr>
          <w:sz w:val="20"/>
          <w:szCs w:val="20"/>
          <w:color w:val="auto"/>
        </w:rPr>
      </w:pPr>
    </w:p>
    <w:p>
      <w:pPr>
        <w:ind w:left="424" w:right="180" w:hanging="424"/>
        <w:spacing w:after="0" w:line="261"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85" w:lineRule="exact"/>
        <w:rPr>
          <w:rFonts w:ascii="Times New Roman" w:cs="Times New Roman" w:eastAsia="Times New Roman" w:hAnsi="Times New Roman"/>
          <w:sz w:val="18"/>
          <w:szCs w:val="18"/>
          <w:color w:val="auto"/>
        </w:rPr>
      </w:pPr>
    </w:p>
    <w:p>
      <w:pPr>
        <w:ind w:left="424" w:right="260" w:hanging="424"/>
        <w:spacing w:after="0" w:line="258"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Realized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8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0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Transfers</w:t>
            </w:r>
          </w:p>
        </w:tc>
        <w:tc>
          <w:tcPr>
            <w:tcW w:w="2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70,755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460" w:hanging="424"/>
        <w:spacing w:after="0" w:line="282"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7"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sz w:val="20"/>
          <w:szCs w:val="20"/>
          <w:color w:val="auto"/>
        </w:rPr>
      </w:pPr>
    </w:p>
    <w:p>
      <w:pPr>
        <w:ind w:left="424" w:right="46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2023, the estimated cost basis of investments for U.S. federal tax purposes was $3,096,469, resulting in estimated gross unrealized gains and losses of $147,820 and $125,469, respectively.</w:t>
      </w:r>
    </w:p>
    <w:p>
      <w:pPr>
        <w:spacing w:after="0" w:line="65" w:lineRule="exact"/>
        <w:rPr>
          <w:rFonts w:ascii="Times New Roman" w:cs="Times New Roman" w:eastAsia="Times New Roman" w:hAnsi="Times New Roman"/>
          <w:sz w:val="18"/>
          <w:szCs w:val="18"/>
          <w:color w:val="auto"/>
        </w:rPr>
      </w:pPr>
    </w:p>
    <w:p>
      <w:pPr>
        <w:ind w:left="424" w:right="100" w:hanging="424"/>
        <w:spacing w:after="0" w:line="267"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80" w:lineRule="exact"/>
        <w:rPr>
          <w:rFonts w:ascii="Times New Roman" w:cs="Times New Roman" w:eastAsia="Times New Roman" w:hAnsi="Times New Roman"/>
          <w:sz w:val="18"/>
          <w:szCs w:val="18"/>
          <w:color w:val="auto"/>
        </w:rPr>
      </w:pPr>
    </w:p>
    <w:p>
      <w:pPr>
        <w:ind w:left="424" w:right="88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424" w:right="88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130"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September 30, 2023.</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4"/>
          </w:cols>
          <w:pgMar w:left="436" w:top="297" w:right="439" w:bottom="1440" w:gutter="0" w:footer="0" w:header="0"/>
        </w:sectPr>
      </w:pPr>
    </w:p>
    <w:bookmarkStart w:id="79" w:name="page80"/>
    <w:bookmarkEnd w:id="79"/>
    <w:p>
      <w:pPr>
        <w:ind w:left="424" w:hanging="424"/>
        <w:spacing w:after="0" w:line="258"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97" w:right="459" w:bottom="1440" w:gutter="0" w:footer="0" w:header="0"/>
        </w:sectPr>
      </w:pPr>
    </w:p>
    <w:bookmarkStart w:id="80" w:name="page81"/>
    <w:bookmarkEnd w:id="80"/>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MANAGEMENT</w:t>
      </w:r>
    </w:p>
    <w:p>
      <w:pPr>
        <w:spacing w:after="0" w:line="22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Please refer to our most recent definitive proxy statement and in our 2022 Annual Report, as well as subsequent filings with the SEC, which are incorporated by reference herein, for information relating to the management of the Company and for information relating to the Adviser.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table below shows the dollar range of shares of common stock beneficially owned by our portfolio manager as of December 20, 2023:</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Over 1,000,000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December 31, 2022, Joshua Easterly managed, or was a member of the management team for, the following client accounts: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20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 Registered Investment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64.47 billion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61.93 billion</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3.79 billion</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424" w:right="720" w:hanging="5424"/>
        <w:spacing w:after="0" w:line="454" w:lineRule="auto"/>
        <w:tabs>
          <w:tab w:leader="none" w:pos="4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54</w:t>
      </w:r>
    </w:p>
    <w:p>
      <w:pPr>
        <w:sectPr>
          <w:pgSz w:w="11900" w:h="16838" w:orient="portrait"/>
          <w:cols w:equalWidth="0" w:num="1">
            <w:col w:w="10864"/>
          </w:cols>
          <w:pgMar w:left="436" w:top="293" w:right="5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DETERMINATION OF NET ASSET VALUE</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63" w:lineRule="exact"/>
        <w:rPr>
          <w:sz w:val="20"/>
          <w:szCs w:val="20"/>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3"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at a price below our then-current net asset value per share, subject to the approval of our Board and certain other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stockholder approval expires on May 25, 2026. We intend to propose the extension of this approval in future years.</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85" w:lineRule="exact"/>
        <w:rPr>
          <w:sz w:val="20"/>
          <w:szCs w:val="20"/>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have determined that any such sale would be in the best interests of us and our stockholders;</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93" w:right="439" w:bottom="1440" w:gutter="0" w:footer="0" w:header="0"/>
        </w:sectPr>
      </w:pPr>
    </w:p>
    <w:bookmarkStart w:id="82" w:name="page83"/>
    <w:bookmarkEnd w:id="82"/>
    <w:p>
      <w:pPr>
        <w:ind w:left="98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1" w:lineRule="exact"/>
        <w:rPr>
          <w:sz w:val="20"/>
          <w:szCs w:val="20"/>
          <w:color w:val="auto"/>
        </w:rPr>
      </w:pPr>
    </w:p>
    <w:p>
      <w:pPr>
        <w:ind w:left="960" w:hanging="53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our then-outstanding common stock immediately prior to each such offering.</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67" w:lineRule="exact"/>
        <w:rPr>
          <w:sz w:val="20"/>
          <w:szCs w:val="20"/>
          <w:color w:val="auto"/>
        </w:rPr>
      </w:pPr>
    </w:p>
    <w:p>
      <w:pPr>
        <w:ind w:left="960" w:right="120" w:hanging="53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our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shares of our common stock;</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76" w:lineRule="exact"/>
        <w:rPr>
          <w:sz w:val="20"/>
          <w:szCs w:val="20"/>
          <w:color w:val="auto"/>
        </w:rPr>
      </w:pPr>
    </w:p>
    <w:p>
      <w:pPr>
        <w:ind w:right="240" w:firstLine="440"/>
        <w:spacing w:after="0" w:line="254" w:lineRule="auto"/>
        <w:rPr>
          <w:sz w:val="20"/>
          <w:szCs w:val="20"/>
          <w:color w:val="auto"/>
        </w:rPr>
      </w:pPr>
      <w:r>
        <w:rPr>
          <w:rFonts w:ascii="Times New Roman" w:cs="Times New Roman" w:eastAsia="Times New Roman" w:hAnsi="Times New Roman"/>
          <w:sz w:val="18"/>
          <w:szCs w:val="18"/>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97" w:right="459" w:bottom="1440" w:gutter="0" w:footer="0" w:header="0"/>
        </w:sectPr>
      </w:pPr>
    </w:p>
    <w:bookmarkStart w:id="83" w:name="page84"/>
    <w:bookmarkEnd w:id="83"/>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11.07 million shares of common stock at net proceeds to us of $8.50 per share, which would produce dilution of 6.67%, before we would reach the aggregate 15% limit.</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net asset value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at a price less than net asset value on two different types of investors:</w:t>
      </w:r>
    </w:p>
    <w:p>
      <w:pPr>
        <w:spacing w:after="0" w:line="112" w:lineRule="exact"/>
        <w:rPr>
          <w:sz w:val="20"/>
          <w:szCs w:val="20"/>
          <w:color w:val="auto"/>
        </w:rPr>
      </w:pPr>
    </w:p>
    <w:p>
      <w:pPr>
        <w:ind w:left="960" w:hanging="53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97" w:right="459" w:bottom="1440" w:gutter="0" w:footer="0" w:header="0"/>
        </w:sectPr>
      </w:pPr>
    </w:p>
    <w:bookmarkStart w:id="84" w:name="page85"/>
    <w:bookmarkEnd w:id="84"/>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5%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 Below</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Offered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4,069,464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8,138,929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16,277,857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20,347,322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85,458,751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89,528,216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97,667,144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9"/>
              </w:rPr>
              <w:t>101,736,609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24"/>
        </w:trPr>
        <w:tc>
          <w:tcPr>
            <w:tcW w:w="26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Dilution to Nonparticipating</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Net Asset Value Held by Stockholder</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1,338,359</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1,329,347</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1,296,810</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1,274,446</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(Assumed to be $16.48 per Share)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Net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(3,211)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(12,223)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(44,760)</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(67,124)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 (Assumed to be $16.48 per Share 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Held Prior to Sale)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16.44</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16.33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15.93</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15.66</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 A</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 A</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Asset Value per Share Less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(0.15)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(0.55)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(0.82)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97" w:right="439" w:bottom="1440" w:gutter="0" w:footer="0" w:header="0"/>
        </w:sectPr>
      </w:pPr>
    </w:p>
    <w:bookmarkStart w:id="85" w:name="page86"/>
    <w:bookmarkEnd w:id="8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150% Participation</w:t>
            </w:r>
          </w:p>
        </w:tc>
      </w:tr>
      <w:tr>
        <w:trPr>
          <w:trHeight w:val="117"/>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Below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15,154,308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15,154,308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81,389,287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97,667,144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97,667,144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89,528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105,806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1,426,491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1,685,854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1,454,521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1,680,423</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(28,030)</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5,431</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be $16.48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16.25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15.88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r>
      <w:tr>
        <w:trPr>
          <w:trHeight w:val="365"/>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Impact on New Investors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7"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93" w:right="459" w:bottom="1440" w:gutter="0" w:footer="0" w:header="0"/>
        </w:sectPr>
      </w:pPr>
    </w:p>
    <w:bookmarkStart w:id="87" w:name="page88"/>
    <w:bookmarkEnd w:id="87"/>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 5%</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25% Discount</w:t>
            </w: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Sale</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Below NAV</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Offering Price</w:t>
            </w: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Price per Share to Public</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Proceeds per Share to Issuer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14.83</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13.18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12.36</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Decrease/Increase to Net Asset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Shares Outstanding</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81,389,287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85,458,751</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89,528,216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97,667,144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101,736,609</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Offered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4,069,464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8,138,929</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16,277,857</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20,347,322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Asset Value per Share</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16.44</w:t>
            </w:r>
          </w:p>
        </w:tc>
        <w:tc>
          <w:tcPr>
            <w:tcW w:w="74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(0.22)%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16.33</w:t>
            </w:r>
          </w:p>
        </w:tc>
        <w:tc>
          <w:tcPr>
            <w:tcW w:w="7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(0.89)%</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15.93</w:t>
            </w: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(4.98)%</w:t>
            </w: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Dilution/Accretion to New Investor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Shares Held by Investor A</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16,278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Percentage Held by Investor A</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Net Asset Value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66,918</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132,935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259,363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318,613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Total Investment by Investor A (At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Price to Public)</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67,065</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127,070</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225,902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264,729</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Dilution/Accretion to Investor</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A (Total Net Asset Value Less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Investment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(147)</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5,865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33,460</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53,883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Investment per Share Held by</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Net Asset Value per Share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16.44</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16.33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15.93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Dilution/Accretion per Share Held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by Investor A (Net Asset Value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per Share Less Investment per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(0.04)</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0.72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2.06</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2.65</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Percentage Dilution/Accretion to</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Investor A (Dilution per Share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Divided by Investment per Share)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20.35%</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97" w:right="4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DIVIDEND REINVESTMENT PLAN</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“Dividend Reinvestment Plan” in Part I, Item I of our 2022 Annual Report is incorporated by reference in this prospectus.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Equiniti Trust Company, LLC, Transfer Agency-Sixth Street Specialty Lending, 6201 15th Avenue, Brooklyn, NY 11219.</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93" w:right="47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MATERIAL U.S. FEDERAL INCOME TAX CONSIDERATIONS</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“controlled foreign corporations;”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the alternative minimum tax or any state, local or foreign tax consequences.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93" w:right="459" w:bottom="1440" w:gutter="0" w:footer="0" w:header="0"/>
        </w:sectPr>
      </w:pPr>
    </w:p>
    <w:bookmarkStart w:id="90" w:name="page91"/>
    <w:bookmarkEnd w:id="9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income tax purposes, an individual who is a citizen or resident of the United States or a domestic corporation or otherwise subject to U.S. federal income tax on a net income basis in respect of our stock.</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or preferred stock that is not a U.S. stockholder and not an entity taxed as a partnership.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420" w:right="80" w:hanging="439"/>
        <w:spacing w:after="0" w:line="261"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420" w:right="20" w:hanging="439"/>
        <w:spacing w:after="0" w:line="266"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97" w:right="459" w:bottom="1440" w:gutter="0" w:footer="0" w:header="0"/>
        </w:sectPr>
      </w:pPr>
    </w:p>
    <w:bookmarkStart w:id="91" w:name="page92"/>
    <w:bookmarkEnd w:id="91"/>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85" w:lineRule="exact"/>
        <w:rPr>
          <w:sz w:val="20"/>
          <w:szCs w:val="20"/>
          <w:color w:val="auto"/>
        </w:rPr>
      </w:pPr>
    </w:p>
    <w:p>
      <w:pPr>
        <w:ind w:left="960" w:right="20" w:hanging="532"/>
        <w:spacing w:after="0" w:line="256"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92" w:lineRule="exact"/>
        <w:rPr>
          <w:rFonts w:ascii="Times New Roman" w:cs="Times New Roman" w:eastAsia="Times New Roman" w:hAnsi="Times New Roman"/>
          <w:sz w:val="18"/>
          <w:szCs w:val="18"/>
          <w:color w:val="auto"/>
        </w:rPr>
      </w:pPr>
    </w:p>
    <w:p>
      <w:pPr>
        <w:ind w:left="960" w:right="660" w:hanging="532"/>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97" w:right="479" w:bottom="1440" w:gutter="0" w:footer="0" w:header="0"/>
        </w:sectPr>
      </w:pPr>
    </w:p>
    <w:bookmarkStart w:id="92" w:name="page93"/>
    <w:bookmarkEnd w:id="92"/>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188"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76"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960" w:right="440" w:hanging="532"/>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97" w:right="459" w:bottom="1440" w:gutter="0" w:footer="0" w:header="0"/>
        </w:sectPr>
      </w:pPr>
    </w:p>
    <w:bookmarkStart w:id="93" w:name="page94"/>
    <w:bookmarkEnd w:id="9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8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97" w:right="459" w:bottom="1440" w:gutter="0" w:footer="0" w:header="0"/>
        </w:sectPr>
      </w:pPr>
    </w:p>
    <w:bookmarkStart w:id="94" w:name="page95"/>
    <w:bookmarkEnd w:id="94"/>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reporting requirement. U.S. stockholders should consult their own tax advisers to determine the applicability of these U.S. Treasury regulations in light of their individual circumstances.</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right="180" w:firstLine="440"/>
        <w:spacing w:after="0" w:line="272"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97" w:right="499" w:bottom="1440" w:gutter="0" w:footer="0" w:header="0"/>
        </w:sectPr>
      </w:pPr>
    </w:p>
    <w:bookmarkStart w:id="95" w:name="page96"/>
    <w:bookmarkEnd w:id="95"/>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the case of distributions made by the Company (other than capital gain dividends), additional requirements will apply to Non-U.S. stockholders that are considered for U.S. federal income tax purposes to be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97" w:right="479" w:bottom="1440" w:gutter="0" w:footer="0" w:header="0"/>
        </w:sectPr>
      </w:pPr>
    </w:p>
    <w:bookmarkStart w:id="96" w:name="page97"/>
    <w:bookmarkEnd w:id="96"/>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97" w:right="47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SECURITIES</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December 20, 2023:</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gridSpan w:val="2"/>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Amount Held</w:t>
            </w:r>
          </w:p>
        </w:tc>
        <w:tc>
          <w:tcPr>
            <w:tcW w:w="212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900" w:type="dxa"/>
            <w:vAlign w:val="bottom"/>
            <w:vMerge w:val="restart"/>
          </w:tcPr>
          <w:p>
            <w:pPr>
              <w:spacing w:after="0"/>
              <w:rPr>
                <w:sz w:val="12"/>
                <w:szCs w:val="12"/>
                <w:color w:val="auto"/>
              </w:rPr>
            </w:pPr>
          </w:p>
        </w:tc>
        <w:tc>
          <w:tcPr>
            <w:tcW w:w="2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Us or for</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Held by Us or for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760" w:type="dxa"/>
            <w:vAlign w:val="bottom"/>
          </w:tcPr>
          <w:p>
            <w:pPr>
              <w:spacing w:after="0"/>
              <w:rPr>
                <w:sz w:val="15"/>
                <w:szCs w:val="15"/>
                <w:color w:val="auto"/>
              </w:rPr>
            </w:pPr>
          </w:p>
        </w:tc>
        <w:tc>
          <w:tcPr>
            <w:tcW w:w="13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400,000,000</w:t>
            </w:r>
          </w:p>
        </w:tc>
        <w:tc>
          <w:tcPr>
            <w:tcW w:w="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664,250</w:t>
            </w:r>
          </w:p>
        </w:tc>
        <w:tc>
          <w:tcPr>
            <w:tcW w:w="7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87,578,655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93" w:right="459" w:bottom="1440" w:gutter="0" w:footer="0" w:header="0"/>
        </w:sectPr>
      </w:pPr>
    </w:p>
    <w:bookmarkStart w:id="98" w:name="page99"/>
    <w:bookmarkEnd w:id="9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certification of incorporation limits our directors’ liability to the fullest extent permitted under Delaware corporate law and the 1940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our directors will not be personally liable to us or our stockholders for any breach of fiduciary duty as a director, except for any liability:</w:t>
      </w:r>
    </w:p>
    <w:p>
      <w:pPr>
        <w:spacing w:after="0" w:line="112" w:lineRule="exact"/>
        <w:rPr>
          <w:sz w:val="20"/>
          <w:szCs w:val="20"/>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92"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97" w:right="459" w:bottom="1440" w:gutter="0" w:footer="0" w:header="0"/>
        </w:sectPr>
      </w:pPr>
    </w:p>
    <w:bookmarkStart w:id="99" w:name="page100"/>
    <w:bookmarkEnd w:id="99"/>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Agreements-Indemnification” in Part I, Item 1 of our 2022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960" w:right="260" w:hanging="532"/>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960" w:hanging="532"/>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97" w:right="479" w:bottom="1440" w:gutter="0" w:footer="0" w:header="0"/>
        </w:sectPr>
      </w:pPr>
    </w:p>
    <w:bookmarkStart w:id="100" w:name="page101"/>
    <w:bookmarkEnd w:id="100"/>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special meetings of the stockholders may only be called by our Board, Chairman, or a Chief Executive Officer.</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960" w:hanging="532"/>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97" w:right="439" w:bottom="1440" w:gutter="0" w:footer="0" w:header="0"/>
        </w:sectPr>
      </w:pPr>
    </w:p>
    <w:bookmarkStart w:id="101" w:name="page102"/>
    <w:bookmarkEnd w:id="101"/>
    <w:p>
      <w:pPr>
        <w:ind w:left="960" w:hanging="532"/>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960" w:right="40" w:hanging="532"/>
        <w:spacing w:after="0" w:line="282"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40" w:top="297" w:right="49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PREFERRED STOCK</w:t>
      </w:r>
    </w:p>
    <w:p>
      <w:pPr>
        <w:spacing w:after="0" w:line="229"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9" w:lineRule="exact"/>
        <w:rPr>
          <w:sz w:val="20"/>
          <w:szCs w:val="20"/>
          <w:color w:val="auto"/>
        </w:rPr>
      </w:pPr>
    </w:p>
    <w:p>
      <w:pPr>
        <w:ind w:left="960" w:hanging="532"/>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67" w:lineRule="exact"/>
        <w:rPr>
          <w:rFonts w:ascii="Times New Roman" w:cs="Times New Roman" w:eastAsia="Times New Roman" w:hAnsi="Times New Roman"/>
          <w:sz w:val="18"/>
          <w:szCs w:val="18"/>
          <w:color w:val="auto"/>
        </w:rPr>
      </w:pPr>
    </w:p>
    <w:p>
      <w:pPr>
        <w:jc w:val="both"/>
        <w:ind w:left="960" w:right="140" w:hanging="532"/>
        <w:spacing w:after="0" w:line="312" w:lineRule="auto"/>
        <w:tabs>
          <w:tab w:leader="none" w:pos="9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0"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93" w:right="45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SUBSCRIPTION RIGHTS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960" w:right="140" w:hanging="532"/>
        <w:spacing w:after="0" w:line="282"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93"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Dilutive Effects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93" w:right="47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WARRANTS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93" w:right="459" w:bottom="1440" w:gutter="0" w:footer="0" w:header="0"/>
        </w:sectPr>
      </w:pPr>
    </w:p>
    <w:bookmarkStart w:id="106" w:name="page107"/>
    <w:bookmarkEnd w:id="106"/>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40" w:top="297" w:right="49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DEBT SECURITIES</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6" w:lineRule="exact"/>
        <w:rPr>
          <w:sz w:val="20"/>
          <w:szCs w:val="20"/>
          <w:color w:val="auto"/>
        </w:rPr>
      </w:pPr>
    </w:p>
    <w:p>
      <w:pPr>
        <w:ind w:right="280" w:firstLine="440"/>
        <w:spacing w:after="0" w:line="281" w:lineRule="auto"/>
        <w:rPr>
          <w:sz w:val="20"/>
          <w:szCs w:val="20"/>
          <w:color w:val="auto"/>
        </w:rPr>
      </w:pPr>
      <w:r>
        <w:rPr>
          <w:rFonts w:ascii="Times New Roman" w:cs="Times New Roman" w:eastAsia="Times New Roman" w:hAnsi="Times New Roman"/>
          <w:sz w:val="17"/>
          <w:szCs w:val="17"/>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64"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93" w:right="459" w:bottom="1440" w:gutter="0" w:footer="0" w:header="0"/>
        </w:sectPr>
      </w:pPr>
    </w:p>
    <w:bookmarkStart w:id="108" w:name="page109"/>
    <w:bookmarkEnd w:id="108"/>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denominations in which the offered debt securities will be issued (if other than $1,000 and any integral multiple thereof);</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97" w:right="459" w:bottom="1440" w:gutter="0" w:footer="0" w:header="0"/>
        </w:sectPr>
      </w:pPr>
    </w:p>
    <w:bookmarkStart w:id="109" w:name="page110"/>
    <w:bookmarkEnd w:id="10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jc w:val="both"/>
        <w:ind w:right="400" w:firstLine="440"/>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97"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Payments on Certificated Securities</w:t>
      </w:r>
    </w:p>
    <w:p>
      <w:pPr>
        <w:spacing w:after="0" w:line="12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3"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960" w:right="340" w:hanging="532"/>
        <w:spacing w:after="0" w:line="282"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93" w:right="479" w:bottom="1440" w:gutter="0" w:footer="0" w:header="0"/>
        </w:sectPr>
      </w:pPr>
    </w:p>
    <w:bookmarkStart w:id="111" w:name="page112"/>
    <w:bookmarkEnd w:id="111"/>
    <w:p>
      <w:pPr>
        <w:ind w:left="960" w:hanging="532"/>
        <w:spacing w:after="0" w:line="254"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960" w:hanging="532"/>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97" w:right="459" w:bottom="1440" w:gutter="0" w:footer="0" w:header="0"/>
        </w:sectPr>
      </w:pPr>
    </w:p>
    <w:bookmarkStart w:id="112" w:name="page113"/>
    <w:bookmarkEnd w:id="112"/>
    <w:p>
      <w:pPr>
        <w:ind w:left="960" w:right="60" w:hanging="532"/>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60" w:hanging="532"/>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3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5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1" w:lineRule="exact"/>
        <w:rPr>
          <w:sz w:val="20"/>
          <w:szCs w:val="20"/>
          <w:color w:val="auto"/>
        </w:rPr>
      </w:pPr>
    </w:p>
    <w:p>
      <w:pPr>
        <w:ind w:left="960" w:right="80" w:hanging="532"/>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happened and be continuing.</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960" w:hanging="532"/>
        <w:spacing w:after="0" w:line="266"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97"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Modification or Waiver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960" w:hanging="532"/>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93"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Further Details Concerning Voting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60" w:right="10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30"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960" w:right="160" w:hanging="532"/>
        <w:spacing w:after="0" w:line="266"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93" w:right="459" w:bottom="1440" w:gutter="0" w:footer="0" w:header="0"/>
        </w:sectPr>
      </w:pPr>
    </w:p>
    <w:bookmarkStart w:id="115" w:name="page116"/>
    <w:bookmarkEnd w:id="115"/>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960" w:right="160" w:hanging="532"/>
        <w:spacing w:after="0" w:line="266"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8" w:lineRule="exact"/>
        <w:rPr>
          <w:rFonts w:ascii="Times New Roman" w:cs="Times New Roman" w:eastAsia="Times New Roman" w:hAnsi="Times New Roman"/>
          <w:sz w:val="18"/>
          <w:szCs w:val="18"/>
          <w:color w:val="auto"/>
        </w:rPr>
      </w:pPr>
    </w:p>
    <w:p>
      <w:pPr>
        <w:ind w:left="960" w:right="660" w:hanging="532"/>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97" w:right="459" w:bottom="1440" w:gutter="0" w:footer="0" w:header="0"/>
        </w:sectPr>
      </w:pPr>
    </w:p>
    <w:bookmarkStart w:id="116" w:name="page117"/>
    <w:bookmarkEnd w:id="116"/>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60" w:right="360" w:hanging="532"/>
        <w:spacing w:after="0" w:line="261"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97"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Secured Indebtedness and Ranking</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7"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93" w:right="459" w:bottom="1440" w:gutter="0" w:footer="0" w:header="0"/>
        </w:sectPr>
      </w:pPr>
    </w:p>
    <w:bookmarkStart w:id="118" w:name="page119"/>
    <w:bookmarkEnd w:id="118"/>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7"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97" w:right="459" w:bottom="1440" w:gutter="0" w:footer="0" w:header="0"/>
        </w:sectPr>
      </w:pPr>
    </w:p>
    <w:bookmarkStart w:id="119" w:name="page120"/>
    <w:bookmarkEnd w:id="119"/>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7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jc w:val="both"/>
        <w:ind w:right="460" w:firstLine="440"/>
        <w:spacing w:after="0" w:line="261"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3"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pay brokerage commissions incurred in connection with purchases pursuant to the Company 10b5-1 Plan.</w:t>
      </w:r>
    </w:p>
    <w:p>
      <w:pPr>
        <w:spacing w:after="0" w:line="225" w:lineRule="exact"/>
        <w:rPr>
          <w:sz w:val="20"/>
          <w:szCs w:val="20"/>
          <w:color w:val="auto"/>
        </w:rPr>
      </w:pPr>
    </w:p>
    <w:p>
      <w:pPr>
        <w:jc w:val="center"/>
        <w:ind w:right="260"/>
        <w:spacing w:after="0" w:line="454" w:lineRule="auto"/>
        <w:rPr>
          <w:sz w:val="20"/>
          <w:szCs w:val="20"/>
          <w:color w:val="auto"/>
        </w:rPr>
      </w:pPr>
      <w:r>
        <w:rPr>
          <w:rFonts w:ascii="Times New Roman" w:cs="Times New Roman" w:eastAsia="Times New Roman" w:hAnsi="Times New Roman"/>
          <w:sz w:val="18"/>
          <w:szCs w:val="18"/>
          <w:color w:val="auto"/>
        </w:rPr>
        <w:t>The aggregate amount of brokerage commissions paid by us during the three most recent completed fiscal years is less than $0.4 million. 93</w:t>
      </w:r>
    </w:p>
    <w:p>
      <w:pPr>
        <w:sectPr>
          <w:pgSz w:w="11900" w:h="16838" w:orient="portrait"/>
          <w:cols w:equalWidth="0" w:num="1">
            <w:col w:w="11000"/>
          </w:cols>
          <w:pgMar w:left="440" w:top="297" w:right="45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PLAN OF DISTRIBUTION</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94"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93" w:right="479" w:bottom="1440" w:gutter="0" w:footer="0" w:header="0"/>
        </w:sectPr>
      </w:pPr>
    </w:p>
    <w:bookmarkStart w:id="121" w:name="page122"/>
    <w:bookmarkEnd w:id="121"/>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Simpson Thacher &amp; Bartlett LLP, Washington, D.C. Certain legal matters in connection with the offering will be passed upon for the underwriters, if any, by the counsel named in the prospectus supplement.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97" w:right="47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EXPERTS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93" w:right="45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AVAILABLE INFORMATION</w:t>
      </w:r>
    </w:p>
    <w:p>
      <w:pPr>
        <w:spacing w:after="0" w:line="22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93" w:lineRule="exact"/>
        <w:rPr>
          <w:sz w:val="20"/>
          <w:szCs w:val="20"/>
          <w:color w:val="auto"/>
        </w:rPr>
      </w:pPr>
    </w:p>
    <w:p>
      <w:pPr>
        <w:jc w:val="both"/>
        <w:ind w:left="960" w:right="200" w:hanging="532"/>
        <w:spacing w:after="0" w:line="266"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February 16, 2023, including the information specifically incorporated by reference into the Form 10-K from our </w:t>
      </w:r>
      <w:hyperlink r:id="rId151">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relating to our 2023 Annual Meeting of Stockholders, filed with the SEC on April 13, 2023;</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7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three months ended March 31, 2023, filed with the SEC on </w:t>
      </w:r>
      <w:hyperlink r:id="rId152">
        <w:r>
          <w:rPr>
            <w:rFonts w:ascii="Times New Roman" w:cs="Times New Roman" w:eastAsia="Times New Roman" w:hAnsi="Times New Roman"/>
            <w:sz w:val="18"/>
            <w:szCs w:val="18"/>
            <w:u w:val="single" w:color="auto"/>
            <w:color w:val="0000EE"/>
          </w:rPr>
          <w:t>May 8, 2023</w:t>
        </w:r>
      </w:hyperlink>
      <w:r>
        <w:rPr>
          <w:rFonts w:ascii="Times New Roman" w:cs="Times New Roman" w:eastAsia="Times New Roman" w:hAnsi="Times New Roman"/>
          <w:sz w:val="18"/>
          <w:szCs w:val="18"/>
          <w:color w:val="auto"/>
        </w:rPr>
        <w:t xml:space="preserve">, for the three months ended June 30, 2023, filed with the SEC on </w:t>
      </w:r>
      <w:hyperlink r:id="rId153">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color w:val="auto"/>
        </w:rPr>
        <w:t xml:space="preserve">, and for the three months ended September 30, 2023, filed with the SEC on </w:t>
      </w:r>
      <w:hyperlink r:id="rId154">
        <w:r>
          <w:rPr>
            <w:rFonts w:ascii="Times New Roman" w:cs="Times New Roman" w:eastAsia="Times New Roman" w:hAnsi="Times New Roman"/>
            <w:sz w:val="18"/>
            <w:szCs w:val="18"/>
            <w:u w:val="single" w:color="auto"/>
            <w:color w:val="0000EE"/>
          </w:rPr>
          <w:t>November 2, 2023</w:t>
        </w:r>
      </w:hyperlink>
      <w:r>
        <w:rPr>
          <w:rFonts w:ascii="Times New Roman" w:cs="Times New Roman" w:eastAsia="Times New Roman" w:hAnsi="Times New Roman"/>
          <w:sz w:val="18"/>
          <w:szCs w:val="18"/>
          <w:color w:val="000000"/>
        </w:rPr>
        <w:t>;</w:t>
      </w:r>
    </w:p>
    <w:p>
      <w:pPr>
        <w:spacing w:after="0" w:line="1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93" w:right="479" w:bottom="1440" w:gutter="0" w:footer="0" w:header="0"/>
        </w:sectPr>
      </w:pPr>
    </w:p>
    <w:bookmarkStart w:id="124" w:name="page125"/>
    <w:bookmarkEnd w:id="124"/>
    <w:p>
      <w:pPr>
        <w:ind w:left="960" w:right="460" w:hanging="532"/>
        <w:spacing w:after="0" w:line="282" w:lineRule="auto"/>
        <w:tabs>
          <w:tab w:leader="none" w:pos="960" w:val="left"/>
        </w:tabs>
        <w:numPr>
          <w:ilvl w:val="0"/>
          <w:numId w:val="7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Our Current Reports on Form 8-K, filed with the SEC on </w:t>
      </w:r>
      <w:hyperlink r:id="rId156">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EE"/>
          </w:rPr>
          <w:t>May 26, 2023</w:t>
        </w:r>
      </w:hyperlink>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u w:val="single" w:color="auto"/>
            <w:color w:val="0000EE"/>
          </w:rPr>
          <w:t>June 12, 2023</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EE"/>
          </w:rPr>
          <w:t>June 13, 2023</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EE"/>
          </w:rPr>
          <w:t>July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62">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63">
        <w:r>
          <w:rPr>
            <w:rFonts w:ascii="Times New Roman" w:cs="Times New Roman" w:eastAsia="Times New Roman" w:hAnsi="Times New Roman"/>
            <w:sz w:val="18"/>
            <w:szCs w:val="18"/>
            <w:u w:val="single" w:color="auto"/>
            <w:color w:val="0000EE"/>
          </w:rPr>
          <w:t>August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960" w:right="60" w:hanging="532"/>
        <w:spacing w:after="0" w:line="266" w:lineRule="auto"/>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6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001-36364), as filed with the SEC on March 19, 2014, including any amendment or report filed for the purpose of updating such description prior to the termination of the offering of the common stock registered hereby.</w:t>
      </w:r>
    </w:p>
    <w:p>
      <w:pPr>
        <w:spacing w:after="0" w:line="176" w:lineRule="exact"/>
        <w:rPr>
          <w:rFonts w:ascii="Times New Roman" w:cs="Times New Roman" w:eastAsia="Times New Roman" w:hAnsi="Times New Roman"/>
          <w:sz w:val="18"/>
          <w:szCs w:val="18"/>
          <w:color w:val="0000EE"/>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rFonts w:ascii="Times New Roman" w:cs="Times New Roman" w:eastAsia="Times New Roman" w:hAnsi="Times New Roman"/>
          <w:sz w:val="18"/>
          <w:szCs w:val="18"/>
          <w:color w:val="0000EE"/>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76"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888 7th Avenue, 41st Floor</w:t>
      </w:r>
    </w:p>
    <w:p>
      <w:pPr>
        <w:spacing w:after="0" w:line="31"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TSLX Investor Relations</w:t>
      </w:r>
    </w:p>
    <w:p>
      <w:pPr>
        <w:spacing w:after="0" w:line="23"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IRTSLX@sixthstreet.com.</w:t>
      </w:r>
    </w:p>
    <w:p>
      <w:pPr>
        <w:spacing w:after="0" w:line="220" w:lineRule="exact"/>
        <w:rPr>
          <w:rFonts w:ascii="Times New Roman" w:cs="Times New Roman" w:eastAsia="Times New Roman" w:hAnsi="Times New Roman"/>
          <w:sz w:val="18"/>
          <w:szCs w:val="18"/>
          <w:color w:val="0000EE"/>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8"/>
          <w:szCs w:val="18"/>
          <w:color w:val="0000EE"/>
        </w:rPr>
      </w:pPr>
    </w:p>
    <w:p>
      <w:pPr>
        <w:spacing w:after="0" w:line="280"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440" w:top="297" w:right="479" w:bottom="1440" w:gutter="0" w:footer="0" w:header="0"/>
        </w:sectPr>
      </w:pPr>
    </w:p>
    <w:bookmarkStart w:id="125" w:name="page126"/>
    <w:bookmarkEnd w:id="125"/>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890"/>
                    </a:xfrm>
                    <a:prstGeom prst="rect">
                      <a:avLst/>
                    </a:prstGeom>
                    <a:noFill/>
                  </pic:spPr>
                </pic:pic>
              </a:graphicData>
            </a:graphic>
          </wp:anchor>
        </w:drawing>
        <w:t>$100,000,000</w:t>
      </w: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2342515</wp:posOffset>
            </wp:positionV>
            <wp:extent cx="1474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RBC Capital Markets</w:t>
            </w:r>
          </w:p>
        </w:tc>
        <w:tc>
          <w:tcPr>
            <w:tcW w:w="21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Truist Securities</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Citizens JMP</w:t>
            </w:r>
          </w:p>
        </w:tc>
        <w:tc>
          <w:tcPr>
            <w:tcW w:w="2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Keefe, Bruyette &amp; Woods</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Raymond James</w:t>
            </w:r>
          </w:p>
        </w:tc>
      </w:tr>
      <w:tr>
        <w:trPr>
          <w:trHeight w:val="238"/>
        </w:trPr>
        <w:tc>
          <w:tcPr>
            <w:tcW w:w="2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 Stifel Company</w:t>
            </w:r>
          </w:p>
        </w:tc>
        <w:tc>
          <w:tcPr>
            <w:tcW w:w="1800" w:type="dxa"/>
            <w:vAlign w:val="bottom"/>
          </w:tcPr>
          <w:p>
            <w:pPr>
              <w:spacing w:after="0"/>
              <w:rPr>
                <w:sz w:val="20"/>
                <w:szCs w:val="20"/>
                <w:color w:val="auto"/>
              </w:rPr>
            </w:pPr>
          </w:p>
        </w:tc>
      </w:tr>
      <w:tr>
        <w:trPr>
          <w:trHeight w:val="364"/>
        </w:trPr>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6"/>
        </w:trPr>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February 28, 2025</w:t>
            </w:r>
          </w:p>
        </w:tc>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48"/>
        </w:trPr>
        <w:tc>
          <w:tcPr>
            <w:tcW w:w="2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r>
    </w:tbl>
    <w:p>
      <w:pPr>
        <w:sectPr>
          <w:pgSz w:w="11900" w:h="16838" w:orient="portrait"/>
          <w:cols w:equalWidth="0" w:num="1">
            <w:col w:w="11020"/>
          </w:cols>
          <w:pgMar w:left="440" w:top="844"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424B2</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010" w:type="dxa"/>
        <w:tblCellMar>
          <w:top w:w="0" w:type="dxa"/>
          <w:left w:w="0" w:type="dxa"/>
          <w:bottom w:w="0" w:type="dxa"/>
          <w:right w:w="0" w:type="dxa"/>
        </w:tblCellMar>
      </w:tblPr>
      <w:tr>
        <w:trPr>
          <w:trHeight w:val="144"/>
        </w:trPr>
        <w:tc>
          <w:tcPr>
            <w:tcW w:w="152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7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2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60" w:type="dxa"/>
            <w:vAlign w:val="bottom"/>
          </w:tcPr>
          <w:p>
            <w:pPr>
              <w:jc w:val="center"/>
              <w:ind w:left="284"/>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3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60" w:type="dxa"/>
            <w:vAlign w:val="bottom"/>
          </w:tcPr>
          <w:p>
            <w:pPr>
              <w:jc w:val="center"/>
              <w:ind w:left="284"/>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3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60" w:type="dxa"/>
            <w:vAlign w:val="bottom"/>
            <w:tcBorders>
              <w:right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67"/>
        </w:trPr>
        <w:tc>
          <w:tcPr>
            <w:tcW w:w="152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06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3"/>
                <w:szCs w:val="13"/>
                <w:color w:val="auto"/>
                <w:w w:val="89"/>
              </w:rPr>
              <w:t>Title</w:t>
            </w:r>
          </w:p>
        </w:tc>
        <w:tc>
          <w:tcPr>
            <w:tcW w:w="3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6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Registered</w:t>
            </w:r>
          </w:p>
        </w:tc>
        <w:tc>
          <w:tcPr>
            <w:tcW w:w="74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3"/>
                <w:szCs w:val="13"/>
                <w:color w:val="auto"/>
                <w:w w:val="91"/>
              </w:rPr>
              <w:t>Unit</w:t>
            </w:r>
            <w:r>
              <w:rPr>
                <w:rFonts w:ascii="Times New Roman" w:cs="Times New Roman" w:eastAsia="Times New Roman" w:hAnsi="Times New Roman"/>
                <w:sz w:val="15"/>
                <w:szCs w:val="15"/>
                <w:color w:val="auto"/>
                <w:w w:val="91"/>
                <w:vertAlign w:val="superscript"/>
              </w:rPr>
              <w:t>(1)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5"/>
        </w:trPr>
        <w:tc>
          <w:tcPr>
            <w:tcW w:w="152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6"/>
        </w:trPr>
        <w:tc>
          <w:tcPr>
            <w:tcW w:w="15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$0.01 par value</w:t>
            </w: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55"/>
        </w:trPr>
        <w:tc>
          <w:tcPr>
            <w:tcW w:w="15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60" w:type="dxa"/>
            <w:vAlign w:val="bottom"/>
            <w:tcBorders>
              <w:bottom w:val="single" w:sz="8" w:color="auto"/>
            </w:tcBorders>
          </w:tcPr>
          <w:p>
            <w:pPr>
              <w:jc w:val="center"/>
              <w:ind w:left="284"/>
              <w:spacing w:after="0"/>
              <w:rPr>
                <w:sz w:val="20"/>
                <w:szCs w:val="20"/>
                <w:color w:val="auto"/>
              </w:rPr>
            </w:pPr>
            <w:r>
              <w:rPr>
                <w:rFonts w:ascii="Times New Roman" w:cs="Times New Roman" w:eastAsia="Times New Roman" w:hAnsi="Times New Roman"/>
                <w:sz w:val="18"/>
                <w:szCs w:val="18"/>
                <w:color w:val="auto"/>
              </w:rPr>
              <w:t>per share</w:t>
            </w:r>
          </w:p>
        </w:tc>
        <w:tc>
          <w:tcPr>
            <w:tcW w:w="320" w:type="dxa"/>
            <w:vAlign w:val="bottom"/>
            <w:tcBorders>
              <w:bottom w:val="single" w:sz="8" w:color="auto"/>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457(o)</w:t>
            </w:r>
          </w:p>
        </w:tc>
        <w:tc>
          <w:tcPr>
            <w:tcW w:w="7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$15,310.00</w:t>
            </w:r>
          </w:p>
        </w:tc>
      </w:tr>
      <w:tr>
        <w:trPr>
          <w:trHeight w:val="211"/>
        </w:trPr>
        <w:tc>
          <w:tcPr>
            <w:tcW w:w="15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Fees</w:t>
            </w:r>
          </w:p>
        </w:tc>
        <w:tc>
          <w:tcPr>
            <w:tcW w:w="66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Previously</w:t>
            </w:r>
          </w:p>
        </w:tc>
        <w:tc>
          <w:tcPr>
            <w:tcW w:w="66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1"/>
        </w:trPr>
        <w:tc>
          <w:tcPr>
            <w:tcW w:w="15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11"/>
        </w:trPr>
        <w:tc>
          <w:tcPr>
            <w:tcW w:w="15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Carry</w:t>
            </w:r>
          </w:p>
        </w:tc>
        <w:tc>
          <w:tcPr>
            <w:tcW w:w="66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Forward</w:t>
            </w:r>
          </w:p>
        </w:tc>
        <w:tc>
          <w:tcPr>
            <w:tcW w:w="66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1"/>
        </w:trPr>
        <w:tc>
          <w:tcPr>
            <w:tcW w:w="15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Securities</w:t>
            </w:r>
          </w:p>
        </w:tc>
        <w:tc>
          <w:tcPr>
            <w:tcW w:w="6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41"/>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Offering Amounts </w:t>
            </w:r>
          </w:p>
        </w:tc>
        <w:tc>
          <w:tcPr>
            <w:tcW w:w="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$100,000,000</w:t>
            </w: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$15,310.00</w:t>
            </w:r>
          </w:p>
        </w:tc>
      </w:tr>
      <w:tr>
        <w:trPr>
          <w:trHeight w:val="236"/>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 </w:t>
            </w:r>
          </w:p>
        </w:tc>
        <w:tc>
          <w:tcPr>
            <w:tcW w:w="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36"/>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 Offsets </w:t>
            </w:r>
          </w:p>
        </w:tc>
        <w:tc>
          <w:tcPr>
            <w:tcW w:w="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37"/>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Fee Due </w:t>
            </w:r>
          </w:p>
        </w:tc>
        <w:tc>
          <w:tcPr>
            <w:tcW w:w="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$15,310.00</w:t>
            </w:r>
          </w:p>
        </w:tc>
      </w:tr>
    </w:tbl>
    <w:p>
      <w:pPr>
        <w:spacing w:after="0" w:line="225" w:lineRule="exact"/>
        <w:rPr>
          <w:sz w:val="20"/>
          <w:szCs w:val="20"/>
          <w:color w:val="auto"/>
        </w:rPr>
      </w:pPr>
    </w:p>
    <w:p>
      <w:pPr>
        <w:ind w:left="540" w:right="60" w:hanging="424"/>
        <w:spacing w:after="0" w:line="28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457(o), based on the proposed maximum aggregate offering price, and Rule 457(r) under the Securities Act of 1933, as amended (the “Securities Act”).</w:t>
      </w:r>
    </w:p>
    <w:sectPr>
      <w:pgSz w:w="11900" w:h="16838" w:orient="portrait"/>
      <w:cols w:equalWidth="0" w:num="1">
        <w:col w:w="11140"/>
      </w:cols>
      <w:pgMar w:left="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1)"/>
      <w:numFmt w:val="decimal"/>
      <w:start w:val="6"/>
    </w:lvl>
  </w:abstractNum>
  <w:abstractNum w:abstractNumId="4">
    <w:nsid w:val="70A64E2A"/>
    <w:multiLevelType w:val="hybridMultilevel"/>
    <w:lvl w:ilvl="0">
      <w:lvlJc w:val="left"/>
      <w:lvlText w:val="(%1)"/>
      <w:numFmt w:val="lowerRoman"/>
      <w:start w:val="2"/>
    </w:lvl>
  </w:abstractNum>
  <w:abstractNum w:abstractNumId="5">
    <w:nsid w:val="6A2342EC"/>
    <w:multiLevelType w:val="hybridMultilevel"/>
    <w:lvl w:ilvl="0">
      <w:lvlJc w:val="left"/>
      <w:lvlText w:val="(%1)"/>
      <w:numFmt w:val="decimal"/>
      <w:start w:val="7"/>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lowerLetter"/>
      <w:start w:val="2"/>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1)"/>
      <w:numFmt w:val="decimal"/>
      <w:start w:val="6"/>
    </w:lvl>
  </w:abstractNum>
  <w:abstractNum w:abstractNumId="25">
    <w:nsid w:val="12E685FB"/>
    <w:multiLevelType w:val="hybridMultilevel"/>
    <w:lvl w:ilvl="0">
      <w:lvlJc w:val="left"/>
      <w:lvlText w:val="(%1)"/>
      <w:numFmt w:val="lowerRoman"/>
      <w:start w:val="2"/>
    </w:lvl>
  </w:abstractNum>
  <w:abstractNum w:abstractNumId="26">
    <w:nsid w:val="70C6A529"/>
    <w:multiLevelType w:val="hybridMultilevel"/>
    <w:lvl w:ilvl="0">
      <w:lvlJc w:val="left"/>
      <w:lvlText w:val="(%1)"/>
      <w:numFmt w:val="decimal"/>
      <w:start w:val="7"/>
    </w:lvl>
  </w:abstractNum>
  <w:abstractNum w:abstractNumId="27">
    <w:nsid w:val="520EEDD1"/>
    <w:multiLevelType w:val="hybridMultilevel"/>
    <w:lvl w:ilvl="0">
      <w:lvlJc w:val="left"/>
      <w:lvlText w:val="(%1)"/>
      <w:numFmt w:val="decimal"/>
      <w:start w:val="8"/>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decimal"/>
      <w:start w:val="5"/>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decimal"/>
      <w:start w:val="7"/>
    </w:lvl>
  </w:abstractNum>
  <w:abstractNum w:abstractNumId="38">
    <w:nsid w:val="354FE9F9"/>
    <w:multiLevelType w:val="hybridMultilevel"/>
    <w:lvl w:ilvl="0">
      <w:lvlJc w:val="left"/>
      <w:lvlText w:val="(%1)"/>
      <w:numFmt w:val="decimal"/>
      <w:start w:val="15"/>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lvl w:ilvl="1">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lowerRoman"/>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jpe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5"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8" Type="http://schemas.openxmlformats.org/officeDocument/2006/relationships/hyperlink" Target="http://www.sec.gov/ix?doc=/Archives/edgar/data/1508655/000095017025019845/tslx-20241231.htm" TargetMode="External"/><Relationship Id="rId32" Type="http://schemas.openxmlformats.org/officeDocument/2006/relationships/hyperlink" Target="http://www.sec.gov/ix?doc=/Archives/edgar/data/1508655/000095017024051235/tslx-20240331.htm" TargetMode="External"/><Relationship Id="rId33" Type="http://schemas.openxmlformats.org/officeDocument/2006/relationships/hyperlink" Target="http://www.sec.gov/ix?doc=/Archives/edgar/data/1508655/000095017024121434/tslx-20240930.htm" TargetMode="External"/><Relationship Id="rId42" Type="http://schemas.openxmlformats.org/officeDocument/2006/relationships/hyperlink" Target="http://www.sec.gov/ix?doc=/Archives/edgar/data/1508655/000095017025019865/tslx-20250213.htm" TargetMode="External"/><Relationship Id="rId43" Type="http://schemas.openxmlformats.org/officeDocument/2006/relationships/hyperlink" Target="http://www.sec.gov/ix?doc=/Archives/edgar/data/1508655/000095017024015845/tslx-20231231.htm" TargetMode="External"/><Relationship Id="rId44" Type="http://schemas.openxmlformats.org/officeDocument/2006/relationships/hyperlink" Target="http://www.sec.gov/Archives/edgar/data/1508655/000119312524093301/d810343ddef14a.htm" TargetMode="External"/><Relationship Id="rId150" Type="http://schemas.openxmlformats.org/officeDocument/2006/relationships/hyperlink" Target="http://www.sec.gov/ix?doc=/Archives/edgar/data/1508655/000095017023003042/tslx-20221231.htm" TargetMode="External"/><Relationship Id="rId151" Type="http://schemas.openxmlformats.org/officeDocument/2006/relationships/hyperlink" Target="http://www.sec.gov/Archives/edgar/data/1508655/000119312523100535/d393322ddef14a.htm" TargetMode="External"/><Relationship Id="rId152" Type="http://schemas.openxmlformats.org/officeDocument/2006/relationships/hyperlink" Target="http://www.sec.gov/ix?doc=/Archives/edgar/data/1508655/000095017023018777/tslx-20230331.htm" TargetMode="External"/><Relationship Id="rId153" Type="http://schemas.openxmlformats.org/officeDocument/2006/relationships/hyperlink" Target="http://www.sec.gov/ix?doc=/Archives/edgar/data/1508655/000095017023038066/tslx-20230630.htm" TargetMode="External"/><Relationship Id="rId154" Type="http://schemas.openxmlformats.org/officeDocument/2006/relationships/hyperlink" Target="http://www.sec.gov/ix?doc=/Archives/edgar/data/1508655/000095017023058321/tslx-20230930.htm" TargetMode="External"/><Relationship Id="rId156" Type="http://schemas.openxmlformats.org/officeDocument/2006/relationships/hyperlink" Target="http://www.sec.gov/ix?doc=/Archives/edgar/data/1508655/000119312523144982/d509627d8k.htm" TargetMode="External"/><Relationship Id="rId157" Type="http://schemas.openxmlformats.org/officeDocument/2006/relationships/hyperlink" Target="http://www.sec.gov/ix?doc=/Archives/edgar/data/1508655/000119312523155431/d495066d8k.htm" TargetMode="External"/><Relationship Id="rId158" Type="http://schemas.openxmlformats.org/officeDocument/2006/relationships/hyperlink" Target="http://www.sec.gov/ix?doc=/Archives/edgar/data/1508655/000119312523165276/d509708d8k.htm" TargetMode="External"/><Relationship Id="rId159" Type="http://schemas.openxmlformats.org/officeDocument/2006/relationships/hyperlink" Target="http://www.sec.gov/ix?doc=/Archives/edgar/data/1508655/000119312523165451/d509555d8k.htm" TargetMode="External"/><Relationship Id="rId160" Type="http://schemas.openxmlformats.org/officeDocument/2006/relationships/hyperlink" Target="http://www.sec.gov/ix?doc=/Archives/edgar/data/1508655/000119312523187256/d513136d8k.htm" TargetMode="External"/><Relationship Id="rId161" Type="http://schemas.openxmlformats.org/officeDocument/2006/relationships/hyperlink" Target="http://www.sec.gov/ix?doc=/Archives/edgar/data/1508655/000119312523188221/d534568d8ka.htm" TargetMode="External"/><Relationship Id="rId162" Type="http://schemas.openxmlformats.org/officeDocument/2006/relationships/hyperlink" Target="http://www.sec.gov/ix?doc=/Archives/edgar/data/1508655/000119312523209093/d513738d8k.htm" TargetMode="External"/><Relationship Id="rId163" Type="http://schemas.openxmlformats.org/officeDocument/2006/relationships/hyperlink" Target="http://www.sec.gov/ix?doc=/Archives/edgar/data/1508655/000119312523212327/d480136d8k.htm" TargetMode="External"/><Relationship Id="rId164" Type="http://schemas.openxmlformats.org/officeDocument/2006/relationships/hyperlink" Target="http://www.sec.gov/Archives/edgar/data/1508655/000119312514106230/d688211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2025-02-28T16:41:17Z</dcterms:created>
  <dcterms:modified xsi:type="dcterms:W3CDTF">2025-02-28T16:41:17Z</dcterms:modified>
</cp:coreProperties>
</file>