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TPG SPECIALTY LENDING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#87265K102</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8"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right="7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#87265K102</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line="171"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171" w:lineRule="exact"/>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362,544</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1,536,445</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1,536,445</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2.551%</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#87265K102</w:t>
            </w:r>
          </w:p>
        </w:tc>
        <w:tc>
          <w:tcPr>
            <w:tcW w:w="422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Reporting Person - Abigail P. Johnson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20" w:type="dxa"/>
            <w:vAlign w:val="bottom"/>
            <w:gridSpan w:val="3"/>
            <w:vMerge w:val="continue"/>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1,536,445</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1,536,445</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2.551%</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IN</w:t>
            </w:r>
          </w:p>
        </w:tc>
        <w:tc>
          <w:tcPr>
            <w:tcW w:w="2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TPG SPECIALTY LENDING INC</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8"/>
              </w:rPr>
              <w:t>301 Commerce Street, Suite 3300</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Fort Worth, TX 76102</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USA</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87265K102</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6480" w:type="dxa"/>
            <w:vAlign w:val="bottom"/>
            <w:gridSpan w:val="4"/>
            <w:vMerge w:val="restart"/>
          </w:tcPr>
          <w:p>
            <w:pPr>
              <w:ind w:left="60"/>
              <w:spacing w:after="0"/>
              <w:rPr>
                <w:sz w:val="20"/>
                <w:szCs w:val="20"/>
                <w:color w:val="auto"/>
              </w:rPr>
            </w:pPr>
            <w:r>
              <w:rPr>
                <w:rFonts w:ascii="Courier New" w:cs="Courier New" w:eastAsia="Courier New" w:hAnsi="Courier New"/>
                <w:sz w:val="18"/>
                <w:szCs w:val="18"/>
                <w:color w:val="auto"/>
              </w:rPr>
              <w:t>is a parent holding company in accordance with</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700" w:type="dxa"/>
            <w:vAlign w:val="bottom"/>
            <w:gridSpan w:val="4"/>
          </w:tcPr>
          <w:p>
            <w:pPr>
              <w:spacing w:after="0"/>
              <w:rPr>
                <w:sz w:val="20"/>
                <w:szCs w:val="20"/>
                <w:color w:val="auto"/>
              </w:rPr>
            </w:pPr>
            <w:r>
              <w:rPr>
                <w:rFonts w:ascii="Courier New" w:cs="Courier New" w:eastAsia="Courier New" w:hAnsi="Courier New"/>
                <w:sz w:val="18"/>
                <w:szCs w:val="18"/>
                <w:color w:val="auto"/>
              </w:rPr>
              <w:t>Section 240.13d-1(b)(1)(ii)(G).   (Note:  See Exhibit A).</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1,536,445</w:t>
            </w: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2.551%</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38" w:orient="portrait"/>
          <w:cols w:equalWidth="0" w:num="1">
            <w:col w:w="10219"/>
          </w:cols>
          <w:pgMar w:left="240" w:top="218" w:right="1440" w:bottom="0" w:gutter="0" w:footer="0" w:header="0"/>
        </w:sectPr>
      </w:pPr>
    </w:p>
    <w:bookmarkStart w:id="1" w:name="page2"/>
    <w:bookmarkEnd w:id="1"/>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362,544</w:t>
            </w:r>
          </w:p>
        </w:tc>
        <w:tc>
          <w:tcPr>
            <w:tcW w:w="19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311"/>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disposition of:</w:t>
            </w: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vMerge w:val="continue"/>
          </w:tcPr>
          <w:p>
            <w:pPr>
              <w:spacing w:after="0"/>
              <w:rPr>
                <w:sz w:val="24"/>
                <w:szCs w:val="24"/>
                <w:color w:val="auto"/>
              </w:rPr>
            </w:pPr>
          </w:p>
        </w:tc>
        <w:tc>
          <w:tcPr>
            <w:tcW w:w="1900" w:type="dxa"/>
            <w:vAlign w:val="bottom"/>
          </w:tcPr>
          <w:p>
            <w:pPr>
              <w:ind w:left="480"/>
              <w:spacing w:after="0"/>
              <w:rPr>
                <w:sz w:val="20"/>
                <w:szCs w:val="20"/>
                <w:color w:val="auto"/>
              </w:rPr>
            </w:pPr>
            <w:r>
              <w:rPr>
                <w:rFonts w:ascii="Courier New" w:cs="Courier New" w:eastAsia="Courier New" w:hAnsi="Courier New"/>
                <w:sz w:val="18"/>
                <w:szCs w:val="18"/>
                <w:color w:val="auto"/>
              </w:rPr>
              <w:t>1,536,445</w:t>
            </w:r>
          </w:p>
        </w:tc>
        <w:tc>
          <w:tcPr>
            <w:tcW w:w="2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disposition of:</w:t>
            </w: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vMerge w:val="continue"/>
          </w:tcPr>
          <w:p>
            <w:pPr>
              <w:spacing w:after="0"/>
              <w:rPr>
                <w:sz w:val="24"/>
                <w:szCs w:val="24"/>
                <w:color w:val="auto"/>
              </w:rPr>
            </w:pPr>
          </w:p>
        </w:tc>
        <w:tc>
          <w:tcPr>
            <w:tcW w:w="1900" w:type="dxa"/>
            <w:vAlign w:val="bottom"/>
          </w:tcPr>
          <w:p>
            <w:pPr>
              <w:ind w:left="480"/>
              <w:spacing w:after="0"/>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459" w:firstLine="2529"/>
        <w:spacing w:after="0" w:line="25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w:t>
      </w:r>
    </w:p>
    <w:p>
      <w:pPr>
        <w:ind w:right="2939"/>
        <w:spacing w:after="0" w:line="309"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 (X).</w:t>
      </w:r>
    </w:p>
    <w:p>
      <w:pPr>
        <w:spacing w:after="0" w:line="51"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359" w:lineRule="exact"/>
        <w:rPr>
          <w:sz w:val="20"/>
          <w:szCs w:val="20"/>
          <w:color w:val="auto"/>
        </w:rPr>
      </w:pPr>
    </w:p>
    <w:p>
      <w:pPr>
        <w:ind w:right="1779" w:firstLine="948"/>
        <w:spacing w:after="0" w:line="25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ind w:right="2419"/>
        <w:spacing w:after="0" w:line="273" w:lineRule="auto"/>
        <w:rPr>
          <w:sz w:val="20"/>
          <w:szCs w:val="20"/>
          <w:color w:val="auto"/>
        </w:rPr>
      </w:pPr>
      <w:r>
        <w:rPr>
          <w:rFonts w:ascii="Courier New" w:cs="Courier New" w:eastAsia="Courier New" w:hAnsi="Courier New"/>
          <w:sz w:val="18"/>
          <w:szCs w:val="18"/>
          <w:color w:val="auto"/>
        </w:rPr>
        <w:t>sale of, the COMMON STOCK of TPG SPECIALTY LENDING INC. No one other person's interest in the COMMON STOCK of TPG SPECIALTY LENDING INC is more than five percent of the total outstanding COMMON STOCK.</w:t>
      </w:r>
    </w:p>
    <w:p>
      <w:pPr>
        <w:spacing w:after="0" w:line="82" w:lineRule="exact"/>
        <w:rPr>
          <w:sz w:val="20"/>
          <w:szCs w:val="20"/>
          <w:color w:val="auto"/>
        </w:rPr>
      </w:pPr>
    </w:p>
    <w:p>
      <w:pPr>
        <w:ind w:right="1679"/>
        <w:spacing w:after="0" w:line="34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91" w:orient="portrait"/>
          <w:cols w:equalWidth="0" w:num="1">
            <w:col w:w="10219"/>
          </w:cols>
          <w:pgMar w:left="240" w:top="110"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91" w:orient="portrait"/>
          <w:cols w:equalWidth="0" w:num="2">
            <w:col w:w="1820" w:space="720"/>
            <w:col w:w="7679"/>
          </w:cols>
          <w:pgMar w:left="240" w:top="110"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91" w:orient="portrait"/>
          <w:cols w:equalWidth="0" w:num="1">
            <w:col w:w="10219"/>
          </w:cols>
          <w:pgMar w:left="240" w:top="110"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91" w:orient="portrait"/>
          <w:cols w:equalWidth="0" w:num="2">
            <w:col w:w="1820" w:space="720"/>
            <w:col w:w="7679"/>
          </w:cols>
          <w:pgMar w:left="240" w:top="110"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91" w:orient="portrait"/>
          <w:cols w:equalWidth="0" w:num="1">
            <w:col w:w="10219"/>
          </w:cols>
          <w:pgMar w:left="240" w:top="110"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91" w:orient="portrait"/>
          <w:cols w:equalWidth="0" w:num="2">
            <w:col w:w="1820" w:space="720"/>
            <w:col w:w="7679"/>
          </w:cols>
          <w:pgMar w:left="240" w:top="110"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31" w:lineRule="exact"/>
        <w:rPr>
          <w:sz w:val="20"/>
          <w:szCs w:val="20"/>
          <w:color w:val="auto"/>
        </w:rPr>
      </w:pPr>
    </w:p>
    <w:p>
      <w:pPr>
        <w:ind w:right="1999" w:firstLine="948"/>
        <w:spacing w:after="0" w:line="378"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207" w:lineRule="exact"/>
        <w:rPr>
          <w:sz w:val="20"/>
          <w:szCs w:val="20"/>
          <w:color w:val="auto"/>
        </w:rPr>
      </w:pPr>
    </w:p>
    <w:p>
      <w:pPr>
        <w:ind w:right="2419" w:firstLine="8"/>
        <w:spacing w:after="0" w:line="292"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619" w:firstLine="1791"/>
        <w:spacing w:after="0" w:line="344" w:lineRule="auto"/>
        <w:rPr>
          <w:sz w:val="20"/>
          <w:szCs w:val="20"/>
          <w:color w:val="auto"/>
        </w:rPr>
      </w:pPr>
      <w:r>
        <w:rPr>
          <w:rFonts w:ascii="Courier New" w:cs="Courier New" w:eastAsia="Courier New" w:hAnsi="Courier New"/>
          <w:sz w:val="16"/>
          <w:szCs w:val="16"/>
          <w:color w:val="auto"/>
        </w:rPr>
        <w:t>Pursuant to the instructions in Item 7 of Schedule 13G, the following table lists the identity and Item 3 classification, if applicable, of each relevant entity that beneficially owns shares of the</w:t>
      </w:r>
    </w:p>
    <w:p>
      <w:pPr>
        <w:sectPr>
          <w:pgSz w:w="11900" w:h="16891" w:orient="portrait"/>
          <w:cols w:equalWidth="0" w:num="1">
            <w:col w:w="10219"/>
          </w:cols>
          <w:pgMar w:left="240" w:top="110"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security class being reported on this Schedule 13G.</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line="292" w:lineRule="auto"/>
        <w:rPr>
          <w:sz w:val="20"/>
          <w:szCs w:val="20"/>
          <w:color w:val="auto"/>
        </w:rPr>
      </w:pPr>
      <w:r>
        <w:rPr>
          <w:rFonts w:ascii="Courier New" w:cs="Courier New" w:eastAsia="Courier New" w:hAnsi="Courier New"/>
          <w:sz w:val="18"/>
          <w:szCs w:val="18"/>
          <w:color w:val="auto"/>
        </w:rPr>
        <w:t>Entity ITEM 3 Classification FIDELITY MANAGEMENT &amp; RESEARCH COMPANY FMR CO., INC 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537" w:lineRule="exact"/>
        <w:rPr>
          <w:sz w:val="20"/>
          <w:szCs w:val="20"/>
          <w:color w:val="auto"/>
        </w:rPr>
      </w:pPr>
    </w:p>
    <w:p>
      <w:pPr>
        <w:sectPr>
          <w:pgSz w:w="11900" w:h="16838" w:orient="portrait"/>
          <w:cols w:equalWidth="0" w:num="2">
            <w:col w:w="4020" w:space="200"/>
            <w:col w:w="5999"/>
          </w:cols>
          <w:pgMar w:left="24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839" w:firstLine="1685"/>
        <w:spacing w:after="0" w:line="347"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23" w:lineRule="exact"/>
        <w:rPr>
          <w:sz w:val="20"/>
          <w:szCs w:val="20"/>
          <w:color w:val="auto"/>
        </w:rPr>
      </w:pPr>
    </w:p>
    <w:p>
      <w:pPr>
        <w:ind w:right="2319" w:firstLine="1685"/>
        <w:spacing w:after="0" w:line="276"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374" w:lineRule="exact"/>
        <w:rPr>
          <w:sz w:val="20"/>
          <w:szCs w:val="20"/>
          <w:color w:val="auto"/>
        </w:rPr>
      </w:pPr>
    </w:p>
    <w:p>
      <w:pPr>
        <w:ind w:right="2319" w:firstLine="1685"/>
        <w:spacing w:after="0" w:line="253"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309" w:lineRule="exact"/>
        <w:rPr>
          <w:sz w:val="20"/>
          <w:szCs w:val="20"/>
          <w:color w:val="auto"/>
        </w:rPr>
      </w:pPr>
    </w:p>
    <w:p>
      <w:pPr>
        <w:ind w:right="2319" w:firstLine="1685"/>
        <w:spacing w:after="0" w:line="293"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4" w:lineRule="exact"/>
        <w:rPr>
          <w:sz w:val="20"/>
          <w:szCs w:val="20"/>
          <w:color w:val="auto"/>
        </w:rPr>
      </w:pPr>
    </w:p>
    <w:p>
      <w:pPr>
        <w:ind w:right="2619" w:firstLine="1685"/>
        <w:spacing w:after="0" w:line="274"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COMMON STOCK of TPG SPECIALTY LENDING INC at December 29, 2017.</w:t>
      </w:r>
    </w:p>
    <w:p>
      <w:pPr>
        <w:spacing w:after="0" w:line="28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ind w:right="2099" w:firstLine="843"/>
        <w:spacing w:after="0" w:line="378"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ind w:right="2199" w:firstLine="843"/>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53" w:lineRule="exact"/>
        <w:rPr>
          <w:sz w:val="20"/>
          <w:szCs w:val="20"/>
          <w:color w:val="auto"/>
        </w:rPr>
      </w:pPr>
    </w:p>
    <w:p>
      <w:pPr>
        <w:ind w:right="2419" w:firstLine="8"/>
        <w:spacing w:after="0" w:line="292"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ectPr>
          <w:pgSz w:w="11900" w:h="16838" w:orient="portrait"/>
          <w:cols w:equalWidth="0" w:num="1">
            <w:col w:w="10219"/>
          </w:cols>
          <w:pgMar w:left="240" w:top="110" w:right="1440"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1)"/>
      <w:numFmt w:val="lowerLetter"/>
      <w:start w:val="3"/>
    </w:lvl>
    <w:lvl w:ilvl="1">
      <w:lvlJc w:val="left"/>
      <w:lvlText w:val="(%2)"/>
      <w:numFmt w:val="lowerLetter"/>
      <w:start w:val="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2019-12-07T21:00:01Z</dcterms:created>
  <dcterms:modified xsi:type="dcterms:W3CDTF">2019-12-07T21:00:01Z</dcterms:modified>
</cp:coreProperties>
</file>