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Easterly Joshua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00"/>
              <w:spacing w:after="0"/>
              <w:rPr>
                <w:sz w:val="20"/>
                <w:szCs w:val="20"/>
                <w:color w:val="auto"/>
              </w:rPr>
            </w:pPr>
            <w:r>
              <w:rPr>
                <w:rFonts w:ascii="Arial" w:cs="Arial" w:eastAsia="Arial" w:hAnsi="Arial"/>
                <w:sz w:val="18"/>
                <w:szCs w:val="18"/>
                <w:color w:val="0000FF"/>
              </w:rPr>
              <w:t>03/16/2012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240"/>
              <w:spacing w:after="0"/>
              <w:rPr>
                <w:sz w:val="20"/>
                <w:szCs w:val="20"/>
                <w:color w:val="auto"/>
              </w:rPr>
            </w:pPr>
            <w:r>
              <w:rPr>
                <w:rFonts w:ascii="Arial" w:cs="Arial" w:eastAsia="Arial" w:hAnsi="Arial"/>
                <w:sz w:val="18"/>
                <w:szCs w:val="18"/>
                <w:color w:val="0000FF"/>
              </w:rPr>
              <w:t>15.1</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985.07</w:t>
            </w:r>
          </w:p>
        </w:tc>
        <w:tc>
          <w:tcPr>
            <w:tcW w:w="1300" w:type="dxa"/>
            <w:vAlign w:val="bottom"/>
            <w:gridSpan w:val="3"/>
            <w:vMerge w:val="restart"/>
          </w:tcPr>
          <w:p>
            <w:pPr>
              <w:ind w:left="480"/>
              <w:spacing w:after="0"/>
              <w:rPr>
                <w:sz w:val="20"/>
                <w:szCs w:val="20"/>
                <w:color w:val="auto"/>
              </w:rPr>
            </w:pPr>
            <w:r>
              <w:rPr>
                <w:rFonts w:ascii="Arial" w:cs="Arial" w:eastAsia="Arial" w:hAnsi="Arial"/>
                <w:sz w:val="18"/>
                <w:szCs w:val="18"/>
                <w:color w:val="0000FF"/>
              </w:rPr>
              <w:t>58.7</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18,854 shares of Common Stock of the Issuer, including 58.7 shares of Common Stock of the Issuer indirectly beneficially owned by Mr. Easterly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Easterly pursuant to the authorization and designation letter dated March 10, 2011, which was previously filed with the Securities and Exchange Commission as an exhibit to a Form 3 filed by Mr. Easterly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03/20/2012</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6"/>
              </w:rPr>
              <w:t>Joshua Easterly (2)</w:t>
            </w:r>
          </w:p>
        </w:tc>
        <w:tc>
          <w:tcPr>
            <w:tcW w:w="7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2019-12-17T04:29:14Z</dcterms:created>
  <dcterms:modified xsi:type="dcterms:W3CDTF">2019-12-17T04:29:14Z</dcterms:modified>
</cp:coreProperties>
</file>