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333-203450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tbl>
      <w:tblPr>
        <w:tblLayout w:type="fixed"/>
        <w:tblInd w:w="4300" w:type="dxa"/>
        <w:tblCellMar>
          <w:top w:w="0" w:type="dxa"/>
          <w:left w:w="0" w:type="dxa"/>
          <w:bottom w:w="0" w:type="dxa"/>
          <w:right w:w="0" w:type="dxa"/>
        </w:tblCellMar>
      </w:tblPr>
      <w:tr>
        <w:trPr>
          <w:trHeight w:val="253"/>
        </w:trPr>
        <w:tc>
          <w:tcPr>
            <w:tcW w:w="4700" w:type="dxa"/>
            <w:vAlign w:val="bottom"/>
          </w:tcPr>
          <w:p>
            <w:pPr>
              <w:ind w:left="1040"/>
              <w:spacing w:after="0"/>
              <w:rPr>
                <w:sz w:val="20"/>
                <w:szCs w:val="20"/>
                <w:color w:val="auto"/>
              </w:rPr>
            </w:pPr>
            <w:r>
              <w:rPr>
                <w:rFonts w:ascii="Arial" w:cs="Arial" w:eastAsia="Arial" w:hAnsi="Arial"/>
                <w:sz w:val="22"/>
                <w:szCs w:val="22"/>
                <w:b w:val="1"/>
                <w:bCs w:val="1"/>
                <w:i w:val="1"/>
                <w:iCs w:val="1"/>
                <w:color w:val="auto"/>
              </w:rPr>
              <w:t>UNDER</w:t>
            </w:r>
          </w:p>
        </w:tc>
        <w:tc>
          <w:tcPr>
            <w:tcW w:w="1780" w:type="dxa"/>
            <w:vAlign w:val="bottom"/>
            <w:vMerge w:val="restart"/>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8"/>
        </w:trPr>
        <w:tc>
          <w:tcPr>
            <w:tcW w:w="4700" w:type="dxa"/>
            <w:vAlign w:val="bottom"/>
          </w:tcPr>
          <w:p>
            <w:pPr>
              <w:jc w:val="center"/>
              <w:ind w:right="1521"/>
              <w:spacing w:after="0" w:line="218"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jc w:val="center"/>
              <w:ind w:right="1521"/>
              <w:spacing w:after="0"/>
              <w:rPr>
                <w:sz w:val="20"/>
                <w:szCs w:val="20"/>
                <w:color w:val="auto"/>
              </w:rPr>
            </w:pPr>
            <w:r>
              <w:rPr>
                <w:rFonts w:ascii="Arial" w:cs="Arial" w:eastAsia="Arial" w:hAnsi="Arial"/>
                <w:sz w:val="18"/>
                <w:szCs w:val="18"/>
                <w:b w:val="1"/>
                <w:bCs w:val="1"/>
                <w:color w:val="auto"/>
                <w:w w:val="91"/>
              </w:rPr>
              <w:t>Pre-Effective Amendment No.</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470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Post-Effective Amendment No. 1</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871-4000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A. Gerstenzang,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E. Fleisher,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From time to time after the effective date of this Registration Statement.</w:t>
      </w:r>
    </w:p>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Post-Effective Amendment No. 1 to the Registration Statement on Form N-2 (File No. 333-203450) of TPG Specialty Lending, Inc. (the “Registration Statement”) is being filed pursuant to Rule 462(d) under the Securities Act of 1933, as amended (the “Securities Act”), solely for the purpose of filing exhibits to the Registration Statement. Accordingly, this Post-Effective Amendment No. 1 consists only of a facing page, this explanatory note and Part C of the Registration Statement, which sets forth the exhibits to the Registration Statement. This Post-Effective Amendment No. 1 does not modify any other part of the Registration Statement. Pursuant to Rule 462(d) under the Securities Act, this Post-Effective Amendment No. 1 shall become effective immediately upon filing with the Securities and Exchange Commission. The contents of the Registration Statement are hereby incorporated by reference.</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80" w:type="dxa"/>
            <w:vAlign w:val="bottom"/>
          </w:tcPr>
          <w:p>
            <w:pPr>
              <w:jc w:val="center"/>
              <w:ind w:left="1250"/>
              <w:spacing w:after="0"/>
              <w:rPr>
                <w:sz w:val="20"/>
                <w:szCs w:val="20"/>
                <w:color w:val="auto"/>
              </w:rPr>
            </w:pPr>
            <w:r>
              <w:rPr>
                <w:rFonts w:ascii="Arial" w:cs="Arial" w:eastAsia="Arial" w:hAnsi="Arial"/>
                <w:sz w:val="18"/>
                <w:szCs w:val="18"/>
                <w:b w:val="1"/>
                <w:bCs w:val="1"/>
                <w:color w:val="auto"/>
              </w:rPr>
              <w:t>TPG SPECIALTY LENDING, INC.</w:t>
            </w:r>
          </w:p>
        </w:tc>
        <w:tc>
          <w:tcPr>
            <w:tcW w:w="1240" w:type="dxa"/>
            <w:vAlign w:val="bottom"/>
          </w:tcPr>
          <w:p>
            <w:pPr>
              <w:spacing w:after="0"/>
              <w:rPr>
                <w:sz w:val="20"/>
                <w:szCs w:val="20"/>
                <w:color w:val="auto"/>
              </w:rPr>
            </w:pPr>
          </w:p>
        </w:tc>
      </w:tr>
      <w:tr>
        <w:trPr>
          <w:trHeight w:val="432"/>
        </w:trPr>
        <w:tc>
          <w:tcPr>
            <w:tcW w:w="10080" w:type="dxa"/>
            <w:vAlign w:val="bottom"/>
          </w:tcPr>
          <w:p>
            <w:pPr>
              <w:jc w:val="center"/>
              <w:ind w:left="1270"/>
              <w:spacing w:after="0"/>
              <w:rPr>
                <w:sz w:val="20"/>
                <w:szCs w:val="20"/>
                <w:color w:val="auto"/>
              </w:rPr>
            </w:pPr>
            <w:r>
              <w:rPr>
                <w:rFonts w:ascii="Arial" w:cs="Arial" w:eastAsia="Arial" w:hAnsi="Arial"/>
                <w:sz w:val="18"/>
                <w:szCs w:val="18"/>
                <w:b w:val="1"/>
                <w:bCs w:val="1"/>
                <w:color w:val="auto"/>
                <w:w w:val="95"/>
              </w:rPr>
              <w:t>PART C</w:t>
            </w:r>
          </w:p>
        </w:tc>
        <w:tc>
          <w:tcPr>
            <w:tcW w:w="1240" w:type="dxa"/>
            <w:vAlign w:val="bottom"/>
          </w:tcPr>
          <w:p>
            <w:pPr>
              <w:spacing w:after="0"/>
              <w:rPr>
                <w:sz w:val="24"/>
                <w:szCs w:val="24"/>
                <w:color w:val="auto"/>
              </w:rPr>
            </w:pPr>
          </w:p>
        </w:tc>
      </w:tr>
      <w:tr>
        <w:trPr>
          <w:trHeight w:val="432"/>
        </w:trPr>
        <w:tc>
          <w:tcPr>
            <w:tcW w:w="10080" w:type="dxa"/>
            <w:vAlign w:val="bottom"/>
          </w:tcPr>
          <w:p>
            <w:pPr>
              <w:jc w:val="center"/>
              <w:ind w:left="1270"/>
              <w:spacing w:after="0"/>
              <w:rPr>
                <w:sz w:val="20"/>
                <w:szCs w:val="20"/>
                <w:color w:val="auto"/>
              </w:rPr>
            </w:pPr>
            <w:r>
              <w:rPr>
                <w:rFonts w:ascii="Arial" w:cs="Arial" w:eastAsia="Arial" w:hAnsi="Arial"/>
                <w:sz w:val="18"/>
                <w:szCs w:val="18"/>
                <w:b w:val="1"/>
                <w:bCs w:val="1"/>
                <w:color w:val="auto"/>
                <w:w w:val="94"/>
              </w:rPr>
              <w:t>Other Information</w:t>
            </w:r>
          </w:p>
        </w:tc>
        <w:tc>
          <w:tcPr>
            <w:tcW w:w="1240" w:type="dxa"/>
            <w:vAlign w:val="bottom"/>
          </w:tcPr>
          <w:p>
            <w:pPr>
              <w:spacing w:after="0"/>
              <w:rPr>
                <w:sz w:val="24"/>
                <w:szCs w:val="24"/>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240" w:type="dxa"/>
            <w:vAlign w:val="bottom"/>
          </w:tcPr>
          <w:p>
            <w:pPr>
              <w:spacing w:after="0"/>
              <w:rPr>
                <w:sz w:val="24"/>
                <w:szCs w:val="24"/>
                <w:color w:val="auto"/>
              </w:rPr>
            </w:pPr>
          </w:p>
        </w:tc>
      </w:tr>
      <w:tr>
        <w:trPr>
          <w:trHeight w:val="324"/>
        </w:trPr>
        <w:tc>
          <w:tcPr>
            <w:tcW w:w="10080" w:type="dxa"/>
            <w:vAlign w:val="bottom"/>
          </w:tcPr>
          <w:p>
            <w:pPr>
              <w:spacing w:after="0"/>
              <w:rPr>
                <w:sz w:val="20"/>
                <w:szCs w:val="20"/>
                <w:color w:val="auto"/>
              </w:rPr>
            </w:pPr>
            <w:r>
              <w:rPr>
                <w:rFonts w:ascii="Arial" w:cs="Arial" w:eastAsia="Arial" w:hAnsi="Arial"/>
                <w:sz w:val="18"/>
                <w:szCs w:val="18"/>
                <w:b w:val="1"/>
                <w:bCs w:val="1"/>
                <w:color w:val="auto"/>
              </w:rPr>
              <w:t>(1) Financial Statements</w:t>
            </w:r>
          </w:p>
        </w:tc>
        <w:tc>
          <w:tcPr>
            <w:tcW w:w="1240" w:type="dxa"/>
            <w:vAlign w:val="bottom"/>
          </w:tcPr>
          <w:p>
            <w:pPr>
              <w:spacing w:after="0"/>
              <w:rPr>
                <w:sz w:val="24"/>
                <w:szCs w:val="24"/>
                <w:color w:val="auto"/>
              </w:rPr>
            </w:pPr>
          </w:p>
        </w:tc>
      </w:tr>
      <w:tr>
        <w:trPr>
          <w:trHeight w:val="324"/>
        </w:trPr>
        <w:tc>
          <w:tcPr>
            <w:tcW w:w="10080" w:type="dxa"/>
            <w:vAlign w:val="bottom"/>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240" w:type="dxa"/>
            <w:vAlign w:val="bottom"/>
          </w:tcPr>
          <w:p>
            <w:pPr>
              <w:spacing w:after="0"/>
              <w:rPr>
                <w:sz w:val="24"/>
                <w:szCs w:val="24"/>
                <w:color w:val="auto"/>
              </w:rPr>
            </w:pPr>
          </w:p>
        </w:tc>
      </w:tr>
      <w:tr>
        <w:trPr>
          <w:trHeight w:val="445"/>
        </w:trPr>
        <w:tc>
          <w:tcPr>
            <w:tcW w:w="10080" w:type="dxa"/>
            <w:vAlign w:val="bottom"/>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240" w:type="dxa"/>
            <w:vAlign w:val="bottom"/>
          </w:tcPr>
          <w:p>
            <w:pPr>
              <w:spacing w:after="0"/>
              <w:rPr>
                <w:sz w:val="24"/>
                <w:szCs w:val="24"/>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2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Balance Sheets as of December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2014,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Schedules of Investments as of December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2014,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310"/>
        </w:trPr>
        <w:tc>
          <w:tcPr>
            <w:tcW w:w="10080" w:type="dxa"/>
            <w:vAlign w:val="bottom"/>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240" w:type="dxa"/>
            <w:vAlign w:val="bottom"/>
          </w:tcPr>
          <w:p>
            <w:pPr>
              <w:spacing w:after="0"/>
              <w:rPr>
                <w:sz w:val="24"/>
                <w:szCs w:val="24"/>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Balance Sheets as of March 31, 2015 and December 31, 2014</w:t>
            </w:r>
          </w:p>
        </w:tc>
        <w:tc>
          <w:tcPr>
            <w:tcW w:w="1240" w:type="dxa"/>
            <w:vAlign w:val="bottom"/>
          </w:tcPr>
          <w:p>
            <w:pPr>
              <w:jc w:val="right"/>
              <w:spacing w:after="0"/>
              <w:rPr>
                <w:sz w:val="20"/>
                <w:szCs w:val="20"/>
                <w:color w:val="auto"/>
              </w:rPr>
            </w:pPr>
            <w:r>
              <w:rPr>
                <w:rFonts w:ascii="Arial" w:cs="Arial" w:eastAsia="Arial" w:hAnsi="Arial"/>
                <w:sz w:val="18"/>
                <w:szCs w:val="18"/>
                <w:color w:val="auto"/>
              </w:rPr>
              <w:t>F-43</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Operations for the Three Months Ended March 31, 2015 and 2014</w:t>
            </w:r>
          </w:p>
        </w:tc>
        <w:tc>
          <w:tcPr>
            <w:tcW w:w="1240" w:type="dxa"/>
            <w:vAlign w:val="bottom"/>
          </w:tcPr>
          <w:p>
            <w:pPr>
              <w:jc w:val="right"/>
              <w:spacing w:after="0"/>
              <w:rPr>
                <w:sz w:val="20"/>
                <w:szCs w:val="20"/>
                <w:color w:val="auto"/>
              </w:rPr>
            </w:pPr>
            <w:r>
              <w:rPr>
                <w:rFonts w:ascii="Arial" w:cs="Arial" w:eastAsia="Arial" w:hAnsi="Arial"/>
                <w:sz w:val="18"/>
                <w:szCs w:val="18"/>
                <w:color w:val="auto"/>
              </w:rPr>
              <w:t>F-44</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Schedules of Investments as of March 31, 2015 and December 31, 2014</w:t>
            </w:r>
          </w:p>
        </w:tc>
        <w:tc>
          <w:tcPr>
            <w:tcW w:w="1240" w:type="dxa"/>
            <w:vAlign w:val="bottom"/>
          </w:tcPr>
          <w:p>
            <w:pPr>
              <w:jc w:val="right"/>
              <w:spacing w:after="0"/>
              <w:rPr>
                <w:sz w:val="20"/>
                <w:szCs w:val="20"/>
                <w:color w:val="auto"/>
              </w:rPr>
            </w:pPr>
            <w:r>
              <w:rPr>
                <w:rFonts w:ascii="Arial" w:cs="Arial" w:eastAsia="Arial" w:hAnsi="Arial"/>
                <w:sz w:val="18"/>
                <w:szCs w:val="18"/>
                <w:color w:val="auto"/>
              </w:rPr>
              <w:t>F-45</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2015 and 2014</w:t>
            </w:r>
          </w:p>
        </w:tc>
        <w:tc>
          <w:tcPr>
            <w:tcW w:w="124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Cash Flows for the Three Months Ended March 31, 2015 and 2014</w:t>
            </w:r>
          </w:p>
        </w:tc>
        <w:tc>
          <w:tcPr>
            <w:tcW w:w="124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F-55</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135" w:lineRule="exact"/>
        <w:rPr>
          <w:sz w:val="20"/>
          <w:szCs w:val="20"/>
          <w:color w:val="auto"/>
        </w:rPr>
      </w:pPr>
    </w:p>
    <w:p>
      <w:pPr>
        <w:ind w:left="760" w:right="80" w:hanging="759"/>
        <w:spacing w:after="0" w:line="277" w:lineRule="auto"/>
        <w:tabs>
          <w:tab w:leader="none" w:pos="7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760" w:right="440" w:hanging="759"/>
        <w:spacing w:after="0" w:line="277" w:lineRule="auto"/>
        <w:tabs>
          <w:tab w:leader="none" w:pos="7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760" w:right="200" w:hanging="75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62" w:lineRule="exact"/>
        <w:rPr>
          <w:rFonts w:ascii="Arial" w:cs="Arial" w:eastAsia="Arial" w:hAnsi="Arial"/>
          <w:sz w:val="18"/>
          <w:szCs w:val="18"/>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760" w:right="20" w:hanging="759"/>
        <w:spacing w:after="0" w:line="277" w:lineRule="auto"/>
        <w:tabs>
          <w:tab w:leader="none" w:pos="7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20"/>
          </w:cols>
          <w:pgMar w:left="240" w:top="270" w:right="339" w:bottom="1440" w:gutter="0" w:footer="0" w:header="0"/>
        </w:sectPr>
      </w:pPr>
    </w:p>
    <w:bookmarkStart w:id="3" w:name="page4"/>
    <w:bookmarkEnd w:id="3"/>
    <w:p>
      <w:pPr>
        <w:ind w:left="760" w:right="120" w:hanging="759"/>
        <w:spacing w:after="0" w:line="277"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760" w:right="240" w:hanging="759"/>
        <w:spacing w:after="0" w:line="277" w:lineRule="auto"/>
        <w:tabs>
          <w:tab w:leader="none" w:pos="74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760" w:right="40" w:hanging="759"/>
        <w:spacing w:after="0" w:line="277" w:lineRule="auto"/>
        <w:tabs>
          <w:tab w:leader="none" w:pos="74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Indenture (1)</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ind w:left="760" w:right="220" w:hanging="759"/>
        <w:spacing w:after="0" w:line="277" w:lineRule="auto"/>
        <w:tabs>
          <w:tab w:leader="none" w:pos="74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760" w:right="200" w:hanging="75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right="380" w:hanging="752"/>
        <w:spacing w:after="0" w:line="308"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(1)</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(1)</w:t>
      </w:r>
    </w:p>
    <w:p>
      <w:pPr>
        <w:spacing w:after="0" w:line="117"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hanging="75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760" w:right="600" w:hanging="759"/>
        <w:spacing w:after="0" w:line="277" w:lineRule="auto"/>
        <w:tabs>
          <w:tab w:leader="none" w:pos="74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760" w:right="160" w:hanging="759"/>
        <w:spacing w:after="0" w:line="277" w:lineRule="auto"/>
        <w:tabs>
          <w:tab w:leader="none" w:pos="74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dated as of March 15, 2011, between the Company and the Adviser (incorporated by reference to Exhibit 10.1 to the Company’s Current Report on Form 8-K filed on March 15, 2011)</w:t>
      </w:r>
    </w:p>
    <w:p>
      <w:pPr>
        <w:spacing w:after="0" w:line="62" w:lineRule="exact"/>
        <w:rPr>
          <w:sz w:val="20"/>
          <w:szCs w:val="20"/>
          <w:color w:val="auto"/>
        </w:rPr>
      </w:pPr>
    </w:p>
    <w:p>
      <w:pPr>
        <w:ind w:left="760" w:right="60" w:hanging="759"/>
        <w:spacing w:after="0" w:line="286" w:lineRule="auto"/>
        <w:tabs>
          <w:tab w:leader="none" w:pos="740" w:val="left"/>
        </w:tabs>
        <w:rPr>
          <w:sz w:val="20"/>
          <w:szCs w:val="20"/>
          <w:color w:val="auto"/>
        </w:rPr>
      </w:pPr>
      <w:r>
        <w:rPr>
          <w:rFonts w:ascii="Arial" w:cs="Arial" w:eastAsia="Arial" w:hAnsi="Arial"/>
          <w:sz w:val="17"/>
          <w:szCs w:val="17"/>
          <w:color w:val="auto"/>
        </w:rPr>
        <w:t>(k)(3)</w:t>
      </w:r>
      <w:r>
        <w:rPr>
          <w:sz w:val="20"/>
          <w:szCs w:val="20"/>
          <w:color w:val="auto"/>
        </w:rPr>
        <w:tab/>
      </w:r>
      <w:r>
        <w:rPr>
          <w:rFonts w:ascii="Arial" w:cs="Arial" w:eastAsia="Arial" w:hAnsi="Arial"/>
          <w:sz w:val="17"/>
          <w:szCs w:val="17"/>
          <w:color w:val="auto"/>
        </w:rPr>
        <w:t>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13, 2012)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20"/>
          </w:cols>
          <w:pgMar w:left="240" w:top="274" w:right="339" w:bottom="1440" w:gutter="0" w:footer="0" w:header="0"/>
        </w:sectPr>
      </w:pPr>
    </w:p>
    <w:bookmarkStart w:id="4" w:name="page5"/>
    <w:bookmarkEnd w:id="4"/>
    <w:p>
      <w:pPr>
        <w:ind w:left="660" w:right="260" w:hanging="719"/>
        <w:spacing w:after="0" w:line="342" w:lineRule="auto"/>
        <w:tabs>
          <w:tab w:leader="none" w:pos="6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(k)(4)</w:t>
      </w:r>
      <w:r>
        <w:rPr>
          <w:sz w:val="20"/>
          <w:szCs w:val="20"/>
          <w:color w:val="auto"/>
        </w:rPr>
        <w:tab/>
      </w:r>
      <w:r>
        <w:rPr>
          <w:rFonts w:ascii="Arial" w:cs="Arial" w:eastAsia="Arial" w:hAnsi="Arial"/>
          <w:sz w:val="16"/>
          <w:szCs w:val="16"/>
          <w:color w:val="auto"/>
        </w:rPr>
        <w:t>Master Sale and Contribution Agreement by and between TPG Specialty Lending, Inc., as the Originator and TPG SL SPV, LLC, as the Buyer, dated as of May 8, 2012 (incorporated by reference to Exhibit 10.2 to the Company’s Quarterly Report on Form 10-Q filed on August 13, 2012)</w:t>
      </w:r>
    </w:p>
    <w:p>
      <w:pPr>
        <w:spacing w:after="0" w:line="16" w:lineRule="exact"/>
        <w:rPr>
          <w:sz w:val="20"/>
          <w:szCs w:val="20"/>
          <w:color w:val="auto"/>
        </w:rPr>
      </w:pPr>
    </w:p>
    <w:p>
      <w:pPr>
        <w:ind w:left="660" w:hanging="719"/>
        <w:spacing w:after="0" w:line="264" w:lineRule="auto"/>
        <w:tabs>
          <w:tab w:leader="none" w:pos="64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660" w:right="100" w:hanging="719"/>
        <w:spacing w:after="0" w:line="264" w:lineRule="auto"/>
        <w:tabs>
          <w:tab w:leader="none" w:pos="64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Instrument of Removal, Appointment and Acceptance, dated November 29, 2012, among State Street Bank and Trust Company and TPG SL SPV, LLC, TPG Specialty Lending, Inc. and the Bank of New York Mellon Trust Company, N.A. (incorporated by reference to Exhibit 10.1 to the Company’s Current Report on Form 8-K filed on January 2, 2013)</w:t>
      </w:r>
    </w:p>
    <w:p>
      <w:pPr>
        <w:spacing w:after="0" w:line="73" w:lineRule="exact"/>
        <w:rPr>
          <w:sz w:val="20"/>
          <w:szCs w:val="20"/>
          <w:color w:val="auto"/>
        </w:rPr>
      </w:pPr>
    </w:p>
    <w:p>
      <w:pPr>
        <w:ind w:left="660" w:right="320" w:hanging="719"/>
        <w:spacing w:after="0" w:line="264" w:lineRule="auto"/>
        <w:tabs>
          <w:tab w:leader="none" w:pos="64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jc w:val="both"/>
        <w:ind w:left="660" w:right="120" w:hanging="719"/>
        <w:spacing w:after="0" w:line="312" w:lineRule="auto"/>
        <w:tabs>
          <w:tab w:leader="none" w:pos="640" w:val="left"/>
        </w:tabs>
        <w:rPr>
          <w:sz w:val="20"/>
          <w:szCs w:val="20"/>
          <w:color w:val="auto"/>
        </w:rPr>
      </w:pPr>
      <w:r>
        <w:rPr>
          <w:rFonts w:ascii="Arial" w:cs="Arial" w:eastAsia="Arial" w:hAnsi="Arial"/>
          <w:sz w:val="16"/>
          <w:szCs w:val="16"/>
          <w:color w:val="auto"/>
        </w:rPr>
        <w:t>(k)(8)</w:t>
      </w:r>
      <w:r>
        <w:rPr>
          <w:sz w:val="20"/>
          <w:szCs w:val="20"/>
          <w:color w:val="auto"/>
        </w:rPr>
        <w:tab/>
      </w:r>
      <w:r>
        <w:rPr>
          <w:rFonts w:ascii="Arial" w:cs="Arial" w:eastAsia="Arial" w:hAnsi="Arial"/>
          <w:sz w:val="16"/>
          <w:szCs w:val="16"/>
          <w:color w:val="auto"/>
        </w:rPr>
        <w:t>Amendment No. 1 dated July 17, 2013 to 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9, 2013)</w:t>
      </w:r>
    </w:p>
    <w:p>
      <w:pPr>
        <w:spacing w:after="0" w:line="39" w:lineRule="exact"/>
        <w:rPr>
          <w:sz w:val="20"/>
          <w:szCs w:val="20"/>
          <w:color w:val="auto"/>
        </w:rPr>
      </w:pPr>
    </w:p>
    <w:p>
      <w:pPr>
        <w:ind w:left="660" w:right="200" w:hanging="719"/>
        <w:spacing w:after="0" w:line="286" w:lineRule="auto"/>
        <w:tabs>
          <w:tab w:leader="none" w:pos="640" w:val="left"/>
        </w:tabs>
        <w:rPr>
          <w:sz w:val="20"/>
          <w:szCs w:val="20"/>
          <w:color w:val="auto"/>
        </w:rPr>
      </w:pPr>
      <w:r>
        <w:rPr>
          <w:rFonts w:ascii="Arial" w:cs="Arial" w:eastAsia="Arial" w:hAnsi="Arial"/>
          <w:sz w:val="17"/>
          <w:szCs w:val="17"/>
          <w:color w:val="auto"/>
        </w:rPr>
        <w:t>(k)(9)</w:t>
      </w:r>
      <w:r>
        <w:rPr>
          <w:sz w:val="20"/>
          <w:szCs w:val="20"/>
          <w:color w:val="auto"/>
        </w:rPr>
        <w:tab/>
      </w:r>
      <w:r>
        <w:rPr>
          <w:rFonts w:ascii="Arial" w:cs="Arial" w:eastAsia="Arial" w:hAnsi="Arial"/>
          <w:sz w:val="17"/>
          <w:szCs w:val="17"/>
          <w:color w:val="auto"/>
        </w:rPr>
        <w:t>Amended and Restated Revolving Credit and Security Agreement, dated as of January 21, 2014, among TPG SL SPV, LLC, as Borrower, the Lenders from Time to Time Parties Hereto, Natixis, New York Branch, as Facility Agent and State Street Bank and Trust Company, as Collateral Agent (incorporated by reference to Exhibit 10.18 to the Company’s Annual Report on Form 10-K filed on March 4, 2014)</w:t>
      </w:r>
    </w:p>
    <w:p>
      <w:pPr>
        <w:spacing w:after="0" w:line="57" w:lineRule="exact"/>
        <w:rPr>
          <w:sz w:val="20"/>
          <w:szCs w:val="20"/>
          <w:color w:val="auto"/>
        </w:rPr>
      </w:pPr>
    </w:p>
    <w:p>
      <w:pPr>
        <w:ind w:left="660" w:right="20" w:hanging="719"/>
        <w:spacing w:after="0" w:line="264" w:lineRule="auto"/>
        <w:tabs>
          <w:tab w:leader="none" w:pos="640" w:val="left"/>
        </w:tabs>
        <w:rPr>
          <w:sz w:val="20"/>
          <w:szCs w:val="20"/>
          <w:color w:val="auto"/>
        </w:rPr>
      </w:pPr>
      <w:r>
        <w:rPr>
          <w:rFonts w:ascii="Arial" w:cs="Arial" w:eastAsia="Arial" w:hAnsi="Arial"/>
          <w:sz w:val="18"/>
          <w:szCs w:val="18"/>
          <w:color w:val="auto"/>
        </w:rPr>
        <w:t>(k)(10)</w:t>
        <w:tab/>
        <w:t>Amended and Restated Master Sale and Contribution Agreement by and between TPG Specialty Lending, Inc., as the Originator and TPG SL SPV, LLC, as the Buyer, dated as of January 21, 2014 (incorporated by reference to Exhibit 10.19 to the Company’s Annual Report on Form 10-K filed on March 4, 2014)</w:t>
      </w:r>
    </w:p>
    <w:p>
      <w:pPr>
        <w:spacing w:after="0" w:line="73" w:lineRule="exact"/>
        <w:rPr>
          <w:sz w:val="20"/>
          <w:szCs w:val="20"/>
          <w:color w:val="auto"/>
        </w:rPr>
      </w:pPr>
    </w:p>
    <w:p>
      <w:pPr>
        <w:ind w:left="660" w:right="100" w:hanging="719"/>
        <w:spacing w:after="0" w:line="286" w:lineRule="auto"/>
        <w:tabs>
          <w:tab w:leader="none" w:pos="640" w:val="left"/>
        </w:tabs>
        <w:rPr>
          <w:sz w:val="20"/>
          <w:szCs w:val="20"/>
          <w:color w:val="auto"/>
        </w:rPr>
      </w:pPr>
      <w:r>
        <w:rPr>
          <w:rFonts w:ascii="Arial" w:cs="Arial" w:eastAsia="Arial" w:hAnsi="Arial"/>
          <w:sz w:val="17"/>
          <w:szCs w:val="17"/>
          <w:color w:val="auto"/>
        </w:rPr>
        <w:t>(k)(11)</w:t>
        <w:tab/>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660" w:right="100" w:hanging="719"/>
        <w:spacing w:after="0" w:line="312" w:lineRule="auto"/>
        <w:tabs>
          <w:tab w:leader="none" w:pos="640" w:val="left"/>
        </w:tabs>
        <w:rPr>
          <w:sz w:val="20"/>
          <w:szCs w:val="20"/>
          <w:color w:val="auto"/>
        </w:rPr>
      </w:pPr>
      <w:r>
        <w:rPr>
          <w:rFonts w:ascii="Arial" w:cs="Arial" w:eastAsia="Arial" w:hAnsi="Arial"/>
          <w:sz w:val="16"/>
          <w:szCs w:val="16"/>
          <w:color w:val="auto"/>
        </w:rPr>
        <w:t>(k)(12)</w:t>
        <w:tab/>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00"/>
          </w:cols>
          <w:pgMar w:left="300" w:top="274" w:right="299" w:bottom="1440" w:gutter="0" w:footer="0" w:header="0"/>
        </w:sectPr>
      </w:pPr>
    </w:p>
    <w:bookmarkStart w:id="5" w:name="page6"/>
    <w:bookmarkEnd w:id="5"/>
    <w:p>
      <w:pPr>
        <w:ind w:left="720" w:right="100" w:hanging="719"/>
        <w:spacing w:after="0" w:line="264" w:lineRule="auto"/>
        <w:tabs>
          <w:tab w:leader="none" w:pos="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(k)(13)</w:t>
        <w:tab/>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720" w:hanging="719"/>
        <w:spacing w:after="0" w:line="264" w:lineRule="auto"/>
        <w:tabs>
          <w:tab w:leader="none" w:pos="700" w:val="left"/>
        </w:tabs>
        <w:rPr>
          <w:sz w:val="20"/>
          <w:szCs w:val="20"/>
          <w:color w:val="auto"/>
        </w:rPr>
      </w:pPr>
      <w:r>
        <w:rPr>
          <w:rFonts w:ascii="Arial" w:cs="Arial" w:eastAsia="Arial" w:hAnsi="Arial"/>
          <w:sz w:val="18"/>
          <w:szCs w:val="18"/>
          <w:color w:val="auto"/>
        </w:rPr>
        <w:t>(k)(14)</w:t>
        <w:tab/>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73" w:lineRule="exact"/>
        <w:rPr>
          <w:sz w:val="20"/>
          <w:szCs w:val="20"/>
          <w:color w:val="auto"/>
        </w:rPr>
      </w:pPr>
    </w:p>
    <w:p>
      <w:pPr>
        <w:ind w:left="720" w:right="180" w:hanging="719"/>
        <w:spacing w:after="0" w:line="264" w:lineRule="auto"/>
        <w:tabs>
          <w:tab w:leader="none" w:pos="700" w:val="left"/>
        </w:tabs>
        <w:rPr>
          <w:sz w:val="20"/>
          <w:szCs w:val="20"/>
          <w:color w:val="auto"/>
        </w:rPr>
      </w:pPr>
      <w:r>
        <w:rPr>
          <w:rFonts w:ascii="Arial" w:cs="Arial" w:eastAsia="Arial" w:hAnsi="Arial"/>
          <w:sz w:val="18"/>
          <w:szCs w:val="18"/>
          <w:color w:val="auto"/>
        </w:rPr>
        <w:t>(k)(15)</w:t>
        <w:tab/>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ind w:left="720" w:right="200" w:hanging="719"/>
        <w:spacing w:after="0" w:line="286" w:lineRule="auto"/>
        <w:tabs>
          <w:tab w:leader="none" w:pos="700" w:val="left"/>
        </w:tabs>
        <w:rPr>
          <w:sz w:val="20"/>
          <w:szCs w:val="20"/>
          <w:color w:val="auto"/>
        </w:rPr>
      </w:pPr>
      <w:r>
        <w:rPr>
          <w:rFonts w:ascii="Arial" w:cs="Arial" w:eastAsia="Arial" w:hAnsi="Arial"/>
          <w:sz w:val="17"/>
          <w:szCs w:val="17"/>
          <w:color w:val="auto"/>
        </w:rPr>
        <w:t>(k)(16)</w:t>
        <w:tab/>
        <w:t>Second Amended and Restated Credit and Security Agreement, dated as of March 27, 2015, among TPG SL SPV, LLC, as Borrower, the Lenders from Time to Time Parties Hereto, Natixis, New York Branch, as Facility Agent and State Street Bank and Trust Company, as Collateral Agent (incorporated by reference to Exhibit 10.1 to the Company’s Current Report on Form 8-K filed on March 30, 2015)</w:t>
      </w:r>
    </w:p>
    <w:p>
      <w:pPr>
        <w:spacing w:after="0" w:line="57" w:lineRule="exact"/>
        <w:rPr>
          <w:sz w:val="20"/>
          <w:szCs w:val="20"/>
          <w:color w:val="auto"/>
        </w:rPr>
      </w:pPr>
    </w:p>
    <w:p>
      <w:pPr>
        <w:jc w:val="both"/>
        <w:ind w:left="720" w:right="120" w:hanging="719"/>
        <w:spacing w:after="0" w:line="264" w:lineRule="auto"/>
        <w:tabs>
          <w:tab w:leader="none" w:pos="700" w:val="left"/>
        </w:tabs>
        <w:rPr>
          <w:sz w:val="20"/>
          <w:szCs w:val="20"/>
          <w:color w:val="auto"/>
        </w:rPr>
      </w:pPr>
      <w:r>
        <w:rPr>
          <w:rFonts w:ascii="Arial" w:cs="Arial" w:eastAsia="Arial" w:hAnsi="Arial"/>
          <w:sz w:val="18"/>
          <w:szCs w:val="18"/>
          <w:color w:val="auto"/>
        </w:rPr>
        <w:t>(k)(17)</w:t>
        <w:tab/>
        <w:t>Fourth Amendment to Second Amended and Restated Senior Secured Revolving Credit Agreement, dated October 2, 2015, among TPG Specialty Lending, Inc., as Borrower, the Lenders party thereto and Suntrust Bank, as Administrative Agent (incorporated by reference to Exhibit 10.1 to the Company’s Quarterly Report on Form 10-Q filed on November 3, 2015)</w:t>
      </w:r>
    </w:p>
    <w:p>
      <w:pPr>
        <w:spacing w:after="0" w:line="73"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 (1)</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Cleary Gottlieb Steen &amp; Hamilton LLP (included in Exhibit (l))</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KPMG LLP, dated June 15, 2015 (1)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Report of KPMG LLP, dated April 16, 2015 (1)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(n)(4)</w:t>
      </w:r>
      <w:r>
        <w:rPr>
          <w:sz w:val="20"/>
          <w:szCs w:val="20"/>
          <w:color w:val="auto"/>
        </w:rPr>
        <w:tab/>
      </w:r>
      <w:r>
        <w:rPr>
          <w:rFonts w:ascii="Arial" w:cs="Arial" w:eastAsia="Arial" w:hAnsi="Arial"/>
          <w:sz w:val="18"/>
          <w:szCs w:val="18"/>
          <w:color w:val="auto"/>
        </w:rPr>
        <w:t>Consent of KPMG LLP, dated March 2, 2016</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(n)(5)</w:t>
      </w:r>
      <w:r>
        <w:rPr>
          <w:sz w:val="20"/>
          <w:szCs w:val="20"/>
          <w:color w:val="auto"/>
        </w:rPr>
        <w:tab/>
      </w:r>
      <w:r>
        <w:rPr>
          <w:rFonts w:ascii="Arial" w:cs="Arial" w:eastAsia="Arial" w:hAnsi="Arial"/>
          <w:sz w:val="18"/>
          <w:szCs w:val="18"/>
          <w:color w:val="auto"/>
        </w:rPr>
        <w:t>Report of KPMG LLP, dated March 2, 2016</w:t>
      </w:r>
    </w:p>
    <w:p>
      <w:pPr>
        <w:spacing w:after="0" w:line="117"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720" w:right="300" w:hanging="719"/>
        <w:spacing w:after="0" w:line="277" w:lineRule="auto"/>
        <w:tabs>
          <w:tab w:leader="none" w:pos="700" w:val="left"/>
        </w:tabs>
        <w:rPr>
          <w:sz w:val="20"/>
          <w:szCs w:val="20"/>
          <w:color w:val="auto"/>
        </w:rPr>
      </w:pPr>
      <w:r>
        <w:rPr>
          <w:rFonts w:ascii="Arial" w:cs="Arial" w:eastAsia="Arial" w:hAnsi="Arial"/>
          <w:sz w:val="18"/>
          <w:szCs w:val="18"/>
          <w:color w:val="auto"/>
        </w:rPr>
        <w:t>(r)(1)</w:t>
      </w:r>
      <w:r>
        <w:rPr>
          <w:sz w:val="20"/>
          <w:szCs w:val="20"/>
          <w:color w:val="auto"/>
        </w:rPr>
        <w:tab/>
      </w:r>
      <w:r>
        <w:rPr>
          <w:rFonts w:ascii="Arial" w:cs="Arial" w:eastAsia="Arial" w:hAnsi="Arial"/>
          <w:sz w:val="18"/>
          <w:szCs w:val="18"/>
          <w:color w:val="auto"/>
        </w:rPr>
        <w:t>Code of Ethics of TPG Specialty Lending, Inc. (incorporated by reference to Exhibit (r)(1) to Pre-Effective Amendment No. 4 to the Company’s Registration Statement on Form N-2 filed on March 17, 2014)</w:t>
      </w:r>
    </w:p>
    <w:p>
      <w:pPr>
        <w:spacing w:after="0" w:line="62" w:lineRule="exact"/>
        <w:rPr>
          <w:sz w:val="20"/>
          <w:szCs w:val="20"/>
          <w:color w:val="auto"/>
        </w:rPr>
      </w:pPr>
    </w:p>
    <w:p>
      <w:pPr>
        <w:ind w:left="720" w:right="920" w:hanging="719"/>
        <w:spacing w:after="0" w:line="277" w:lineRule="auto"/>
        <w:tabs>
          <w:tab w:leader="none" w:pos="700" w:val="left"/>
        </w:tabs>
        <w:rPr>
          <w:sz w:val="20"/>
          <w:szCs w:val="20"/>
          <w:color w:val="auto"/>
        </w:rPr>
      </w:pPr>
      <w:r>
        <w:rPr>
          <w:rFonts w:ascii="Arial" w:cs="Arial" w:eastAsia="Arial" w:hAnsi="Arial"/>
          <w:sz w:val="18"/>
          <w:szCs w:val="18"/>
          <w:color w:val="auto"/>
        </w:rPr>
        <w:t>(r)(2)</w:t>
      </w:r>
      <w:r>
        <w:rPr>
          <w:sz w:val="20"/>
          <w:szCs w:val="20"/>
          <w:color w:val="auto"/>
        </w:rPr>
        <w:tab/>
      </w:r>
      <w:r>
        <w:rPr>
          <w:rFonts w:ascii="Arial" w:cs="Arial" w:eastAsia="Arial" w:hAnsi="Arial"/>
          <w:sz w:val="18"/>
          <w:szCs w:val="18"/>
          <w:color w:val="auto"/>
        </w:rPr>
        <w:t>Code of Ethics of TSL Advisers, LLC (incorporated by reference to Exhibit (r)(2) to Pre-Effective Amendment No. 4 to the Company’s Registration Statement on Form N-2 filed on March 17,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274" w:right="239" w:bottom="1440" w:gutter="0" w:footer="0" w:header="0"/>
        </w:sectPr>
      </w:pPr>
    </w:p>
    <w:bookmarkStart w:id="6" w:name="page7"/>
    <w:bookmarkEnd w:id="6"/>
    <w:p>
      <w:pPr>
        <w:ind w:left="700" w:right="80" w:hanging="688"/>
        <w:spacing w:after="0" w:line="277" w:lineRule="auto"/>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99.1</w:t>
      </w:r>
      <w:r>
        <w:rPr>
          <w:sz w:val="20"/>
          <w:szCs w:val="20"/>
          <w:color w:val="auto"/>
        </w:rPr>
        <w:tab/>
      </w:r>
      <w:r>
        <w:rPr>
          <w:rFonts w:ascii="Arial" w:cs="Arial" w:eastAsia="Arial" w:hAnsi="Arial"/>
          <w:sz w:val="18"/>
          <w:szCs w:val="18"/>
          <w:color w:val="auto"/>
        </w:rPr>
        <w:t>Form of Preliminary Prospectus Supplement For Common Stock Offerings (incorporated by reference to Exhibit 99.1 to Pre-Effective Amendment No. 1 to the Company’s Registration Statement on Form N-2 filed on July 25, 2014)</w:t>
      </w:r>
    </w:p>
    <w:p>
      <w:pPr>
        <w:spacing w:after="0" w:line="62" w:lineRule="exact"/>
        <w:rPr>
          <w:sz w:val="20"/>
          <w:szCs w:val="20"/>
          <w:color w:val="auto"/>
        </w:rPr>
      </w:pPr>
    </w:p>
    <w:p>
      <w:pPr>
        <w:ind w:left="700" w:right="80" w:hanging="688"/>
        <w:spacing w:after="0" w:line="277" w:lineRule="auto"/>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Form of Preliminary Prospectus Supplement For Preferred Stock Offerings (incorporated by reference to Exhibit 99.2 to Pre-Effective Amendment No. 1 to the Company’s Registration Statement on Form N-2 filed on July 25, 2014)</w:t>
      </w:r>
    </w:p>
    <w:p>
      <w:pPr>
        <w:spacing w:after="0" w:line="62" w:lineRule="exact"/>
        <w:rPr>
          <w:sz w:val="20"/>
          <w:szCs w:val="20"/>
          <w:color w:val="auto"/>
        </w:rPr>
      </w:pPr>
    </w:p>
    <w:p>
      <w:pPr>
        <w:ind w:left="700" w:right="100" w:hanging="688"/>
        <w:spacing w:after="0" w:line="277" w:lineRule="auto"/>
        <w:tabs>
          <w:tab w:leader="none" w:pos="68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Form of Preliminary Prospectus Supplement For Debt Securities Offerings (incorporated by reference to Exhibit 99.3 to Pre-Effective Amendment No. 1 to the Company’s Registration Statement on Form N-2 filed on July 25, 2014)</w:t>
      </w:r>
    </w:p>
    <w:p>
      <w:pPr>
        <w:spacing w:after="0" w:line="62" w:lineRule="exact"/>
        <w:rPr>
          <w:sz w:val="20"/>
          <w:szCs w:val="20"/>
          <w:color w:val="auto"/>
        </w:rPr>
      </w:pPr>
    </w:p>
    <w:p>
      <w:pPr>
        <w:ind w:left="700" w:right="100" w:hanging="688"/>
        <w:spacing w:after="0" w:line="277" w:lineRule="auto"/>
        <w:tabs>
          <w:tab w:leader="none" w:pos="68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8"/>
          <w:szCs w:val="18"/>
          <w:color w:val="auto"/>
        </w:rPr>
        <w:t>Form of Preliminary Prospectus Supplement For Rights Offerings (incorporated by reference to Exhibit 99.4 to Pre-Effective Amendment No. 1 to the Company’s Registration Statement on Form N-2 filed on July 25, 2014)</w:t>
      </w:r>
    </w:p>
    <w:p>
      <w:pPr>
        <w:spacing w:after="0" w:line="62" w:lineRule="exact"/>
        <w:rPr>
          <w:sz w:val="20"/>
          <w:szCs w:val="20"/>
          <w:color w:val="auto"/>
        </w:rPr>
      </w:pPr>
    </w:p>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8"/>
          <w:szCs w:val="18"/>
          <w:color w:val="auto"/>
        </w:rPr>
        <w:t>Form of Preliminary Prospectus Supplement For Warrant Offerings (incorporated by reference to Exhibit 99.5 to Pre-Effective Amendment No. 1 to the Company’s Registration Statement on Form N-2 filed on July 25, 2014)</w:t>
      </w:r>
    </w:p>
    <w:p>
      <w:pPr>
        <w:spacing w:after="0" w:line="19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87,150.00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113,000.00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100,000.00(1)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300,000.00(1)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24,850.00(1)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700,000.00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These amounts are estimates.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28. Persons Controlled by or Under Common Control</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20,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3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$0.01 par value</w:t>
            </w:r>
          </w:p>
        </w:tc>
        <w:tc>
          <w:tcPr>
            <w:tcW w:w="18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7"/>
                <w:szCs w:val="17"/>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 Indemnification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7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0" w:right="239" w:bottom="1440" w:gutter="0" w:footer="0" w:header="0"/>
        </w:sectPr>
      </w:pPr>
    </w:p>
    <w:bookmarkStart w:id="8" w:name="page9"/>
    <w:bookmarkEnd w:id="8"/>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Advisor</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5580" w:right="3280" w:hanging="5126"/>
        <w:spacing w:after="0" w:line="44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 C-7</w:t>
      </w:r>
    </w:p>
    <w:p>
      <w:pPr>
        <w:sectPr>
          <w:pgSz w:w="11900" w:h="16838" w:orient="portrait"/>
          <w:cols w:equalWidth="0" w:num="1">
            <w:col w:w="11420"/>
          </w:cols>
          <w:pgMar w:left="240" w:top="274" w:right="239" w:bottom="1440" w:gutter="0" w:footer="0" w:header="0"/>
        </w:sectPr>
      </w:pPr>
    </w:p>
    <w:bookmarkStart w:id="9" w:name="page10"/>
    <w:bookmarkEnd w:id="9"/>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900" w:right="2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20" w:hanging="440"/>
        <w:spacing w:after="0" w:line="264"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920" w:right="80" w:hanging="440"/>
        <w:spacing w:after="0" w:line="277" w:lineRule="auto"/>
        <w:tabs>
          <w:tab w:leader="none" w:pos="192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480" w:right="140" w:hanging="567"/>
        <w:spacing w:after="0" w:line="264"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60" w:hanging="567"/>
        <w:spacing w:after="0" w:line="277" w:lineRule="auto"/>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274" w:right="279" w:bottom="1440" w:gutter="0" w:footer="0" w:header="0"/>
        </w:sectPr>
      </w:pPr>
    </w:p>
    <w:bookmarkStart w:id="10" w:name="page11"/>
    <w:bookmarkEnd w:id="10"/>
    <w:p>
      <w:pPr>
        <w:ind w:left="1026" w:right="100" w:hanging="567"/>
        <w:spacing w:after="0" w:line="290" w:lineRule="auto"/>
        <w:tabs>
          <w:tab w:leader="none" w:pos="1026" w:val="left"/>
        </w:tabs>
        <w:numPr>
          <w:ilvl w:val="1"/>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supercede or modify any statement that was made in the registration statement or prospectus that was part of the registration statement or made in any such document immediately prior to such date of first use; and</w:t>
      </w:r>
    </w:p>
    <w:p>
      <w:pPr>
        <w:spacing w:after="0" w:line="71" w:lineRule="exact"/>
        <w:rPr>
          <w:rFonts w:ascii="Arial" w:cs="Arial" w:eastAsia="Arial" w:hAnsi="Arial"/>
          <w:sz w:val="16"/>
          <w:szCs w:val="16"/>
          <w:color w:val="auto"/>
        </w:rPr>
      </w:pPr>
    </w:p>
    <w:p>
      <w:pPr>
        <w:ind w:left="1026" w:hanging="567"/>
        <w:spacing w:after="0" w:line="279" w:lineRule="auto"/>
        <w:tabs>
          <w:tab w:leader="none" w:pos="1026"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466" w:right="600" w:hanging="440"/>
        <w:spacing w:after="0" w:line="277" w:lineRule="auto"/>
        <w:tabs>
          <w:tab w:leader="none" w:pos="1466"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66" w:right="700" w:hanging="440"/>
        <w:spacing w:after="0" w:line="277" w:lineRule="auto"/>
        <w:tabs>
          <w:tab w:leader="none" w:pos="1466"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026" w:right="80" w:hanging="567"/>
        <w:spacing w:after="0" w:line="312" w:lineRule="auto"/>
        <w:tabs>
          <w:tab w:leader="none" w:pos="1026" w:val="left"/>
        </w:tabs>
        <w:numPr>
          <w:ilvl w:val="1"/>
          <w:numId w:val="11"/>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52" w:lineRule="exact"/>
        <w:rPr>
          <w:rFonts w:ascii="Arial" w:cs="Arial" w:eastAsia="Arial" w:hAnsi="Arial"/>
          <w:sz w:val="16"/>
          <w:szCs w:val="16"/>
          <w:color w:val="auto"/>
        </w:rPr>
      </w:pPr>
    </w:p>
    <w:p>
      <w:pPr>
        <w:ind w:left="1026" w:right="20" w:hanging="567"/>
        <w:spacing w:after="0" w:line="264" w:lineRule="auto"/>
        <w:tabs>
          <w:tab w:leader="none" w:pos="10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46" w:right="42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446" w:right="80" w:hanging="446"/>
        <w:spacing w:after="0" w:line="264"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respect of any one or more offerings by us of shares of our common stock (including subscription rights to purchase shares of common stock) below net asset value as of the date of the commencement of such offering.</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946"/>
          </w:cols>
          <w:pgMar w:left="694"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1 to the Registration Statement on Form N-2 to be signed on its behalf by the undersigned, thereunto duly authorized, in the City of New York, and the State of New York on the 2nd day of March,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Each officer and director of TPG Specialty Lending, Inc. whose signature appears below constitutes and appoints Michael Fishman, Joshua Easterly, Ian Simmonds, David Stiepleman and Jennifer Mello, and 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7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Date</w:t>
            </w:r>
          </w:p>
        </w:tc>
      </w:tr>
      <w:tr>
        <w:trPr>
          <w:trHeight w:val="412"/>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Fishman</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Co-Chief Executive Officer and</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March 2, 2016</w:t>
            </w:r>
          </w:p>
        </w:tc>
      </w:tr>
      <w:tr>
        <w:trPr>
          <w:trHeight w:val="224"/>
        </w:trPr>
        <w:tc>
          <w:tcPr>
            <w:tcW w:w="5020" w:type="dxa"/>
            <w:vAlign w:val="bottom"/>
          </w:tcPr>
          <w:p>
            <w:pPr>
              <w:jc w:val="center"/>
              <w:spacing w:after="0"/>
              <w:rPr>
                <w:sz w:val="20"/>
                <w:szCs w:val="20"/>
                <w:color w:val="auto"/>
              </w:rPr>
            </w:pPr>
            <w:r>
              <w:rPr>
                <w:rFonts w:ascii="Arial" w:cs="Arial" w:eastAsia="Arial" w:hAnsi="Arial"/>
                <w:sz w:val="18"/>
                <w:szCs w:val="18"/>
                <w:color w:val="auto"/>
                <w:w w:val="92"/>
              </w:rPr>
              <w:t>Michael Fishman</w:t>
            </w: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 (Principal Executive Officer)</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1"/>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Co-Chief Executive Officer,</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March 2, 2016</w:t>
            </w:r>
          </w:p>
        </w:tc>
      </w:tr>
      <w:tr>
        <w:trPr>
          <w:trHeight w:val="224"/>
        </w:trPr>
        <w:tc>
          <w:tcPr>
            <w:tcW w:w="5020" w:type="dxa"/>
            <w:vAlign w:val="bottom"/>
          </w:tcPr>
          <w:p>
            <w:pPr>
              <w:jc w:val="center"/>
              <w:spacing w:after="0"/>
              <w:rPr>
                <w:sz w:val="20"/>
                <w:szCs w:val="20"/>
                <w:color w:val="auto"/>
              </w:rPr>
            </w:pPr>
            <w:r>
              <w:rPr>
                <w:rFonts w:ascii="Arial" w:cs="Arial" w:eastAsia="Arial" w:hAnsi="Arial"/>
                <w:sz w:val="18"/>
                <w:szCs w:val="18"/>
                <w:color w:val="auto"/>
                <w:w w:val="87"/>
              </w:rPr>
              <w:t>Joshua Easterly</w:t>
            </w: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 and Chairman of the Board of Directors</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1"/>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Ian Simmonds</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 (Principal</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March 2, 2016</w:t>
            </w:r>
          </w:p>
        </w:tc>
      </w:tr>
      <w:tr>
        <w:trPr>
          <w:trHeight w:val="224"/>
        </w:trPr>
        <w:tc>
          <w:tcPr>
            <w:tcW w:w="5020" w:type="dxa"/>
            <w:vAlign w:val="bottom"/>
          </w:tcPr>
          <w:p>
            <w:pPr>
              <w:jc w:val="center"/>
              <w:spacing w:after="0"/>
              <w:rPr>
                <w:sz w:val="20"/>
                <w:szCs w:val="20"/>
                <w:color w:val="auto"/>
              </w:rPr>
            </w:pPr>
            <w:r>
              <w:rPr>
                <w:rFonts w:ascii="Arial" w:cs="Arial" w:eastAsia="Arial" w:hAnsi="Arial"/>
                <w:sz w:val="18"/>
                <w:szCs w:val="18"/>
                <w:color w:val="auto"/>
                <w:w w:val="90"/>
              </w:rPr>
              <w:t>Ian Simmonds</w:t>
            </w: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Financial Officer)</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1"/>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Graf</w:t>
            </w:r>
          </w:p>
        </w:tc>
        <w:tc>
          <w:tcPr>
            <w:tcW w:w="34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Vice President and Principal</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March 2, 2016</w:t>
            </w:r>
          </w:p>
        </w:tc>
      </w:tr>
      <w:tr>
        <w:trPr>
          <w:trHeight w:val="224"/>
        </w:trPr>
        <w:tc>
          <w:tcPr>
            <w:tcW w:w="5020" w:type="dxa"/>
            <w:vAlign w:val="bottom"/>
          </w:tcPr>
          <w:p>
            <w:pPr>
              <w:jc w:val="center"/>
              <w:spacing w:after="0"/>
              <w:rPr>
                <w:sz w:val="20"/>
                <w:szCs w:val="20"/>
                <w:color w:val="auto"/>
              </w:rPr>
            </w:pPr>
            <w:r>
              <w:rPr>
                <w:rFonts w:ascii="Arial" w:cs="Arial" w:eastAsia="Arial" w:hAnsi="Arial"/>
                <w:sz w:val="18"/>
                <w:szCs w:val="18"/>
                <w:color w:val="auto"/>
                <w:w w:val="94"/>
              </w:rPr>
              <w:t>Michael Graf</w:t>
            </w:r>
          </w:p>
        </w:tc>
        <w:tc>
          <w:tcPr>
            <w:tcW w:w="3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Accounting Officer (Principal Accounting Officer)</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Director and Chairman of the Audit</w:t>
            </w:r>
          </w:p>
        </w:tc>
        <w:tc>
          <w:tcPr>
            <w:tcW w:w="2220" w:type="dxa"/>
            <w:vAlign w:val="bottom"/>
          </w:tcPr>
          <w:p>
            <w:pPr>
              <w:ind w:left="1160"/>
              <w:spacing w:after="0"/>
              <w:rPr>
                <w:sz w:val="20"/>
                <w:szCs w:val="20"/>
                <w:color w:val="auto"/>
              </w:rPr>
            </w:pPr>
            <w:r>
              <w:rPr>
                <w:rFonts w:ascii="Arial" w:cs="Arial" w:eastAsia="Arial" w:hAnsi="Arial"/>
                <w:sz w:val="18"/>
                <w:szCs w:val="18"/>
                <w:color w:val="auto"/>
                <w:w w:val="90"/>
              </w:rPr>
              <w:t>March 2, 2016</w:t>
            </w:r>
          </w:p>
        </w:tc>
      </w:tr>
      <w:tr>
        <w:trPr>
          <w:trHeight w:val="224"/>
        </w:trPr>
        <w:tc>
          <w:tcPr>
            <w:tcW w:w="420" w:type="dxa"/>
            <w:vAlign w:val="bottom"/>
          </w:tcPr>
          <w:p>
            <w:pPr>
              <w:spacing w:after="0"/>
              <w:rPr>
                <w:sz w:val="19"/>
                <w:szCs w:val="19"/>
                <w:color w:val="auto"/>
              </w:rPr>
            </w:pPr>
          </w:p>
        </w:tc>
        <w:tc>
          <w:tcPr>
            <w:tcW w:w="46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John A. Ross</w:t>
            </w:r>
          </w:p>
        </w:tc>
        <w:tc>
          <w:tcPr>
            <w:tcW w:w="4060" w:type="dxa"/>
            <w:vAlign w:val="bottom"/>
          </w:tcPr>
          <w:p>
            <w:pPr>
              <w:ind w:left="340"/>
              <w:spacing w:after="0"/>
              <w:rPr>
                <w:sz w:val="20"/>
                <w:szCs w:val="20"/>
                <w:color w:val="auto"/>
              </w:rPr>
            </w:pPr>
            <w:r>
              <w:rPr>
                <w:rFonts w:ascii="Arial" w:cs="Arial" w:eastAsia="Arial" w:hAnsi="Arial"/>
                <w:sz w:val="18"/>
                <w:szCs w:val="18"/>
                <w:color w:val="auto"/>
              </w:rPr>
              <w:t>Committee</w:t>
            </w: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60"/>
              <w:spacing w:after="0"/>
              <w:rPr>
                <w:sz w:val="20"/>
                <w:szCs w:val="20"/>
                <w:color w:val="auto"/>
              </w:rPr>
            </w:pPr>
            <w:r>
              <w:rPr>
                <w:rFonts w:ascii="Arial" w:cs="Arial" w:eastAsia="Arial" w:hAnsi="Arial"/>
                <w:sz w:val="18"/>
                <w:szCs w:val="18"/>
                <w:color w:val="auto"/>
                <w:w w:val="90"/>
              </w:rPr>
              <w:t>March 2, 2016</w:t>
            </w:r>
          </w:p>
        </w:tc>
      </w:tr>
      <w:tr>
        <w:trPr>
          <w:trHeight w:val="224"/>
        </w:trPr>
        <w:tc>
          <w:tcPr>
            <w:tcW w:w="420" w:type="dxa"/>
            <w:vAlign w:val="bottom"/>
          </w:tcPr>
          <w:p>
            <w:pPr>
              <w:spacing w:after="0"/>
              <w:rPr>
                <w:sz w:val="19"/>
                <w:szCs w:val="19"/>
                <w:color w:val="auto"/>
              </w:rPr>
            </w:pPr>
          </w:p>
        </w:tc>
        <w:tc>
          <w:tcPr>
            <w:tcW w:w="46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Richard A. Higginbotham</w:t>
            </w:r>
          </w:p>
        </w:tc>
        <w:tc>
          <w:tcPr>
            <w:tcW w:w="40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160"/>
              <w:spacing w:after="0"/>
              <w:rPr>
                <w:sz w:val="20"/>
                <w:szCs w:val="20"/>
                <w:color w:val="auto"/>
              </w:rPr>
            </w:pPr>
            <w:r>
              <w:rPr>
                <w:rFonts w:ascii="Arial" w:cs="Arial" w:eastAsia="Arial" w:hAnsi="Arial"/>
                <w:sz w:val="18"/>
                <w:szCs w:val="18"/>
                <w:color w:val="auto"/>
                <w:w w:val="90"/>
              </w:rPr>
              <w:t>March 2, 2016</w:t>
            </w:r>
          </w:p>
        </w:tc>
      </w:tr>
      <w:tr>
        <w:trPr>
          <w:trHeight w:val="224"/>
        </w:trPr>
        <w:tc>
          <w:tcPr>
            <w:tcW w:w="420" w:type="dxa"/>
            <w:vAlign w:val="bottom"/>
          </w:tcPr>
          <w:p>
            <w:pPr>
              <w:spacing w:after="0"/>
              <w:rPr>
                <w:sz w:val="19"/>
                <w:szCs w:val="19"/>
                <w:color w:val="auto"/>
              </w:rPr>
            </w:pPr>
          </w:p>
        </w:tc>
        <w:tc>
          <w:tcPr>
            <w:tcW w:w="46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Ronald K. Tanemura</w:t>
            </w:r>
          </w:p>
        </w:tc>
        <w:tc>
          <w:tcPr>
            <w:tcW w:w="40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58"/>
        </w:trPr>
        <w:tc>
          <w:tcPr>
            <w:tcW w:w="5020" w:type="dxa"/>
            <w:vAlign w:val="bottom"/>
            <w:gridSpan w:val="3"/>
          </w:tcPr>
          <w:p>
            <w:pPr>
              <w:spacing w:after="0"/>
              <w:rPr>
                <w:sz w:val="20"/>
                <w:szCs w:val="20"/>
                <w:color w:val="auto"/>
              </w:rPr>
            </w:pPr>
            <w:r>
              <w:rPr>
                <w:rFonts w:ascii="Arial" w:cs="Arial" w:eastAsia="Arial" w:hAnsi="Arial"/>
                <w:sz w:val="18"/>
                <w:szCs w:val="18"/>
                <w:color w:val="auto"/>
              </w:rPr>
              <w:t>*By:  /s/ Michael Fishman</w:t>
            </w:r>
          </w:p>
        </w:tc>
        <w:tc>
          <w:tcPr>
            <w:tcW w:w="40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41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Michael Fishman</w:t>
            </w:r>
          </w:p>
        </w:tc>
        <w:tc>
          <w:tcPr>
            <w:tcW w:w="4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Attorney-in-fact</w:t>
            </w:r>
          </w:p>
        </w:tc>
        <w:tc>
          <w:tcPr>
            <w:tcW w:w="40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ectPr>
          <w:pgSz w:w="11900" w:h="16838" w:orient="portrait"/>
          <w:cols w:equalWidth="0" w:num="1">
            <w:col w:w="11300"/>
          </w:cols>
          <w:pgMar w:left="240" w:top="490" w:right="3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(n)(4)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consent to the use of our report dated February 24, 2016, with respect to the consolidated balance sheets of TPG Specialty Lending, Inc. (and subsidiaries) (the Company), including the consolidated schedules of investments, as of December 31, 2015 and 2014, and the related consolidated statements of operations, changes in net assets and cash flows for each of the years in the three-year period ended December 31, 2015, and the effectiveness of internal control over financial reporting as of December 31, 2015, and our report dated March 2, 2016 on the consolidated senior securities schedule of the Company, included herein, and to the references to our firm under the headings “Senior Securities”, and “Experts” in the prospectus.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2016</w:t>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(n)(5)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date of February 24, 2016, we reported on the consolidated balance sheets of TPG Specialty Lending, Inc. (and subsidiaries) (the Company), including the consolidated schedules of investments, as of December 31, 2015 and 2014, and the related consolidated statements of operations, changes in net assets and cash flows for each of the years in the three-year period ended December 31, 2015, which are included in the prospectus. In connection with our audits of the aforementioned consolidated financial statements, we also audited the related consolidated financial statement schedule in the prospectus, under the caption “Senior Securities”. This financial statement schedule is the responsibility of the Company’s management. Our responsibility is to express an opinion on this financial statement schedule based on our audit.</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2"/>
    </w:lvl>
  </w:abstractNum>
  <w:abstractNum w:abstractNumId="1">
    <w:nsid w:val="2EB141F2"/>
    <w:multiLevelType w:val="hybridMultilevel"/>
    <w:lvl w:ilvl="0">
      <w:lvlJc w:val="left"/>
      <w:lvlText w:val="(%1)"/>
      <w:numFmt w:val="lowerLetter"/>
      <w:start w:val="5"/>
    </w:lvl>
  </w:abstractNum>
  <w:abstractNum w:abstractNumId="2">
    <w:nsid w:val="41B71EFB"/>
    <w:multiLevelType w:val="hybridMultilevel"/>
    <w:lvl w:ilvl="0">
      <w:lvlJc w:val="left"/>
      <w:lvlText w:val="(%1)"/>
      <w:numFmt w:val="lowerLetter"/>
      <w:start w:val="9"/>
    </w:lvl>
  </w:abstractNum>
  <w:abstractNum w:abstractNumId="3">
    <w:nsid w:val="79E2A9E3"/>
    <w:multiLevelType w:val="hybridMultilevel"/>
    <w:lvl w:ilvl="0">
      <w:lvlJc w:val="left"/>
      <w:lvlText w:val="(%1)"/>
      <w:numFmt w:val="lowerLetter"/>
      <w:start w:val="12"/>
    </w:lvl>
  </w:abstractNum>
  <w:abstractNum w:abstractNumId="4">
    <w:nsid w:val="7545E146"/>
    <w:multiLevelType w:val="hybridMultilevel"/>
    <w:lvl w:ilvl="0">
      <w:lvlJc w:val="left"/>
      <w:lvlText w:val="(%1)"/>
      <w:numFmt w:val="lowerLetter"/>
      <w:start w:val="15"/>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216231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
    <w:nsid w:val="1F16E9E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2019-12-08T20:50:20Z</dcterms:created>
  <dcterms:modified xsi:type="dcterms:W3CDTF">2019-12-08T20:50:20Z</dcterms:modified>
</cp:coreProperties>
</file>