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149860</wp:posOffset>
            </wp:positionV>
            <wp:extent cx="1645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97"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169545</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Pursuant to Section 13 or 15(d)</w:t>
      </w:r>
    </w:p>
    <w:p>
      <w:pPr>
        <w:jc w:val="center"/>
        <w:ind w:right="-1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 November 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147955</wp:posOffset>
            </wp:positionV>
            <wp:extent cx="16459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92"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Sixth Street Specialty Lending,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64770</wp:posOffset>
            </wp:positionV>
            <wp:extent cx="1645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72" w:lineRule="exact"/>
        <w:rPr>
          <w:sz w:val="24"/>
          <w:szCs w:val="24"/>
          <w:color w:val="auto"/>
        </w:rPr>
      </w:pPr>
    </w:p>
    <w:tbl>
      <w:tblPr>
        <w:tblLayout w:type="fixed"/>
        <w:tblInd w:w="560" w:type="dxa"/>
        <w:tblCellMar>
          <w:top w:w="0" w:type="dxa"/>
          <w:left w:w="0" w:type="dxa"/>
          <w:bottom w:w="0" w:type="dxa"/>
          <w:right w:w="0" w:type="dxa"/>
        </w:tblCellMar>
      </w:tblPr>
      <w:tr>
        <w:trPr>
          <w:trHeight w:val="212"/>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3"/>
              </w:rPr>
              <w:t>Delaware</w:t>
            </w:r>
          </w:p>
        </w:tc>
        <w:tc>
          <w:tcPr>
            <w:tcW w:w="3220" w:type="dxa"/>
            <w:vAlign w:val="bottom"/>
          </w:tcPr>
          <w:p>
            <w:pPr>
              <w:ind w:left="1060"/>
              <w:spacing w:after="0"/>
              <w:rPr>
                <w:sz w:val="20"/>
                <w:szCs w:val="20"/>
                <w:color w:val="auto"/>
              </w:rPr>
            </w:pPr>
            <w:r>
              <w:rPr>
                <w:rFonts w:ascii="Arial" w:cs="Arial" w:eastAsia="Arial" w:hAnsi="Arial"/>
                <w:sz w:val="18"/>
                <w:szCs w:val="18"/>
                <w:b w:val="1"/>
                <w:bCs w:val="1"/>
                <w:color w:val="auto"/>
              </w:rPr>
              <w:t>001-36364</w:t>
            </w:r>
          </w:p>
        </w:tc>
        <w:tc>
          <w:tcPr>
            <w:tcW w:w="2500" w:type="dxa"/>
            <w:vAlign w:val="bottom"/>
          </w:tcPr>
          <w:p>
            <w:pPr>
              <w:jc w:val="right"/>
              <w:ind w:right="61"/>
              <w:spacing w:after="0"/>
              <w:rPr>
                <w:sz w:val="20"/>
                <w:szCs w:val="20"/>
                <w:color w:val="auto"/>
              </w:rPr>
            </w:pPr>
            <w:r>
              <w:rPr>
                <w:rFonts w:ascii="Arial" w:cs="Arial" w:eastAsia="Arial" w:hAnsi="Arial"/>
                <w:sz w:val="18"/>
                <w:szCs w:val="18"/>
                <w:b w:val="1"/>
                <w:bCs w:val="1"/>
                <w:color w:val="auto"/>
              </w:rPr>
              <w:t>27-3380000</w:t>
            </w:r>
          </w:p>
        </w:tc>
      </w:tr>
      <w:tr>
        <w:trPr>
          <w:trHeight w:val="148"/>
        </w:trPr>
        <w:tc>
          <w:tcPr>
            <w:tcW w:w="3740" w:type="dxa"/>
            <w:vAlign w:val="bottom"/>
          </w:tcPr>
          <w:p>
            <w:pPr>
              <w:jc w:val="center"/>
              <w:ind w:right="9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220" w:type="dxa"/>
            <w:vAlign w:val="bottom"/>
          </w:tcPr>
          <w:p>
            <w:pPr>
              <w:ind w:left="1040"/>
              <w:spacing w:after="0" w:line="149" w:lineRule="exact"/>
              <w:rPr>
                <w:sz w:val="20"/>
                <w:szCs w:val="20"/>
                <w:color w:val="auto"/>
              </w:rPr>
            </w:pPr>
            <w:r>
              <w:rPr>
                <w:rFonts w:ascii="Arial" w:cs="Arial" w:eastAsia="Arial" w:hAnsi="Arial"/>
                <w:sz w:val="14"/>
                <w:szCs w:val="14"/>
                <w:b w:val="1"/>
                <w:bCs w:val="1"/>
                <w:color w:val="auto"/>
              </w:rPr>
              <w:t>(Commission</w:t>
            </w:r>
          </w:p>
        </w:tc>
        <w:tc>
          <w:tcPr>
            <w:tcW w:w="2500" w:type="dxa"/>
            <w:vAlign w:val="bottom"/>
          </w:tcPr>
          <w:p>
            <w:pPr>
              <w:jc w:val="center"/>
              <w:ind w:left="1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740" w:type="dxa"/>
            <w:vAlign w:val="bottom"/>
          </w:tcPr>
          <w:p>
            <w:pPr>
              <w:jc w:val="center"/>
              <w:ind w:right="959"/>
              <w:spacing w:after="0"/>
              <w:rPr>
                <w:sz w:val="20"/>
                <w:szCs w:val="20"/>
                <w:color w:val="auto"/>
              </w:rPr>
            </w:pPr>
            <w:r>
              <w:rPr>
                <w:rFonts w:ascii="Arial" w:cs="Arial" w:eastAsia="Arial" w:hAnsi="Arial"/>
                <w:sz w:val="14"/>
                <w:szCs w:val="14"/>
                <w:b w:val="1"/>
                <w:bCs w:val="1"/>
                <w:color w:val="auto"/>
                <w:w w:val="94"/>
              </w:rPr>
              <w:t>of Incorporation)</w:t>
            </w:r>
          </w:p>
        </w:tc>
        <w:tc>
          <w:tcPr>
            <w:tcW w:w="3220" w:type="dxa"/>
            <w:vAlign w:val="bottom"/>
          </w:tcPr>
          <w:p>
            <w:pPr>
              <w:ind w:left="1040"/>
              <w:spacing w:after="0"/>
              <w:rPr>
                <w:sz w:val="20"/>
                <w:szCs w:val="20"/>
                <w:color w:val="auto"/>
              </w:rPr>
            </w:pPr>
            <w:r>
              <w:rPr>
                <w:rFonts w:ascii="Arial" w:cs="Arial" w:eastAsia="Arial" w:hAnsi="Arial"/>
                <w:sz w:val="14"/>
                <w:szCs w:val="14"/>
                <w:b w:val="1"/>
                <w:bCs w:val="1"/>
                <w:color w:val="auto"/>
              </w:rPr>
              <w:t>File Number)</w:t>
            </w:r>
          </w:p>
        </w:tc>
        <w:tc>
          <w:tcPr>
            <w:tcW w:w="2500" w:type="dxa"/>
            <w:vAlign w:val="bottom"/>
          </w:tcPr>
          <w:p>
            <w:pPr>
              <w:jc w:val="center"/>
              <w:ind w:left="1281"/>
              <w:spacing w:after="0"/>
              <w:rPr>
                <w:sz w:val="20"/>
                <w:szCs w:val="20"/>
                <w:color w:val="auto"/>
              </w:rPr>
            </w:pPr>
            <w:r>
              <w:rPr>
                <w:rFonts w:ascii="Arial" w:cs="Arial" w:eastAsia="Arial" w:hAnsi="Arial"/>
                <w:sz w:val="14"/>
                <w:szCs w:val="14"/>
                <w:b w:val="1"/>
                <w:bCs w:val="1"/>
                <w:color w:val="auto"/>
                <w:w w:val="96"/>
              </w:rPr>
              <w:t>Identification No.)</w:t>
            </w:r>
          </w:p>
        </w:tc>
      </w:tr>
      <w:tr>
        <w:trPr>
          <w:trHeight w:val="277"/>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0"/>
              </w:rPr>
              <w:t>2100 McKinney Avenue, Suite 1500</w:t>
            </w:r>
          </w:p>
        </w:tc>
        <w:tc>
          <w:tcPr>
            <w:tcW w:w="32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12"/>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5"/>
              </w:rPr>
              <w:t>Dallas, TX</w:t>
            </w:r>
          </w:p>
        </w:tc>
        <w:tc>
          <w:tcPr>
            <w:tcW w:w="3220" w:type="dxa"/>
            <w:vAlign w:val="bottom"/>
          </w:tcPr>
          <w:p>
            <w:pPr>
              <w:spacing w:after="0"/>
              <w:rPr>
                <w:sz w:val="18"/>
                <w:szCs w:val="18"/>
                <w:color w:val="auto"/>
              </w:rPr>
            </w:pPr>
          </w:p>
        </w:tc>
        <w:tc>
          <w:tcPr>
            <w:tcW w:w="2500" w:type="dxa"/>
            <w:vAlign w:val="bottom"/>
          </w:tcPr>
          <w:p>
            <w:pPr>
              <w:jc w:val="right"/>
              <w:ind w:right="261"/>
              <w:spacing w:after="0"/>
              <w:rPr>
                <w:sz w:val="20"/>
                <w:szCs w:val="20"/>
                <w:color w:val="auto"/>
              </w:rPr>
            </w:pPr>
            <w:r>
              <w:rPr>
                <w:rFonts w:ascii="Arial" w:cs="Arial" w:eastAsia="Arial" w:hAnsi="Arial"/>
                <w:sz w:val="18"/>
                <w:szCs w:val="18"/>
                <w:b w:val="1"/>
                <w:bCs w:val="1"/>
                <w:color w:val="auto"/>
              </w:rPr>
              <w:t>75201</w:t>
            </w:r>
          </w:p>
        </w:tc>
      </w:tr>
      <w:tr>
        <w:trPr>
          <w:trHeight w:val="186"/>
        </w:trPr>
        <w:tc>
          <w:tcPr>
            <w:tcW w:w="3740" w:type="dxa"/>
            <w:vAlign w:val="bottom"/>
          </w:tcPr>
          <w:p>
            <w:pPr>
              <w:jc w:val="center"/>
              <w:ind w:right="9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220" w:type="dxa"/>
            <w:vAlign w:val="bottom"/>
          </w:tcPr>
          <w:p>
            <w:pPr>
              <w:spacing w:after="0"/>
              <w:rPr>
                <w:sz w:val="16"/>
                <w:szCs w:val="16"/>
                <w:color w:val="auto"/>
              </w:rPr>
            </w:pPr>
          </w:p>
        </w:tc>
        <w:tc>
          <w:tcPr>
            <w:tcW w:w="2500" w:type="dxa"/>
            <w:vAlign w:val="bottom"/>
          </w:tcPr>
          <w:p>
            <w:pPr>
              <w:jc w:val="center"/>
              <w:ind w:left="1281"/>
              <w:spacing w:after="0"/>
              <w:rPr>
                <w:sz w:val="20"/>
                <w:szCs w:val="20"/>
                <w:color w:val="auto"/>
              </w:rPr>
            </w:pPr>
            <w:r>
              <w:rPr>
                <w:rFonts w:ascii="Arial" w:cs="Arial" w:eastAsia="Arial" w:hAnsi="Arial"/>
                <w:sz w:val="14"/>
                <w:szCs w:val="14"/>
                <w:b w:val="1"/>
                <w:bCs w:val="1"/>
                <w:color w:val="auto"/>
                <w:w w:val="88"/>
              </w:rPr>
              <w:t>(zip code)</w:t>
            </w:r>
          </w:p>
        </w:tc>
      </w:tr>
    </w:tbl>
    <w:p>
      <w:pPr>
        <w:spacing w:after="0" w:line="6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60325</wp:posOffset>
            </wp:positionV>
            <wp:extent cx="1645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1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155" w:lineRule="exact"/>
        <w:rPr>
          <w:sz w:val="24"/>
          <w:szCs w:val="24"/>
          <w:color w:val="auto"/>
        </w:rPr>
      </w:pPr>
    </w:p>
    <w:tbl>
      <w:tblPr>
        <w:tblLayout w:type="fixed"/>
        <w:tblInd w:w="600" w:type="dxa"/>
        <w:tblCellMar>
          <w:top w:w="0" w:type="dxa"/>
          <w:left w:w="0" w:type="dxa"/>
          <w:bottom w:w="0" w:type="dxa"/>
          <w:right w:w="0" w:type="dxa"/>
        </w:tblCellMar>
      </w:tblPr>
      <w:tr>
        <w:trPr>
          <w:trHeight w:val="162"/>
        </w:trPr>
        <w:tc>
          <w:tcPr>
            <w:tcW w:w="3520" w:type="dxa"/>
            <w:vAlign w:val="bottom"/>
          </w:tcPr>
          <w:p>
            <w:pPr>
              <w:jc w:val="center"/>
              <w:ind w:right="848"/>
              <w:spacing w:after="0"/>
              <w:rPr>
                <w:sz w:val="20"/>
                <w:szCs w:val="20"/>
                <w:color w:val="auto"/>
              </w:rPr>
            </w:pPr>
            <w:r>
              <w:rPr>
                <w:rFonts w:ascii="Arial" w:cs="Arial" w:eastAsia="Arial" w:hAnsi="Arial"/>
                <w:sz w:val="14"/>
                <w:szCs w:val="14"/>
                <w:b w:val="1"/>
                <w:bCs w:val="1"/>
                <w:color w:val="auto"/>
                <w:w w:val="89"/>
              </w:rPr>
              <w:t>Title of each class</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580" w:type="dxa"/>
            <w:vAlign w:val="bottom"/>
          </w:tcPr>
          <w:p>
            <w:pPr>
              <w:jc w:val="center"/>
              <w:ind w:left="848"/>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6"/>
        </w:trPr>
        <w:tc>
          <w:tcPr>
            <w:tcW w:w="3520" w:type="dxa"/>
            <w:vAlign w:val="bottom"/>
          </w:tcPr>
          <w:p>
            <w:pPr>
              <w:jc w:val="center"/>
              <w:ind w:right="868"/>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rPr>
              <w:t>TSLX</w:t>
            </w:r>
          </w:p>
        </w:tc>
        <w:tc>
          <w:tcPr>
            <w:tcW w:w="3580" w:type="dxa"/>
            <w:vAlign w:val="bottom"/>
          </w:tcPr>
          <w:p>
            <w:pPr>
              <w:jc w:val="center"/>
              <w:ind w:left="848"/>
              <w:spacing w:after="0"/>
              <w:rPr>
                <w:sz w:val="20"/>
                <w:szCs w:val="20"/>
                <w:color w:val="auto"/>
              </w:rPr>
            </w:pPr>
            <w:r>
              <w:rPr>
                <w:rFonts w:ascii="Arial" w:cs="Arial" w:eastAsia="Arial" w:hAnsi="Arial"/>
                <w:sz w:val="14"/>
                <w:szCs w:val="14"/>
                <w:b w:val="1"/>
                <w:bCs w:val="1"/>
                <w:color w:val="auto"/>
                <w:w w:val="92"/>
              </w:rPr>
              <w:t>The 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72" w:lineRule="exact"/>
        <w:rPr>
          <w:sz w:val="24"/>
          <w:szCs w:val="24"/>
          <w:color w:val="auto"/>
        </w:rPr>
      </w:pPr>
    </w:p>
    <w:p>
      <w:pPr>
        <w:jc w:val="both"/>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519430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827"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November 4, 2020, the registrant issued a press release announcing its financial results for the quarter ended September 30, 2020. The text of the press release is included as Exhibit 99.1 to this Form 8-K.</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21"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On November 4, 2020, the registrant issued a press release, included herewith as Exhibit 99.1, announcing the declaration of a fourth quarter 2020 base dividend per share of $0.41 to shareholders of record as of December 15, 2020, payable on January 15, 2021, and a third quarter 2020 supplemental dividend per share of $0.10 to shareholders of record as of November 30, 2020, payable on December 31, 2020.</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20"/>
        <w:spacing w:after="0"/>
        <w:tabs>
          <w:tab w:leader="none" w:pos="12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1" w:lineRule="exact"/>
        <w:rPr>
          <w:sz w:val="20"/>
          <w:szCs w:val="20"/>
          <w:color w:val="auto"/>
        </w:rPr>
      </w:pPr>
    </w:p>
    <w:p>
      <w:pPr>
        <w:spacing w:after="0"/>
        <w:tabs>
          <w:tab w:leader="none" w:pos="12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November 4,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7680" w:type="dxa"/>
            <w:vAlign w:val="bottom"/>
            <w:gridSpan w:val="2"/>
          </w:tcPr>
          <w:p>
            <w:pPr>
              <w:ind w:left="1760"/>
              <w:spacing w:after="0"/>
              <w:rPr>
                <w:sz w:val="20"/>
                <w:szCs w:val="20"/>
                <w:color w:val="auto"/>
              </w:rPr>
            </w:pPr>
            <w:r>
              <w:rPr>
                <w:rFonts w:ascii="Arial" w:cs="Arial" w:eastAsia="Arial" w:hAnsi="Arial"/>
                <w:sz w:val="18"/>
                <w:szCs w:val="18"/>
                <w:color w:val="auto"/>
              </w:rPr>
              <w:t>SIXTH STREET SPECIALTY LENDING, INC.</w:t>
            </w:r>
          </w:p>
        </w:tc>
      </w:tr>
      <w:tr>
        <w:trPr>
          <w:trHeight w:val="230"/>
        </w:trPr>
        <w:tc>
          <w:tcPr>
            <w:tcW w:w="35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480" w:type="dxa"/>
            <w:vAlign w:val="bottom"/>
          </w:tcPr>
          <w:p>
            <w:pPr>
              <w:ind w:left="460"/>
              <w:spacing w:after="0"/>
              <w:rPr>
                <w:sz w:val="20"/>
                <w:szCs w:val="20"/>
                <w:color w:val="auto"/>
              </w:rPr>
            </w:pPr>
            <w:r>
              <w:rPr>
                <w:rFonts w:ascii="Arial" w:cs="Arial" w:eastAsia="Arial" w:hAnsi="Arial"/>
                <w:sz w:val="18"/>
                <w:szCs w:val="18"/>
                <w:color w:val="auto"/>
              </w:rPr>
              <w:t>(Registrant)</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November 4, 2020</w:t>
            </w:r>
          </w:p>
        </w:tc>
        <w:tc>
          <w:tcPr>
            <w:tcW w:w="7680" w:type="dxa"/>
            <w:vAlign w:val="bottom"/>
            <w:gridSpan w:val="2"/>
          </w:tcPr>
          <w:p>
            <w:pPr>
              <w:ind w:left="1760"/>
              <w:spacing w:after="0"/>
              <w:rPr>
                <w:sz w:val="20"/>
                <w:szCs w:val="20"/>
                <w:color w:val="auto"/>
              </w:rPr>
            </w:pPr>
            <w:r>
              <w:rPr>
                <w:rFonts w:ascii="Arial" w:cs="Arial" w:eastAsia="Arial" w:hAnsi="Arial"/>
                <w:sz w:val="18"/>
                <w:szCs w:val="18"/>
                <w:color w:val="auto"/>
              </w:rPr>
              <w:t>By:   /s/ Ian Simmonds</w:t>
            </w:r>
          </w:p>
        </w:tc>
      </w:tr>
      <w:tr>
        <w:trPr>
          <w:trHeight w:val="195"/>
        </w:trPr>
        <w:tc>
          <w:tcPr>
            <w:tcW w:w="35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48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5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4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50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371600" cy="402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THIRD QUARTER 2020 EARNINGS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0"/>
          <w:szCs w:val="20"/>
          <w:color w:val="auto"/>
        </w:rPr>
      </w:pPr>
    </w:p>
    <w:p>
      <w:pPr>
        <w:ind w:right="220"/>
        <w:spacing w:after="0" w:line="312" w:lineRule="auto"/>
        <w:rPr>
          <w:sz w:val="20"/>
          <w:szCs w:val="20"/>
          <w:color w:val="auto"/>
        </w:rPr>
      </w:pPr>
      <w:r>
        <w:rPr>
          <w:rFonts w:ascii="Arial" w:cs="Arial" w:eastAsia="Arial" w:hAnsi="Arial"/>
          <w:sz w:val="17"/>
          <w:szCs w:val="17"/>
          <w:b w:val="1"/>
          <w:bCs w:val="1"/>
          <w:color w:val="auto"/>
        </w:rPr>
        <w:t>Sixth Street Specialty Lending, Inc. Reports Third Quarter Net Investment Income Per Share of $0.61 and NAV Per Share of $16.87; Declares a Fourth Quarter Base Dividend Per Share of $0.41 and a Third Quarter Supplemental Dividend Per Share of $0.10</w:t>
      </w:r>
    </w:p>
    <w:p>
      <w:pPr>
        <w:sectPr>
          <w:pgSz w:w="11900" w:h="16838" w:orient="portrait"/>
          <w:cols w:equalWidth="0" w:num="1">
            <w:col w:w="11240"/>
          </w:cols>
          <w:pgMar w:left="320" w:top="121" w:right="339" w:bottom="1440" w:gutter="0" w:footer="0" w:header="0"/>
        </w:sectPr>
      </w:pP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NEW YORK—November 4, 2020— Sixth Street Specialty Lending, Inc. (NYSE: TSLX, or the “Company”) today reported net investment income of $41.1 million, or $0.61 per share, and net income of $81.9 million, or $1.21 per share, for the third quarter ended September 30, 2020. These results correspond to an annualized return on equity (ROE) on net investment income and net income of 15.1% and 30.1%, respectively, and an annualized year-to-date ROE on net investment income and net income of 13.5% and 14.7%, respectively. The Company’s strong net investment income this quarter was a function of both robust interest and fee income, as well as lower interest expense attributed to the 100% floating rate nature of the Company’s liability structure. The Company’s net income this quarter was supported by unrealized gains related to portfolio company-specific events, spread-related unrealized gains from the continued tightening of credit risk premiums during Q3, and realized gains from the sale of its AFS equity position at a price of $16.2 million, compared to a prior quarter fair value of $7.3 million.</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Reported net asset value (NAV) per share was $16.87 at September 30, 2020 as compared to reported NAV per share of $16.08 at June 30, 2020. As mentioned, the drivers of this quarter’s NAV per share growth were the Company’s continued overearning of its base quarterly dividend, net realized and unrealized gains related to portfolio-company specific events, and unrealized gains from the impact of Q3 credit spread tightening on the valuation of the Company’s investments.</w:t>
      </w:r>
    </w:p>
    <w:p>
      <w:pPr>
        <w:spacing w:after="0" w:line="109"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The Company announced that its Board of Directors has declared a fourth quarter 2020 base dividend of $0.41 per share to shareholders of record as of December 15, 2020, payable on January 15, 2021, and a third quarter supplemental dividend of $0.10 per share to shareholders of record as of November 30, 2020, payable on December 31, 2020. Adjusted for the impact of the supplemental dividend related to this quarter’s earnings, the Company’s Q3 pro forma NAV per share was $16.77.</w:t>
      </w:r>
    </w:p>
    <w:p>
      <w:pPr>
        <w:spacing w:after="0" w:line="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September 30, 2020, 99.1% of the portfolio at fair value was meeting all payment and covenant requirements. The slight increase in this quarter’s non-accruals was driven by the addition of the Company’s 1</w:t>
      </w:r>
      <w:r>
        <w:rPr>
          <w:rFonts w:ascii="Arial" w:cs="Arial" w:eastAsia="Arial" w:hAnsi="Arial"/>
          <w:sz w:val="14"/>
          <w:szCs w:val="14"/>
          <w:color w:val="auto"/>
        </w:rPr>
        <w:t>st</w:t>
      </w:r>
      <w:r>
        <w:rPr>
          <w:rFonts w:ascii="Arial" w:cs="Arial" w:eastAsia="Arial" w:hAnsi="Arial"/>
          <w:sz w:val="17"/>
          <w:szCs w:val="17"/>
          <w:color w:val="auto"/>
        </w:rPr>
        <w:t xml:space="preserve"> lien loan in MD America, partially offset by the removal of its Neiman Marcus prepetition term loan and the partial roll-up of its J.C. Penney prepetition 1</w:t>
      </w:r>
      <w:r>
        <w:rPr>
          <w:rFonts w:ascii="Arial" w:cs="Arial" w:eastAsia="Arial" w:hAnsi="Arial"/>
          <w:sz w:val="14"/>
          <w:szCs w:val="14"/>
          <w:color w:val="auto"/>
        </w:rPr>
        <w:t>st</w:t>
      </w:r>
      <w:r>
        <w:rPr>
          <w:rFonts w:ascii="Arial" w:cs="Arial" w:eastAsia="Arial" w:hAnsi="Arial"/>
          <w:sz w:val="17"/>
          <w:szCs w:val="17"/>
          <w:color w:val="auto"/>
        </w:rPr>
        <w:t xml:space="preserve"> lien term loan into the DIP loan. On MD America, the Company received its regularly scheduled cash interest payment during the quarter but applied those proceeds to the amortized cost of the position given the Company’s view of an imminent reorganization of the company’s capital structure. Post quarter end, MD America made a voluntary paydown of $1.4 million and subsequently filed for protection under Chapter 11. In Q4, the Company expects to put $9 million of its loan, or ~70% of its remaining prepetition loan at 9/30/20 fair value, back on accrual status upon MD America’s emergence from Chapter 11. The Company’s remaining investment will be restructured into an equity position.</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FFFFFF"/>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-170815</wp:posOffset>
            </wp:positionV>
            <wp:extent cx="2134235" cy="248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34235" cy="24892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Q3</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9"/>
              </w:rPr>
              <w:t>2020</w:t>
            </w:r>
          </w:p>
        </w:tc>
        <w:tc>
          <w:tcPr>
            <w:tcW w:w="1840" w:type="dxa"/>
            <w:vAlign w:val="bottom"/>
          </w:tcPr>
          <w:p>
            <w:pPr>
              <w:ind w:left="20"/>
              <w:spacing w:after="0"/>
              <w:rPr>
                <w:sz w:val="20"/>
                <w:szCs w:val="20"/>
                <w:color w:val="auto"/>
              </w:rPr>
            </w:pPr>
            <w:r>
              <w:rPr>
                <w:rFonts w:ascii="Arial" w:cs="Arial" w:eastAsia="Arial" w:hAnsi="Arial"/>
                <w:sz w:val="18"/>
                <w:szCs w:val="18"/>
                <w:b w:val="1"/>
                <w:bCs w:val="1"/>
                <w:color w:val="auto"/>
              </w:rPr>
              <w:t>($MM):</w:t>
            </w:r>
          </w:p>
        </w:tc>
        <w:tc>
          <w:tcPr>
            <w:tcW w:w="800" w:type="dxa"/>
            <w:vAlign w:val="bottom"/>
          </w:tcPr>
          <w:p>
            <w:pPr>
              <w:jc w:val="right"/>
              <w:ind w:right="170"/>
              <w:spacing w:after="0"/>
              <w:rPr>
                <w:sz w:val="20"/>
                <w:szCs w:val="20"/>
                <w:color w:val="auto"/>
              </w:rPr>
            </w:pPr>
            <w:r>
              <w:rPr>
                <w:rFonts w:ascii="Arial" w:cs="Arial" w:eastAsia="Arial" w:hAnsi="Arial"/>
                <w:sz w:val="18"/>
                <w:szCs w:val="18"/>
                <w:b w:val="1"/>
                <w:bCs w:val="1"/>
                <w:color w:val="auto"/>
              </w:rPr>
              <w:t>$41.1</w:t>
            </w:r>
          </w:p>
        </w:tc>
      </w:tr>
      <w:tr>
        <w:trPr>
          <w:trHeight w:val="94"/>
        </w:trPr>
        <w:tc>
          <w:tcPr>
            <w:tcW w:w="320" w:type="dxa"/>
            <w:vAlign w:val="bottom"/>
            <w:tcBorders>
              <w:bottom w:val="single" w:sz="8" w:color="D9DDE1"/>
            </w:tcBorders>
          </w:tcPr>
          <w:p>
            <w:pPr>
              <w:spacing w:after="0"/>
              <w:rPr>
                <w:sz w:val="8"/>
                <w:szCs w:val="8"/>
                <w:color w:val="auto"/>
              </w:rPr>
            </w:pPr>
          </w:p>
        </w:tc>
        <w:tc>
          <w:tcPr>
            <w:tcW w:w="400" w:type="dxa"/>
            <w:vAlign w:val="bottom"/>
            <w:tcBorders>
              <w:bottom w:val="single" w:sz="8" w:color="D9DDE1"/>
            </w:tcBorders>
          </w:tcPr>
          <w:p>
            <w:pPr>
              <w:spacing w:after="0"/>
              <w:rPr>
                <w:sz w:val="8"/>
                <w:szCs w:val="8"/>
                <w:color w:val="auto"/>
              </w:rPr>
            </w:pPr>
          </w:p>
        </w:tc>
        <w:tc>
          <w:tcPr>
            <w:tcW w:w="1840" w:type="dxa"/>
            <w:vAlign w:val="bottom"/>
            <w:tcBorders>
              <w:bottom w:val="single" w:sz="8" w:color="D9DDE1"/>
            </w:tcBorders>
          </w:tcPr>
          <w:p>
            <w:pPr>
              <w:spacing w:after="0"/>
              <w:rPr>
                <w:sz w:val="8"/>
                <w:szCs w:val="8"/>
                <w:color w:val="auto"/>
              </w:rPr>
            </w:pPr>
          </w:p>
        </w:tc>
        <w:tc>
          <w:tcPr>
            <w:tcW w:w="800" w:type="dxa"/>
            <w:vAlign w:val="bottom"/>
            <w:tcBorders>
              <w:bottom w:val="single" w:sz="8" w:color="D9DDE1"/>
            </w:tcBorders>
          </w:tcPr>
          <w:p>
            <w:pPr>
              <w:spacing w:after="0"/>
              <w:rPr>
                <w:sz w:val="8"/>
                <w:szCs w:val="8"/>
                <w:color w:val="auto"/>
              </w:rPr>
            </w:pPr>
          </w:p>
        </w:tc>
      </w:tr>
      <w:tr>
        <w:trPr>
          <w:trHeight w:val="29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Q3</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9"/>
              </w:rPr>
              <w:t>2020</w:t>
            </w:r>
          </w:p>
        </w:tc>
        <w:tc>
          <w:tcPr>
            <w:tcW w:w="1840" w:type="dxa"/>
            <w:vAlign w:val="bottom"/>
          </w:tcPr>
          <w:p>
            <w:pPr>
              <w:ind w:left="20"/>
              <w:spacing w:after="0"/>
              <w:rPr>
                <w:sz w:val="20"/>
                <w:szCs w:val="20"/>
                <w:color w:val="auto"/>
              </w:rPr>
            </w:pPr>
            <w:r>
              <w:rPr>
                <w:rFonts w:ascii="Arial" w:cs="Arial" w:eastAsia="Arial" w:hAnsi="Arial"/>
                <w:sz w:val="18"/>
                <w:szCs w:val="18"/>
                <w:b w:val="1"/>
                <w:bCs w:val="1"/>
                <w:color w:val="auto"/>
              </w:rPr>
              <w:t>(per share):</w:t>
            </w:r>
          </w:p>
        </w:tc>
        <w:tc>
          <w:tcPr>
            <w:tcW w:w="800" w:type="dxa"/>
            <w:vAlign w:val="bottom"/>
          </w:tcPr>
          <w:p>
            <w:pPr>
              <w:jc w:val="right"/>
              <w:ind w:right="170"/>
              <w:spacing w:after="0"/>
              <w:rPr>
                <w:sz w:val="20"/>
                <w:szCs w:val="20"/>
                <w:color w:val="auto"/>
              </w:rPr>
            </w:pPr>
            <w:r>
              <w:rPr>
                <w:rFonts w:ascii="Arial" w:cs="Arial" w:eastAsia="Arial" w:hAnsi="Arial"/>
                <w:sz w:val="18"/>
                <w:szCs w:val="18"/>
                <w:b w:val="1"/>
                <w:bCs w:val="1"/>
                <w:color w:val="auto"/>
              </w:rPr>
              <w:t>$0.61</w:t>
            </w:r>
          </w:p>
        </w:tc>
      </w:tr>
      <w:tr>
        <w:trPr>
          <w:trHeight w:val="297"/>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7"/>
        </w:trPr>
        <w:tc>
          <w:tcPr>
            <w:tcW w:w="320" w:type="dxa"/>
            <w:vAlign w:val="bottom"/>
            <w:shd w:val="clear" w:color="auto" w:fill="0F2F50"/>
          </w:tcPr>
          <w:p>
            <w:pPr>
              <w:spacing w:after="0"/>
              <w:rPr>
                <w:sz w:val="24"/>
                <w:szCs w:val="24"/>
                <w:color w:val="auto"/>
              </w:rPr>
            </w:pPr>
          </w:p>
        </w:tc>
        <w:tc>
          <w:tcPr>
            <w:tcW w:w="400" w:type="dxa"/>
            <w:vAlign w:val="bottom"/>
            <w:shd w:val="clear" w:color="auto" w:fill="0F2F50"/>
          </w:tcPr>
          <w:p>
            <w:pPr>
              <w:spacing w:after="0"/>
              <w:rPr>
                <w:sz w:val="24"/>
                <w:szCs w:val="24"/>
                <w:color w:val="auto"/>
              </w:rPr>
            </w:pPr>
          </w:p>
        </w:tc>
        <w:tc>
          <w:tcPr>
            <w:tcW w:w="1840" w:type="dxa"/>
            <w:vAlign w:val="bottom"/>
            <w:shd w:val="clear" w:color="auto" w:fill="0F2F50"/>
          </w:tcPr>
          <w:p>
            <w:pPr>
              <w:jc w:val="center"/>
              <w:spacing w:after="0"/>
              <w:rPr>
                <w:sz w:val="20"/>
                <w:szCs w:val="20"/>
                <w:color w:val="auto"/>
              </w:rPr>
            </w:pPr>
            <w:r>
              <w:rPr>
                <w:rFonts w:ascii="Arial" w:cs="Arial" w:eastAsia="Arial" w:hAnsi="Arial"/>
                <w:sz w:val="18"/>
                <w:szCs w:val="18"/>
                <w:b w:val="1"/>
                <w:bCs w:val="1"/>
                <w:color w:val="FFFFFF"/>
                <w:w w:val="90"/>
              </w:rPr>
              <w:t>Net Income</w:t>
            </w:r>
          </w:p>
        </w:tc>
        <w:tc>
          <w:tcPr>
            <w:tcW w:w="800" w:type="dxa"/>
            <w:vAlign w:val="bottom"/>
            <w:shd w:val="clear" w:color="auto" w:fill="0F2F50"/>
          </w:tcPr>
          <w:p>
            <w:pPr>
              <w:spacing w:after="0"/>
              <w:rPr>
                <w:sz w:val="24"/>
                <w:szCs w:val="24"/>
                <w:color w:val="auto"/>
              </w:rPr>
            </w:pPr>
          </w:p>
        </w:tc>
      </w:tr>
      <w:tr>
        <w:trPr>
          <w:trHeight w:val="94"/>
        </w:trPr>
        <w:tc>
          <w:tcPr>
            <w:tcW w:w="320" w:type="dxa"/>
            <w:vAlign w:val="bottom"/>
            <w:shd w:val="clear" w:color="auto" w:fill="0F2F50"/>
          </w:tcPr>
          <w:p>
            <w:pPr>
              <w:spacing w:after="0"/>
              <w:rPr>
                <w:sz w:val="8"/>
                <w:szCs w:val="8"/>
                <w:color w:val="auto"/>
              </w:rPr>
            </w:pPr>
          </w:p>
        </w:tc>
        <w:tc>
          <w:tcPr>
            <w:tcW w:w="400" w:type="dxa"/>
            <w:vAlign w:val="bottom"/>
            <w:shd w:val="clear" w:color="auto" w:fill="0F2F50"/>
          </w:tcPr>
          <w:p>
            <w:pPr>
              <w:spacing w:after="0"/>
              <w:rPr>
                <w:sz w:val="8"/>
                <w:szCs w:val="8"/>
                <w:color w:val="auto"/>
              </w:rPr>
            </w:pPr>
          </w:p>
        </w:tc>
        <w:tc>
          <w:tcPr>
            <w:tcW w:w="1840" w:type="dxa"/>
            <w:vAlign w:val="bottom"/>
            <w:shd w:val="clear" w:color="auto" w:fill="0F2F50"/>
          </w:tcPr>
          <w:p>
            <w:pPr>
              <w:spacing w:after="0"/>
              <w:rPr>
                <w:sz w:val="8"/>
                <w:szCs w:val="8"/>
                <w:color w:val="auto"/>
              </w:rPr>
            </w:pPr>
          </w:p>
        </w:tc>
        <w:tc>
          <w:tcPr>
            <w:tcW w:w="800" w:type="dxa"/>
            <w:vAlign w:val="bottom"/>
            <w:shd w:val="clear" w:color="auto" w:fill="0F2F50"/>
          </w:tcPr>
          <w:p>
            <w:pPr>
              <w:spacing w:after="0"/>
              <w:rPr>
                <w:sz w:val="8"/>
                <w:szCs w:val="8"/>
                <w:color w:val="auto"/>
              </w:rPr>
            </w:pPr>
          </w:p>
        </w:tc>
      </w:tr>
      <w:tr>
        <w:trPr>
          <w:trHeight w:val="297"/>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Q3</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9"/>
              </w:rPr>
              <w:t>2020</w:t>
            </w:r>
          </w:p>
        </w:tc>
        <w:tc>
          <w:tcPr>
            <w:tcW w:w="1840" w:type="dxa"/>
            <w:vAlign w:val="bottom"/>
          </w:tcPr>
          <w:p>
            <w:pPr>
              <w:ind w:left="20"/>
              <w:spacing w:after="0"/>
              <w:rPr>
                <w:sz w:val="20"/>
                <w:szCs w:val="20"/>
                <w:color w:val="auto"/>
              </w:rPr>
            </w:pPr>
            <w:r>
              <w:rPr>
                <w:rFonts w:ascii="Arial" w:cs="Arial" w:eastAsia="Arial" w:hAnsi="Arial"/>
                <w:sz w:val="18"/>
                <w:szCs w:val="18"/>
                <w:b w:val="1"/>
                <w:bCs w:val="1"/>
                <w:color w:val="auto"/>
              </w:rPr>
              <w:t>($MM):</w:t>
            </w:r>
          </w:p>
        </w:tc>
        <w:tc>
          <w:tcPr>
            <w:tcW w:w="800" w:type="dxa"/>
            <w:vAlign w:val="bottom"/>
          </w:tcPr>
          <w:p>
            <w:pPr>
              <w:jc w:val="right"/>
              <w:ind w:right="170"/>
              <w:spacing w:after="0"/>
              <w:rPr>
                <w:sz w:val="20"/>
                <w:szCs w:val="20"/>
                <w:color w:val="auto"/>
              </w:rPr>
            </w:pPr>
            <w:r>
              <w:rPr>
                <w:rFonts w:ascii="Arial" w:cs="Arial" w:eastAsia="Arial" w:hAnsi="Arial"/>
                <w:sz w:val="18"/>
                <w:szCs w:val="18"/>
                <w:b w:val="1"/>
                <w:bCs w:val="1"/>
                <w:color w:val="auto"/>
              </w:rPr>
              <w:t>$81.9</w:t>
            </w:r>
          </w:p>
        </w:tc>
      </w:tr>
      <w:tr>
        <w:trPr>
          <w:trHeight w:val="94"/>
        </w:trPr>
        <w:tc>
          <w:tcPr>
            <w:tcW w:w="320" w:type="dxa"/>
            <w:vAlign w:val="bottom"/>
            <w:tcBorders>
              <w:bottom w:val="single" w:sz="8" w:color="D9DDE1"/>
            </w:tcBorders>
          </w:tcPr>
          <w:p>
            <w:pPr>
              <w:spacing w:after="0"/>
              <w:rPr>
                <w:sz w:val="8"/>
                <w:szCs w:val="8"/>
                <w:color w:val="auto"/>
              </w:rPr>
            </w:pPr>
          </w:p>
        </w:tc>
        <w:tc>
          <w:tcPr>
            <w:tcW w:w="400" w:type="dxa"/>
            <w:vAlign w:val="bottom"/>
            <w:tcBorders>
              <w:bottom w:val="single" w:sz="8" w:color="D9DDE1"/>
            </w:tcBorders>
          </w:tcPr>
          <w:p>
            <w:pPr>
              <w:spacing w:after="0"/>
              <w:rPr>
                <w:sz w:val="8"/>
                <w:szCs w:val="8"/>
                <w:color w:val="auto"/>
              </w:rPr>
            </w:pPr>
          </w:p>
        </w:tc>
        <w:tc>
          <w:tcPr>
            <w:tcW w:w="1840" w:type="dxa"/>
            <w:vAlign w:val="bottom"/>
            <w:tcBorders>
              <w:bottom w:val="single" w:sz="8" w:color="D9DDE1"/>
            </w:tcBorders>
          </w:tcPr>
          <w:p>
            <w:pPr>
              <w:spacing w:after="0"/>
              <w:rPr>
                <w:sz w:val="8"/>
                <w:szCs w:val="8"/>
                <w:color w:val="auto"/>
              </w:rPr>
            </w:pPr>
          </w:p>
        </w:tc>
        <w:tc>
          <w:tcPr>
            <w:tcW w:w="800" w:type="dxa"/>
            <w:vAlign w:val="bottom"/>
            <w:tcBorders>
              <w:bottom w:val="single" w:sz="8" w:color="D9DDE1"/>
            </w:tcBorders>
          </w:tcPr>
          <w:p>
            <w:pPr>
              <w:spacing w:after="0"/>
              <w:rPr>
                <w:sz w:val="8"/>
                <w:szCs w:val="8"/>
                <w:color w:val="auto"/>
              </w:rPr>
            </w:pPr>
          </w:p>
        </w:tc>
      </w:tr>
      <w:tr>
        <w:trPr>
          <w:trHeight w:val="29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Q3</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9"/>
              </w:rPr>
              <w:t>2020</w:t>
            </w:r>
          </w:p>
        </w:tc>
        <w:tc>
          <w:tcPr>
            <w:tcW w:w="1840" w:type="dxa"/>
            <w:vAlign w:val="bottom"/>
          </w:tcPr>
          <w:p>
            <w:pPr>
              <w:ind w:left="20"/>
              <w:spacing w:after="0"/>
              <w:rPr>
                <w:sz w:val="20"/>
                <w:szCs w:val="20"/>
                <w:color w:val="auto"/>
              </w:rPr>
            </w:pPr>
            <w:r>
              <w:rPr>
                <w:rFonts w:ascii="Arial" w:cs="Arial" w:eastAsia="Arial" w:hAnsi="Arial"/>
                <w:sz w:val="18"/>
                <w:szCs w:val="18"/>
                <w:b w:val="1"/>
                <w:bCs w:val="1"/>
                <w:color w:val="auto"/>
              </w:rPr>
              <w:t>(per share):</w:t>
            </w:r>
          </w:p>
        </w:tc>
        <w:tc>
          <w:tcPr>
            <w:tcW w:w="800" w:type="dxa"/>
            <w:vAlign w:val="bottom"/>
          </w:tcPr>
          <w:p>
            <w:pPr>
              <w:jc w:val="right"/>
              <w:ind w:right="170"/>
              <w:spacing w:after="0"/>
              <w:rPr>
                <w:sz w:val="20"/>
                <w:szCs w:val="20"/>
                <w:color w:val="auto"/>
              </w:rPr>
            </w:pPr>
            <w:r>
              <w:rPr>
                <w:rFonts w:ascii="Arial" w:cs="Arial" w:eastAsia="Arial" w:hAnsi="Arial"/>
                <w:sz w:val="18"/>
                <w:szCs w:val="18"/>
                <w:b w:val="1"/>
                <w:bCs w:val="1"/>
                <w:color w:val="auto"/>
              </w:rPr>
              <w:t>$1.21</w:t>
            </w:r>
          </w:p>
        </w:tc>
      </w:tr>
      <w:tr>
        <w:trPr>
          <w:trHeight w:val="297"/>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7"/>
        </w:trPr>
        <w:tc>
          <w:tcPr>
            <w:tcW w:w="320" w:type="dxa"/>
            <w:vAlign w:val="bottom"/>
            <w:shd w:val="clear" w:color="auto" w:fill="0F2F50"/>
          </w:tcPr>
          <w:p>
            <w:pPr>
              <w:spacing w:after="0"/>
              <w:rPr>
                <w:sz w:val="24"/>
                <w:szCs w:val="24"/>
                <w:color w:val="auto"/>
              </w:rPr>
            </w:pPr>
          </w:p>
        </w:tc>
        <w:tc>
          <w:tcPr>
            <w:tcW w:w="400" w:type="dxa"/>
            <w:vAlign w:val="bottom"/>
            <w:shd w:val="clear" w:color="auto" w:fill="0F2F50"/>
          </w:tcPr>
          <w:p>
            <w:pPr>
              <w:spacing w:after="0"/>
              <w:rPr>
                <w:sz w:val="24"/>
                <w:szCs w:val="24"/>
                <w:color w:val="auto"/>
              </w:rPr>
            </w:pPr>
          </w:p>
        </w:tc>
        <w:tc>
          <w:tcPr>
            <w:tcW w:w="1840" w:type="dxa"/>
            <w:vAlign w:val="bottom"/>
            <w:shd w:val="clear" w:color="auto" w:fill="0F2F50"/>
          </w:tcPr>
          <w:p>
            <w:pPr>
              <w:jc w:val="center"/>
              <w:spacing w:after="0"/>
              <w:rPr>
                <w:sz w:val="20"/>
                <w:szCs w:val="20"/>
                <w:color w:val="auto"/>
              </w:rPr>
            </w:pPr>
            <w:r>
              <w:rPr>
                <w:rFonts w:ascii="Arial" w:cs="Arial" w:eastAsia="Arial" w:hAnsi="Arial"/>
                <w:sz w:val="18"/>
                <w:szCs w:val="18"/>
                <w:b w:val="1"/>
                <w:bCs w:val="1"/>
                <w:color w:val="FFFFFF"/>
                <w:w w:val="94"/>
              </w:rPr>
              <w:t>NAV</w:t>
            </w:r>
          </w:p>
        </w:tc>
        <w:tc>
          <w:tcPr>
            <w:tcW w:w="800" w:type="dxa"/>
            <w:vAlign w:val="bottom"/>
            <w:shd w:val="clear" w:color="auto" w:fill="0F2F50"/>
          </w:tcPr>
          <w:p>
            <w:pPr>
              <w:spacing w:after="0"/>
              <w:rPr>
                <w:sz w:val="24"/>
                <w:szCs w:val="24"/>
                <w:color w:val="auto"/>
              </w:rPr>
            </w:pPr>
          </w:p>
        </w:tc>
      </w:tr>
      <w:tr>
        <w:trPr>
          <w:trHeight w:val="95"/>
        </w:trPr>
        <w:tc>
          <w:tcPr>
            <w:tcW w:w="320" w:type="dxa"/>
            <w:vAlign w:val="bottom"/>
            <w:shd w:val="clear" w:color="auto" w:fill="0F2F50"/>
          </w:tcPr>
          <w:p>
            <w:pPr>
              <w:spacing w:after="0"/>
              <w:rPr>
                <w:sz w:val="8"/>
                <w:szCs w:val="8"/>
                <w:color w:val="auto"/>
              </w:rPr>
            </w:pPr>
          </w:p>
        </w:tc>
        <w:tc>
          <w:tcPr>
            <w:tcW w:w="400" w:type="dxa"/>
            <w:vAlign w:val="bottom"/>
            <w:shd w:val="clear" w:color="auto" w:fill="0F2F50"/>
          </w:tcPr>
          <w:p>
            <w:pPr>
              <w:spacing w:after="0"/>
              <w:rPr>
                <w:sz w:val="8"/>
                <w:szCs w:val="8"/>
                <w:color w:val="auto"/>
              </w:rPr>
            </w:pPr>
          </w:p>
        </w:tc>
        <w:tc>
          <w:tcPr>
            <w:tcW w:w="1840" w:type="dxa"/>
            <w:vAlign w:val="bottom"/>
            <w:shd w:val="clear" w:color="auto" w:fill="0F2F50"/>
          </w:tcPr>
          <w:p>
            <w:pPr>
              <w:spacing w:after="0"/>
              <w:rPr>
                <w:sz w:val="8"/>
                <w:szCs w:val="8"/>
                <w:color w:val="auto"/>
              </w:rPr>
            </w:pPr>
          </w:p>
        </w:tc>
        <w:tc>
          <w:tcPr>
            <w:tcW w:w="800" w:type="dxa"/>
            <w:vAlign w:val="bottom"/>
            <w:shd w:val="clear" w:color="auto" w:fill="0F2F50"/>
          </w:tcPr>
          <w:p>
            <w:pPr>
              <w:spacing w:after="0"/>
              <w:rPr>
                <w:sz w:val="8"/>
                <w:szCs w:val="8"/>
                <w:color w:val="auto"/>
              </w:rPr>
            </w:pPr>
          </w:p>
        </w:tc>
      </w:tr>
      <w:tr>
        <w:trPr>
          <w:trHeight w:val="297"/>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Q3</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9"/>
              </w:rPr>
              <w:t>2020</w:t>
            </w:r>
          </w:p>
        </w:tc>
        <w:tc>
          <w:tcPr>
            <w:tcW w:w="1840" w:type="dxa"/>
            <w:vAlign w:val="bottom"/>
          </w:tcPr>
          <w:p>
            <w:pPr>
              <w:ind w:left="20"/>
              <w:spacing w:after="0"/>
              <w:rPr>
                <w:sz w:val="20"/>
                <w:szCs w:val="20"/>
                <w:color w:val="auto"/>
              </w:rPr>
            </w:pPr>
            <w:r>
              <w:rPr>
                <w:rFonts w:ascii="Arial" w:cs="Arial" w:eastAsia="Arial" w:hAnsi="Arial"/>
                <w:sz w:val="18"/>
                <w:szCs w:val="18"/>
                <w:b w:val="1"/>
                <w:bCs w:val="1"/>
                <w:color w:val="auto"/>
              </w:rPr>
              <w:t>($MM):</w:t>
            </w:r>
          </w:p>
        </w:tc>
        <w:tc>
          <w:tcPr>
            <w:tcW w:w="80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$1,141</w:t>
            </w:r>
          </w:p>
        </w:tc>
      </w:tr>
      <w:tr>
        <w:trPr>
          <w:trHeight w:val="94"/>
        </w:trPr>
        <w:tc>
          <w:tcPr>
            <w:tcW w:w="320" w:type="dxa"/>
            <w:vAlign w:val="bottom"/>
            <w:tcBorders>
              <w:bottom w:val="single" w:sz="8" w:color="D9DDE1"/>
            </w:tcBorders>
          </w:tcPr>
          <w:p>
            <w:pPr>
              <w:spacing w:after="0"/>
              <w:rPr>
                <w:sz w:val="8"/>
                <w:szCs w:val="8"/>
                <w:color w:val="auto"/>
              </w:rPr>
            </w:pPr>
          </w:p>
        </w:tc>
        <w:tc>
          <w:tcPr>
            <w:tcW w:w="400" w:type="dxa"/>
            <w:vAlign w:val="bottom"/>
            <w:tcBorders>
              <w:bottom w:val="single" w:sz="8" w:color="D9DDE1"/>
            </w:tcBorders>
          </w:tcPr>
          <w:p>
            <w:pPr>
              <w:spacing w:after="0"/>
              <w:rPr>
                <w:sz w:val="8"/>
                <w:szCs w:val="8"/>
                <w:color w:val="auto"/>
              </w:rPr>
            </w:pPr>
          </w:p>
        </w:tc>
        <w:tc>
          <w:tcPr>
            <w:tcW w:w="1840" w:type="dxa"/>
            <w:vAlign w:val="bottom"/>
            <w:tcBorders>
              <w:bottom w:val="single" w:sz="8" w:color="D9DDE1"/>
            </w:tcBorders>
          </w:tcPr>
          <w:p>
            <w:pPr>
              <w:spacing w:after="0"/>
              <w:rPr>
                <w:sz w:val="8"/>
                <w:szCs w:val="8"/>
                <w:color w:val="auto"/>
              </w:rPr>
            </w:pPr>
          </w:p>
        </w:tc>
        <w:tc>
          <w:tcPr>
            <w:tcW w:w="800" w:type="dxa"/>
            <w:vAlign w:val="bottom"/>
            <w:tcBorders>
              <w:bottom w:val="single" w:sz="8" w:color="D9DDE1"/>
            </w:tcBorders>
          </w:tcPr>
          <w:p>
            <w:pPr>
              <w:spacing w:after="0"/>
              <w:rPr>
                <w:sz w:val="8"/>
                <w:szCs w:val="8"/>
                <w:color w:val="auto"/>
              </w:rPr>
            </w:pPr>
          </w:p>
        </w:tc>
      </w:tr>
      <w:tr>
        <w:trPr>
          <w:trHeight w:val="29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Q3</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9"/>
              </w:rPr>
              <w:t>2020</w:t>
            </w:r>
          </w:p>
        </w:tc>
        <w:tc>
          <w:tcPr>
            <w:tcW w:w="1840" w:type="dxa"/>
            <w:vAlign w:val="bottom"/>
          </w:tcPr>
          <w:p>
            <w:pPr>
              <w:ind w:left="20"/>
              <w:spacing w:after="0"/>
              <w:rPr>
                <w:sz w:val="20"/>
                <w:szCs w:val="20"/>
                <w:color w:val="auto"/>
              </w:rPr>
            </w:pPr>
            <w:r>
              <w:rPr>
                <w:rFonts w:ascii="Arial" w:cs="Arial" w:eastAsia="Arial" w:hAnsi="Arial"/>
                <w:sz w:val="18"/>
                <w:szCs w:val="18"/>
                <w:b w:val="1"/>
                <w:bCs w:val="1"/>
                <w:color w:val="auto"/>
              </w:rPr>
              <w:t>(per share):</w:t>
            </w:r>
          </w:p>
        </w:tc>
        <w:tc>
          <w:tcPr>
            <w:tcW w:w="80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$16.87</w:t>
            </w:r>
          </w:p>
        </w:tc>
      </w:tr>
      <w:tr>
        <w:trPr>
          <w:trHeight w:val="81"/>
        </w:trPr>
        <w:tc>
          <w:tcPr>
            <w:tcW w:w="2560" w:type="dxa"/>
            <w:vAlign w:val="bottom"/>
            <w:tcBorders>
              <w:bottom w:val="single" w:sz="8" w:color="D9DDE1"/>
            </w:tcBorders>
            <w:gridSpan w:val="3"/>
          </w:tcPr>
          <w:p>
            <w:pPr>
              <w:spacing w:after="0"/>
              <w:rPr>
                <w:sz w:val="7"/>
                <w:szCs w:val="7"/>
                <w:color w:val="auto"/>
              </w:rPr>
            </w:pPr>
          </w:p>
        </w:tc>
        <w:tc>
          <w:tcPr>
            <w:tcW w:w="800" w:type="dxa"/>
            <w:vAlign w:val="bottom"/>
            <w:tcBorders>
              <w:bottom w:val="single" w:sz="8" w:color="D9DDE1"/>
            </w:tcBorders>
          </w:tcPr>
          <w:p>
            <w:pPr>
              <w:spacing w:after="0"/>
              <w:rPr>
                <w:sz w:val="7"/>
                <w:szCs w:val="7"/>
                <w:color w:val="auto"/>
              </w:rPr>
            </w:pPr>
          </w:p>
        </w:tc>
      </w:tr>
      <w:tr>
        <w:trPr>
          <w:trHeight w:val="291"/>
        </w:trPr>
        <w:tc>
          <w:tcPr>
            <w:tcW w:w="2560" w:type="dxa"/>
            <w:vAlign w:val="bottom"/>
            <w:gridSpan w:val="3"/>
          </w:tcPr>
          <w:p>
            <w:pPr>
              <w:ind w:left="60"/>
              <w:spacing w:after="0"/>
              <w:rPr>
                <w:sz w:val="20"/>
                <w:szCs w:val="20"/>
                <w:color w:val="auto"/>
              </w:rPr>
            </w:pPr>
            <w:r>
              <w:rPr>
                <w:rFonts w:ascii="Arial" w:cs="Arial" w:eastAsia="Arial" w:hAnsi="Arial"/>
                <w:sz w:val="18"/>
                <w:szCs w:val="18"/>
                <w:b w:val="1"/>
                <w:bCs w:val="1"/>
                <w:color w:val="auto"/>
              </w:rPr>
              <w:t>PF Q3 2020 (per share):</w:t>
            </w:r>
          </w:p>
        </w:tc>
        <w:tc>
          <w:tcPr>
            <w:tcW w:w="80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$16.77</w:t>
            </w:r>
          </w:p>
        </w:tc>
      </w:tr>
      <w:tr>
        <w:trPr>
          <w:trHeight w:val="297"/>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7"/>
        </w:trPr>
        <w:tc>
          <w:tcPr>
            <w:tcW w:w="320" w:type="dxa"/>
            <w:vAlign w:val="bottom"/>
            <w:shd w:val="clear" w:color="auto" w:fill="0F2F50"/>
          </w:tcPr>
          <w:p>
            <w:pPr>
              <w:spacing w:after="0"/>
              <w:rPr>
                <w:sz w:val="24"/>
                <w:szCs w:val="24"/>
                <w:color w:val="auto"/>
              </w:rPr>
            </w:pPr>
          </w:p>
        </w:tc>
        <w:tc>
          <w:tcPr>
            <w:tcW w:w="400" w:type="dxa"/>
            <w:vAlign w:val="bottom"/>
            <w:shd w:val="clear" w:color="auto" w:fill="0F2F50"/>
          </w:tcPr>
          <w:p>
            <w:pPr>
              <w:spacing w:after="0"/>
              <w:rPr>
                <w:sz w:val="24"/>
                <w:szCs w:val="24"/>
                <w:color w:val="auto"/>
              </w:rPr>
            </w:pPr>
          </w:p>
        </w:tc>
        <w:tc>
          <w:tcPr>
            <w:tcW w:w="1840" w:type="dxa"/>
            <w:vAlign w:val="bottom"/>
            <w:shd w:val="clear" w:color="auto" w:fill="0F2F50"/>
          </w:tcPr>
          <w:p>
            <w:pPr>
              <w:jc w:val="center"/>
              <w:spacing w:after="0"/>
              <w:rPr>
                <w:sz w:val="20"/>
                <w:szCs w:val="20"/>
                <w:color w:val="auto"/>
              </w:rPr>
            </w:pPr>
            <w:r>
              <w:rPr>
                <w:rFonts w:ascii="Arial" w:cs="Arial" w:eastAsia="Arial" w:hAnsi="Arial"/>
                <w:sz w:val="18"/>
                <w:szCs w:val="18"/>
                <w:b w:val="1"/>
                <w:bCs w:val="1"/>
                <w:color w:val="FFFFFF"/>
                <w:w w:val="90"/>
              </w:rPr>
              <w:t>Dividends (per share)</w:t>
            </w:r>
          </w:p>
        </w:tc>
        <w:tc>
          <w:tcPr>
            <w:tcW w:w="800" w:type="dxa"/>
            <w:vAlign w:val="bottom"/>
            <w:shd w:val="clear" w:color="auto" w:fill="0F2F50"/>
          </w:tcPr>
          <w:p>
            <w:pPr>
              <w:spacing w:after="0"/>
              <w:rPr>
                <w:sz w:val="24"/>
                <w:szCs w:val="24"/>
                <w:color w:val="auto"/>
              </w:rPr>
            </w:pPr>
          </w:p>
        </w:tc>
      </w:tr>
      <w:tr>
        <w:trPr>
          <w:trHeight w:val="95"/>
        </w:trPr>
        <w:tc>
          <w:tcPr>
            <w:tcW w:w="320" w:type="dxa"/>
            <w:vAlign w:val="bottom"/>
            <w:shd w:val="clear" w:color="auto" w:fill="0F2F50"/>
          </w:tcPr>
          <w:p>
            <w:pPr>
              <w:spacing w:after="0"/>
              <w:rPr>
                <w:sz w:val="8"/>
                <w:szCs w:val="8"/>
                <w:color w:val="auto"/>
              </w:rPr>
            </w:pPr>
          </w:p>
        </w:tc>
        <w:tc>
          <w:tcPr>
            <w:tcW w:w="400" w:type="dxa"/>
            <w:vAlign w:val="bottom"/>
            <w:shd w:val="clear" w:color="auto" w:fill="0F2F50"/>
          </w:tcPr>
          <w:p>
            <w:pPr>
              <w:spacing w:after="0"/>
              <w:rPr>
                <w:sz w:val="8"/>
                <w:szCs w:val="8"/>
                <w:color w:val="auto"/>
              </w:rPr>
            </w:pPr>
          </w:p>
        </w:tc>
        <w:tc>
          <w:tcPr>
            <w:tcW w:w="1840" w:type="dxa"/>
            <w:vAlign w:val="bottom"/>
            <w:shd w:val="clear" w:color="auto" w:fill="0F2F50"/>
          </w:tcPr>
          <w:p>
            <w:pPr>
              <w:spacing w:after="0"/>
              <w:rPr>
                <w:sz w:val="8"/>
                <w:szCs w:val="8"/>
                <w:color w:val="auto"/>
              </w:rPr>
            </w:pPr>
          </w:p>
        </w:tc>
        <w:tc>
          <w:tcPr>
            <w:tcW w:w="800" w:type="dxa"/>
            <w:vAlign w:val="bottom"/>
            <w:shd w:val="clear" w:color="auto" w:fill="0F2F50"/>
          </w:tcPr>
          <w:p>
            <w:pPr>
              <w:spacing w:after="0"/>
              <w:rPr>
                <w:sz w:val="8"/>
                <w:szCs w:val="8"/>
                <w:color w:val="auto"/>
              </w:rPr>
            </w:pPr>
          </w:p>
        </w:tc>
      </w:tr>
      <w:tr>
        <w:trPr>
          <w:trHeight w:val="297"/>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Q3</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9"/>
              </w:rPr>
              <w:t>2020</w:t>
            </w:r>
          </w:p>
        </w:tc>
        <w:tc>
          <w:tcPr>
            <w:tcW w:w="1840" w:type="dxa"/>
            <w:vAlign w:val="bottom"/>
          </w:tcPr>
          <w:p>
            <w:pPr>
              <w:ind w:left="20"/>
              <w:spacing w:after="0"/>
              <w:rPr>
                <w:sz w:val="20"/>
                <w:szCs w:val="20"/>
                <w:color w:val="auto"/>
              </w:rPr>
            </w:pPr>
            <w:r>
              <w:rPr>
                <w:rFonts w:ascii="Arial" w:cs="Arial" w:eastAsia="Arial" w:hAnsi="Arial"/>
                <w:sz w:val="18"/>
                <w:szCs w:val="18"/>
                <w:b w:val="1"/>
                <w:bCs w:val="1"/>
                <w:color w:val="auto"/>
              </w:rPr>
              <w:t>(Base):</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$0.41</w:t>
            </w:r>
          </w:p>
        </w:tc>
      </w:tr>
      <w:tr>
        <w:trPr>
          <w:trHeight w:val="94"/>
        </w:trPr>
        <w:tc>
          <w:tcPr>
            <w:tcW w:w="2560" w:type="dxa"/>
            <w:vAlign w:val="bottom"/>
            <w:tcBorders>
              <w:bottom w:val="single" w:sz="8" w:color="D9DDE1"/>
            </w:tcBorders>
            <w:gridSpan w:val="3"/>
          </w:tcPr>
          <w:p>
            <w:pPr>
              <w:spacing w:after="0"/>
              <w:rPr>
                <w:sz w:val="8"/>
                <w:szCs w:val="8"/>
                <w:color w:val="auto"/>
              </w:rPr>
            </w:pPr>
          </w:p>
        </w:tc>
        <w:tc>
          <w:tcPr>
            <w:tcW w:w="800" w:type="dxa"/>
            <w:vAlign w:val="bottom"/>
            <w:tcBorders>
              <w:bottom w:val="single" w:sz="8" w:color="D9DDE1"/>
            </w:tcBorders>
          </w:tcPr>
          <w:p>
            <w:pPr>
              <w:spacing w:after="0"/>
              <w:rPr>
                <w:sz w:val="8"/>
                <w:szCs w:val="8"/>
                <w:color w:val="auto"/>
              </w:rPr>
            </w:pPr>
          </w:p>
        </w:tc>
      </w:tr>
      <w:tr>
        <w:trPr>
          <w:trHeight w:val="291"/>
        </w:trPr>
        <w:tc>
          <w:tcPr>
            <w:tcW w:w="2560" w:type="dxa"/>
            <w:vAlign w:val="bottom"/>
            <w:gridSpan w:val="3"/>
          </w:tcPr>
          <w:p>
            <w:pPr>
              <w:ind w:left="60"/>
              <w:spacing w:after="0"/>
              <w:rPr>
                <w:sz w:val="20"/>
                <w:szCs w:val="20"/>
                <w:color w:val="auto"/>
              </w:rPr>
            </w:pPr>
            <w:r>
              <w:rPr>
                <w:rFonts w:ascii="Arial" w:cs="Arial" w:eastAsia="Arial" w:hAnsi="Arial"/>
                <w:sz w:val="18"/>
                <w:szCs w:val="18"/>
                <w:b w:val="1"/>
                <w:bCs w:val="1"/>
                <w:color w:val="auto"/>
              </w:rPr>
              <w:t>LTM Q3’20 (Base):</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$1.62</w:t>
            </w:r>
          </w:p>
        </w:tc>
      </w:tr>
      <w:tr>
        <w:trPr>
          <w:trHeight w:val="81"/>
        </w:trPr>
        <w:tc>
          <w:tcPr>
            <w:tcW w:w="2560" w:type="dxa"/>
            <w:vAlign w:val="bottom"/>
            <w:tcBorders>
              <w:bottom w:val="single" w:sz="8" w:color="D9DDE1"/>
            </w:tcBorders>
            <w:gridSpan w:val="3"/>
          </w:tcPr>
          <w:p>
            <w:pPr>
              <w:spacing w:after="0"/>
              <w:rPr>
                <w:sz w:val="7"/>
                <w:szCs w:val="7"/>
                <w:color w:val="auto"/>
              </w:rPr>
            </w:pPr>
          </w:p>
        </w:tc>
        <w:tc>
          <w:tcPr>
            <w:tcW w:w="800" w:type="dxa"/>
            <w:vAlign w:val="bottom"/>
            <w:tcBorders>
              <w:bottom w:val="single" w:sz="8" w:color="D9DDE1"/>
            </w:tcBorders>
          </w:tcPr>
          <w:p>
            <w:pPr>
              <w:spacing w:after="0"/>
              <w:rPr>
                <w:sz w:val="7"/>
                <w:szCs w:val="7"/>
                <w:color w:val="auto"/>
              </w:rPr>
            </w:pPr>
          </w:p>
        </w:tc>
      </w:tr>
      <w:tr>
        <w:trPr>
          <w:trHeight w:val="290"/>
        </w:trPr>
        <w:tc>
          <w:tcPr>
            <w:tcW w:w="2560" w:type="dxa"/>
            <w:vAlign w:val="bottom"/>
            <w:gridSpan w:val="3"/>
          </w:tcPr>
          <w:p>
            <w:pPr>
              <w:ind w:left="60"/>
              <w:spacing w:after="0"/>
              <w:rPr>
                <w:sz w:val="20"/>
                <w:szCs w:val="20"/>
                <w:color w:val="auto"/>
              </w:rPr>
            </w:pPr>
            <w:r>
              <w:rPr>
                <w:rFonts w:ascii="Arial" w:cs="Arial" w:eastAsia="Arial" w:hAnsi="Arial"/>
                <w:sz w:val="18"/>
                <w:szCs w:val="18"/>
                <w:b w:val="1"/>
                <w:bCs w:val="1"/>
                <w:color w:val="auto"/>
              </w:rPr>
              <w:t>LTM Q3’20 (Supp/Special):</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$0.66</w:t>
            </w:r>
          </w:p>
        </w:tc>
      </w:tr>
      <w:tr>
        <w:trPr>
          <w:trHeight w:val="81"/>
        </w:trPr>
        <w:tc>
          <w:tcPr>
            <w:tcW w:w="2560" w:type="dxa"/>
            <w:vAlign w:val="bottom"/>
            <w:tcBorders>
              <w:bottom w:val="single" w:sz="8" w:color="D9DDE1"/>
            </w:tcBorders>
            <w:gridSpan w:val="3"/>
          </w:tcPr>
          <w:p>
            <w:pPr>
              <w:spacing w:after="0"/>
              <w:rPr>
                <w:sz w:val="7"/>
                <w:szCs w:val="7"/>
                <w:color w:val="auto"/>
              </w:rPr>
            </w:pPr>
          </w:p>
        </w:tc>
        <w:tc>
          <w:tcPr>
            <w:tcW w:w="800" w:type="dxa"/>
            <w:vAlign w:val="bottom"/>
            <w:tcBorders>
              <w:bottom w:val="single" w:sz="8" w:color="D9DDE1"/>
            </w:tcBorders>
          </w:tcPr>
          <w:p>
            <w:pPr>
              <w:spacing w:after="0"/>
              <w:rPr>
                <w:sz w:val="7"/>
                <w:szCs w:val="7"/>
                <w:color w:val="auto"/>
              </w:rPr>
            </w:pPr>
          </w:p>
        </w:tc>
      </w:tr>
      <w:tr>
        <w:trPr>
          <w:trHeight w:val="291"/>
        </w:trPr>
        <w:tc>
          <w:tcPr>
            <w:tcW w:w="2560" w:type="dxa"/>
            <w:vAlign w:val="bottom"/>
            <w:gridSpan w:val="3"/>
          </w:tcPr>
          <w:p>
            <w:pPr>
              <w:ind w:left="60"/>
              <w:spacing w:after="0"/>
              <w:rPr>
                <w:sz w:val="20"/>
                <w:szCs w:val="20"/>
                <w:color w:val="auto"/>
              </w:rPr>
            </w:pPr>
            <w:r>
              <w:rPr>
                <w:rFonts w:ascii="Arial" w:cs="Arial" w:eastAsia="Arial" w:hAnsi="Arial"/>
                <w:sz w:val="18"/>
                <w:szCs w:val="18"/>
                <w:b w:val="1"/>
                <w:bCs w:val="1"/>
                <w:color w:val="auto"/>
              </w:rPr>
              <w:t>LTM Q3’20 (Total):</w:t>
            </w: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$2.28</w:t>
            </w:r>
          </w:p>
        </w:tc>
      </w:tr>
    </w:tbl>
    <w:p>
      <w:pPr>
        <w:spacing w:after="0" w:line="1340" w:lineRule="exact"/>
        <w:rPr>
          <w:sz w:val="20"/>
          <w:szCs w:val="20"/>
          <w:color w:val="auto"/>
        </w:rPr>
      </w:pPr>
    </w:p>
    <w:p>
      <w:pPr>
        <w:sectPr>
          <w:pgSz w:w="11900" w:h="16838" w:orient="portrait"/>
          <w:cols w:equalWidth="0" w:num="2">
            <w:col w:w="7540" w:space="340"/>
            <w:col w:w="3360"/>
          </w:cols>
          <w:pgMar w:left="320" w:top="121" w:right="339" w:bottom="1440" w:gutter="0" w:footer="0" w:header="0"/>
          <w:type w:val="continuous"/>
        </w:sectPr>
      </w:pPr>
    </w:p>
    <w:p>
      <w:pPr>
        <w:spacing w:after="0" w:line="144"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PORTFOLIO AND INVESTMENT ACTIVITY</w:t>
      </w:r>
    </w:p>
    <w:p>
      <w:pPr>
        <w:spacing w:after="0" w:line="26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quarter ended September 30, 2020, new investment commitments totaled $435.5 million. This compares to $89.2 million for the quarter ended June 30, 2020.</w:t>
      </w:r>
    </w:p>
    <w:p>
      <w:pPr>
        <w:spacing w:after="0" w:line="103"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For the quarter ended September 30, 2020, the principal amount of new investments funded was $332.3 million in twelve new portfolio companies and four existing portfolio companies. For this period, the Company had $253.1 million aggregate principal amount in exits and repayments. For the quarter ended June 30, 2020, the principal amount of new investments funded was $76.5 million in six new portfolio companies and six existing portfolio companies. For this period, the Company had $210.7 million aggregate principal amount in exits and repayments.</w:t>
      </w:r>
    </w:p>
    <w:p>
      <w:pPr>
        <w:spacing w:after="0" w:line="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of September 30, 2020 and June 30, 2020, the Company had investments in 70 and 65 portfolio companies, respectively, with an aggregate fair value of $2,100.8 million and $1,983.8 million, respectively. As of September 30, 2020, the average investment size in each portfolio company was $30.0 million based on fair value.</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2020, the Company’s portfolio based on fair value consisted of 95.0% first-lien debt investments, 0.4% second-lien debt investments, 0.5% mezzanine investments, and 4.1% equity and other investments. As of June 30, 2020, the Company’s portfolio based on fair value consisted of 95.7% first-lien debt investments, 0.4% second-lien debt investments, 0.4% mezzanine investments, and 3.5% equity and other investments.</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2020 and June 30, 2020 approximately 95.4% and 96.1% of the portfolio was invested in secured debt, respectively.</w:t>
      </w:r>
    </w:p>
    <w:p>
      <w:pPr>
        <w:spacing w:after="0" w:line="89"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As of September 30, 2020, 98.9% of debt investments based on fair value in the portfolio bore interest at floating rates (when including investment specific hedges), with 98.8% of these subject to a weighted average LIBOR floor of approximately 1.1%. The Company’s credit facilities also bear interest at floating rates. In connection with the Company’s Convertible Notes and other Notes, which bear interest at fixed rates, the Company entered into fixed-to-floating interest rate swaps in order to align the nature of the interest rates of its liabilities with its investment portfolio.</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and June 30, 2020, the weighted average total yield</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of debt and income-producing securities at fair value (which includes interest income and amortization of fees and discounts) was 10.1% and 10.0%, respectively, and the weighted average total yield of debt and income-producing securities at amortized cost (which includes interest income and amortization of fees and discounts) was 10.2% and 10.0%,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645795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-170815</wp:posOffset>
            </wp:positionV>
            <wp:extent cx="2134235" cy="248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34235" cy="248920"/>
                    </a:xfrm>
                    <a:prstGeom prst="rect">
                      <a:avLst/>
                    </a:prstGeom>
                    <a:noFill/>
                  </pic:spPr>
                </pic:pic>
              </a:graphicData>
            </a:graphic>
          </wp:anchor>
        </w:drawing>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$435.5MM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2134235" cy="248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34235" cy="248920"/>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Fundings / Net Fundings</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$332.3MM / $79.2MM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2134235" cy="2489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34235" cy="248920"/>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Average Investment Size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$30.0MM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(1.4% of the portfolio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2134235" cy="2482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34235" cy="248285"/>
                    </a:xfrm>
                    <a:prstGeom prst="rect">
                      <a:avLst/>
                    </a:prstGeom>
                    <a:noFill/>
                  </pic:spPr>
                </pic:pic>
              </a:graphicData>
            </a:graphic>
          </wp:anchor>
        </w:drawing>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First Lien Debt Investments (% FV)</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95.0%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2134235" cy="2489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34235" cy="248920"/>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Secured Debt Investments (% FV)</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95.4%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2134235"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34235" cy="308610"/>
                    </a:xfrm>
                    <a:prstGeom prst="rect">
                      <a:avLst/>
                    </a:prstGeom>
                    <a:noFill/>
                  </pic:spPr>
                </pic:pic>
              </a:graphicData>
            </a:graphic>
          </wp:anchor>
        </w:drawing>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Floating Rate Debt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 FV)</w:t>
      </w:r>
    </w:p>
    <w:p>
      <w:pPr>
        <w:spacing w:after="0" w:line="9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2134235" cy="308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34235" cy="308610"/>
                    </a:xfrm>
                    <a:prstGeom prst="rect">
                      <a:avLst/>
                    </a:prstGeom>
                    <a:noFill/>
                  </pic:spPr>
                </pic:pic>
              </a:graphicData>
            </a:graphic>
          </wp:anchor>
        </w:drawing>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Weighted Average Yield of Debt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Incoming-Producing Securities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tcPr>
          <w:p>
            <w:pPr>
              <w:ind w:left="60"/>
              <w:spacing w:after="0"/>
              <w:rPr>
                <w:sz w:val="20"/>
                <w:szCs w:val="20"/>
                <w:color w:val="auto"/>
              </w:rPr>
            </w:pPr>
            <w:r>
              <w:rPr>
                <w:rFonts w:ascii="Arial" w:cs="Arial" w:eastAsia="Arial" w:hAnsi="Arial"/>
                <w:sz w:val="18"/>
                <w:szCs w:val="18"/>
                <w:b w:val="1"/>
                <w:bCs w:val="1"/>
                <w:color w:val="auto"/>
              </w:rPr>
              <w:t>Yield at Fair Value:</w:t>
            </w: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10.1%</w:t>
            </w:r>
          </w:p>
        </w:tc>
      </w:tr>
      <w:tr>
        <w:trPr>
          <w:trHeight w:val="94"/>
        </w:trPr>
        <w:tc>
          <w:tcPr>
            <w:tcW w:w="2340" w:type="dxa"/>
            <w:vAlign w:val="bottom"/>
            <w:tcBorders>
              <w:bottom w:val="single" w:sz="8" w:color="D9DDE1"/>
            </w:tcBorders>
          </w:tcPr>
          <w:p>
            <w:pPr>
              <w:spacing w:after="0"/>
              <w:rPr>
                <w:sz w:val="8"/>
                <w:szCs w:val="8"/>
                <w:color w:val="auto"/>
              </w:rPr>
            </w:pPr>
          </w:p>
        </w:tc>
        <w:tc>
          <w:tcPr>
            <w:tcW w:w="1020" w:type="dxa"/>
            <w:vAlign w:val="bottom"/>
            <w:tcBorders>
              <w:bottom w:val="single" w:sz="8" w:color="D9DDE1"/>
            </w:tcBorders>
          </w:tcPr>
          <w:p>
            <w:pPr>
              <w:spacing w:after="0"/>
              <w:rPr>
                <w:sz w:val="8"/>
                <w:szCs w:val="8"/>
                <w:color w:val="auto"/>
              </w:rPr>
            </w:pPr>
          </w:p>
        </w:tc>
      </w:tr>
      <w:tr>
        <w:trPr>
          <w:trHeight w:val="291"/>
        </w:trPr>
        <w:tc>
          <w:tcPr>
            <w:tcW w:w="2340" w:type="dxa"/>
            <w:vAlign w:val="bottom"/>
          </w:tcPr>
          <w:p>
            <w:pPr>
              <w:ind w:left="60"/>
              <w:spacing w:after="0"/>
              <w:rPr>
                <w:sz w:val="20"/>
                <w:szCs w:val="20"/>
                <w:color w:val="auto"/>
              </w:rPr>
            </w:pPr>
            <w:r>
              <w:rPr>
                <w:rFonts w:ascii="Arial" w:cs="Arial" w:eastAsia="Arial" w:hAnsi="Arial"/>
                <w:sz w:val="18"/>
                <w:szCs w:val="18"/>
                <w:b w:val="1"/>
                <w:bCs w:val="1"/>
                <w:color w:val="auto"/>
              </w:rPr>
              <w:t>Yield at Amortized Cost:</w:t>
            </w: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10.2%</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7540" w:space="340"/>
            <w:col w:w="3360"/>
          </w:cols>
          <w:pgMar w:left="320" w:top="1219" w:right="339" w:bottom="1440" w:gutter="0" w:footer="0" w:header="0"/>
        </w:sectPr>
      </w:pPr>
    </w:p>
    <w:bookmarkStart w:id="5" w:name="page6"/>
    <w:bookmarkEnd w:id="5"/>
    <w:p>
      <w:pP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RESULTS OF OPERATIONS FOR THE THREE MONTHS ENDED SEPTEMBER 30, 2020</w:t>
      </w:r>
    </w:p>
    <w:p>
      <w:pPr>
        <w:sectPr>
          <w:pgSz w:w="11900" w:h="16838" w:orient="portrait"/>
          <w:cols w:equalWidth="0" w:num="1">
            <w:col w:w="11240"/>
          </w:cols>
          <w:pgMar w:left="320" w:top="1219" w:right="339"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Investment Income</w:t>
      </w:r>
    </w:p>
    <w:p>
      <w:pPr>
        <w:spacing w:after="0" w:line="2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the three months ended September 30, 2020 and 2019, investment income totaled $71.3 million and $70.1 million, respectively. The increase in total investment income primarily resulted from an increase in other income, primarily due to higher amendment and other fees.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Expenses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Net expenses totaled $28.2 million and $31.8 million for the three months ended September 30, 2020 and 2019, respectively. The decrease in expenses was primarily driven by lower interest expense resulting from a decrease in the average interest rate on debt outstanding.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Capital Resources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September 30, 2020, the Company had $15.7 million in cash and cash equivalents (including $11.8 million of restricted cash), total principal value of debt outstanding of $931.6 million, and $1,023.7 million of undrawn capacity on its revolving credit facility, subject to borrowing base and other limitations. The Company’s weighted average interest rate on debt outstanding was 2.4% and 3.3% for the three months ended September 30, 2020 and June 30, 2020, respectively. At September 30, 2020, the Company’s debt to equity ratio was 0.81x, stable from the prior quarter. Average debt to equity was 0.93x and 0.87x during the three months ended September 30, 2020 and June 30, 2020, respectively.</w:t>
      </w:r>
    </w:p>
    <w:p>
      <w:pPr>
        <w:spacing w:after="0" w:line="187" w:lineRule="exact"/>
        <w:rPr>
          <w:sz w:val="20"/>
          <w:szCs w:val="20"/>
          <w:color w:val="auto"/>
        </w:rPr>
      </w:pPr>
    </w:p>
    <w:p>
      <w:pPr>
        <w:jc w:val="both"/>
        <w:ind w:firstLine="8"/>
        <w:spacing w:after="0" w:line="238" w:lineRule="auto"/>
        <w:tabs>
          <w:tab w:leader="none" w:pos="150" w:val="left"/>
        </w:tabs>
        <w:numPr>
          <w:ilvl w:val="0"/>
          <w:numId w:val="2"/>
        </w:numPr>
        <w:rPr>
          <w:rFonts w:ascii="Arial" w:cs="Arial" w:eastAsia="Arial" w:hAnsi="Arial"/>
          <w:sz w:val="14"/>
          <w:szCs w:val="14"/>
          <w:color w:val="auto"/>
        </w:rPr>
      </w:pPr>
      <w:r>
        <w:rPr>
          <w:rFonts w:ascii="Arial" w:cs="Arial" w:eastAsia="Arial" w:hAnsi="Arial"/>
          <w:sz w:val="14"/>
          <w:szCs w:val="14"/>
          <w:color w:val="auto"/>
        </w:rPr>
        <w:t>Daily average debt outstanding during the quarter divided by the daily average net assets during the quarter. Daily average net assets is calculated by starting with the prior quarter end net asset value and adjusting for capital activity during the quarter (adding common stock offerings / DRIP contributions).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-170815</wp:posOffset>
            </wp:positionV>
            <wp:extent cx="2134235" cy="248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34235" cy="248920"/>
                    </a:xfrm>
                    <a:prstGeom prst="rect">
                      <a:avLst/>
                    </a:prstGeom>
                    <a:noFill/>
                  </pic:spPr>
                </pic:pic>
              </a:graphicData>
            </a:graphic>
          </wp:anchor>
        </w:drawing>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$71.3MM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531495</wp:posOffset>
            </wp:positionV>
            <wp:extent cx="2134235" cy="2489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3423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Net Expenses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$28.2MM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540385</wp:posOffset>
            </wp:positionV>
            <wp:extent cx="2134235" cy="2489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3423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Total Principal Debt Outstanding</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$931.6MM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531495</wp:posOffset>
            </wp:positionV>
            <wp:extent cx="2134235" cy="248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3423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FFFFFF"/>
        </w:rPr>
        <w:t>Debt-to-Equity Ratio</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Q3</w:t>
            </w:r>
          </w:p>
        </w:tc>
        <w:tc>
          <w:tcPr>
            <w:tcW w:w="2020" w:type="dxa"/>
            <w:vAlign w:val="bottom"/>
          </w:tcPr>
          <w:p>
            <w:pPr>
              <w:ind w:left="20"/>
              <w:spacing w:after="0"/>
              <w:rPr>
                <w:sz w:val="20"/>
                <w:szCs w:val="20"/>
                <w:color w:val="auto"/>
              </w:rPr>
            </w:pPr>
            <w:r>
              <w:rPr>
                <w:rFonts w:ascii="Arial" w:cs="Arial" w:eastAsia="Arial" w:hAnsi="Arial"/>
                <w:sz w:val="18"/>
                <w:szCs w:val="18"/>
                <w:b w:val="1"/>
                <w:bCs w:val="1"/>
                <w:color w:val="auto"/>
              </w:rPr>
              <w:t>2020 Quarter End:</w:t>
            </w:r>
          </w:p>
        </w:tc>
        <w:tc>
          <w:tcPr>
            <w:tcW w:w="1020" w:type="dxa"/>
            <w:vAlign w:val="bottom"/>
          </w:tcPr>
          <w:p>
            <w:pPr>
              <w:ind w:left="540"/>
              <w:spacing w:after="0"/>
              <w:rPr>
                <w:sz w:val="20"/>
                <w:szCs w:val="20"/>
                <w:color w:val="auto"/>
              </w:rPr>
            </w:pPr>
            <w:r>
              <w:rPr>
                <w:rFonts w:ascii="Arial" w:cs="Arial" w:eastAsia="Arial" w:hAnsi="Arial"/>
                <w:sz w:val="18"/>
                <w:szCs w:val="18"/>
                <w:b w:val="1"/>
                <w:bCs w:val="1"/>
                <w:color w:val="auto"/>
              </w:rPr>
              <w:t>0.81x</w:t>
            </w:r>
          </w:p>
        </w:tc>
      </w:tr>
      <w:tr>
        <w:trPr>
          <w:trHeight w:val="95"/>
        </w:trPr>
        <w:tc>
          <w:tcPr>
            <w:tcW w:w="320" w:type="dxa"/>
            <w:vAlign w:val="bottom"/>
            <w:tcBorders>
              <w:bottom w:val="single" w:sz="8" w:color="D9DDE1"/>
            </w:tcBorders>
          </w:tcPr>
          <w:p>
            <w:pPr>
              <w:spacing w:after="0"/>
              <w:rPr>
                <w:sz w:val="8"/>
                <w:szCs w:val="8"/>
                <w:color w:val="auto"/>
              </w:rPr>
            </w:pPr>
          </w:p>
        </w:tc>
        <w:tc>
          <w:tcPr>
            <w:tcW w:w="2020" w:type="dxa"/>
            <w:vAlign w:val="bottom"/>
            <w:tcBorders>
              <w:bottom w:val="single" w:sz="8" w:color="D9DDE1"/>
            </w:tcBorders>
          </w:tcPr>
          <w:p>
            <w:pPr>
              <w:spacing w:after="0"/>
              <w:rPr>
                <w:sz w:val="8"/>
                <w:szCs w:val="8"/>
                <w:color w:val="auto"/>
              </w:rPr>
            </w:pPr>
          </w:p>
        </w:tc>
        <w:tc>
          <w:tcPr>
            <w:tcW w:w="1020" w:type="dxa"/>
            <w:vAlign w:val="bottom"/>
            <w:tcBorders>
              <w:bottom w:val="single" w:sz="8" w:color="D9DDE1"/>
            </w:tcBorders>
          </w:tcPr>
          <w:p>
            <w:pPr>
              <w:spacing w:after="0"/>
              <w:rPr>
                <w:sz w:val="8"/>
                <w:szCs w:val="8"/>
                <w:color w:val="auto"/>
              </w:rPr>
            </w:pPr>
          </w:p>
        </w:tc>
      </w:tr>
      <w:tr>
        <w:trPr>
          <w:trHeight w:val="290"/>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Q3</w:t>
            </w:r>
          </w:p>
        </w:tc>
        <w:tc>
          <w:tcPr>
            <w:tcW w:w="2020" w:type="dxa"/>
            <w:vAlign w:val="bottom"/>
          </w:tcPr>
          <w:p>
            <w:pPr>
              <w:ind w:left="20"/>
              <w:spacing w:after="0"/>
              <w:rPr>
                <w:sz w:val="20"/>
                <w:szCs w:val="20"/>
                <w:color w:val="auto"/>
              </w:rPr>
            </w:pPr>
            <w:r>
              <w:rPr>
                <w:rFonts w:ascii="Arial" w:cs="Arial" w:eastAsia="Arial" w:hAnsi="Arial"/>
                <w:sz w:val="18"/>
                <w:szCs w:val="18"/>
                <w:b w:val="1"/>
                <w:bCs w:val="1"/>
                <w:color w:val="auto"/>
              </w:rPr>
              <w:t>2020 Average</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1020" w:type="dxa"/>
            <w:vAlign w:val="bottom"/>
          </w:tcPr>
          <w:p>
            <w:pPr>
              <w:ind w:left="540"/>
              <w:spacing w:after="0"/>
              <w:rPr>
                <w:sz w:val="20"/>
                <w:szCs w:val="20"/>
                <w:color w:val="auto"/>
              </w:rPr>
            </w:pPr>
            <w:r>
              <w:rPr>
                <w:rFonts w:ascii="Arial" w:cs="Arial" w:eastAsia="Arial" w:hAnsi="Arial"/>
                <w:sz w:val="18"/>
                <w:szCs w:val="18"/>
                <w:b w:val="1"/>
                <w:bCs w:val="1"/>
                <w:color w:val="auto"/>
              </w:rPr>
              <w:t>0.93x</w:t>
            </w:r>
          </w:p>
        </w:tc>
      </w:tr>
    </w:tbl>
    <w:p>
      <w:pPr>
        <w:spacing w:after="0" w:line="200" w:lineRule="exact"/>
        <w:rPr>
          <w:sz w:val="20"/>
          <w:szCs w:val="20"/>
          <w:color w:val="auto"/>
        </w:rPr>
      </w:pPr>
    </w:p>
    <w:p>
      <w:pPr>
        <w:sectPr>
          <w:pgSz w:w="11900" w:h="16838" w:orient="portrait"/>
          <w:cols w:equalWidth="0" w:num="2">
            <w:col w:w="7540" w:space="340"/>
            <w:col w:w="3360"/>
          </w:cols>
          <w:pgMar w:left="320" w:top="1219" w:right="3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LIQUIDITY AND FUNDING PROFILE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summarizes the Company’s liquidity at September 30, 2020 and changes to unfunded commitments since June 30, 2020.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460" w:type="dxa"/>
            <w:vAlign w:val="bottom"/>
            <w:shd w:val="clear" w:color="auto" w:fill="0F2F50"/>
          </w:tcPr>
          <w:p>
            <w:pPr>
              <w:ind w:left="1780"/>
              <w:spacing w:after="0"/>
              <w:rPr>
                <w:sz w:val="20"/>
                <w:szCs w:val="20"/>
                <w:color w:val="auto"/>
              </w:rPr>
            </w:pPr>
            <w:r>
              <w:rPr>
                <w:rFonts w:ascii="Arial" w:cs="Arial" w:eastAsia="Arial" w:hAnsi="Arial"/>
                <w:sz w:val="18"/>
                <w:szCs w:val="18"/>
                <w:b w:val="1"/>
                <w:bCs w:val="1"/>
                <w:color w:val="FFFFFF"/>
              </w:rPr>
              <w:t>Revolving Credit Facility</w:t>
            </w:r>
            <w:r>
              <w:rPr>
                <w:rFonts w:ascii="Arial" w:cs="Arial" w:eastAsia="Arial" w:hAnsi="Arial"/>
                <w:sz w:val="15"/>
                <w:szCs w:val="15"/>
                <w:b w:val="1"/>
                <w:bCs w:val="1"/>
                <w:color w:val="FFFFFF"/>
              </w:rPr>
              <w:t>1</w:t>
            </w:r>
          </w:p>
        </w:tc>
        <w:tc>
          <w:tcPr>
            <w:tcW w:w="1100" w:type="dxa"/>
            <w:vAlign w:val="bottom"/>
            <w:shd w:val="clear" w:color="auto" w:fill="0F2F50"/>
          </w:tcPr>
          <w:p>
            <w:pPr>
              <w:spacing w:after="0"/>
              <w:rPr>
                <w:sz w:val="23"/>
                <w:szCs w:val="23"/>
                <w:color w:val="auto"/>
              </w:rPr>
            </w:pPr>
          </w:p>
        </w:tc>
        <w:tc>
          <w:tcPr>
            <w:tcW w:w="240" w:type="dxa"/>
            <w:vAlign w:val="bottom"/>
          </w:tcPr>
          <w:p>
            <w:pPr>
              <w:spacing w:after="0"/>
              <w:rPr>
                <w:sz w:val="23"/>
                <w:szCs w:val="23"/>
                <w:color w:val="auto"/>
              </w:rPr>
            </w:pPr>
          </w:p>
        </w:tc>
        <w:tc>
          <w:tcPr>
            <w:tcW w:w="4540" w:type="dxa"/>
            <w:vAlign w:val="bottom"/>
            <w:shd w:val="clear" w:color="auto" w:fill="0F2F50"/>
          </w:tcPr>
          <w:p>
            <w:pPr>
              <w:ind w:left="1480"/>
              <w:spacing w:after="0"/>
              <w:rPr>
                <w:sz w:val="20"/>
                <w:szCs w:val="20"/>
                <w:color w:val="auto"/>
              </w:rPr>
            </w:pPr>
            <w:r>
              <w:rPr>
                <w:rFonts w:ascii="Arial" w:cs="Arial" w:eastAsia="Arial" w:hAnsi="Arial"/>
                <w:sz w:val="18"/>
                <w:szCs w:val="18"/>
                <w:b w:val="1"/>
                <w:bCs w:val="1"/>
                <w:color w:val="FFFFFF"/>
              </w:rPr>
              <w:t>Unfunded Commitment Activity</w:t>
            </w:r>
          </w:p>
        </w:tc>
        <w:tc>
          <w:tcPr>
            <w:tcW w:w="900" w:type="dxa"/>
            <w:vAlign w:val="bottom"/>
            <w:shd w:val="clear" w:color="auto" w:fill="0F2F50"/>
          </w:tcPr>
          <w:p>
            <w:pPr>
              <w:spacing w:after="0"/>
              <w:rPr>
                <w:sz w:val="23"/>
                <w:szCs w:val="23"/>
                <w:color w:val="auto"/>
              </w:rPr>
            </w:pPr>
          </w:p>
        </w:tc>
      </w:tr>
      <w:tr>
        <w:trPr>
          <w:trHeight w:val="203"/>
        </w:trPr>
        <w:tc>
          <w:tcPr>
            <w:tcW w:w="4460" w:type="dxa"/>
            <w:vAlign w:val="bottom"/>
          </w:tcPr>
          <w:p>
            <w:pPr>
              <w:ind w:left="20"/>
              <w:spacing w:after="0"/>
              <w:rPr>
                <w:sz w:val="20"/>
                <w:szCs w:val="20"/>
                <w:color w:val="auto"/>
              </w:rPr>
            </w:pPr>
            <w:r>
              <w:rPr>
                <w:rFonts w:ascii="Arial" w:cs="Arial" w:eastAsia="Arial" w:hAnsi="Arial"/>
                <w:sz w:val="16"/>
                <w:szCs w:val="16"/>
                <w:b w:val="1"/>
                <w:bCs w:val="1"/>
                <w:color w:val="auto"/>
              </w:rPr>
              <w:t>Revolver Capacity</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$1,315</w:t>
            </w:r>
          </w:p>
        </w:tc>
        <w:tc>
          <w:tcPr>
            <w:tcW w:w="240" w:type="dxa"/>
            <w:vAlign w:val="bottom"/>
          </w:tcPr>
          <w:p>
            <w:pPr>
              <w:spacing w:after="0"/>
              <w:rPr>
                <w:sz w:val="17"/>
                <w:szCs w:val="17"/>
                <w:color w:val="auto"/>
              </w:rPr>
            </w:pPr>
          </w:p>
        </w:tc>
        <w:tc>
          <w:tcPr>
            <w:tcW w:w="4540" w:type="dxa"/>
            <w:vAlign w:val="bottom"/>
          </w:tcPr>
          <w:p>
            <w:pPr>
              <w:spacing w:after="0"/>
              <w:rPr>
                <w:sz w:val="20"/>
                <w:szCs w:val="20"/>
                <w:color w:val="auto"/>
              </w:rPr>
            </w:pPr>
            <w:r>
              <w:rPr>
                <w:rFonts w:ascii="Arial" w:cs="Arial" w:eastAsia="Arial" w:hAnsi="Arial"/>
                <w:sz w:val="16"/>
                <w:szCs w:val="16"/>
                <w:b w:val="1"/>
                <w:bCs w:val="1"/>
                <w:color w:val="auto"/>
              </w:rPr>
              <w:t>Unfunded Commitments (See Note 8 in 6/30/20 10-Q)</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$152</w:t>
            </w:r>
          </w:p>
        </w:tc>
      </w:tr>
    </w:tbl>
    <w:p>
      <w:pPr>
        <w:spacing w:after="0" w:line="1" w:lineRule="exact"/>
        <w:rPr>
          <w:sz w:val="20"/>
          <w:szCs w:val="20"/>
          <w:color w:val="auto"/>
        </w:rPr>
      </w:pPr>
    </w:p>
    <w:p>
      <w:pPr>
        <w:sectPr>
          <w:pgSz w:w="11900" w:h="16838" w:orient="portrait"/>
          <w:cols w:equalWidth="0" w:num="1">
            <w:col w:w="11240"/>
          </w:cols>
          <w:pgMar w:left="320" w:top="1219"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4500" w:type="dxa"/>
            <w:vAlign w:val="bottom"/>
            <w:tcBorders>
              <w:top w:val="single" w:sz="8" w:color="ECEEF0"/>
              <w:bottom w:val="single" w:sz="8" w:color="ECEEF0"/>
            </w:tcBorders>
          </w:tcPr>
          <w:p>
            <w:pPr>
              <w:ind w:left="20"/>
              <w:spacing w:after="0"/>
              <w:rPr>
                <w:sz w:val="20"/>
                <w:szCs w:val="20"/>
                <w:color w:val="auto"/>
              </w:rPr>
            </w:pPr>
            <w:r>
              <w:rPr>
                <w:rFonts w:ascii="Arial" w:cs="Arial" w:eastAsia="Arial" w:hAnsi="Arial"/>
                <w:sz w:val="16"/>
                <w:szCs w:val="16"/>
                <w:color w:val="auto"/>
              </w:rPr>
              <w:t>Drawn on Revolver</w:t>
            </w:r>
          </w:p>
        </w:tc>
        <w:tc>
          <w:tcPr>
            <w:tcW w:w="1060" w:type="dxa"/>
            <w:vAlign w:val="bottom"/>
            <w:tcBorders>
              <w:top w:val="single" w:sz="8" w:color="ECEEF0"/>
              <w:bottom w:val="single" w:sz="8" w:color="ECEEF0"/>
            </w:tcBorders>
          </w:tcPr>
          <w:p>
            <w:pPr>
              <w:jc w:val="right"/>
              <w:spacing w:after="0"/>
              <w:rPr>
                <w:sz w:val="20"/>
                <w:szCs w:val="20"/>
                <w:color w:val="auto"/>
              </w:rPr>
            </w:pPr>
            <w:r>
              <w:rPr>
                <w:rFonts w:ascii="Arial" w:cs="Arial" w:eastAsia="Arial" w:hAnsi="Arial"/>
                <w:sz w:val="16"/>
                <w:szCs w:val="16"/>
                <w:color w:val="auto"/>
              </w:rPr>
              <w:t>($291)</w:t>
            </w:r>
          </w:p>
        </w:tc>
      </w:tr>
      <w:tr>
        <w:trPr>
          <w:trHeight w:val="196"/>
        </w:trPr>
        <w:tc>
          <w:tcPr>
            <w:tcW w:w="4500" w:type="dxa"/>
            <w:vAlign w:val="bottom"/>
            <w:tcBorders>
              <w:bottom w:val="single" w:sz="8" w:color="ECEEF0"/>
            </w:tcBorders>
          </w:tcPr>
          <w:p>
            <w:pPr>
              <w:ind w:left="20"/>
              <w:spacing w:after="0"/>
              <w:rPr>
                <w:sz w:val="20"/>
                <w:szCs w:val="20"/>
                <w:color w:val="auto"/>
              </w:rPr>
            </w:pPr>
            <w:r>
              <w:rPr>
                <w:rFonts w:ascii="Arial" w:cs="Arial" w:eastAsia="Arial" w:hAnsi="Arial"/>
                <w:sz w:val="16"/>
                <w:szCs w:val="16"/>
                <w:color w:val="auto"/>
              </w:rPr>
              <w:t>Unrestricted Cash Balance</w:t>
            </w:r>
          </w:p>
        </w:tc>
        <w:tc>
          <w:tcPr>
            <w:tcW w:w="106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$4</w:t>
            </w:r>
          </w:p>
        </w:tc>
      </w:tr>
      <w:tr>
        <w:trPr>
          <w:trHeight w:val="196"/>
        </w:trPr>
        <w:tc>
          <w:tcPr>
            <w:tcW w:w="4500" w:type="dxa"/>
            <w:vAlign w:val="bottom"/>
            <w:tcBorders>
              <w:bottom w:val="single" w:sz="8" w:color="ECEEF0"/>
            </w:tcBorders>
          </w:tcPr>
          <w:p>
            <w:pPr>
              <w:ind w:left="20"/>
              <w:spacing w:after="0"/>
              <w:rPr>
                <w:sz w:val="20"/>
                <w:szCs w:val="20"/>
                <w:color w:val="auto"/>
              </w:rPr>
            </w:pPr>
            <w:r>
              <w:rPr>
                <w:rFonts w:ascii="Arial" w:cs="Arial" w:eastAsia="Arial" w:hAnsi="Arial"/>
                <w:sz w:val="16"/>
                <w:szCs w:val="16"/>
                <w:b w:val="1"/>
                <w:bCs w:val="1"/>
                <w:color w:val="auto"/>
              </w:rPr>
              <w:t>Total Liquidity (Pre-Unfunded Commitments)</w:t>
            </w:r>
          </w:p>
        </w:tc>
        <w:tc>
          <w:tcPr>
            <w:tcW w:w="1060" w:type="dxa"/>
            <w:vAlign w:val="bottom"/>
            <w:tcBorders>
              <w:bottom w:val="single" w:sz="8" w:color="ECEEF0"/>
            </w:tcBorders>
          </w:tcPr>
          <w:p>
            <w:pPr>
              <w:jc w:val="right"/>
              <w:spacing w:after="0"/>
              <w:rPr>
                <w:sz w:val="20"/>
                <w:szCs w:val="20"/>
                <w:color w:val="auto"/>
              </w:rPr>
            </w:pPr>
            <w:r>
              <w:rPr>
                <w:rFonts w:ascii="Arial" w:cs="Arial" w:eastAsia="Arial" w:hAnsi="Arial"/>
                <w:sz w:val="16"/>
                <w:szCs w:val="16"/>
                <w:b w:val="1"/>
                <w:bCs w:val="1"/>
                <w:color w:val="auto"/>
              </w:rPr>
              <w:t>$1,028</w:t>
            </w:r>
          </w:p>
        </w:tc>
      </w:tr>
      <w:tr>
        <w:trPr>
          <w:trHeight w:val="196"/>
        </w:trPr>
        <w:tc>
          <w:tcPr>
            <w:tcW w:w="4500" w:type="dxa"/>
            <w:vAlign w:val="bottom"/>
            <w:tcBorders>
              <w:bottom w:val="single" w:sz="8" w:color="ECEEF0"/>
            </w:tcBorders>
          </w:tcPr>
          <w:p>
            <w:pPr>
              <w:ind w:left="20"/>
              <w:spacing w:after="0"/>
              <w:rPr>
                <w:sz w:val="20"/>
                <w:szCs w:val="20"/>
                <w:color w:val="auto"/>
              </w:rPr>
            </w:pPr>
            <w:r>
              <w:rPr>
                <w:rFonts w:ascii="Arial" w:cs="Arial" w:eastAsia="Arial" w:hAnsi="Arial"/>
                <w:sz w:val="16"/>
                <w:szCs w:val="16"/>
                <w:color w:val="auto"/>
              </w:rPr>
              <w:t>Available Unfunded Commitments</w:t>
            </w:r>
          </w:p>
        </w:tc>
        <w:tc>
          <w:tcPr>
            <w:tcW w:w="106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($83)</w:t>
            </w:r>
          </w:p>
        </w:tc>
      </w:tr>
      <w:tr>
        <w:trPr>
          <w:trHeight w:val="196"/>
        </w:trPr>
        <w:tc>
          <w:tcPr>
            <w:tcW w:w="4500" w:type="dxa"/>
            <w:vAlign w:val="bottom"/>
            <w:tcBorders>
              <w:bottom w:val="single" w:sz="8" w:color="ECEEF0"/>
            </w:tcBorders>
          </w:tcPr>
          <w:p>
            <w:pPr>
              <w:ind w:left="20"/>
              <w:spacing w:after="0"/>
              <w:rPr>
                <w:sz w:val="20"/>
                <w:szCs w:val="20"/>
                <w:color w:val="auto"/>
              </w:rPr>
            </w:pPr>
            <w:r>
              <w:rPr>
                <w:rFonts w:ascii="Arial" w:cs="Arial" w:eastAsia="Arial" w:hAnsi="Arial"/>
                <w:sz w:val="16"/>
                <w:szCs w:val="16"/>
                <w:b w:val="1"/>
                <w:bCs w:val="1"/>
                <w:color w:val="auto"/>
              </w:rPr>
              <w:t>Total Liquidity (Burdened for Unfunded Commitments)</w:t>
            </w:r>
          </w:p>
        </w:tc>
        <w:tc>
          <w:tcPr>
            <w:tcW w:w="1060" w:type="dxa"/>
            <w:vAlign w:val="bottom"/>
            <w:tcBorders>
              <w:bottom w:val="single" w:sz="8" w:color="ECEEF0"/>
            </w:tcBorders>
          </w:tcPr>
          <w:p>
            <w:pPr>
              <w:jc w:val="right"/>
              <w:spacing w:after="0"/>
              <w:rPr>
                <w:sz w:val="20"/>
                <w:szCs w:val="20"/>
                <w:color w:val="auto"/>
              </w:rPr>
            </w:pPr>
            <w:r>
              <w:rPr>
                <w:rFonts w:ascii="Arial" w:cs="Arial" w:eastAsia="Arial" w:hAnsi="Arial"/>
                <w:sz w:val="16"/>
                <w:szCs w:val="16"/>
                <w:b w:val="1"/>
                <w:bCs w:val="1"/>
                <w:color w:val="auto"/>
              </w:rPr>
              <w:t>$945</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3920" w:type="dxa"/>
            <w:vAlign w:val="bottom"/>
            <w:tcBorders>
              <w:top w:val="single" w:sz="8" w:color="ECEEF0"/>
            </w:tcBorders>
          </w:tcPr>
          <w:p>
            <w:pPr>
              <w:spacing w:after="0"/>
              <w:rPr>
                <w:sz w:val="20"/>
                <w:szCs w:val="20"/>
                <w:color w:val="auto"/>
              </w:rPr>
            </w:pPr>
            <w:r>
              <w:rPr>
                <w:rFonts w:ascii="Arial" w:cs="Arial" w:eastAsia="Arial" w:hAnsi="Arial"/>
                <w:sz w:val="16"/>
                <w:szCs w:val="16"/>
                <w:color w:val="auto"/>
              </w:rPr>
              <w:t>Extinguished Unfunded Commitments</w:t>
            </w:r>
          </w:p>
        </w:tc>
        <w:tc>
          <w:tcPr>
            <w:tcW w:w="1540" w:type="dxa"/>
            <w:vAlign w:val="bottom"/>
            <w:tcBorders>
              <w:top w:val="single" w:sz="8" w:color="ECEEF0"/>
            </w:tcBorders>
            <w:gridSpan w:val="2"/>
          </w:tcPr>
          <w:p>
            <w:pPr>
              <w:jc w:val="right"/>
              <w:ind w:right="20"/>
              <w:spacing w:after="0"/>
              <w:rPr>
                <w:sz w:val="20"/>
                <w:szCs w:val="20"/>
                <w:color w:val="auto"/>
              </w:rPr>
            </w:pPr>
            <w:r>
              <w:rPr>
                <w:rFonts w:ascii="Arial" w:cs="Arial" w:eastAsia="Arial" w:hAnsi="Arial"/>
                <w:sz w:val="16"/>
                <w:szCs w:val="16"/>
                <w:color w:val="auto"/>
              </w:rPr>
              <w:t>($12)</w:t>
            </w:r>
          </w:p>
        </w:tc>
      </w:tr>
      <w:tr>
        <w:trPr>
          <w:trHeight w:val="196"/>
        </w:trPr>
        <w:tc>
          <w:tcPr>
            <w:tcW w:w="3920" w:type="dxa"/>
            <w:vAlign w:val="bottom"/>
            <w:tcBorders>
              <w:top w:val="single" w:sz="8" w:color="ECEEF0"/>
              <w:bottom w:val="single" w:sz="8" w:color="ECEEF0"/>
            </w:tcBorders>
          </w:tcPr>
          <w:p>
            <w:pPr>
              <w:spacing w:after="0"/>
              <w:rPr>
                <w:sz w:val="20"/>
                <w:szCs w:val="20"/>
                <w:color w:val="auto"/>
              </w:rPr>
            </w:pPr>
            <w:r>
              <w:rPr>
                <w:rFonts w:ascii="Arial" w:cs="Arial" w:eastAsia="Arial" w:hAnsi="Arial"/>
                <w:sz w:val="16"/>
                <w:szCs w:val="16"/>
                <w:color w:val="auto"/>
              </w:rPr>
              <w:t>New Unfunded Commitments</w:t>
            </w:r>
          </w:p>
        </w:tc>
        <w:tc>
          <w:tcPr>
            <w:tcW w:w="1520" w:type="dxa"/>
            <w:vAlign w:val="bottom"/>
            <w:tcBorders>
              <w:top w:val="single" w:sz="8" w:color="ECEEF0"/>
              <w:bottom w:val="single" w:sz="8" w:color="ECEEF0"/>
            </w:tcBorders>
          </w:tcPr>
          <w:p>
            <w:pPr>
              <w:jc w:val="right"/>
              <w:spacing w:after="0"/>
              <w:rPr>
                <w:sz w:val="20"/>
                <w:szCs w:val="20"/>
                <w:color w:val="auto"/>
              </w:rPr>
            </w:pPr>
            <w:r>
              <w:rPr>
                <w:rFonts w:ascii="Arial" w:cs="Arial" w:eastAsia="Arial" w:hAnsi="Arial"/>
                <w:sz w:val="16"/>
                <w:szCs w:val="16"/>
                <w:color w:val="auto"/>
              </w:rPr>
              <w:t>$184</w:t>
            </w:r>
          </w:p>
        </w:tc>
        <w:tc>
          <w:tcPr>
            <w:tcW w:w="20" w:type="dxa"/>
            <w:vAlign w:val="bottom"/>
          </w:tcPr>
          <w:p>
            <w:pPr>
              <w:spacing w:after="0"/>
              <w:rPr>
                <w:sz w:val="17"/>
                <w:szCs w:val="17"/>
                <w:color w:val="auto"/>
              </w:rPr>
            </w:pPr>
          </w:p>
        </w:tc>
      </w:tr>
      <w:tr>
        <w:trPr>
          <w:trHeight w:val="196"/>
        </w:trPr>
        <w:tc>
          <w:tcPr>
            <w:tcW w:w="3920" w:type="dxa"/>
            <w:vAlign w:val="bottom"/>
            <w:tcBorders>
              <w:bottom w:val="single" w:sz="8" w:color="ECEEF0"/>
            </w:tcBorders>
          </w:tcPr>
          <w:p>
            <w:pPr>
              <w:spacing w:after="0"/>
              <w:rPr>
                <w:sz w:val="20"/>
                <w:szCs w:val="20"/>
                <w:color w:val="auto"/>
              </w:rPr>
            </w:pPr>
            <w:r>
              <w:rPr>
                <w:rFonts w:ascii="Arial" w:cs="Arial" w:eastAsia="Arial" w:hAnsi="Arial"/>
                <w:sz w:val="16"/>
                <w:szCs w:val="16"/>
                <w:color w:val="auto"/>
              </w:rPr>
              <w:t>Net Drawdown of Unfunded Commitments</w:t>
            </w:r>
          </w:p>
        </w:tc>
        <w:tc>
          <w:tcPr>
            <w:tcW w:w="152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($74)</w:t>
            </w:r>
          </w:p>
        </w:tc>
        <w:tc>
          <w:tcPr>
            <w:tcW w:w="20" w:type="dxa"/>
            <w:vAlign w:val="bottom"/>
          </w:tcPr>
          <w:p>
            <w:pPr>
              <w:spacing w:after="0"/>
              <w:rPr>
                <w:sz w:val="17"/>
                <w:szCs w:val="17"/>
                <w:color w:val="auto"/>
              </w:rPr>
            </w:pPr>
          </w:p>
        </w:tc>
      </w:tr>
      <w:tr>
        <w:trPr>
          <w:trHeight w:val="196"/>
        </w:trPr>
        <w:tc>
          <w:tcPr>
            <w:tcW w:w="3920" w:type="dxa"/>
            <w:vAlign w:val="bottom"/>
            <w:tcBorders>
              <w:bottom w:val="single" w:sz="8" w:color="ECEEF0"/>
            </w:tcBorders>
          </w:tcPr>
          <w:p>
            <w:pPr>
              <w:spacing w:after="0"/>
              <w:rPr>
                <w:sz w:val="20"/>
                <w:szCs w:val="20"/>
                <w:color w:val="auto"/>
              </w:rPr>
            </w:pPr>
            <w:r>
              <w:rPr>
                <w:rFonts w:ascii="Arial" w:cs="Arial" w:eastAsia="Arial" w:hAnsi="Arial"/>
                <w:sz w:val="16"/>
                <w:szCs w:val="16"/>
                <w:b w:val="1"/>
                <w:bCs w:val="1"/>
                <w:color w:val="auto"/>
              </w:rPr>
              <w:t>Total Unfunded Commitments</w:t>
            </w:r>
          </w:p>
        </w:tc>
        <w:tc>
          <w:tcPr>
            <w:tcW w:w="1520" w:type="dxa"/>
            <w:vAlign w:val="bottom"/>
            <w:tcBorders>
              <w:bottom w:val="single" w:sz="8" w:color="ECEEF0"/>
            </w:tcBorders>
          </w:tcPr>
          <w:p>
            <w:pPr>
              <w:jc w:val="right"/>
              <w:spacing w:after="0"/>
              <w:rPr>
                <w:sz w:val="20"/>
                <w:szCs w:val="20"/>
                <w:color w:val="auto"/>
              </w:rPr>
            </w:pPr>
            <w:r>
              <w:rPr>
                <w:rFonts w:ascii="Arial" w:cs="Arial" w:eastAsia="Arial" w:hAnsi="Arial"/>
                <w:sz w:val="16"/>
                <w:szCs w:val="16"/>
                <w:b w:val="1"/>
                <w:bCs w:val="1"/>
                <w:color w:val="auto"/>
              </w:rPr>
              <w:t>$250</w:t>
            </w:r>
          </w:p>
        </w:tc>
        <w:tc>
          <w:tcPr>
            <w:tcW w:w="20" w:type="dxa"/>
            <w:vAlign w:val="bottom"/>
          </w:tcPr>
          <w:p>
            <w:pPr>
              <w:spacing w:after="0"/>
              <w:rPr>
                <w:sz w:val="17"/>
                <w:szCs w:val="17"/>
                <w:color w:val="auto"/>
              </w:rPr>
            </w:pPr>
          </w:p>
        </w:tc>
      </w:tr>
      <w:tr>
        <w:trPr>
          <w:trHeight w:val="196"/>
        </w:trPr>
        <w:tc>
          <w:tcPr>
            <w:tcW w:w="3920" w:type="dxa"/>
            <w:vAlign w:val="bottom"/>
            <w:tcBorders>
              <w:bottom w:val="single" w:sz="8" w:color="ECEEF0"/>
            </w:tcBorders>
          </w:tcPr>
          <w:p>
            <w:pPr>
              <w:spacing w:after="0" w:line="195" w:lineRule="exact"/>
              <w:rPr>
                <w:sz w:val="20"/>
                <w:szCs w:val="20"/>
                <w:color w:val="auto"/>
              </w:rPr>
            </w:pPr>
            <w:r>
              <w:rPr>
                <w:rFonts w:ascii="Arial" w:cs="Arial" w:eastAsia="Arial" w:hAnsi="Arial"/>
                <w:sz w:val="14"/>
                <w:szCs w:val="14"/>
                <w:color w:val="auto"/>
              </w:rPr>
              <w:t>Unavailable Unfunded Commitments</w:t>
            </w:r>
            <w:r>
              <w:rPr>
                <w:rFonts w:ascii="Arial" w:cs="Arial" w:eastAsia="Arial" w:hAnsi="Arial"/>
                <w:sz w:val="22"/>
                <w:szCs w:val="22"/>
                <w:color w:val="auto"/>
                <w:vertAlign w:val="superscript"/>
              </w:rPr>
              <w:t>1</w:t>
            </w:r>
          </w:p>
        </w:tc>
        <w:tc>
          <w:tcPr>
            <w:tcW w:w="152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($167)</w:t>
            </w:r>
          </w:p>
        </w:tc>
        <w:tc>
          <w:tcPr>
            <w:tcW w:w="20" w:type="dxa"/>
            <w:vAlign w:val="bottom"/>
          </w:tcPr>
          <w:p>
            <w:pPr>
              <w:spacing w:after="0"/>
              <w:rPr>
                <w:sz w:val="17"/>
                <w:szCs w:val="17"/>
                <w:color w:val="auto"/>
              </w:rPr>
            </w:pPr>
          </w:p>
        </w:tc>
      </w:tr>
      <w:tr>
        <w:trPr>
          <w:trHeight w:val="196"/>
        </w:trPr>
        <w:tc>
          <w:tcPr>
            <w:tcW w:w="3920" w:type="dxa"/>
            <w:vAlign w:val="bottom"/>
            <w:tcBorders>
              <w:bottom w:val="single" w:sz="8" w:color="ECEEF0"/>
            </w:tcBorders>
          </w:tcPr>
          <w:p>
            <w:pPr>
              <w:spacing w:after="0"/>
              <w:rPr>
                <w:sz w:val="20"/>
                <w:szCs w:val="20"/>
                <w:color w:val="auto"/>
              </w:rPr>
            </w:pPr>
            <w:r>
              <w:rPr>
                <w:rFonts w:ascii="Arial" w:cs="Arial" w:eastAsia="Arial" w:hAnsi="Arial"/>
                <w:sz w:val="16"/>
                <w:szCs w:val="16"/>
                <w:b w:val="1"/>
                <w:bCs w:val="1"/>
                <w:color w:val="auto"/>
              </w:rPr>
              <w:t>Available Unfunded Commitments</w:t>
            </w:r>
          </w:p>
        </w:tc>
        <w:tc>
          <w:tcPr>
            <w:tcW w:w="1520" w:type="dxa"/>
            <w:vAlign w:val="bottom"/>
            <w:tcBorders>
              <w:bottom w:val="single" w:sz="8" w:color="ECEEF0"/>
            </w:tcBorders>
          </w:tcPr>
          <w:p>
            <w:pPr>
              <w:jc w:val="right"/>
              <w:spacing w:after="0"/>
              <w:rPr>
                <w:sz w:val="20"/>
                <w:szCs w:val="20"/>
                <w:color w:val="auto"/>
              </w:rPr>
            </w:pPr>
            <w:r>
              <w:rPr>
                <w:rFonts w:ascii="Arial" w:cs="Arial" w:eastAsia="Arial" w:hAnsi="Arial"/>
                <w:sz w:val="16"/>
                <w:szCs w:val="16"/>
                <w:b w:val="1"/>
                <w:bCs w:val="1"/>
                <w:color w:val="auto"/>
              </w:rPr>
              <w:t>$83</w:t>
            </w:r>
          </w:p>
        </w:tc>
        <w:tc>
          <w:tcPr>
            <w:tcW w:w="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2">
            <w:col w:w="5560" w:space="240"/>
            <w:col w:w="5440"/>
          </w:cols>
          <w:pgMar w:left="320" w:top="1219" w:right="339" w:bottom="1440" w:gutter="0" w:footer="0" w:header="0"/>
          <w:type w:val="continuous"/>
        </w:sectPr>
      </w:pPr>
    </w:p>
    <w:p>
      <w:pPr>
        <w:spacing w:after="0" w:line="11" w:lineRule="exact"/>
        <w:rPr>
          <w:sz w:val="20"/>
          <w:szCs w:val="20"/>
          <w:color w:val="auto"/>
        </w:rPr>
      </w:pPr>
    </w:p>
    <w:p>
      <w:pPr>
        <w:ind w:right="60" w:firstLine="8"/>
        <w:spacing w:after="0" w:line="230" w:lineRule="auto"/>
        <w:tabs>
          <w:tab w:leader="none" w:pos="144" w:val="left"/>
        </w:tabs>
        <w:numPr>
          <w:ilvl w:val="0"/>
          <w:numId w:val="3"/>
        </w:numPr>
        <w:rPr>
          <w:rFonts w:ascii="Arial" w:cs="Arial" w:eastAsia="Arial" w:hAnsi="Arial"/>
          <w:sz w:val="14"/>
          <w:szCs w:val="14"/>
          <w:color w:val="auto"/>
        </w:rPr>
      </w:pPr>
      <w:r>
        <w:rPr>
          <w:rFonts w:ascii="Arial" w:cs="Arial" w:eastAsia="Arial" w:hAnsi="Arial"/>
          <w:sz w:val="14"/>
          <w:szCs w:val="14"/>
          <w:color w:val="auto"/>
        </w:rPr>
        <w:t>Commitments may be subject to limitations on borrowings set forth in the agreements between the Company and the applicable portfolio company. As a result, portfolio companies may not be eligible to borrow the full commitment amount on such date.</w:t>
      </w:r>
    </w:p>
    <w:p>
      <w:pPr>
        <w:spacing w:after="0"/>
        <w:rPr>
          <w:rFonts w:ascii="Arial" w:cs="Arial" w:eastAsia="Arial" w:hAnsi="Arial"/>
          <w:sz w:val="14"/>
          <w:szCs w:val="14"/>
          <w:color w:val="auto"/>
        </w:rPr>
      </w:pPr>
      <w:r>
        <w:rPr>
          <w:rFonts w:ascii="Arial" w:cs="Arial" w:eastAsia="Arial" w:hAnsi="Arial"/>
          <w:sz w:val="14"/>
          <w:szCs w:val="14"/>
          <w:color w:val="auto"/>
        </w:rPr>
        <w:t>Note: May not sum due to rounding.</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Profile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September 30, 2020, the Company’s funding mix was comprised of 69% unsecured and 31% secured debt. As illustrated below, the Company’s nearest debt maturity is in August 2022 at $143 million, and the weighted average remaining life of investments funded with debt was ~2.0 years, compared to a weighted average remaining maturity on debt of ~4.0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74295</wp:posOffset>
            </wp:positionV>
            <wp:extent cx="5751830" cy="2922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1830"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60" w:firstLine="8"/>
        <w:spacing w:after="0" w:line="248" w:lineRule="auto"/>
        <w:tabs>
          <w:tab w:leader="none" w:pos="144" w:val="left"/>
        </w:tabs>
        <w:numPr>
          <w:ilvl w:val="0"/>
          <w:numId w:val="4"/>
        </w:numPr>
        <w:rPr>
          <w:rFonts w:ascii="Arial" w:cs="Arial" w:eastAsia="Arial" w:hAnsi="Arial"/>
          <w:sz w:val="13"/>
          <w:szCs w:val="13"/>
          <w:color w:val="auto"/>
        </w:rPr>
      </w:pPr>
      <w:r>
        <w:rPr>
          <w:rFonts w:ascii="Arial" w:cs="Arial" w:eastAsia="Arial" w:hAnsi="Arial"/>
          <w:sz w:val="13"/>
          <w:szCs w:val="13"/>
          <w:color w:val="auto"/>
        </w:rPr>
        <w:t>Net of Deferred Financing Costs and Interest Rate Fair Value Hedging. Deferred Financing Costs total $15.6M at 9/30/19, $18.5M at 12/31/19, $21.4M at 3/31/20, $19.7M at 6/30/20 and $18.4M at 9/30/20. Fair value hedge on interest rate swaps related to the 2024 notes total ($1.7) M at 12/31/19, $17.0M at 3/31/20, $19.3M at 6/30/20 and $18.1M at 9/30/20.</w:t>
      </w:r>
    </w:p>
    <w:p>
      <w:pPr>
        <w:jc w:val="both"/>
        <w:ind w:right="420" w:firstLine="8"/>
        <w:spacing w:after="0" w:line="221" w:lineRule="auto"/>
        <w:tabs>
          <w:tab w:leader="none" w:pos="144" w:val="left"/>
        </w:tabs>
        <w:numPr>
          <w:ilvl w:val="0"/>
          <w:numId w:val="4"/>
        </w:numPr>
        <w:rPr>
          <w:rFonts w:ascii="Arial" w:cs="Arial" w:eastAsia="Arial" w:hAnsi="Arial"/>
          <w:sz w:val="14"/>
          <w:szCs w:val="14"/>
          <w:color w:val="auto"/>
        </w:rPr>
      </w:pPr>
      <w:r>
        <w:rPr>
          <w:rFonts w:ascii="Arial" w:cs="Arial" w:eastAsia="Arial" w:hAnsi="Arial"/>
          <w:sz w:val="14"/>
          <w:szCs w:val="14"/>
          <w:color w:val="auto"/>
        </w:rPr>
        <w:t>Weighted by amortized cost of debt investments. Investments are financed by debt and permanent equity capital. This analysis assumes longer-dated investments are currently funded by permanent equity capital (54% of investments) and the remaining (shorter-dated) investments (46% of investments) are currently funded by debt financing. Investments for purposes of this analysis exclude unfunded commitments, and permanent equity capital is defined as 9/30/20 net assets.</w:t>
      </w:r>
    </w:p>
    <w:p>
      <w:pPr>
        <w:ind w:left="160" w:hanging="152"/>
        <w:spacing w:after="0" w:line="221" w:lineRule="auto"/>
        <w:tabs>
          <w:tab w:leader="none" w:pos="16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Weighted by gross commitment amount.</w:t>
      </w:r>
    </w:p>
    <w:p>
      <w:pPr>
        <w:spacing w:after="0"/>
        <w:rPr>
          <w:sz w:val="20"/>
          <w:szCs w:val="20"/>
          <w:color w:val="auto"/>
        </w:rPr>
      </w:pPr>
      <w:r>
        <w:rPr>
          <w:rFonts w:ascii="Arial" w:cs="Arial" w:eastAsia="Arial" w:hAnsi="Arial"/>
          <w:sz w:val="14"/>
          <w:szCs w:val="14"/>
          <w:color w:val="auto"/>
        </w:rPr>
        <w:t>Note: Numbers may not sum to 100% due to rounding.</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CONFERENCE CALL AND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33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A conference call to discuss the Company’s financial results will be held live at 8:30 a.m. Eastern Time on November 5, 2020. Please visit TSLX’s webcast link located on the Events &amp; Presentations page of the Investor Resources section of TSLX’s website http://www.sixthstreetspecialtylending.com for a slide presentation that complements the Earnings Conference Call. Please visit the website to test your connection before the webcast.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also invited to access the conference call by dialing one of the following numbers: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Domestic: (877) 359-9508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(253) 237-1122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Conference ID: 1686272</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All callers will need to enter the Conference ID followed by the # sign and reference “Sixth Street Specialty Lending” once connected with the operator.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callers are asked to dial in 10-15 minutes prior to the call so that name and company information can be collected.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Replay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An archived replay will be available from approximately 12:00 p.m. Eastern Time on November 5 through November 12 via a webcast link located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Investor Resources section of TSLX’s website, and via the dial-in numbers listed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Domestic: (855) 859-2056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(404) 537-3406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Conference ID: 1686272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8" w:name="page9"/>
    <w:bookmarkEnd w:id="8"/>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in millions, except per share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78"/>
        </w:trPr>
        <w:tc>
          <w:tcPr>
            <w:tcW w:w="6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1"/>
        </w:trPr>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6"/>
              </w:rPr>
              <w:t>September 30, 2020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June 30, 2020</w:t>
            </w:r>
          </w:p>
        </w:tc>
        <w:tc>
          <w:tcPr>
            <w:tcW w:w="100" w:type="dxa"/>
            <w:vAlign w:val="bottom"/>
          </w:tcPr>
          <w:p>
            <w:pPr>
              <w:spacing w:after="0"/>
              <w:rPr>
                <w:sz w:val="14"/>
                <w:szCs w:val="14"/>
                <w:color w:val="auto"/>
              </w:rPr>
            </w:pPr>
          </w:p>
        </w:tc>
        <w:tc>
          <w:tcPr>
            <w:tcW w:w="15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4"/>
              </w:rPr>
              <w:t>September 30, 2019</w:t>
            </w:r>
          </w:p>
        </w:tc>
      </w:tr>
      <w:tr>
        <w:trPr>
          <w:trHeight w:val="156"/>
        </w:trPr>
        <w:tc>
          <w:tcPr>
            <w:tcW w:w="6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5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2,100.8</w:t>
            </w:r>
          </w:p>
        </w:tc>
        <w:tc>
          <w:tcPr>
            <w:tcW w:w="2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1,983.8</w:t>
            </w:r>
          </w:p>
        </w:tc>
        <w:tc>
          <w:tcPr>
            <w:tcW w:w="2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2,047.5</w:t>
            </w:r>
          </w:p>
        </w:tc>
        <w:tc>
          <w:tcPr>
            <w:tcW w:w="180" w:type="dxa"/>
            <w:vAlign w:val="bottom"/>
            <w:shd w:val="clear" w:color="auto" w:fill="CCEEFF"/>
          </w:tcPr>
          <w:p>
            <w:pPr>
              <w:spacing w:after="0"/>
              <w:rPr>
                <w:sz w:val="19"/>
                <w:szCs w:val="19"/>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Total Assets</w:t>
            </w:r>
          </w:p>
        </w:tc>
        <w:tc>
          <w:tcPr>
            <w:tcW w:w="54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2,136.6</w:t>
            </w:r>
          </w:p>
        </w:tc>
        <w:tc>
          <w:tcPr>
            <w:tcW w:w="240" w:type="dxa"/>
            <w:vAlign w:val="bottom"/>
          </w:tcPr>
          <w:p>
            <w:pPr>
              <w:spacing w:after="0"/>
              <w:rPr>
                <w:sz w:val="19"/>
                <w:szCs w:val="19"/>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2,018.6</w:t>
            </w:r>
          </w:p>
        </w:tc>
        <w:tc>
          <w:tcPr>
            <w:tcW w:w="220" w:type="dxa"/>
            <w:vAlign w:val="bottom"/>
          </w:tcPr>
          <w:p>
            <w:pPr>
              <w:spacing w:after="0"/>
              <w:rPr>
                <w:sz w:val="19"/>
                <w:szCs w:val="19"/>
                <w:color w:val="auto"/>
              </w:rPr>
            </w:pPr>
          </w:p>
        </w:tc>
        <w:tc>
          <w:tcPr>
            <w:tcW w:w="54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2,073.3</w:t>
            </w:r>
          </w:p>
        </w:tc>
        <w:tc>
          <w:tcPr>
            <w:tcW w:w="180" w:type="dxa"/>
            <w:vAlign w:val="bottom"/>
          </w:tcPr>
          <w:p>
            <w:pPr>
              <w:spacing w:after="0"/>
              <w:rPr>
                <w:sz w:val="19"/>
                <w:szCs w:val="19"/>
                <w:color w:val="auto"/>
              </w:rPr>
            </w:pPr>
          </w:p>
        </w:tc>
      </w:tr>
      <w:tr>
        <w:trPr>
          <w:trHeight w:val="229"/>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5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2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2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80" w:type="dxa"/>
            <w:vAlign w:val="bottom"/>
            <w:shd w:val="clear" w:color="auto" w:fill="CCEEFF"/>
          </w:tcPr>
          <w:p>
            <w:pPr>
              <w:spacing w:after="0"/>
              <w:rPr>
                <w:sz w:val="19"/>
                <w:szCs w:val="19"/>
                <w:color w:val="auto"/>
              </w:rPr>
            </w:pP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Supplemental Dividend Per Share</w:t>
            </w:r>
          </w:p>
        </w:tc>
        <w:tc>
          <w:tcPr>
            <w:tcW w:w="54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0.10</w:t>
            </w:r>
          </w:p>
        </w:tc>
        <w:tc>
          <w:tcPr>
            <w:tcW w:w="240" w:type="dxa"/>
            <w:vAlign w:val="bottom"/>
          </w:tcPr>
          <w:p>
            <w:pPr>
              <w:spacing w:after="0"/>
              <w:rPr>
                <w:sz w:val="19"/>
                <w:szCs w:val="19"/>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9"/>
                <w:szCs w:val="19"/>
                <w:color w:val="auto"/>
              </w:rPr>
            </w:pPr>
          </w:p>
        </w:tc>
        <w:tc>
          <w:tcPr>
            <w:tcW w:w="54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0.08</w:t>
            </w:r>
          </w:p>
        </w:tc>
        <w:tc>
          <w:tcPr>
            <w:tcW w:w="180" w:type="dxa"/>
            <w:vAlign w:val="bottom"/>
          </w:tcPr>
          <w:p>
            <w:pPr>
              <w:spacing w:after="0"/>
              <w:rPr>
                <w:sz w:val="19"/>
                <w:szCs w:val="19"/>
                <w:color w:val="auto"/>
              </w:rPr>
            </w:pPr>
          </w:p>
        </w:tc>
      </w:tr>
      <w:tr>
        <w:trPr>
          <w:trHeight w:val="257"/>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Pro Forma Net Asset Value Per Share </w:t>
            </w:r>
            <w:r>
              <w:rPr>
                <w:rFonts w:ascii="Arial" w:cs="Arial" w:eastAsia="Arial" w:hAnsi="Arial"/>
                <w:sz w:val="15"/>
                <w:szCs w:val="15"/>
                <w:color w:val="auto"/>
              </w:rPr>
              <w:t>(1)</w:t>
            </w:r>
          </w:p>
        </w:tc>
        <w:tc>
          <w:tcPr>
            <w:tcW w:w="540" w:type="dxa"/>
            <w:vAlign w:val="bottom"/>
            <w:gridSpan w:val="2"/>
            <w:shd w:val="clear" w:color="auto" w:fill="CFF0FC"/>
          </w:tcPr>
          <w:p>
            <w:pPr>
              <w:jc w:val="right"/>
              <w:ind w:right="26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16.77</w:t>
            </w:r>
          </w:p>
        </w:tc>
        <w:tc>
          <w:tcPr>
            <w:tcW w:w="240" w:type="dxa"/>
            <w:vAlign w:val="bottom"/>
            <w:shd w:val="clear" w:color="auto" w:fill="CFF0FC"/>
          </w:tcPr>
          <w:p>
            <w:pPr>
              <w:spacing w:after="0"/>
              <w:rPr>
                <w:sz w:val="22"/>
                <w:szCs w:val="22"/>
                <w:color w:val="auto"/>
              </w:rPr>
            </w:pP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w:t>
            </w:r>
          </w:p>
        </w:tc>
        <w:tc>
          <w:tcPr>
            <w:tcW w:w="220" w:type="dxa"/>
            <w:vAlign w:val="bottom"/>
            <w:shd w:val="clear" w:color="auto" w:fill="CFF0FC"/>
          </w:tcPr>
          <w:p>
            <w:pPr>
              <w:spacing w:after="0"/>
              <w:rPr>
                <w:sz w:val="22"/>
                <w:szCs w:val="22"/>
                <w:color w:val="auto"/>
              </w:rPr>
            </w:pPr>
          </w:p>
        </w:tc>
        <w:tc>
          <w:tcPr>
            <w:tcW w:w="540" w:type="dxa"/>
            <w:vAlign w:val="bottom"/>
            <w:gridSpan w:val="2"/>
            <w:shd w:val="clear" w:color="auto" w:fill="CFF0FC"/>
          </w:tcPr>
          <w:p>
            <w:pPr>
              <w:jc w:val="right"/>
              <w:ind w:right="28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16.64</w:t>
            </w:r>
          </w:p>
        </w:tc>
        <w:tc>
          <w:tcPr>
            <w:tcW w:w="180" w:type="dxa"/>
            <w:vAlign w:val="bottom"/>
            <w:shd w:val="clear" w:color="auto" w:fill="CFF0FC"/>
          </w:tcPr>
          <w:p>
            <w:pPr>
              <w:spacing w:after="0"/>
              <w:rPr>
                <w:sz w:val="22"/>
                <w:szCs w:val="22"/>
                <w:color w:val="auto"/>
              </w:rPr>
            </w:pPr>
          </w:p>
        </w:tc>
      </w:tr>
      <w:tr>
        <w:trPr>
          <w:trHeight w:val="257"/>
        </w:trPr>
        <w:tc>
          <w:tcPr>
            <w:tcW w:w="6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29"/>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540" w:type="dxa"/>
            <w:vAlign w:val="bottom"/>
            <w:gridSpan w:val="2"/>
            <w:shd w:val="clear" w:color="auto" w:fill="CFF0FC"/>
          </w:tcPr>
          <w:p>
            <w:pPr>
              <w:jc w:val="right"/>
              <w:ind w:right="26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w:t>
            </w:r>
          </w:p>
        </w:tc>
        <w:tc>
          <w:tcPr>
            <w:tcW w:w="2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2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8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180" w:type="dxa"/>
            <w:vAlign w:val="bottom"/>
            <w:shd w:val="clear" w:color="auto" w:fill="CFF0FC"/>
          </w:tcPr>
          <w:p>
            <w:pPr>
              <w:spacing w:after="0"/>
              <w:rPr>
                <w:sz w:val="19"/>
                <w:szCs w:val="19"/>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Net Investment Income</w:t>
            </w:r>
          </w:p>
        </w:tc>
        <w:tc>
          <w:tcPr>
            <w:tcW w:w="54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41.1</w:t>
            </w:r>
          </w:p>
        </w:tc>
        <w:tc>
          <w:tcPr>
            <w:tcW w:w="240" w:type="dxa"/>
            <w:vAlign w:val="bottom"/>
          </w:tcPr>
          <w:p>
            <w:pPr>
              <w:spacing w:after="0"/>
              <w:rPr>
                <w:sz w:val="19"/>
                <w:szCs w:val="19"/>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39.5</w:t>
            </w:r>
          </w:p>
        </w:tc>
        <w:tc>
          <w:tcPr>
            <w:tcW w:w="220" w:type="dxa"/>
            <w:vAlign w:val="bottom"/>
          </w:tcPr>
          <w:p>
            <w:pPr>
              <w:spacing w:after="0"/>
              <w:rPr>
                <w:sz w:val="19"/>
                <w:szCs w:val="19"/>
                <w:color w:val="auto"/>
              </w:rPr>
            </w:pPr>
          </w:p>
        </w:tc>
        <w:tc>
          <w:tcPr>
            <w:tcW w:w="54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36.7</w:t>
            </w:r>
          </w:p>
        </w:tc>
        <w:tc>
          <w:tcPr>
            <w:tcW w:w="180" w:type="dxa"/>
            <w:vAlign w:val="bottom"/>
          </w:tcPr>
          <w:p>
            <w:pPr>
              <w:spacing w:after="0"/>
              <w:rPr>
                <w:sz w:val="19"/>
                <w:szCs w:val="19"/>
                <w:color w:val="auto"/>
              </w:rPr>
            </w:pPr>
          </w:p>
        </w:tc>
      </w:tr>
      <w:tr>
        <w:trPr>
          <w:trHeight w:val="229"/>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540" w:type="dxa"/>
            <w:vAlign w:val="bottom"/>
            <w:gridSpan w:val="2"/>
            <w:shd w:val="clear" w:color="auto" w:fill="CFF0FC"/>
          </w:tcPr>
          <w:p>
            <w:pPr>
              <w:jc w:val="right"/>
              <w:ind w:right="26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w:t>
            </w:r>
          </w:p>
        </w:tc>
        <w:tc>
          <w:tcPr>
            <w:tcW w:w="2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w:t>
            </w:r>
          </w:p>
        </w:tc>
        <w:tc>
          <w:tcPr>
            <w:tcW w:w="2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8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180" w:type="dxa"/>
            <w:vAlign w:val="bottom"/>
            <w:shd w:val="clear" w:color="auto" w:fill="CFF0FC"/>
          </w:tcPr>
          <w:p>
            <w:pPr>
              <w:spacing w:after="0"/>
              <w:rPr>
                <w:sz w:val="19"/>
                <w:szCs w:val="19"/>
                <w:color w:val="auto"/>
              </w:rPr>
            </w:pPr>
          </w:p>
        </w:tc>
      </w:tr>
      <w:tr>
        <w:trPr>
          <w:trHeight w:val="257"/>
        </w:trPr>
        <w:tc>
          <w:tcPr>
            <w:tcW w:w="6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29"/>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 Per Share</w:t>
            </w:r>
          </w:p>
        </w:tc>
        <w:tc>
          <w:tcPr>
            <w:tcW w:w="540" w:type="dxa"/>
            <w:vAlign w:val="bottom"/>
            <w:gridSpan w:val="2"/>
            <w:shd w:val="clear" w:color="auto" w:fill="CFF0FC"/>
          </w:tcPr>
          <w:p>
            <w:pPr>
              <w:jc w:val="right"/>
              <w:ind w:right="26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0.61</w:t>
            </w:r>
          </w:p>
        </w:tc>
        <w:tc>
          <w:tcPr>
            <w:tcW w:w="2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2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8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0.55</w:t>
            </w:r>
          </w:p>
        </w:tc>
        <w:tc>
          <w:tcPr>
            <w:tcW w:w="180" w:type="dxa"/>
            <w:vAlign w:val="bottom"/>
            <w:shd w:val="clear" w:color="auto" w:fill="CFF0FC"/>
          </w:tcPr>
          <w:p>
            <w:pPr>
              <w:spacing w:after="0"/>
              <w:rPr>
                <w:sz w:val="19"/>
                <w:szCs w:val="19"/>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Net Realized and Unrealized Gains (and Losses) Per Share</w:t>
            </w:r>
          </w:p>
        </w:tc>
        <w:tc>
          <w:tcPr>
            <w:tcW w:w="54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0.60</w:t>
            </w:r>
          </w:p>
        </w:tc>
        <w:tc>
          <w:tcPr>
            <w:tcW w:w="240" w:type="dxa"/>
            <w:vAlign w:val="bottom"/>
          </w:tcPr>
          <w:p>
            <w:pPr>
              <w:spacing w:after="0"/>
              <w:rPr>
                <w:sz w:val="19"/>
                <w:szCs w:val="19"/>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0.84</w:t>
            </w:r>
          </w:p>
        </w:tc>
        <w:tc>
          <w:tcPr>
            <w:tcW w:w="220" w:type="dxa"/>
            <w:vAlign w:val="bottom"/>
          </w:tcPr>
          <w:p>
            <w:pPr>
              <w:spacing w:after="0"/>
              <w:rPr>
                <w:sz w:val="19"/>
                <w:szCs w:val="19"/>
                <w:color w:val="auto"/>
              </w:rPr>
            </w:pPr>
          </w:p>
        </w:tc>
        <w:tc>
          <w:tcPr>
            <w:tcW w:w="54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(0.09)</w:t>
            </w:r>
          </w:p>
        </w:tc>
      </w:tr>
      <w:tr>
        <w:trPr>
          <w:trHeight w:val="229"/>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w:t>
            </w:r>
          </w:p>
        </w:tc>
        <w:tc>
          <w:tcPr>
            <w:tcW w:w="540" w:type="dxa"/>
            <w:vAlign w:val="bottom"/>
            <w:gridSpan w:val="2"/>
            <w:shd w:val="clear" w:color="auto" w:fill="CFF0FC"/>
          </w:tcPr>
          <w:p>
            <w:pPr>
              <w:jc w:val="right"/>
              <w:ind w:right="26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8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180" w:type="dxa"/>
            <w:vAlign w:val="bottom"/>
            <w:shd w:val="clear" w:color="auto" w:fill="CFF0FC"/>
          </w:tcPr>
          <w:p>
            <w:pPr>
              <w:spacing w:after="0"/>
              <w:rPr>
                <w:sz w:val="19"/>
                <w:szCs w:val="19"/>
                <w:color w:val="auto"/>
              </w:rPr>
            </w:pP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 xml:space="preserve">Annualized Return on Equity (Net Investment Income) </w:t>
            </w:r>
            <w:r>
              <w:rPr>
                <w:rFonts w:ascii="Arial" w:cs="Arial" w:eastAsia="Arial" w:hAnsi="Arial"/>
                <w:sz w:val="15"/>
                <w:szCs w:val="15"/>
                <w:color w:val="auto"/>
              </w:rPr>
              <w:t>(2)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r>
      <w:tr>
        <w:trPr>
          <w:trHeight w:val="23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Annualized Return on Equity (Net Income) </w:t>
            </w:r>
            <w:r>
              <w:rPr>
                <w:rFonts w:ascii="Arial" w:cs="Arial" w:eastAsia="Arial" w:hAnsi="Arial"/>
                <w:sz w:val="15"/>
                <w:szCs w:val="15"/>
                <w:color w:val="auto"/>
              </w:rPr>
              <w:t>(2)</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11.0%</w:t>
            </w:r>
          </w:p>
        </w:tc>
      </w:tr>
      <w:tr>
        <w:trPr>
          <w:trHeight w:val="256"/>
        </w:trPr>
        <w:tc>
          <w:tcPr>
            <w:tcW w:w="6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3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w w:val="98"/>
              </w:rPr>
              <w:t>Weighted Average Yield of Debt and Income Producing Securities at Fair Value</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10.7%</w:t>
            </w: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w w:val="92"/>
              </w:rPr>
              <w:t>Weighted Average Yield of Debt and Income Producing Securities at Amortized Cost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r>
      <w:tr>
        <w:trPr>
          <w:trHeight w:val="229"/>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Percentage of Debt Investment Commitments at Floating Rates </w:t>
            </w:r>
            <w:r>
              <w:rPr>
                <w:rFonts w:ascii="Arial" w:cs="Arial" w:eastAsia="Arial" w:hAnsi="Arial"/>
                <w:sz w:val="15"/>
                <w:szCs w:val="15"/>
                <w:color w:val="auto"/>
              </w:rPr>
              <w:t>(3)</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98.9%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99.1%</w:t>
            </w:r>
          </w:p>
        </w:tc>
      </w:tr>
    </w:tbl>
    <w:p>
      <w:pPr>
        <w:spacing w:after="0" w:line="251"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Pro forma net asset value per share gives effect to the supplemental dividend declared related to earnings in the applicable period.</w:t>
      </w:r>
    </w:p>
    <w:p>
      <w:pPr>
        <w:spacing w:after="0" w:line="21" w:lineRule="exact"/>
        <w:rPr>
          <w:rFonts w:ascii="Arial" w:cs="Arial" w:eastAsia="Arial" w:hAnsi="Arial"/>
          <w:sz w:val="14"/>
          <w:szCs w:val="14"/>
          <w:color w:val="auto"/>
        </w:rPr>
      </w:pPr>
    </w:p>
    <w:p>
      <w:pPr>
        <w:ind w:left="160" w:hanging="152"/>
        <w:spacing w:after="0" w:line="229" w:lineRule="auto"/>
        <w:tabs>
          <w:tab w:leader="none" w:pos="16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Return on equity is calculated using prior period’s ending net asset value per share.</w:t>
      </w:r>
    </w:p>
    <w:p>
      <w:pPr>
        <w:ind w:left="160" w:hanging="152"/>
        <w:spacing w:after="0"/>
        <w:tabs>
          <w:tab w:leader="none" w:pos="1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one or more fixed rate investments for which the Company entered into an interest rate swap agreement to swap to floating rate.</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9" w:name="page10"/>
    <w:bookmarkEnd w:id="9"/>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FINANCIAL STATEMENTS AND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Sixth Street Specialty Lending,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Consolidated Balance Sheets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3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Non-controlled, non-affiliated investments (amortized cost of $2,010,422 and $2,099,781,</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respectively)</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2,066,866</w:t>
            </w:r>
          </w:p>
        </w:tc>
        <w:tc>
          <w:tcPr>
            <w:tcW w:w="18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2,147,876</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rPr>
              <w:t>Non-controlled, affiliated investments (amortized cost of $0 and $49,445, respectively)</w:t>
            </w:r>
          </w:p>
        </w:tc>
        <w:tc>
          <w:tcPr>
            <w:tcW w:w="26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50,136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Controlled, affiliated investments (amortized cost of $89,185 and $88,811, respectively)</w:t>
            </w: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33,899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47,916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Total investments at fair value (amortized cost of $2,099,607 and $2,238,037, respectively)</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2,100,765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2,245,928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(restricted cash of $11,815 and $9,315, respectively)</w:t>
            </w: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15,660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Interest receivable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9,952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13,055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10,272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2,136,649</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2,280,931</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Debt (net of deferred financing costs of $18,438 and $18,471, respectively)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929,380</w:t>
            </w:r>
          </w:p>
        </w:tc>
        <w:tc>
          <w:tcPr>
            <w:tcW w:w="180" w:type="dxa"/>
            <w:vAlign w:val="bottom"/>
          </w:tcPr>
          <w:p>
            <w:pPr>
              <w:spacing w:after="0"/>
              <w:rPr>
                <w:sz w:val="19"/>
                <w:szCs w:val="19"/>
                <w:color w:val="auto"/>
              </w:rPr>
            </w:pP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1,094,467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payable to affiliate</w:t>
            </w: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8,719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7,161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Dividends payable</w:t>
            </w: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27,728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25,927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Other payables to affiliate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3,166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18,597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23,897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995,429</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1,161,634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$0.01 par value; 100,000,000 shares authorized; no shares</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issued and outstanding</w:t>
            </w:r>
          </w:p>
        </w:tc>
        <w:tc>
          <w:tcPr>
            <w:tcW w:w="26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320" w:type="dxa"/>
            <w:vAlign w:val="bottom"/>
          </w:tcPr>
          <w:p>
            <w:pPr>
              <w:spacing w:after="0"/>
              <w:rPr>
                <w:sz w:val="20"/>
                <w:szCs w:val="20"/>
                <w:color w:val="auto"/>
              </w:rPr>
            </w:pPr>
            <w:r>
              <w:rPr>
                <w:rFonts w:ascii="Arial" w:cs="Arial" w:eastAsia="Arial" w:hAnsi="Arial"/>
                <w:sz w:val="18"/>
                <w:szCs w:val="18"/>
                <w:color w:val="auto"/>
                <w:w w:val="98"/>
              </w:rPr>
              <w:t>Common stock, $0.01 par value; 400,000,000 shares authorized, 67,924,184 and 66,613,671</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w w:val="98"/>
              </w:rPr>
              <w:t>shares issued, respectively; and 67,628,140 and 66,524,591 shares outstanding, respectively</w:t>
            </w: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679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1,028,532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1,009,270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Treasury stock at cost; 296,044 and 89,080 shares held, respectively</w:t>
            </w:r>
          </w:p>
        </w:tc>
        <w:tc>
          <w:tcPr>
            <w:tcW w:w="26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(4,291)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(1,359)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Distributable earnings</w:t>
            </w: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116,300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110,720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Net Assets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1,141,220</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1,119,297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2,136,649</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2,280,931</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vMerge w:val="continue"/>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15"/>
        </w:trPr>
        <w:tc>
          <w:tcPr>
            <w:tcW w:w="7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05" w:right="319" w:bottom="1440" w:gutter="0" w:footer="0" w:header="0"/>
        </w:sectPr>
      </w:pPr>
    </w:p>
    <w:bookmarkStart w:id="10" w:name="page11"/>
    <w:bookmarkEnd w:id="10"/>
    <w:p>
      <w:pPr>
        <w:ind w:left="41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Sixth Street Specialty Lending, Inc.</w:t>
      </w:r>
    </w:p>
    <w:p>
      <w:pPr>
        <w:spacing w:after="0" w:line="22"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Consolidated Statements of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40" w:type="dxa"/>
            <w:vAlign w:val="bottom"/>
            <w:gridSpan w:val="6"/>
          </w:tcPr>
          <w:p>
            <w:pPr>
              <w:jc w:val="right"/>
              <w:ind w:right="96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20" w:type="dxa"/>
            <w:vAlign w:val="bottom"/>
            <w:gridSpan w:val="6"/>
          </w:tcPr>
          <w:p>
            <w:pPr>
              <w:jc w:val="right"/>
              <w:ind w:right="98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53"/>
        </w:trPr>
        <w:tc>
          <w:tcPr>
            <w:tcW w:w="5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7"/>
              </w:rPr>
              <w:t>September 30, 2020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5"/>
              </w:rPr>
              <w:t>September 30, 2019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7"/>
              </w:rPr>
              <w:t>September 30, 2020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5"/>
              </w:rPr>
              <w:t>September 30, 2019</w:t>
            </w:r>
          </w:p>
        </w:tc>
        <w:tc>
          <w:tcPr>
            <w:tcW w:w="0" w:type="dxa"/>
            <w:vAlign w:val="bottom"/>
          </w:tcPr>
          <w:p>
            <w:pPr>
              <w:spacing w:after="0"/>
              <w:rPr>
                <w:sz w:val="1"/>
                <w:szCs w:val="1"/>
                <w:color w:val="auto"/>
              </w:rPr>
            </w:pPr>
          </w:p>
        </w:tc>
      </w:tr>
      <w:tr>
        <w:trPr>
          <w:trHeight w:val="155"/>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Income</w:t>
            </w:r>
          </w:p>
        </w:tc>
        <w:tc>
          <w:tcPr>
            <w:tcW w:w="8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20" w:type="dxa"/>
            <w:vAlign w:val="bottom"/>
          </w:tcPr>
          <w:p>
            <w:pPr>
              <w:spacing w:after="0"/>
              <w:rPr>
                <w:sz w:val="20"/>
                <w:szCs w:val="20"/>
                <w:color w:val="auto"/>
              </w:rPr>
            </w:pPr>
            <w:r>
              <w:rPr>
                <w:rFonts w:ascii="Arial" w:cs="Arial" w:eastAsia="Arial" w:hAnsi="Arial"/>
                <w:sz w:val="13"/>
                <w:szCs w:val="13"/>
                <w:color w:val="auto"/>
              </w:rPr>
              <w:t>Investment income from non-controlled, non-affiliated investments:</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Interest from investments</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59,786</w:t>
            </w:r>
          </w:p>
        </w:tc>
        <w:tc>
          <w:tcPr>
            <w:tcW w:w="14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64,451</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181,667</w:t>
            </w:r>
          </w:p>
        </w:tc>
        <w:tc>
          <w:tcPr>
            <w:tcW w:w="16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168,606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ind w:left="260"/>
              <w:spacing w:after="0"/>
              <w:rPr>
                <w:sz w:val="20"/>
                <w:szCs w:val="20"/>
                <w:color w:val="auto"/>
              </w:rPr>
            </w:pPr>
            <w:r>
              <w:rPr>
                <w:rFonts w:ascii="Arial" w:cs="Arial" w:eastAsia="Arial" w:hAnsi="Arial"/>
                <w:sz w:val="13"/>
                <w:szCs w:val="13"/>
                <w:color w:val="auto"/>
              </w:rPr>
              <w:t>Dividend income</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463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1,339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income</w:t>
            </w:r>
          </w:p>
        </w:tc>
        <w:tc>
          <w:tcPr>
            <w:tcW w:w="8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8,080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2,712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17,306</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6,730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20" w:type="dxa"/>
            <w:vAlign w:val="bottom"/>
          </w:tcPr>
          <w:p>
            <w:pPr>
              <w:ind w:left="500"/>
              <w:spacing w:after="0"/>
              <w:rPr>
                <w:sz w:val="20"/>
                <w:szCs w:val="20"/>
                <w:color w:val="auto"/>
              </w:rPr>
            </w:pPr>
            <w:r>
              <w:rPr>
                <w:rFonts w:ascii="Arial" w:cs="Arial" w:eastAsia="Arial" w:hAnsi="Arial"/>
                <w:sz w:val="13"/>
                <w:szCs w:val="13"/>
                <w:color w:val="auto"/>
              </w:rPr>
              <w:t>Total investment income from non-controlled, non-affiliated investments</w:t>
            </w: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68,329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67,163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200,312</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175,337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spacing w:after="0"/>
              <w:rPr>
                <w:sz w:val="20"/>
                <w:szCs w:val="20"/>
                <w:color w:val="auto"/>
              </w:rPr>
            </w:pPr>
            <w:r>
              <w:rPr>
                <w:rFonts w:ascii="Arial" w:cs="Arial" w:eastAsia="Arial" w:hAnsi="Arial"/>
                <w:sz w:val="13"/>
                <w:szCs w:val="13"/>
                <w:color w:val="auto"/>
              </w:rPr>
              <w:t>Investment income from non-controlled, affiliated investments:</w:t>
            </w: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ind w:left="260"/>
              <w:spacing w:after="0"/>
              <w:rPr>
                <w:sz w:val="20"/>
                <w:szCs w:val="20"/>
                <w:color w:val="auto"/>
              </w:rPr>
            </w:pPr>
            <w:r>
              <w:rPr>
                <w:rFonts w:ascii="Arial" w:cs="Arial" w:eastAsia="Arial" w:hAnsi="Arial"/>
                <w:sz w:val="13"/>
                <w:szCs w:val="13"/>
                <w:color w:val="auto"/>
              </w:rPr>
              <w:t>Interest from investments</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2,069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1,332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4,551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5,093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income</w:t>
            </w:r>
          </w:p>
        </w:tc>
        <w:tc>
          <w:tcPr>
            <w:tcW w:w="8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59</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20" w:type="dxa"/>
            <w:vAlign w:val="bottom"/>
          </w:tcPr>
          <w:p>
            <w:pPr>
              <w:ind w:left="500"/>
              <w:spacing w:after="0"/>
              <w:rPr>
                <w:sz w:val="20"/>
                <w:szCs w:val="20"/>
                <w:color w:val="auto"/>
              </w:rPr>
            </w:pPr>
            <w:r>
              <w:rPr>
                <w:rFonts w:ascii="Arial" w:cs="Arial" w:eastAsia="Arial" w:hAnsi="Arial"/>
                <w:sz w:val="13"/>
                <w:szCs w:val="13"/>
                <w:color w:val="auto"/>
              </w:rPr>
              <w:t>Total investment income from non-controlled, affiliated investments</w:t>
            </w: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2,091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1,351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4,610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5,162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spacing w:after="0"/>
              <w:rPr>
                <w:sz w:val="20"/>
                <w:szCs w:val="20"/>
                <w:color w:val="auto"/>
              </w:rPr>
            </w:pPr>
            <w:r>
              <w:rPr>
                <w:rFonts w:ascii="Arial" w:cs="Arial" w:eastAsia="Arial" w:hAnsi="Arial"/>
                <w:sz w:val="13"/>
                <w:szCs w:val="13"/>
                <w:color w:val="auto"/>
              </w:rPr>
              <w:t>Investment income from controlled, affiliated investments:</w:t>
            </w: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ind w:left="260"/>
              <w:spacing w:after="0"/>
              <w:rPr>
                <w:sz w:val="20"/>
                <w:szCs w:val="20"/>
                <w:color w:val="auto"/>
              </w:rPr>
            </w:pPr>
            <w:r>
              <w:rPr>
                <w:rFonts w:ascii="Arial" w:cs="Arial" w:eastAsia="Arial" w:hAnsi="Arial"/>
                <w:sz w:val="13"/>
                <w:szCs w:val="13"/>
                <w:color w:val="auto"/>
              </w:rPr>
              <w:t>Interest from investments</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895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1,535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2,893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4,454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income</w:t>
            </w:r>
          </w:p>
        </w:tc>
        <w:tc>
          <w:tcPr>
            <w:tcW w:w="8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20" w:type="dxa"/>
            <w:vAlign w:val="bottom"/>
            <w:tcBorders>
              <w:bottom w:val="single" w:sz="8" w:color="CFF0FC"/>
            </w:tcBorders>
          </w:tcPr>
          <w:p>
            <w:pPr>
              <w:ind w:left="500"/>
              <w:spacing w:after="0"/>
              <w:rPr>
                <w:sz w:val="20"/>
                <w:szCs w:val="20"/>
                <w:color w:val="auto"/>
              </w:rPr>
            </w:pPr>
            <w:r>
              <w:rPr>
                <w:rFonts w:ascii="Arial" w:cs="Arial" w:eastAsia="Arial" w:hAnsi="Arial"/>
                <w:sz w:val="13"/>
                <w:szCs w:val="13"/>
                <w:color w:val="auto"/>
              </w:rPr>
              <w:t>Total investment income from controlled, affiliated investments</w:t>
            </w: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896</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1,536</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2,897</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4,464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320" w:type="dxa"/>
            <w:vAlign w:val="bottom"/>
            <w:shd w:val="clear" w:color="auto" w:fill="CFF0FC"/>
          </w:tcPr>
          <w:p>
            <w:pPr>
              <w:ind w:left="740"/>
              <w:spacing w:after="0"/>
              <w:rPr>
                <w:sz w:val="20"/>
                <w:szCs w:val="20"/>
                <w:color w:val="auto"/>
              </w:rPr>
            </w:pPr>
            <w:r>
              <w:rPr>
                <w:rFonts w:ascii="Arial" w:cs="Arial" w:eastAsia="Arial" w:hAnsi="Arial"/>
                <w:sz w:val="13"/>
                <w:szCs w:val="13"/>
                <w:b w:val="1"/>
                <w:bCs w:val="1"/>
                <w:color w:val="auto"/>
              </w:rPr>
              <w:t>Total Investment Income</w:t>
            </w:r>
          </w:p>
        </w:tc>
        <w:tc>
          <w:tcPr>
            <w:tcW w:w="8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71,316</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70,050</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207,819</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184,963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20" w:type="dxa"/>
            <w:vAlign w:val="bottom"/>
          </w:tcPr>
          <w:p>
            <w:pPr>
              <w:spacing w:after="0"/>
              <w:rPr>
                <w:sz w:val="20"/>
                <w:szCs w:val="20"/>
                <w:color w:val="auto"/>
              </w:rPr>
            </w:pPr>
            <w:r>
              <w:rPr>
                <w:rFonts w:ascii="Arial" w:cs="Arial" w:eastAsia="Arial" w:hAnsi="Arial"/>
                <w:sz w:val="13"/>
                <w:szCs w:val="13"/>
                <w:b w:val="1"/>
                <w:bCs w:val="1"/>
                <w:color w:val="auto"/>
              </w:rPr>
              <w:t>Expenses</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spacing w:after="0"/>
              <w:rPr>
                <w:sz w:val="20"/>
                <w:szCs w:val="20"/>
                <w:color w:val="auto"/>
              </w:rPr>
            </w:pPr>
            <w:r>
              <w:rPr>
                <w:rFonts w:ascii="Arial" w:cs="Arial" w:eastAsia="Arial" w:hAnsi="Arial"/>
                <w:sz w:val="13"/>
                <w:szCs w:val="13"/>
                <w:color w:val="auto"/>
              </w:rPr>
              <w:t>Interest</w:t>
            </w: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8,399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12,570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31,159</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35,664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spacing w:after="0"/>
              <w:rPr>
                <w:sz w:val="20"/>
                <w:szCs w:val="20"/>
                <w:color w:val="auto"/>
              </w:rPr>
            </w:pPr>
            <w:r>
              <w:rPr>
                <w:rFonts w:ascii="Arial" w:cs="Arial" w:eastAsia="Arial" w:hAnsi="Arial"/>
                <w:sz w:val="13"/>
                <w:szCs w:val="13"/>
                <w:color w:val="auto"/>
              </w:rPr>
              <w:t>Management fees</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7,839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7,875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23,670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21,870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spacing w:after="0"/>
              <w:rPr>
                <w:sz w:val="20"/>
                <w:szCs w:val="20"/>
                <w:color w:val="auto"/>
              </w:rPr>
            </w:pPr>
            <w:r>
              <w:rPr>
                <w:rFonts w:ascii="Arial" w:cs="Arial" w:eastAsia="Arial" w:hAnsi="Arial"/>
                <w:sz w:val="13"/>
                <w:szCs w:val="13"/>
                <w:color w:val="auto"/>
              </w:rPr>
              <w:t>Incentive fees</w:t>
            </w: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8,719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7,794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24,232</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20,050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spacing w:after="0"/>
              <w:rPr>
                <w:sz w:val="20"/>
                <w:szCs w:val="20"/>
                <w:color w:val="auto"/>
              </w:rPr>
            </w:pPr>
            <w:r>
              <w:rPr>
                <w:rFonts w:ascii="Arial" w:cs="Arial" w:eastAsia="Arial" w:hAnsi="Arial"/>
                <w:sz w:val="13"/>
                <w:szCs w:val="13"/>
                <w:color w:val="auto"/>
              </w:rPr>
              <w:t>Professional fees</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1,562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1,760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5,186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4,951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spacing w:after="0"/>
              <w:rPr>
                <w:sz w:val="20"/>
                <w:szCs w:val="20"/>
                <w:color w:val="auto"/>
              </w:rPr>
            </w:pPr>
            <w:r>
              <w:rPr>
                <w:rFonts w:ascii="Arial" w:cs="Arial" w:eastAsia="Arial" w:hAnsi="Arial"/>
                <w:sz w:val="13"/>
                <w:szCs w:val="13"/>
                <w:color w:val="auto"/>
              </w:rPr>
              <w:t>Directors’ fees</w:t>
            </w: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611</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Other general and administrative</w:t>
            </w: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1,505</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1,619</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4,717</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4,652</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Total expenses</w:t>
            </w:r>
          </w:p>
        </w:tc>
        <w:tc>
          <w:tcPr>
            <w:tcW w:w="8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28,212</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31,757</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89,575</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87,590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320" w:type="dxa"/>
            <w:vAlign w:val="bottom"/>
          </w:tcPr>
          <w:p>
            <w:pPr>
              <w:spacing w:after="0"/>
              <w:rPr>
                <w:sz w:val="20"/>
                <w:szCs w:val="20"/>
                <w:color w:val="auto"/>
              </w:rPr>
            </w:pPr>
            <w:r>
              <w:rPr>
                <w:rFonts w:ascii="Arial" w:cs="Arial" w:eastAsia="Arial" w:hAnsi="Arial"/>
                <w:sz w:val="13"/>
                <w:szCs w:val="13"/>
                <w:color w:val="auto"/>
              </w:rPr>
              <w:t>Management and incentive fees waived</w:t>
            </w:r>
          </w:p>
        </w:tc>
        <w:tc>
          <w:tcPr>
            <w:tcW w:w="80" w:type="dxa"/>
            <w:vAlign w:val="bottom"/>
          </w:tcPr>
          <w:p>
            <w:pPr>
              <w:spacing w:after="0"/>
              <w:rPr>
                <w:sz w:val="13"/>
                <w:szCs w:val="13"/>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5"/>
        </w:trPr>
        <w:tc>
          <w:tcPr>
            <w:tcW w:w="53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3"/>
                <w:szCs w:val="13"/>
                <w:b w:val="1"/>
                <w:bCs w:val="1"/>
                <w:color w:val="auto"/>
              </w:rPr>
              <w:t>Net Expenses</w:t>
            </w: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28,212</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31,757</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89,575</w:t>
            </w:r>
          </w:p>
        </w:tc>
        <w:tc>
          <w:tcPr>
            <w:tcW w:w="1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87,590</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320" w:type="dxa"/>
            <w:vAlign w:val="bottom"/>
          </w:tcPr>
          <w:p>
            <w:pPr>
              <w:spacing w:after="0"/>
              <w:rPr>
                <w:sz w:val="20"/>
                <w:szCs w:val="20"/>
                <w:color w:val="auto"/>
              </w:rPr>
            </w:pPr>
            <w:r>
              <w:rPr>
                <w:rFonts w:ascii="Arial" w:cs="Arial" w:eastAsia="Arial" w:hAnsi="Arial"/>
                <w:sz w:val="13"/>
                <w:szCs w:val="13"/>
                <w:b w:val="1"/>
                <w:bCs w:val="1"/>
                <w:color w:val="auto"/>
              </w:rPr>
              <w:t>Net Investment Income Before Income Taxes</w:t>
            </w: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43,104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38,293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118,244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97,373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spacing w:after="0"/>
              <w:rPr>
                <w:sz w:val="20"/>
                <w:szCs w:val="20"/>
                <w:color w:val="auto"/>
              </w:rPr>
            </w:pPr>
            <w:r>
              <w:rPr>
                <w:rFonts w:ascii="Arial" w:cs="Arial" w:eastAsia="Arial" w:hAnsi="Arial"/>
                <w:sz w:val="13"/>
                <w:szCs w:val="13"/>
                <w:color w:val="auto"/>
              </w:rPr>
              <w:t>Income taxes, including excise taxes</w:t>
            </w:r>
          </w:p>
        </w:tc>
        <w:tc>
          <w:tcPr>
            <w:tcW w:w="8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2,000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1,550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4,010</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2,850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20" w:type="dxa"/>
            <w:vAlign w:val="bottom"/>
          </w:tcPr>
          <w:p>
            <w:pPr>
              <w:spacing w:after="0"/>
              <w:rPr>
                <w:sz w:val="20"/>
                <w:szCs w:val="20"/>
                <w:color w:val="auto"/>
              </w:rPr>
            </w:pPr>
            <w:r>
              <w:rPr>
                <w:rFonts w:ascii="Arial" w:cs="Arial" w:eastAsia="Arial" w:hAnsi="Arial"/>
                <w:sz w:val="13"/>
                <w:szCs w:val="13"/>
                <w:b w:val="1"/>
                <w:bCs w:val="1"/>
                <w:color w:val="auto"/>
              </w:rPr>
              <w:t>Net Investment Income</w:t>
            </w: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41,104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36,743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114,234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94,523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Unrealized and Realized Gains (Losses)</w:t>
            </w: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spacing w:after="0"/>
              <w:rPr>
                <w:sz w:val="20"/>
                <w:szCs w:val="20"/>
                <w:color w:val="auto"/>
              </w:rPr>
            </w:pPr>
            <w:r>
              <w:rPr>
                <w:rFonts w:ascii="Arial" w:cs="Arial" w:eastAsia="Arial" w:hAnsi="Arial"/>
                <w:sz w:val="13"/>
                <w:szCs w:val="13"/>
                <w:color w:val="auto"/>
              </w:rPr>
              <w:t>Net change in unrealized gains (losses):</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Non-controlled, non-affiliated investments</w:t>
            </w: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39,106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(11,589)</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8,349</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16,478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ind w:left="260"/>
              <w:spacing w:after="0"/>
              <w:rPr>
                <w:sz w:val="20"/>
                <w:szCs w:val="20"/>
                <w:color w:val="auto"/>
              </w:rPr>
            </w:pPr>
            <w:r>
              <w:rPr>
                <w:rFonts w:ascii="Arial" w:cs="Arial" w:eastAsia="Arial" w:hAnsi="Arial"/>
                <w:sz w:val="13"/>
                <w:szCs w:val="13"/>
                <w:color w:val="auto"/>
              </w:rPr>
              <w:t>Non-controlled, affiliated investments</w:t>
            </w:r>
          </w:p>
        </w:tc>
        <w:tc>
          <w:tcPr>
            <w:tcW w:w="8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3"/>
                <w:szCs w:val="13"/>
                <w:color w:val="auto"/>
              </w:rPr>
              <w:t>(3,607)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3"/>
                <w:szCs w:val="13"/>
                <w:color w:val="auto"/>
              </w:rPr>
              <w:t>(691)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Controlled, affiliated investments</w:t>
            </w: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(4,399)</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(14,392)</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(12,365)</w:t>
            </w:r>
          </w:p>
        </w:tc>
        <w:tc>
          <w:tcPr>
            <w:tcW w:w="0" w:type="dxa"/>
            <w:vAlign w:val="bottom"/>
          </w:tcPr>
          <w:p>
            <w:pPr>
              <w:spacing w:after="0"/>
              <w:rPr>
                <w:sz w:val="1"/>
                <w:szCs w:val="1"/>
                <w:color w:val="auto"/>
              </w:rPr>
            </w:pPr>
          </w:p>
        </w:tc>
      </w:tr>
      <w:tr>
        <w:trPr>
          <w:trHeight w:val="162"/>
        </w:trPr>
        <w:tc>
          <w:tcPr>
            <w:tcW w:w="5320" w:type="dxa"/>
            <w:vAlign w:val="bottom"/>
          </w:tcPr>
          <w:p>
            <w:pPr>
              <w:ind w:left="260"/>
              <w:spacing w:after="0"/>
              <w:rPr>
                <w:sz w:val="20"/>
                <w:szCs w:val="20"/>
                <w:color w:val="auto"/>
              </w:rPr>
            </w:pPr>
            <w:r>
              <w:rPr>
                <w:rFonts w:ascii="Arial" w:cs="Arial" w:eastAsia="Arial" w:hAnsi="Arial"/>
                <w:sz w:val="13"/>
                <w:szCs w:val="13"/>
                <w:color w:val="auto"/>
              </w:rPr>
              <w:t>Translation of other assets and liabilities in foreign currencies</w:t>
            </w:r>
          </w:p>
        </w:tc>
        <w:tc>
          <w:tcPr>
            <w:tcW w:w="8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3"/>
                <w:szCs w:val="13"/>
                <w:color w:val="auto"/>
              </w:rPr>
              <w:t>(4,557)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2,962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863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Interest rate swaps</w:t>
            </w:r>
          </w:p>
        </w:tc>
        <w:tc>
          <w:tcPr>
            <w:tcW w:w="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(1,498)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8,200</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10,908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ind w:left="740"/>
              <w:spacing w:after="0"/>
              <w:rPr>
                <w:sz w:val="20"/>
                <w:szCs w:val="20"/>
                <w:color w:val="auto"/>
              </w:rPr>
            </w:pPr>
            <w:r>
              <w:rPr>
                <w:rFonts w:ascii="Arial" w:cs="Arial" w:eastAsia="Arial" w:hAnsi="Arial"/>
                <w:sz w:val="13"/>
                <w:szCs w:val="13"/>
                <w:color w:val="auto"/>
              </w:rPr>
              <w:t>Total net change in unrealized gains (losses)</w:t>
            </w: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3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29,775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3"/>
                <w:szCs w:val="13"/>
                <w:color w:val="auto"/>
              </w:rPr>
              <w:t>(11,478)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2,329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16,406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color w:val="auto"/>
              </w:rPr>
              <w:t>Realized gains (losses):</w:t>
            </w:r>
          </w:p>
        </w:tc>
        <w:tc>
          <w:tcPr>
            <w:tcW w:w="8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20" w:type="dxa"/>
            <w:vAlign w:val="bottom"/>
          </w:tcPr>
          <w:p>
            <w:pPr>
              <w:ind w:left="260"/>
              <w:spacing w:after="0"/>
              <w:rPr>
                <w:sz w:val="20"/>
                <w:szCs w:val="20"/>
                <w:color w:val="auto"/>
              </w:rPr>
            </w:pPr>
            <w:r>
              <w:rPr>
                <w:rFonts w:ascii="Arial" w:cs="Arial" w:eastAsia="Arial" w:hAnsi="Arial"/>
                <w:sz w:val="13"/>
                <w:szCs w:val="13"/>
                <w:color w:val="auto"/>
              </w:rPr>
              <w:t>Non-controlled, non-affiliated investments</w:t>
            </w:r>
          </w:p>
        </w:tc>
        <w:tc>
          <w:tcPr>
            <w:tcW w:w="8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3"/>
                <w:szCs w:val="13"/>
                <w:color w:val="auto"/>
              </w:rPr>
              <w:t>(265)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4,868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3"/>
                <w:szCs w:val="13"/>
                <w:color w:val="auto"/>
              </w:rPr>
              <w:t>(190)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5,323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Non-controlled, affiliated investments</w:t>
            </w: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11,819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11,819</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320" w:type="dxa"/>
            <w:vAlign w:val="bottom"/>
          </w:tcPr>
          <w:p>
            <w:pPr>
              <w:ind w:left="260"/>
              <w:spacing w:after="0"/>
              <w:rPr>
                <w:sz w:val="20"/>
                <w:szCs w:val="20"/>
                <w:color w:val="auto"/>
              </w:rPr>
            </w:pPr>
            <w:r>
              <w:rPr>
                <w:rFonts w:ascii="Arial" w:cs="Arial" w:eastAsia="Arial" w:hAnsi="Arial"/>
                <w:sz w:val="13"/>
                <w:szCs w:val="13"/>
                <w:color w:val="auto"/>
              </w:rPr>
              <w:t>Controlled, affiliated investments</w:t>
            </w:r>
          </w:p>
        </w:tc>
        <w:tc>
          <w:tcPr>
            <w:tcW w:w="8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3"/>
                <w:szCs w:val="13"/>
                <w:color w:val="auto"/>
              </w:rPr>
              <w:t>(498)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3"/>
                <w:szCs w:val="13"/>
                <w:color w:val="auto"/>
              </w:rPr>
              <w:t>(4,133)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Extinguishment of debt</w:t>
            </w:r>
          </w:p>
        </w:tc>
        <w:tc>
          <w:tcPr>
            <w:tcW w:w="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739</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320" w:type="dxa"/>
            <w:vAlign w:val="bottom"/>
          </w:tcPr>
          <w:p>
            <w:pPr>
              <w:ind w:left="260"/>
              <w:spacing w:after="0"/>
              <w:rPr>
                <w:sz w:val="20"/>
                <w:szCs w:val="20"/>
                <w:color w:val="auto"/>
              </w:rPr>
            </w:pPr>
            <w:r>
              <w:rPr>
                <w:rFonts w:ascii="Arial" w:cs="Arial" w:eastAsia="Arial" w:hAnsi="Arial"/>
                <w:sz w:val="13"/>
                <w:szCs w:val="13"/>
                <w:color w:val="auto"/>
              </w:rPr>
              <w:t>Interest rate swaps</w:t>
            </w:r>
          </w:p>
        </w:tc>
        <w:tc>
          <w:tcPr>
            <w:tcW w:w="8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Foreign currency transactions</w:t>
            </w:r>
          </w:p>
        </w:tc>
        <w:tc>
          <w:tcPr>
            <w:tcW w:w="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(78)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(170)</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20" w:type="dxa"/>
            <w:vAlign w:val="bottom"/>
            <w:tcBorders>
              <w:bottom w:val="single" w:sz="8" w:color="CFF0FC"/>
            </w:tcBorders>
          </w:tcPr>
          <w:p>
            <w:pPr>
              <w:ind w:left="740"/>
              <w:spacing w:after="0"/>
              <w:rPr>
                <w:sz w:val="20"/>
                <w:szCs w:val="20"/>
                <w:color w:val="auto"/>
              </w:rPr>
            </w:pPr>
            <w:r>
              <w:rPr>
                <w:rFonts w:ascii="Arial" w:cs="Arial" w:eastAsia="Arial" w:hAnsi="Arial"/>
                <w:sz w:val="13"/>
                <w:szCs w:val="13"/>
                <w:color w:val="auto"/>
              </w:rPr>
              <w:t>Total net realized gains (losses)</w:t>
            </w:r>
          </w:p>
        </w:tc>
        <w:tc>
          <w:tcPr>
            <w:tcW w:w="8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10,978</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5,076</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8,065</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5,952</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320" w:type="dxa"/>
            <w:vAlign w:val="bottom"/>
            <w:shd w:val="clear" w:color="auto" w:fill="CFF0FC"/>
          </w:tcPr>
          <w:p>
            <w:pPr>
              <w:ind w:left="1000"/>
              <w:spacing w:after="0"/>
              <w:rPr>
                <w:sz w:val="20"/>
                <w:szCs w:val="20"/>
                <w:color w:val="auto"/>
              </w:rPr>
            </w:pPr>
            <w:r>
              <w:rPr>
                <w:rFonts w:ascii="Arial" w:cs="Arial" w:eastAsia="Arial" w:hAnsi="Arial"/>
                <w:sz w:val="13"/>
                <w:szCs w:val="13"/>
                <w:b w:val="1"/>
                <w:bCs w:val="1"/>
                <w:color w:val="auto"/>
              </w:rPr>
              <w:t>Total Net Unrealized and Realized Gains (Losses)</w:t>
            </w:r>
          </w:p>
        </w:tc>
        <w:tc>
          <w:tcPr>
            <w:tcW w:w="8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40,753</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(6,402)</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10,394</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22,358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ind w:left="1000"/>
              <w:spacing w:after="0"/>
              <w:rPr>
                <w:sz w:val="20"/>
                <w:szCs w:val="20"/>
                <w:color w:val="auto"/>
              </w:rPr>
            </w:pPr>
            <w:r>
              <w:rPr>
                <w:rFonts w:ascii="Arial" w:cs="Arial" w:eastAsia="Arial" w:hAnsi="Arial"/>
                <w:sz w:val="13"/>
                <w:szCs w:val="13"/>
                <w:b w:val="1"/>
                <w:bCs w:val="1"/>
                <w:color w:val="auto"/>
              </w:rPr>
              <w:t>Increase in Net Assets Resulting from Operations</w:t>
            </w: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320" w:type="dxa"/>
            <w:vAlign w:val="bottom"/>
            <w:vMerge w:val="continue"/>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81,857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30,341</w:t>
            </w:r>
          </w:p>
        </w:tc>
        <w:tc>
          <w:tcPr>
            <w:tcW w:w="14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124,628</w:t>
            </w:r>
          </w:p>
        </w:tc>
        <w:tc>
          <w:tcPr>
            <w:tcW w:w="16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116,881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3"/>
                <w:szCs w:val="13"/>
                <w:color w:val="auto"/>
              </w:rPr>
              <w:t>Earnings per common share—basic and diluted</w:t>
            </w: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32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w w:val="82"/>
              </w:rPr>
              <w:t>$</w:t>
            </w:r>
          </w:p>
        </w:tc>
        <w:tc>
          <w:tcPr>
            <w:tcW w:w="11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1.21</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w w:val="82"/>
              </w:rPr>
              <w:t>$</w:t>
            </w:r>
          </w:p>
        </w:tc>
        <w:tc>
          <w:tcPr>
            <w:tcW w:w="11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0.46</w:t>
            </w:r>
          </w:p>
        </w:tc>
        <w:tc>
          <w:tcPr>
            <w:tcW w:w="14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20"/>
              <w:spacing w:after="0" w:line="143" w:lineRule="exact"/>
              <w:rPr>
                <w:sz w:val="20"/>
                <w:szCs w:val="20"/>
                <w:color w:val="auto"/>
              </w:rPr>
            </w:pPr>
            <w:r>
              <w:rPr>
                <w:rFonts w:ascii="Arial" w:cs="Arial" w:eastAsia="Arial" w:hAnsi="Arial"/>
                <w:sz w:val="13"/>
                <w:szCs w:val="13"/>
                <w:color w:val="auto"/>
              </w:rPr>
              <w:t>$</w:t>
            </w:r>
          </w:p>
        </w:tc>
        <w:tc>
          <w:tcPr>
            <w:tcW w:w="11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1.86</w:t>
            </w:r>
          </w:p>
        </w:tc>
        <w:tc>
          <w:tcPr>
            <w:tcW w:w="16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20"/>
              <w:spacing w:after="0" w:line="143" w:lineRule="exact"/>
              <w:rPr>
                <w:sz w:val="20"/>
                <w:szCs w:val="20"/>
                <w:color w:val="auto"/>
              </w:rPr>
            </w:pPr>
            <w:r>
              <w:rPr>
                <w:rFonts w:ascii="Arial" w:cs="Arial" w:eastAsia="Arial" w:hAnsi="Arial"/>
                <w:sz w:val="13"/>
                <w:szCs w:val="13"/>
                <w:color w:val="auto"/>
              </w:rPr>
              <w:t>$</w:t>
            </w:r>
          </w:p>
        </w:tc>
        <w:tc>
          <w:tcPr>
            <w:tcW w:w="120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1.77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320" w:type="dxa"/>
            <w:vAlign w:val="bottom"/>
          </w:tcPr>
          <w:p>
            <w:pPr>
              <w:spacing w:after="0"/>
              <w:rPr>
                <w:sz w:val="20"/>
                <w:szCs w:val="20"/>
                <w:color w:val="auto"/>
              </w:rPr>
            </w:pPr>
            <w:r>
              <w:rPr>
                <w:rFonts w:ascii="Arial" w:cs="Arial" w:eastAsia="Arial" w:hAnsi="Arial"/>
                <w:sz w:val="13"/>
                <w:szCs w:val="13"/>
                <w:color w:val="auto"/>
              </w:rPr>
              <w:t>Weighted average shares of common stock outstanding—basic and diluted</w:t>
            </w:r>
          </w:p>
        </w:tc>
        <w:tc>
          <w:tcPr>
            <w:tcW w:w="8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67,584,660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66,235,594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67,068,166</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65,940,148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1" w:name="page12"/>
    <w:bookmarkEnd w:id="11"/>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The Company’s investment activity for quarter ended September 30, 2020 and 2019 is presented below (information presented herein is at par value unless otherwise indicated).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00" w:type="dxa"/>
            <w:vAlign w:val="bottom"/>
            <w:gridSpan w:val="5"/>
          </w:tcPr>
          <w:p>
            <w:pPr>
              <w:jc w:val="right"/>
              <w:ind w:right="12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5"/>
        </w:trPr>
        <w:tc>
          <w:tcPr>
            <w:tcW w:w="5680" w:type="dxa"/>
            <w:vAlign w:val="bottom"/>
            <w:vMerge w:val="continue"/>
          </w:tcPr>
          <w:p>
            <w:pPr>
              <w:spacing w:after="0"/>
              <w:rPr>
                <w:sz w:val="13"/>
                <w:szCs w:val="13"/>
                <w:color w:val="auto"/>
              </w:rPr>
            </w:pPr>
          </w:p>
        </w:tc>
        <w:tc>
          <w:tcPr>
            <w:tcW w:w="19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w w:val="93"/>
              </w:rPr>
              <w:t>September 30, 2020</w:t>
            </w:r>
          </w:p>
        </w:tc>
        <w:tc>
          <w:tcPr>
            <w:tcW w:w="1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w w:val="93"/>
              </w:rPr>
              <w:t>September 30, 2019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19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60"/>
              <w:spacing w:after="0"/>
              <w:rPr>
                <w:sz w:val="20"/>
                <w:szCs w:val="20"/>
                <w:color w:val="auto"/>
              </w:rPr>
            </w:pPr>
            <w:r>
              <w:rPr>
                <w:rFonts w:ascii="Arial" w:cs="Arial" w:eastAsia="Arial" w:hAnsi="Arial"/>
                <w:sz w:val="18"/>
                <w:szCs w:val="18"/>
                <w:color w:val="auto"/>
              </w:rPr>
              <w:t>Gross originations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1,385.3</w:t>
            </w:r>
          </w:p>
        </w:tc>
        <w:tc>
          <w:tcPr>
            <w:tcW w:w="3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616.5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Syndications/sell downs</w:t>
            </w:r>
          </w:p>
        </w:tc>
        <w:tc>
          <w:tcPr>
            <w:tcW w:w="19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949.8</w:t>
            </w:r>
          </w:p>
        </w:tc>
        <w:tc>
          <w:tcPr>
            <w:tcW w:w="3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Pr>
          <w:p>
            <w:pPr>
              <w:ind w:left="500"/>
              <w:spacing w:after="0"/>
              <w:rPr>
                <w:sz w:val="20"/>
                <w:szCs w:val="20"/>
                <w:color w:val="auto"/>
              </w:rPr>
            </w:pPr>
            <w:r>
              <w:rPr>
                <w:rFonts w:ascii="Arial" w:cs="Arial" w:eastAsia="Arial" w:hAnsi="Arial"/>
                <w:sz w:val="18"/>
                <w:szCs w:val="18"/>
                <w:color w:val="auto"/>
              </w:rPr>
              <w:t>Total new investment commitments</w:t>
            </w:r>
          </w:p>
        </w:tc>
        <w:tc>
          <w:tcPr>
            <w:tcW w:w="19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435.5</w:t>
            </w:r>
          </w:p>
        </w:tc>
        <w:tc>
          <w:tcPr>
            <w:tcW w:w="3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355.6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1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60"/>
              <w:spacing w:after="0"/>
              <w:rPr>
                <w:sz w:val="20"/>
                <w:szCs w:val="20"/>
                <w:color w:val="auto"/>
              </w:rPr>
            </w:pPr>
            <w:r>
              <w:rPr>
                <w:rFonts w:ascii="Arial" w:cs="Arial" w:eastAsia="Arial" w:hAnsi="Arial"/>
                <w:sz w:val="18"/>
                <w:szCs w:val="18"/>
                <w:color w:val="auto"/>
              </w:rPr>
              <w:t>First-lien</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324.2</w:t>
            </w:r>
          </w:p>
        </w:tc>
        <w:tc>
          <w:tcPr>
            <w:tcW w:w="3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298.9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1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60"/>
              <w:spacing w:after="0"/>
              <w:rPr>
                <w:sz w:val="20"/>
                <w:szCs w:val="20"/>
                <w:color w:val="auto"/>
              </w:rPr>
            </w:pPr>
            <w:r>
              <w:rPr>
                <w:rFonts w:ascii="Arial" w:cs="Arial" w:eastAsia="Arial" w:hAnsi="Arial"/>
                <w:sz w:val="18"/>
                <w:szCs w:val="18"/>
                <w:color w:val="auto"/>
              </w:rPr>
              <w:t>Mezzanine</w:t>
            </w: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19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3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Pr>
          <w:p>
            <w:pPr>
              <w:ind w:left="500"/>
              <w:spacing w:after="0"/>
              <w:rPr>
                <w:sz w:val="20"/>
                <w:szCs w:val="20"/>
                <w:color w:val="auto"/>
              </w:rPr>
            </w:pPr>
            <w:r>
              <w:rPr>
                <w:rFonts w:ascii="Arial" w:cs="Arial" w:eastAsia="Arial" w:hAnsi="Arial"/>
                <w:sz w:val="18"/>
                <w:szCs w:val="18"/>
                <w:color w:val="auto"/>
              </w:rPr>
              <w:t>Total</w:t>
            </w:r>
          </w:p>
        </w:tc>
        <w:tc>
          <w:tcPr>
            <w:tcW w:w="19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332.3</w:t>
            </w:r>
          </w:p>
        </w:tc>
        <w:tc>
          <w:tcPr>
            <w:tcW w:w="3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309.1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1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60"/>
              <w:spacing w:after="0"/>
              <w:rPr>
                <w:sz w:val="20"/>
                <w:szCs w:val="20"/>
                <w:color w:val="auto"/>
              </w:rPr>
            </w:pPr>
            <w:r>
              <w:rPr>
                <w:rFonts w:ascii="Arial" w:cs="Arial" w:eastAsia="Arial" w:hAnsi="Arial"/>
                <w:sz w:val="18"/>
                <w:szCs w:val="18"/>
                <w:color w:val="auto"/>
              </w:rPr>
              <w:t>First-lien</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247.6</w:t>
            </w:r>
          </w:p>
        </w:tc>
        <w:tc>
          <w:tcPr>
            <w:tcW w:w="3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305.8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1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80" w:type="dxa"/>
            <w:vAlign w:val="bottom"/>
          </w:tcPr>
          <w:p>
            <w:pPr>
              <w:ind w:left="260"/>
              <w:spacing w:after="0"/>
              <w:rPr>
                <w:sz w:val="20"/>
                <w:szCs w:val="20"/>
                <w:color w:val="auto"/>
              </w:rPr>
            </w:pPr>
            <w:r>
              <w:rPr>
                <w:rFonts w:ascii="Arial" w:cs="Arial" w:eastAsia="Arial" w:hAnsi="Arial"/>
                <w:sz w:val="18"/>
                <w:szCs w:val="18"/>
                <w:color w:val="auto"/>
              </w:rPr>
              <w:t>Mezzanine</w:t>
            </w: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19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3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19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w:t>
            </w:r>
          </w:p>
        </w:tc>
        <w:tc>
          <w:tcPr>
            <w:tcW w:w="3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309.9</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68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Number of new investment commitments in</w:t>
            </w:r>
          </w:p>
        </w:tc>
        <w:tc>
          <w:tcPr>
            <w:tcW w:w="1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1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 amount in</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34.8</w:t>
            </w:r>
          </w:p>
        </w:tc>
        <w:tc>
          <w:tcPr>
            <w:tcW w:w="3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43.6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term for new investment</w:t>
            </w:r>
          </w:p>
        </w:tc>
        <w:tc>
          <w:tcPr>
            <w:tcW w:w="1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commitments in new portfolio companies</w:t>
            </w:r>
          </w:p>
        </w:tc>
        <w:tc>
          <w:tcPr>
            <w:tcW w:w="1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 years)</w:t>
            </w:r>
          </w:p>
        </w:tc>
        <w:tc>
          <w:tcPr>
            <w:tcW w:w="1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40"/>
              <w:spacing w:after="0"/>
              <w:rPr>
                <w:sz w:val="20"/>
                <w:szCs w:val="20"/>
                <w:color w:val="auto"/>
              </w:rPr>
            </w:pPr>
            <w:r>
              <w:rPr>
                <w:rFonts w:ascii="Arial" w:cs="Arial" w:eastAsia="Arial" w:hAnsi="Arial"/>
                <w:sz w:val="18"/>
                <w:szCs w:val="18"/>
                <w:b w:val="1"/>
                <w:bCs w:val="1"/>
                <w:color w:val="auto"/>
              </w:rPr>
              <w:t xml:space="preserve">at floating rates </w:t>
            </w:r>
            <w:r>
              <w:rPr>
                <w:rFonts w:ascii="Arial" w:cs="Arial" w:eastAsia="Arial" w:hAnsi="Arial"/>
                <w:sz w:val="15"/>
                <w:szCs w:val="15"/>
                <w:b w:val="1"/>
                <w:bCs w:val="1"/>
                <w:color w:val="auto"/>
              </w:rPr>
              <w:t>(1)</w:t>
            </w:r>
          </w:p>
        </w:tc>
        <w:tc>
          <w:tcPr>
            <w:tcW w:w="1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1"/>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1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at fixed rates</w:t>
            </w:r>
          </w:p>
        </w:tc>
        <w:tc>
          <w:tcPr>
            <w:tcW w:w="1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1"/>
        </w:trPr>
        <w:tc>
          <w:tcPr>
            <w:tcW w:w="568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1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1"/>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spread over LIBOR of new</w:t>
            </w:r>
          </w:p>
        </w:tc>
        <w:tc>
          <w:tcPr>
            <w:tcW w:w="1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 xml:space="preserve">floating rate investment commitments </w:t>
            </w:r>
            <w:r>
              <w:rPr>
                <w:rFonts w:ascii="Arial" w:cs="Arial" w:eastAsia="Arial" w:hAnsi="Arial"/>
                <w:sz w:val="15"/>
                <w:szCs w:val="15"/>
                <w:b w:val="1"/>
                <w:bCs w:val="1"/>
                <w:color w:val="auto"/>
              </w:rPr>
              <w:t>(1)</w:t>
            </w:r>
          </w:p>
        </w:tc>
        <w:tc>
          <w:tcPr>
            <w:tcW w:w="1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1"/>
        </w:trPr>
        <w:tc>
          <w:tcPr>
            <w:tcW w:w="568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 investments</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40"/>
              <w:spacing w:after="0"/>
              <w:rPr>
                <w:sz w:val="20"/>
                <w:szCs w:val="20"/>
                <w:color w:val="auto"/>
              </w:rPr>
            </w:pPr>
            <w:r>
              <w:rPr>
                <w:rFonts w:ascii="Arial" w:cs="Arial" w:eastAsia="Arial" w:hAnsi="Arial"/>
                <w:sz w:val="18"/>
                <w:szCs w:val="18"/>
                <w:b w:val="1"/>
                <w:bCs w:val="1"/>
                <w:color w:val="auto"/>
              </w:rPr>
              <w:t>fully sold or paid down</w:t>
            </w:r>
          </w:p>
        </w:tc>
        <w:tc>
          <w:tcPr>
            <w:tcW w:w="1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1. Includes two fixed rate investments for the three months ended September 30, 2019, for which the Company entered into an interest rate swap agreement to swap to floating rates.</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About Sixth Street Specialty Lending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Sixth Street Specialty Lending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The Company is externally managed by Sixth Street Specialty Lending Advisers, LLC, an affiliate of Sixth Street and a Securities and Exchange Commission (“SEC”) registered investment adviser. The Company leverages the deep investment, sector, and operating resources of Sixth Street, a global investment firm with approximately $48 billion of assets under management.* For more information, visit the Company’s website at www.sixthstreetspecialtylending.com.</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Sixth Street</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Sixth Street is a global investment firm with approximately $48 billion in assets under management.* Sixth Street operates eight diversified, collaborative investment platforms across our growth investing, adjacencies, direct lending, fundamental public strategies, infrastructure, special situations, agriculture and par liquid credit businesses. Our long-term oriented, highly flexible capital base and “One Team” cultural philosophy allow us to invest thematically across sectors, geographies and asset classes. Founded in 2009, Sixth Street has more than 275 team members including over 140 investment professionals operating from nine locations around the world. For more information, visit www.sixthstreet.com.</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Statements included herein may constitute “forward-looking statements,” which relate to future events or the Company’s future performance or financial condition, including expectations with respect to the Company’s portfolio companies.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AUM presented as of 6/30/2020 plus additional capital commitments closed through 10/31/2020.</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IRTSLX@sixthstreet.com</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Patrick Clifford, 617-793-2004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PClifford@sixthstreet.com</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sectPr>
      <w:pgSz w:w="11900" w:h="16838" w:orient="portrait"/>
      <w:cols w:equalWidth="0" w:num="1">
        <w:col w:w="11240"/>
      </w:cols>
      <w:pgMar w:left="320" w:top="12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2020-11-04T15:29:58Z</dcterms:created>
  <dcterms:modified xsi:type="dcterms:W3CDTF">2020-11-04T15:29:58Z</dcterms:modified>
</cp:coreProperties>
</file>