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3,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TPG Specialty Lending,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100" w:type="dxa"/>
        <w:tblCellMar>
          <w:top w:w="0" w:type="dxa"/>
          <w:left w:w="0" w:type="dxa"/>
          <w:bottom w:w="0" w:type="dxa"/>
          <w:right w:w="0" w:type="dxa"/>
        </w:tblCellMar>
      </w:tblPr>
      <w:tr>
        <w:trPr>
          <w:trHeight w:val="214"/>
        </w:trPr>
        <w:tc>
          <w:tcPr>
            <w:tcW w:w="4160" w:type="dxa"/>
            <w:vAlign w:val="bottom"/>
          </w:tcPr>
          <w:p>
            <w:pPr>
              <w:jc w:val="center"/>
              <w:ind w:right="23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001-36364</w:t>
            </w:r>
          </w:p>
        </w:tc>
        <w:tc>
          <w:tcPr>
            <w:tcW w:w="252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27-3380000</w:t>
            </w:r>
          </w:p>
        </w:tc>
      </w:tr>
      <w:tr>
        <w:trPr>
          <w:trHeight w:val="149"/>
        </w:trPr>
        <w:tc>
          <w:tcPr>
            <w:tcW w:w="4160" w:type="dxa"/>
            <w:vAlign w:val="bottom"/>
          </w:tcPr>
          <w:p>
            <w:pPr>
              <w:jc w:val="center"/>
              <w:ind w:right="23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160" w:type="dxa"/>
            <w:vAlign w:val="bottom"/>
          </w:tcPr>
          <w:p>
            <w:pPr>
              <w:jc w:val="center"/>
              <w:ind w:right="23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16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9"/>
              </w:rPr>
              <w:t>301 Commerce Street, Suite 3300</w:t>
            </w:r>
          </w:p>
        </w:tc>
        <w:tc>
          <w:tcPr>
            <w:tcW w:w="23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7"/>
        </w:trPr>
        <w:tc>
          <w:tcPr>
            <w:tcW w:w="416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8"/>
              </w:rPr>
              <w:t>Fort Worth, TX</w:t>
            </w:r>
          </w:p>
        </w:tc>
        <w:tc>
          <w:tcPr>
            <w:tcW w:w="238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76102</w:t>
            </w:r>
          </w:p>
        </w:tc>
      </w:tr>
      <w:tr>
        <w:trPr>
          <w:trHeight w:val="190"/>
        </w:trPr>
        <w:tc>
          <w:tcPr>
            <w:tcW w:w="4160" w:type="dxa"/>
            <w:vAlign w:val="bottom"/>
          </w:tcPr>
          <w:p>
            <w:pPr>
              <w:jc w:val="center"/>
              <w:ind w:left="1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8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251460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On November 3, 2014, the registrant issued a press release announcing its financial results for the quarter ended September 30, 2014. The text of the press release is included as Exhibit 99.1 to this Form 8-K.</w:t>
      </w:r>
    </w:p>
    <w:p>
      <w:pPr>
        <w:spacing w:after="0" w:line="162"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 Regulation FD Disclosure</w:t>
      </w:r>
    </w:p>
    <w:p>
      <w:pPr>
        <w:spacing w:after="0" w:line="121"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On November 3, 2014, the registrant issued a press release, included herewith as Exhibit 99.1, announcing the declaration of a fourth fiscal quarter 2014 dividend of $0.39 per share, payable on or about January 31, 2015 to stockholders of record as of December 31, 2014.</w:t>
      </w:r>
    </w:p>
    <w:p>
      <w:pPr>
        <w:spacing w:after="0" w:line="162"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256" w:lineRule="exact"/>
        <w:rPr>
          <w:sz w:val="20"/>
          <w:szCs w:val="20"/>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u w:val="single" w:color="auto"/>
          <w:color w:val="auto"/>
        </w:rPr>
        <w:t>Number</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9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Press Release, dated as of November 3, 2014</w:t>
      </w:r>
    </w:p>
    <w:p>
      <w:pPr>
        <w:sectPr>
          <w:pgSz w:w="11900" w:h="16838" w:orient="portrait"/>
          <w:cols w:equalWidth="0" w:num="1">
            <w:col w:w="11300"/>
          </w:cols>
          <w:pgMar w:left="240" w:top="266"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770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TPG SPECIALTY LENDING, INC.</w:t>
            </w:r>
          </w:p>
        </w:tc>
      </w:tr>
      <w:tr>
        <w:trPr>
          <w:trHeight w:val="234"/>
        </w:trPr>
        <w:tc>
          <w:tcPr>
            <w:tcW w:w="37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(Registrant)</w:t>
            </w:r>
          </w:p>
        </w:tc>
      </w:tr>
      <w:tr>
        <w:trPr>
          <w:trHeight w:val="44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2014</w:t>
            </w:r>
          </w:p>
        </w:tc>
        <w:tc>
          <w:tcPr>
            <w:tcW w:w="770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By:  /s/ Alan Kirshenbaum</w:t>
            </w:r>
          </w:p>
        </w:tc>
      </w:tr>
      <w:tr>
        <w:trPr>
          <w:trHeight w:val="191"/>
        </w:trPr>
        <w:tc>
          <w:tcPr>
            <w:tcW w:w="37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4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Alan Kirshenbaum</w:t>
            </w:r>
          </w:p>
        </w:tc>
      </w:tr>
      <w:tr>
        <w:trPr>
          <w:trHeight w:val="234"/>
        </w:trPr>
        <w:tc>
          <w:tcPr>
            <w:tcW w:w="37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78"/>
        </w:trPr>
        <w:tc>
          <w:tcPr>
            <w:tcW w:w="3720" w:type="dxa"/>
            <w:vAlign w:val="bottom"/>
          </w:tcPr>
          <w:p>
            <w:pPr>
              <w:spacing w:after="0"/>
              <w:rPr>
                <w:sz w:val="24"/>
                <w:szCs w:val="24"/>
                <w:color w:val="auto"/>
              </w:rPr>
            </w:pPr>
          </w:p>
        </w:tc>
        <w:tc>
          <w:tcPr>
            <w:tcW w:w="24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3" w:name="page4"/>
    <w:bookmarkEnd w:id="3"/>
    <w:p>
      <w:pPr>
        <w:ind w:left="104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TPG Specialty Lending, Inc. Announces Quarter Ended September 30, 2014 Financial Results; Board Increases Quarterly Dividend to $0.39 Per Share for the Fourth Fiscal Quarter of 2014 and Approves a Stock Repurchase Plan</w:t>
      </w:r>
    </w:p>
    <w:p>
      <w:pPr>
        <w:spacing w:after="0" w:line="15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NEW YORK—(BUSINESS WIRE)—November 3, 2014—TPG Specialty Lending, Inc. (NYSE: TSLX) today reported net investment income of $23.1 million, or $0.43 per share, for the quarter ended September 30, 2014. Net income was $18.6 million or $0.35 per share, for the quarter ended September 30, 2014. Net asset value per share was $15.66 at September 30, 2014 as compared to $15.70 at June 30, 2014. The Company’s Board of Directors declared a third quarter dividend of $0.38 per share payable to stockholders of record as of September 30, 2014 that was paid on October 31, 2014.</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also announced that its Board of Directors has declared a quarterly dividend of $0.39 per share, a $0.01 increase as compared to the previous quarter, for stockholders of record as of December 31, 2014, payable on or about January 31, 2015.</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Company’s Board of Directors has also approved a stock repurchase plan to acquire up to $50 million in the aggregate of the Company’s common stock at prices below the Company’s net asset value per share, in accordance with the guidelines specified in Rule 10b-18 and Rule 10b5-1 of the Securities Exchange Act of 1934. The stock repurchase plan will require an agent selected by the Company to repurchase shares of the Company’s common stock when the market price per share is below the most recently reported net asset value per share. Under the stock repurchase plan, the agent will increase the volume of purchases made as the price of the Company’s common stock declines, subject to volume restrictions. Unless extended or terminated by its Board of Directors, the Company expects that the stock repurchase plan will be in effect through the earlier of May 4, 2015 or such time as the approved $50 million repurchase amount has been fully utilized, subject to certain conditions.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50"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4"/>
          <w:szCs w:val="14"/>
          <w:b w:val="1"/>
          <w:bCs w:val="1"/>
          <w:color w:val="auto"/>
        </w:rPr>
        <w:t>(Amounts in thousands, except per share</w:t>
      </w:r>
    </w:p>
    <w:p>
      <w:pPr>
        <w:spacing w:after="0" w:line="6"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4"/>
          <w:szCs w:val="14"/>
          <w:b w:val="1"/>
          <w:bCs w:val="1"/>
          <w:color w:val="auto"/>
        </w:rPr>
        <w:t>amounts)</w:t>
      </w:r>
    </w:p>
    <w:p>
      <w:pPr>
        <w:jc w:val="center"/>
        <w:ind w:left="5280"/>
        <w:spacing w:after="0" w:line="223" w:lineRule="auto"/>
        <w:rPr>
          <w:sz w:val="20"/>
          <w:szCs w:val="20"/>
          <w:color w:val="auto"/>
        </w:rPr>
      </w:pPr>
      <w:r>
        <w:rPr>
          <w:rFonts w:ascii="Times New Roman" w:cs="Times New Roman" w:eastAsia="Times New Roman" w:hAnsi="Times New Roman"/>
          <w:sz w:val="14"/>
          <w:szCs w:val="14"/>
          <w:b w:val="1"/>
          <w:bCs w:val="1"/>
          <w:color w:val="auto"/>
        </w:rPr>
        <w:t>(Unaudited)</w:t>
      </w:r>
    </w:p>
    <w:p>
      <w:pPr>
        <w:jc w:val="center"/>
        <w:ind w:left="5280"/>
        <w:spacing w:after="0" w:line="231" w:lineRule="auto"/>
        <w:rPr>
          <w:sz w:val="20"/>
          <w:szCs w:val="20"/>
          <w:color w:val="auto"/>
        </w:rPr>
      </w:pPr>
      <w:r>
        <w:rPr>
          <w:rFonts w:ascii="Times New Roman" w:cs="Times New Roman" w:eastAsia="Times New Roman" w:hAnsi="Times New Roman"/>
          <w:sz w:val="14"/>
          <w:szCs w:val="14"/>
          <w:b w:val="1"/>
          <w:bCs w:val="1"/>
          <w:color w:val="auto"/>
        </w:rPr>
        <w:t>Three Months Ended</w:t>
      </w:r>
    </w:p>
    <w:tbl>
      <w:tblPr>
        <w:tblLayout w:type="fixed"/>
        <w:tblInd w:w="920" w:type="dxa"/>
        <w:tblCellMar>
          <w:top w:w="0" w:type="dxa"/>
          <w:left w:w="0" w:type="dxa"/>
          <w:bottom w:w="0" w:type="dxa"/>
          <w:right w:w="0" w:type="dxa"/>
        </w:tblCellMar>
      </w:tblPr>
      <w:tr>
        <w:trPr>
          <w:trHeight w:val="129"/>
        </w:trPr>
        <w:tc>
          <w:tcPr>
            <w:tcW w:w="4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473"/>
              <w:spacing w:after="0" w:line="12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140" w:type="dxa"/>
            <w:vAlign w:val="bottom"/>
            <w:tcBorders>
              <w:top w:val="single" w:sz="8" w:color="auto"/>
            </w:tcBorders>
            <w:gridSpan w:val="2"/>
          </w:tcPr>
          <w:p>
            <w:pPr>
              <w:ind w:left="260"/>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1"/>
                <w:szCs w:val="11"/>
                <w:color w:val="auto"/>
              </w:rPr>
            </w:pPr>
          </w:p>
        </w:tc>
      </w:tr>
      <w:tr>
        <w:trPr>
          <w:trHeight w:val="176"/>
        </w:trPr>
        <w:tc>
          <w:tcPr>
            <w:tcW w:w="4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360" w:type="dxa"/>
            <w:vAlign w:val="bottom"/>
          </w:tcPr>
          <w:p>
            <w:pPr>
              <w:spacing w:after="0"/>
              <w:rPr>
                <w:sz w:val="15"/>
                <w:szCs w:val="15"/>
                <w:color w:val="auto"/>
              </w:rPr>
            </w:pPr>
          </w:p>
        </w:tc>
        <w:tc>
          <w:tcPr>
            <w:tcW w:w="11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2014</w:t>
            </w:r>
          </w:p>
        </w:tc>
        <w:tc>
          <w:tcPr>
            <w:tcW w:w="460" w:type="dxa"/>
            <w:vAlign w:val="bottom"/>
          </w:tcPr>
          <w:p>
            <w:pPr>
              <w:spacing w:after="0"/>
              <w:rPr>
                <w:sz w:val="15"/>
                <w:szCs w:val="15"/>
                <w:color w:val="auto"/>
              </w:rPr>
            </w:pPr>
          </w:p>
        </w:tc>
        <w:tc>
          <w:tcPr>
            <w:tcW w:w="6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Pr>
          <w:p>
            <w:pPr>
              <w:spacing w:after="0"/>
              <w:rPr>
                <w:sz w:val="15"/>
                <w:szCs w:val="15"/>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9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1,233,181</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w w:val="97"/>
              </w:rPr>
              <w:t>1,129,199</w:t>
            </w:r>
          </w:p>
        </w:tc>
        <w:tc>
          <w:tcPr>
            <w:tcW w:w="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889,330</w:t>
            </w:r>
          </w:p>
        </w:tc>
        <w:tc>
          <w:tcPr>
            <w:tcW w:w="20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9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1,280,043</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w w:val="97"/>
              </w:rPr>
              <w:t>1,178,790</w:t>
            </w:r>
          </w:p>
        </w:tc>
        <w:tc>
          <w:tcPr>
            <w:tcW w:w="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926,154</w:t>
            </w:r>
          </w:p>
        </w:tc>
        <w:tc>
          <w:tcPr>
            <w:tcW w:w="20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 Value Per Share</w:t>
            </w:r>
          </w:p>
        </w:tc>
        <w:tc>
          <w:tcPr>
            <w:tcW w:w="9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15.66</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15.70</w:t>
            </w:r>
          </w:p>
        </w:tc>
        <w:tc>
          <w:tcPr>
            <w:tcW w:w="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20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9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38,404</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45,657</w:t>
            </w:r>
          </w:p>
        </w:tc>
        <w:tc>
          <w:tcPr>
            <w:tcW w:w="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23,298</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9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23,116</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29,433</w:t>
            </w:r>
          </w:p>
        </w:tc>
        <w:tc>
          <w:tcPr>
            <w:tcW w:w="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14,585</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18,603</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27,294</w:t>
            </w:r>
          </w:p>
        </w:tc>
        <w:tc>
          <w:tcPr>
            <w:tcW w:w="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16,259</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 Per Share</w:t>
            </w:r>
          </w:p>
        </w:tc>
        <w:tc>
          <w:tcPr>
            <w:tcW w:w="9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0.43</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0.55</w:t>
            </w:r>
          </w:p>
        </w:tc>
        <w:tc>
          <w:tcPr>
            <w:tcW w:w="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0.42</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and Unrealized Gains Per Share</w:t>
            </w:r>
          </w:p>
        </w:tc>
        <w:tc>
          <w:tcPr>
            <w:tcW w:w="9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(0.08)</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(0.04)</w:t>
            </w:r>
          </w:p>
        </w:tc>
        <w:tc>
          <w:tcPr>
            <w:tcW w:w="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9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0.35</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0.51</w:t>
            </w:r>
          </w:p>
        </w:tc>
        <w:tc>
          <w:tcPr>
            <w:tcW w:w="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0.47</w:t>
            </w:r>
          </w:p>
        </w:tc>
      </w:tr>
      <w:tr>
        <w:trPr>
          <w:trHeight w:val="198"/>
        </w:trPr>
        <w:tc>
          <w:tcPr>
            <w:tcW w:w="4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Yield of Debt and Other Income Producing</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at Fair Value</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10.5%</w:t>
            </w:r>
          </w:p>
        </w:tc>
        <w:tc>
          <w:tcPr>
            <w:tcW w:w="360" w:type="dxa"/>
            <w:vAlign w:val="bottom"/>
          </w:tcPr>
          <w:p>
            <w:pPr>
              <w:spacing w:after="0"/>
              <w:rPr>
                <w:sz w:val="20"/>
                <w:szCs w:val="20"/>
                <w:color w:val="auto"/>
              </w:rPr>
            </w:pPr>
          </w:p>
        </w:tc>
        <w:tc>
          <w:tcPr>
            <w:tcW w:w="112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10.3%</w:t>
            </w:r>
          </w:p>
        </w:tc>
        <w:tc>
          <w:tcPr>
            <w:tcW w:w="46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w:t>
            </w:r>
          </w:p>
        </w:tc>
      </w:tr>
      <w:tr>
        <w:trPr>
          <w:trHeight w:val="198"/>
        </w:trPr>
        <w:tc>
          <w:tcPr>
            <w:tcW w:w="4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Yield of Debt and Other Income Producing</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4"/>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 at Amortized Cost</w:t>
            </w: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10.6%</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10.5%</w:t>
            </w:r>
          </w:p>
        </w:tc>
        <w:tc>
          <w:tcPr>
            <w:tcW w:w="4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Debt Investment Commitments at Floating Rates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98%</w:t>
            </w:r>
          </w:p>
        </w:tc>
        <w:tc>
          <w:tcPr>
            <w:tcW w:w="360" w:type="dxa"/>
            <w:vAlign w:val="bottom"/>
          </w:tcPr>
          <w:p>
            <w:pPr>
              <w:spacing w:after="0"/>
              <w:rPr>
                <w:sz w:val="20"/>
                <w:szCs w:val="20"/>
                <w:color w:val="auto"/>
              </w:rPr>
            </w:pPr>
          </w:p>
        </w:tc>
        <w:tc>
          <w:tcPr>
            <w:tcW w:w="112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98%</w:t>
            </w:r>
          </w:p>
        </w:tc>
        <w:tc>
          <w:tcPr>
            <w:tcW w:w="46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w:t>
            </w:r>
          </w:p>
        </w:tc>
      </w:tr>
      <w:tr>
        <w:trPr>
          <w:trHeight w:val="346"/>
        </w:trPr>
        <w:tc>
          <w:tcPr>
            <w:tcW w:w="466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Conference Call and Webcast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Conference Call Information:</w:t>
      </w:r>
    </w:p>
    <w:p>
      <w:pPr>
        <w:spacing w:after="0" w:line="117"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 xml:space="preserve">The conference call will be broadcast live at 8 a.m. Eastern Standard Time on November 4, 2014 via the Investor Resources section of our website at </w:t>
      </w:r>
      <w:r>
        <w:rPr>
          <w:rFonts w:ascii="Times New Roman" w:cs="Times New Roman" w:eastAsia="Times New Roman" w:hAnsi="Times New Roman"/>
          <w:sz w:val="18"/>
          <w:szCs w:val="18"/>
          <w:u w:val="single" w:color="auto"/>
          <w:color w:val="auto"/>
        </w:rPr>
        <w:t>http://www.tpgspecialtylending.com</w:t>
      </w:r>
      <w:r>
        <w:rPr>
          <w:rFonts w:ascii="Times New Roman" w:cs="Times New Roman" w:eastAsia="Times New Roman" w:hAnsi="Times New Roman"/>
          <w:sz w:val="18"/>
          <w:szCs w:val="18"/>
          <w:color w:val="auto"/>
        </w:rPr>
        <w:t>. Please visit the website to test your connection before the webcast.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are also invited to access the conference call by dialing one of the following numbers: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Domestic: (877) 359-9508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+1 (224) 357-2393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ID: 19189777</w:t>
      </w:r>
    </w:p>
    <w:p>
      <w:pPr>
        <w:spacing w:after="0" w:line="20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All callers will need to enter the Conference ID followed by the # sign and reference “TPG Specialty Lending” once connected with the operator. All callers are asked to dial in 10-15 minutes prior to the call so that name and company information can be collected.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Replay Information:</w:t>
      </w:r>
    </w:p>
    <w:p>
      <w:pPr>
        <w:spacing w:after="0" w:line="11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An archived replay will be available from approximately 12:00 p.m. on November 4 through November 19 through a webcast link located on the Investor Resources section of our website, and via the dial-in numbers listed below:</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Domestic: (855) 859-2056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+1 (404) 537-3406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ID: 19189777</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and Investment Activity</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2014, originations totaled $288.6 million. This compares to $157.1 million for the three months ended June 30, 2014 and $277.3 million for the three months ended September 30, 2013.</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2014, we made new investment commitments of $248.6 million, $216.9 million in four new portfolio companies and $31.7 million in four existing portfolio companies. Of the $248.6 million of new investment commitments, $224.0 million was funded during the period. For this period, we had $109.6 million aggregate principal amount in exits and repayments, resulting in a net portfolio increase of $114.4 million aggregate principal amount.</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2014, we made new investment commitments of $116.4 million, $114.0 million in four new portfolio companies and $2.4 million in two existing portfolio companies. Of the $116.4 million of new investment commitments, $104.4 million was funded during the period. For this period, we had $159.2 million aggregate principal amount in exits and repayments, resulting in a net portfolio decrease of $54.8 million aggregate principal amount.</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of September 30, 2014 and June 30, 2014, we had investments in 31 portfolio companies with an aggregate fair value of $1,233.2 million and $1,129.2 million, respectively.</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As of September 30, 2014, our portfolio at fair value consisted of 85.8% first-lien debt investments, 12.7% second-lien debt investments, 0.4% mezzanine debt investments, and 1.1 % equity and other investments. As of June 30, 2014, our portfolio at fair value consisted of 85.9% first-lien debt investments, 12.7% second-lien debt investments, 0.4% mezzanine debt investments, and 1.0% equity investments.</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September 30, 2014, 98% of our debt investments bore interest at floating rates, subject to interest rate floors. Our credit facilities also bear interest at floating rates.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September 30, 2014 and June 30, 2014, respectively, our weighted average total yield of debt and income producing securities at fair value (which includes interest income and amortization of fees and discounts) was 10.5% and 10.3%, respectively, and our weighted average total yield of debt and income producing securities at amortized cost (which includes interest income and amortization of fees and discounts) was 10.6% and 10.5%, respectively.</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weighted average total yield of new investment commitments in new portfolio companies made during the quarter was 11.5% at amortized cost (which includes interest income and amortization of fees and discounts).</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40" w:top="266" w:right="279" w:bottom="1440" w:gutter="0" w:footer="0" w:header="0"/>
        </w:sectPr>
      </w:pPr>
    </w:p>
    <w:bookmarkStart w:id="5" w:name="page6"/>
    <w:bookmarkEnd w:id="5"/>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September 30, 2014, 97.1% of our debt investments by fair value were meeting all covenant and payment requirements. We had one investment with an investment performance rating of a 4 as of September 30, 2014. That investment paid down in full subsequent to September 30, 2014 at full par value plus a call premium. We had no investments on non-accrual status.</w:t>
      </w:r>
    </w:p>
    <w:p>
      <w:pPr>
        <w:spacing w:after="0" w:line="280" w:lineRule="exact"/>
        <w:rPr>
          <w:sz w:val="20"/>
          <w:szCs w:val="20"/>
          <w:color w:val="auto"/>
        </w:rPr>
      </w:pPr>
    </w:p>
    <w:p>
      <w:pPr>
        <w:ind w:right="140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Results of Operations for the Three Months Ended September 30, 2014 compared to the Three Months Ended September 30, 2013 </w:t>
      </w:r>
      <w:r>
        <w:rPr>
          <w:rFonts w:ascii="Times New Roman" w:cs="Times New Roman" w:eastAsia="Times New Roman" w:hAnsi="Times New Roman"/>
          <w:sz w:val="18"/>
          <w:szCs w:val="18"/>
          <w:b w:val="1"/>
          <w:bCs w:val="1"/>
          <w:i w:val="1"/>
          <w:iCs w:val="1"/>
          <w:color w:val="auto"/>
        </w:rPr>
        <w:t>Investment Income</w:t>
      </w:r>
    </w:p>
    <w:p>
      <w:pPr>
        <w:ind w:right="740"/>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2014 and 2013, investment income totaled $38.4 million and $23.3 million, respectively. The increase in investment income for the quarter was primarily driven by strong asset growth.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expenses totaled $14.9 million and $8.6 million, respectively, for the three months ended September 30, 2014 and 2013. The increase in net expenses was primarily due to higher average borrowings, higher management fees, higher incentive fees due to higher net investment income and higher professional fees and other general and administrative expenses associated with servicing a larger investment portfolio.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Subsequent to the third quarter, the Company amended and extended its Revolving Credit Facility. Pricing was reduced from L+225 to L+200 and the maturity date was extended to October 2019. The Company has significant liquidity available with over $675 million of undrawn commitments as of September 30, 2014.</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of September 30, 2014, we had $9.2 million in cash and cash equivalents, an increase of $2.7 million from June 30, 2014. As of September 30, 2014, we had total debt outstanding of $382 million, and $675 million available to draw, subject to borrowing base limitations and other requirements. Our average stated interest rate on debt outstanding was 2.7% for the three months ended September 30, 2014, as compared to 2.6% for the three months ended September 30, 2013.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rated BBB- by Fitch Ratings and Standard and Poor’s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270" w:right="2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Statements and Tables</w:t>
      </w:r>
    </w:p>
    <w:p>
      <w:pPr>
        <w:spacing w:after="0" w:line="22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11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20" w:type="dxa"/>
            <w:vAlign w:val="bottom"/>
            <w:gridSpan w:val="5"/>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238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40" w:type="dxa"/>
            <w:vAlign w:val="bottom"/>
            <w:tcBorders>
              <w:top w:val="single" w:sz="8" w:color="auto"/>
            </w:tcBorders>
            <w:gridSpan w:val="3"/>
          </w:tcPr>
          <w:p>
            <w:pPr>
              <w:jc w:val="right"/>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2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540" w:type="dxa"/>
            <w:vAlign w:val="bottom"/>
          </w:tcPr>
          <w:p>
            <w:pPr>
              <w:spacing w:after="0"/>
              <w:rPr>
                <w:sz w:val="10"/>
                <w:szCs w:val="10"/>
                <w:color w:val="auto"/>
              </w:rPr>
            </w:pPr>
          </w:p>
        </w:tc>
        <w:tc>
          <w:tcPr>
            <w:tcW w:w="122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488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2014</w:t>
            </w: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2013</w:t>
            </w: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Income</w:t>
            </w:r>
          </w:p>
        </w:tc>
        <w:tc>
          <w:tcPr>
            <w:tcW w:w="4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income from non-controlled, non-affiliated investments: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from investments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33,728</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22,816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109,270</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63,300</w:t>
            </w:r>
          </w:p>
        </w:tc>
      </w:tr>
      <w:tr>
        <w:trPr>
          <w:trHeight w:val="216"/>
        </w:trPr>
        <w:tc>
          <w:tcPr>
            <w:tcW w:w="20" w:type="dxa"/>
            <w:vAlign w:val="bottom"/>
          </w:tcPr>
          <w:p>
            <w:pPr>
              <w:spacing w:after="0"/>
              <w:rPr>
                <w:sz w:val="18"/>
                <w:szCs w:val="18"/>
                <w:color w:val="auto"/>
              </w:rPr>
            </w:pPr>
          </w:p>
        </w:tc>
        <w:tc>
          <w:tcPr>
            <w:tcW w:w="5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income</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6,510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1,738</w:t>
            </w: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from cash and cash equivalents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05"/>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80" w:type="dxa"/>
            <w:vAlign w:val="bottom"/>
          </w:tcPr>
          <w:p>
            <w:pPr>
              <w:ind w:left="80"/>
              <w:spacing w:after="0" w:line="205" w:lineRule="exact"/>
              <w:rPr>
                <w:sz w:val="20"/>
                <w:szCs w:val="20"/>
                <w:color w:val="auto"/>
              </w:rPr>
            </w:pPr>
            <w:r>
              <w:rPr>
                <w:rFonts w:ascii="Times New Roman" w:cs="Times New Roman" w:eastAsia="Times New Roman" w:hAnsi="Times New Roman"/>
                <w:sz w:val="18"/>
                <w:szCs w:val="18"/>
                <w:color w:val="auto"/>
              </w:rPr>
              <w:t>Total investment income from non-controlled, non-affiliated</w:t>
            </w:r>
          </w:p>
        </w:tc>
        <w:tc>
          <w:tcPr>
            <w:tcW w:w="5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investments</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37,029</w:t>
            </w:r>
          </w:p>
        </w:tc>
        <w:tc>
          <w:tcPr>
            <w:tcW w:w="100" w:type="dxa"/>
            <w:vAlign w:val="bottom"/>
          </w:tcPr>
          <w:p>
            <w:pPr>
              <w:spacing w:after="0"/>
              <w:rPr>
                <w:sz w:val="20"/>
                <w:szCs w:val="20"/>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23,298</w:t>
            </w:r>
          </w:p>
        </w:tc>
        <w:tc>
          <w:tcPr>
            <w:tcW w:w="1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115,780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65,040</w:t>
            </w: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 from controlled, affiliated investments: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from investments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1,681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investment income from controlled, affiliated investments</w:t>
            </w:r>
          </w:p>
        </w:tc>
        <w:tc>
          <w:tcPr>
            <w:tcW w:w="5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38,404</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23,298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117,542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65,040</w:t>
            </w:r>
          </w:p>
        </w:tc>
      </w:tr>
      <w:tr>
        <w:trPr>
          <w:trHeight w:val="223"/>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4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2,651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11,096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7,330</w:t>
            </w: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 fees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3,433</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13,409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9,698</w:t>
            </w: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fees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14,495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8,097</w:t>
            </w: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3,376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2,419</w:t>
            </w: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fees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w:t>
            </w:r>
          </w:p>
        </w:tc>
      </w:tr>
      <w:tr>
        <w:trPr>
          <w:trHeight w:val="223"/>
        </w:trPr>
        <w:tc>
          <w:tcPr>
            <w:tcW w:w="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expenses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14,913</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10,486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45,607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29,486</w:t>
            </w:r>
          </w:p>
        </w:tc>
      </w:tr>
      <w:tr>
        <w:trPr>
          <w:trHeight w:val="230"/>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Management fees waived</w:t>
            </w:r>
          </w:p>
        </w:tc>
        <w:tc>
          <w:tcPr>
            <w:tcW w:w="5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Net Expenses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14,913</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8,633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43,142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24,448</w:t>
            </w:r>
          </w:p>
        </w:tc>
      </w:tr>
      <w:tr>
        <w:trPr>
          <w:trHeight w:val="223"/>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Investment Income Before Income Taxes</w:t>
            </w: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23,491</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14,665</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74,400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40,592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including excise taxes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r>
      <w:tr>
        <w:trPr>
          <w:trHeight w:val="223"/>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Investment Income</w:t>
            </w: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23,116</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14,585</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73,791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40,508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Unrealized and Realized Gains (Losses)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Non-controlled, non-affiliated investments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(6,251)</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2,804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(6,168)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5,227</w:t>
            </w:r>
          </w:p>
        </w:tc>
      </w:tr>
      <w:tr>
        <w:trPr>
          <w:trHeight w:val="216"/>
        </w:trPr>
        <w:tc>
          <w:tcPr>
            <w:tcW w:w="20" w:type="dxa"/>
            <w:vAlign w:val="bottom"/>
          </w:tcPr>
          <w:p>
            <w:pPr>
              <w:spacing w:after="0"/>
              <w:rPr>
                <w:sz w:val="18"/>
                <w:szCs w:val="18"/>
                <w:color w:val="auto"/>
              </w:rPr>
            </w:pPr>
          </w:p>
        </w:tc>
        <w:tc>
          <w:tcPr>
            <w:tcW w:w="5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Controlled, affiliated investments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Translation of assets and liabilities in foreign currencies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4,492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rate swaps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(1,942)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1,261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(1,223)</w:t>
            </w: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net change in unrealized gains (losses)</w:t>
            </w:r>
          </w:p>
        </w:tc>
        <w:tc>
          <w:tcPr>
            <w:tcW w:w="5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(4,254)</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gains (losses):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Non-controlled, non-affiliated investments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1,062</w:t>
            </w: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transactions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(1,765)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w:t>
            </w: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realized gains (losses)</w:t>
            </w:r>
          </w:p>
        </w:tc>
        <w:tc>
          <w:tcPr>
            <w:tcW w:w="5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Total Unrealized and Realized Gains (Losses)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(4,513)</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1,674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5,419</w:t>
            </w: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Increase in Net Assets Resulting from Operations</w:t>
            </w: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18,603</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16,259</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71,245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45,927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share—basic and diluted (1)</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1.44</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r>
      <w:tr>
        <w:trPr>
          <w:trHeight w:val="205"/>
        </w:trPr>
        <w:tc>
          <w:tcPr>
            <w:tcW w:w="552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auto"/>
              </w:rPr>
              <w:t>Weighted average shares of common stock outstanding—basic and diluted</w:t>
            </w:r>
          </w:p>
        </w:tc>
        <w:tc>
          <w:tcPr>
            <w:tcW w:w="5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w:t>
            </w:r>
          </w:p>
        </w:tc>
        <w:tc>
          <w:tcPr>
            <w:tcW w:w="4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8"/>
              </w:rPr>
              <w:t>53,493,026</w:t>
            </w:r>
          </w:p>
        </w:tc>
        <w:tc>
          <w:tcPr>
            <w:tcW w:w="100" w:type="dxa"/>
            <w:vAlign w:val="bottom"/>
          </w:tcPr>
          <w:p>
            <w:pPr>
              <w:spacing w:after="0"/>
              <w:rPr>
                <w:sz w:val="20"/>
                <w:szCs w:val="20"/>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8"/>
              </w:rPr>
              <w:t>34,817,674</w:t>
            </w:r>
          </w:p>
        </w:tc>
        <w:tc>
          <w:tcPr>
            <w:tcW w:w="1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8"/>
              </w:rPr>
              <w:t>49,427,943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33,891,011</w:t>
            </w:r>
          </w:p>
        </w:tc>
      </w:tr>
      <w:tr>
        <w:trPr>
          <w:trHeight w:val="441"/>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w:t>
            </w:r>
          </w:p>
        </w:tc>
        <w:tc>
          <w:tcPr>
            <w:tcW w:w="10780" w:type="dxa"/>
            <w:vAlign w:val="bottom"/>
            <w:gridSpan w:val="15"/>
          </w:tcPr>
          <w:p>
            <w:pPr>
              <w:ind w:left="40"/>
              <w:spacing w:after="0"/>
              <w:rPr>
                <w:sz w:val="20"/>
                <w:szCs w:val="20"/>
                <w:color w:val="auto"/>
              </w:rPr>
            </w:pPr>
            <w:r>
              <w:rPr>
                <w:rFonts w:ascii="Times New Roman" w:cs="Times New Roman" w:eastAsia="Times New Roman" w:hAnsi="Times New Roman"/>
                <w:sz w:val="18"/>
                <w:szCs w:val="18"/>
                <w:color w:val="auto"/>
              </w:rPr>
              <w:t>The indicated amounts for the three and nine months ended September 30, 2013 have been retroactively adjusted for the stock split which was</w:t>
            </w:r>
          </w:p>
        </w:tc>
      </w:tr>
      <w:tr>
        <w:trPr>
          <w:trHeight w:val="234"/>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effected in the form of a stock dividend.</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66" w:right="239" w:bottom="1440" w:gutter="0" w:footer="0" w:header="0"/>
        </w:sectPr>
      </w:pPr>
    </w:p>
    <w:bookmarkStart w:id="7" w:name="page8"/>
    <w:bookmarkEnd w:id="7"/>
    <w:p>
      <w:pPr>
        <w:ind w:left="4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Specialty Lending, Inc.</w:t>
      </w:r>
    </w:p>
    <w:p>
      <w:pPr>
        <w:spacing w:after="0" w:line="1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83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2014</w:t>
            </w:r>
          </w:p>
        </w:tc>
        <w:tc>
          <w:tcPr>
            <w:tcW w:w="4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8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Non-controlled, non-affiliated investments (amortized cost of $1,175,962 and $997,298, respectively)</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9"/>
              </w:rPr>
              <w:t>1,188,947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1,016,451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Controlled, affiliated investments (amortized cost of $44,481 and $0, respectively)</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44,234</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 at fair value (amortized cost of $1,220,443 and $997,298, respectively)</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9"/>
              </w:rPr>
              <w:t>1,233,181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1,016,451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9,159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6,817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 on foreign currency forward contracts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30,869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1,280,043</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1,039,150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Debt</w:t>
            </w:r>
          </w:p>
        </w:tc>
        <w:tc>
          <w:tcPr>
            <w:tcW w:w="83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382,177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fees payable to affiliate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4,651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Incentive fees payable to affiliate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7,384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20,355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Payable for investments purchased</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12,030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on foreign currency forward contracts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Payable on interest rate swaps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 to affiliate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2,611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11,924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441,154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464,454</w:t>
            </w:r>
          </w:p>
        </w:tc>
        <w:tc>
          <w:tcPr>
            <w:tcW w:w="0" w:type="dxa"/>
            <w:vAlign w:val="bottom"/>
          </w:tcPr>
          <w:p>
            <w:pPr>
              <w:spacing w:after="0"/>
              <w:rPr>
                <w:sz w:val="1"/>
                <w:szCs w:val="1"/>
                <w:color w:val="auto"/>
              </w:rPr>
            </w:pPr>
          </w:p>
        </w:tc>
      </w:tr>
      <w:tr>
        <w:trPr>
          <w:trHeight w:val="223"/>
        </w:trPr>
        <w:tc>
          <w:tcPr>
            <w:tcW w:w="8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88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stock, $0.01 par value; 100,000,000 shares authorized; no shares issued and outstanding</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400,000,000 shares authorized, 53,567,782 and 37,027,022 shares issued, respectively;</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53,566,783 and 37,026,023 shares outstanding, respectively</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805,555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552,436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at cost; 999 shares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Undistributed net investment income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14,540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gains on investments and foreign currency translation</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17,002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Undistributed net realized gains on investments, including foreign currency forward contracts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838,889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574,696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Liabilities and Net Assets</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1,280,043</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1,039,150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Asset Value Per Share</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15.52</w:t>
            </w:r>
          </w:p>
        </w:tc>
        <w:tc>
          <w:tcPr>
            <w:tcW w:w="0" w:type="dxa"/>
            <w:vAlign w:val="bottom"/>
          </w:tcPr>
          <w:p>
            <w:pPr>
              <w:spacing w:after="0"/>
              <w:rPr>
                <w:sz w:val="1"/>
                <w:szCs w:val="1"/>
                <w:color w:val="auto"/>
              </w:rPr>
            </w:pPr>
          </w:p>
        </w:tc>
      </w:tr>
      <w:tr>
        <w:trPr>
          <w:trHeight w:val="441"/>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w:t>
            </w:r>
          </w:p>
        </w:tc>
        <w:tc>
          <w:tcPr>
            <w:tcW w:w="1084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rPr>
              <w:t>Our investment activity for the three months ended September 30, 2014 and 2013 is presented below (information presented herein is at par value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unless otherwise indicated).</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32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6" w:right="2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3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0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17"/>
        </w:trPr>
        <w:tc>
          <w:tcPr>
            <w:tcW w:w="54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400" w:type="dxa"/>
            <w:vAlign w:val="bottom"/>
          </w:tcPr>
          <w:p>
            <w:pPr>
              <w:spacing w:after="0"/>
              <w:rPr>
                <w:sz w:val="10"/>
                <w:szCs w:val="10"/>
                <w:color w:val="auto"/>
              </w:rPr>
            </w:pPr>
          </w:p>
        </w:tc>
        <w:tc>
          <w:tcPr>
            <w:tcW w:w="1400" w:type="dxa"/>
            <w:vAlign w:val="bottom"/>
            <w:tcBorders>
              <w:top w:val="single" w:sz="8" w:color="auto"/>
            </w:tcBorders>
            <w:gridSpan w:val="3"/>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80" w:type="dxa"/>
            <w:vAlign w:val="bottom"/>
            <w:tcBorders>
              <w:top w:val="single" w:sz="8" w:color="auto"/>
            </w:tcBorders>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5400" w:type="dxa"/>
            <w:vAlign w:val="bottom"/>
            <w:gridSpan w:val="3"/>
            <w:vMerge w:val="continue"/>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212"/>
              <w:spacing w:after="0" w:line="160" w:lineRule="exact"/>
              <w:rPr>
                <w:sz w:val="20"/>
                <w:szCs w:val="20"/>
                <w:color w:val="auto"/>
              </w:rPr>
            </w:pPr>
            <w:r>
              <w:rPr>
                <w:rFonts w:ascii="Times New Roman" w:cs="Times New Roman" w:eastAsia="Times New Roman" w:hAnsi="Times New Roman"/>
                <w:sz w:val="14"/>
                <w:szCs w:val="14"/>
                <w:b w:val="1"/>
                <w:bCs w:val="1"/>
                <w:color w:val="auto"/>
              </w:rPr>
              <w:t>2014</w:t>
            </w: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211"/>
              <w:spacing w:after="0" w:line="160" w:lineRule="exact"/>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3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New investment commitments:</w:t>
            </w: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Gross originations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520" w:type="dxa"/>
            <w:vAlign w:val="bottom"/>
          </w:tcPr>
          <w:p>
            <w:pPr>
              <w:spacing w:after="0"/>
              <w:rPr>
                <w:sz w:val="18"/>
                <w:szCs w:val="18"/>
                <w:color w:val="auto"/>
              </w:rPr>
            </w:pPr>
          </w:p>
        </w:tc>
        <w:tc>
          <w:tcPr>
            <w:tcW w:w="5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syndications/sell downs</w:t>
            </w: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Total new investment commitments</w:t>
            </w:r>
          </w:p>
        </w:tc>
        <w:tc>
          <w:tcPr>
            <w:tcW w:w="400" w:type="dxa"/>
            <w:vAlign w:val="bottom"/>
          </w:tcPr>
          <w:p>
            <w:pPr>
              <w:spacing w:after="0"/>
              <w:rPr>
                <w:sz w:val="19"/>
                <w:szCs w:val="19"/>
                <w:color w:val="auto"/>
              </w:rPr>
            </w:pP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Principal amount of investments funded:</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First-lien</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520" w:type="dxa"/>
            <w:vAlign w:val="bottom"/>
          </w:tcPr>
          <w:p>
            <w:pPr>
              <w:spacing w:after="0"/>
              <w:rPr>
                <w:sz w:val="18"/>
                <w:szCs w:val="18"/>
                <w:color w:val="auto"/>
              </w:rPr>
            </w:pPr>
          </w:p>
        </w:tc>
        <w:tc>
          <w:tcPr>
            <w:tcW w:w="5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Second-lien</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Mezzanine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Pr>
          <w:p>
            <w:pPr>
              <w:spacing w:after="0"/>
              <w:rPr>
                <w:sz w:val="19"/>
                <w:szCs w:val="19"/>
                <w:color w:val="auto"/>
              </w:rPr>
            </w:pPr>
          </w:p>
        </w:tc>
        <w:tc>
          <w:tcPr>
            <w:tcW w:w="1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Principal amount of investments sold or repaid:</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First-lien</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520" w:type="dxa"/>
            <w:vAlign w:val="bottom"/>
          </w:tcPr>
          <w:p>
            <w:pPr>
              <w:spacing w:after="0"/>
              <w:rPr>
                <w:sz w:val="18"/>
                <w:szCs w:val="18"/>
                <w:color w:val="auto"/>
              </w:rPr>
            </w:pPr>
          </w:p>
        </w:tc>
        <w:tc>
          <w:tcPr>
            <w:tcW w:w="5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Second-lien</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Mezzanine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Number of new investment commitments in new portfolio</w:t>
            </w: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companies</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Average new investment commitment amount in new portfolio</w:t>
            </w: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companies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520" w:type="dxa"/>
            <w:vAlign w:val="bottom"/>
          </w:tcPr>
          <w:p>
            <w:pPr>
              <w:spacing w:after="0"/>
              <w:rPr>
                <w:sz w:val="20"/>
                <w:szCs w:val="20"/>
                <w:color w:val="auto"/>
              </w:rPr>
            </w:pPr>
          </w:p>
        </w:tc>
        <w:tc>
          <w:tcPr>
            <w:tcW w:w="5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term for new investment commitments in new</w:t>
            </w: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portfolio companies (in years)</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5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Percentage of new debt investment commitments at floating rates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98.7%</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Percentage of new debt investment commitments at fixed rates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 average interest rate of new investment commitments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spread over LIBOR of new floating rate</w:t>
            </w: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investment commitments</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9.3%</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 average interest rate on investments sold or paid down</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9.8%</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TPG Specialty Lending, Inc.</w:t>
      </w:r>
    </w:p>
    <w:p>
      <w:pPr>
        <w:spacing w:after="0" w:line="12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TPG Specialty Lending, Inc.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BDC, under the Investment Company Act of 1940 and the rules and regulations promulgated thereunder. TSL is externally managed by TSL Advisers, LLC, an SEC-registered investment adviser. TSL leverages the deep investment, sector, and operating resources of TPG Special Situations Partners, the dedicated special situations and credit platform of TPG, with over $10 billion of assets under management as of June 30, 2014, and the broader TPG platform, a global private investment firm with $66 billion of assets under management. For more information, visit our website at www.tpgspecialtylending.com.</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Statements included herein may constitute “forward-looking statements,” which relate to future events or our future performance or financial condition.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our filings with the Securities and Exchange Commission. We assume no obligation to update any such forward-looking statements. TPG Specialty Lending, Inc. undertakes no duty to update any forward-looking statements made herein.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sectPr>
      <w:pgSz w:w="11900" w:h="16838" w:orient="portrait"/>
      <w:cols w:equalWidth="0" w:num="1">
        <w:col w:w="11420"/>
      </w:cols>
      <w:pgMar w:left="240" w:top="26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2019-12-08T00:06:58Z</dcterms:created>
  <dcterms:modified xsi:type="dcterms:W3CDTF">2019-12-08T00:06:58Z</dcterms:modified>
</cp:coreProperties>
</file>