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374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51"/>
        </w:trPr>
        <w:tc>
          <w:tcPr>
            <w:tcW w:w="3740" w:type="dxa"/>
            <w:vAlign w:val="bottom"/>
          </w:tcPr>
          <w:p>
            <w:pPr>
              <w:jc w:val="center"/>
              <w:ind w:right="9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3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8"/>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20"/>
                <w:szCs w:val="20"/>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3"/>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71120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52"/>
        </w:trPr>
        <w:tc>
          <w:tcPr>
            <w:tcW w:w="376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TSLX</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0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July 31, 2024, the registrant issued a press release announcing its financial results for the second quarter ended June 30, 2024. The text of the press release is included as Exhibit 99.1 to this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July 31, 2024, the registrant issued a press release, included herewith as Exhibit 99.1, announcing the declaration of a third quarter 2024 base dividend per share of $0.46 to shareholders of record as of September 16, 2024, payable on September 30, 2024, and a second quarter 2024 supplemental dividend per share of $0.06 to shareholders of record as of August 30, 2024, payable on September 20,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July 31, 2024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1640"/>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20"/>
                <w:szCs w:val="20"/>
                <w:color w:val="auto"/>
              </w:rPr>
              <w:t>SIXTH STREET SPECIALTY LENDING, INC.</w:t>
            </w:r>
          </w:p>
        </w:tc>
      </w:tr>
      <w:tr>
        <w:trPr>
          <w:trHeight w:val="234"/>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9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31,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234"/>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Ian Simmonds</w:t>
            </w:r>
          </w:p>
        </w:tc>
      </w:tr>
      <w:tr>
        <w:trPr>
          <w:trHeight w:val="238"/>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41"/>
        </w:trPr>
        <w:tc>
          <w:tcPr>
            <w:tcW w:w="35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37160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alibri" w:cs="Calibri" w:eastAsia="Calibri" w:hAnsi="Calibri"/>
          <w:sz w:val="32"/>
          <w:szCs w:val="32"/>
          <w:b w:val="1"/>
          <w:bCs w:val="1"/>
          <w:color w:val="auto"/>
        </w:rPr>
        <w:t>SECOND QUARTER 2024 EARNINGS RESULTS</w:t>
      </w:r>
    </w:p>
    <w:p>
      <w:pPr>
        <w:spacing w:after="0" w:line="4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color w:val="auto"/>
        </w:rPr>
        <w:t>Sixth Street Specialty Lending, Inc. Reports Second Quarter Results; Declares a Third Quarter Base Dividend Per Share of $0.46, and a Second Quarter Supplemental Dividend Per Share of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18" w:lineRule="exact"/>
        <w:rPr>
          <w:sz w:val="20"/>
          <w:szCs w:val="20"/>
          <w:color w:val="auto"/>
        </w:rPr>
      </w:pPr>
    </w:p>
    <w:p>
      <w:pPr>
        <w:jc w:val="both"/>
        <w:ind w:left="80"/>
        <w:spacing w:after="0" w:line="235" w:lineRule="auto"/>
        <w:rPr>
          <w:sz w:val="20"/>
          <w:szCs w:val="20"/>
          <w:color w:val="auto"/>
        </w:rPr>
      </w:pPr>
      <w:r>
        <w:rPr>
          <w:rFonts w:ascii="Calibri" w:cs="Calibri" w:eastAsia="Calibri" w:hAnsi="Calibri"/>
          <w:sz w:val="18"/>
          <w:szCs w:val="18"/>
          <w:color w:val="auto"/>
        </w:rPr>
        <w:t>NEW YORK — July 31, 2024 — Sixth Street Specialty Lending, Inc. (NYSE: TSLX, or the “Company”) today reported net investment income of $0.59 per share and net income of $0.51 per share for the second quarter ended June 30, 2024. These results correspond to an annualized return on equity (ROE) on net investment income and net income of 13.9% and 11.9%, respectvely.</w:t>
      </w:r>
    </w:p>
    <w:p>
      <w:pPr>
        <w:spacing w:after="0" w:line="219" w:lineRule="exact"/>
        <w:rPr>
          <w:sz w:val="20"/>
          <w:szCs w:val="20"/>
          <w:color w:val="auto"/>
        </w:rPr>
      </w:pPr>
    </w:p>
    <w:p>
      <w:pPr>
        <w:jc w:val="both"/>
        <w:ind w:left="80"/>
        <w:spacing w:after="0" w:line="237" w:lineRule="auto"/>
        <w:rPr>
          <w:sz w:val="20"/>
          <w:szCs w:val="20"/>
          <w:color w:val="auto"/>
        </w:rPr>
      </w:pPr>
      <w:r>
        <w:rPr>
          <w:rFonts w:ascii="Calibri" w:cs="Calibri" w:eastAsia="Calibri" w:hAnsi="Calibri"/>
          <w:sz w:val="18"/>
          <w:szCs w:val="18"/>
          <w:color w:val="auto"/>
        </w:rPr>
        <w:t>Both net investment income per share and net income per share include $0.01 per share of unwind of previously accrued capital gains incentve fee expenses that were accrued, but not paid or payable, related to cumulatve unrealized capital gains in excess of cumulatve net realized capital gains less any cumulatve unrealized losses and capital gains incentve fees paid incepton-to-date. Excluding the impact of the partal reversal or unwind of previously accrued capital gains incentve fee expenses, the Company’s adjusted net investment income and adjusted net income for the quarter ended June 30, 2024, were $53.8 million, or $0.58 per share, and $46.1 million, or $0.50 per share, respectvely. These results correspond to an annualized return on equity (ROE) on adjusted net investment income and adjusted net income of 13.5% and 11.6%, respectvely. The Company’s strong net investment income in the second quarter refects contnued strength of the core earnings power of its portolio driven by higher interest rates.</w:t>
      </w:r>
    </w:p>
    <w:p>
      <w:pPr>
        <w:spacing w:after="0" w:line="233" w:lineRule="exact"/>
        <w:rPr>
          <w:sz w:val="20"/>
          <w:szCs w:val="20"/>
          <w:color w:val="auto"/>
        </w:rPr>
      </w:pPr>
    </w:p>
    <w:p>
      <w:pPr>
        <w:jc w:val="both"/>
        <w:ind w:left="80"/>
        <w:spacing w:after="0" w:line="235" w:lineRule="auto"/>
        <w:rPr>
          <w:sz w:val="20"/>
          <w:szCs w:val="20"/>
          <w:color w:val="auto"/>
        </w:rPr>
      </w:pPr>
      <w:r>
        <w:rPr>
          <w:rFonts w:ascii="Calibri" w:cs="Calibri" w:eastAsia="Calibri" w:hAnsi="Calibri"/>
          <w:sz w:val="18"/>
          <w:szCs w:val="18"/>
          <w:color w:val="auto"/>
        </w:rPr>
        <w:t>Reported net asset value (NAV) per share was $17.19 at June 30, 2024 as compared to NAV per share of $17.17 or an adjusted NAV per share of $17.11 at March 31, 2024 (which accounts for the impact of the $0.06 per share frst quarter 2024 supplemental dividend). The primary driver of this quarter’s NAV per share growth was the contnued overearning of the Company’s base quarterly dividend.</w:t>
      </w:r>
    </w:p>
    <w:p>
      <w:pPr>
        <w:spacing w:after="0" w:line="219" w:lineRule="exact"/>
        <w:rPr>
          <w:sz w:val="20"/>
          <w:szCs w:val="20"/>
          <w:color w:val="auto"/>
        </w:rPr>
      </w:pPr>
    </w:p>
    <w:p>
      <w:pPr>
        <w:jc w:val="both"/>
        <w:ind w:left="80"/>
        <w:spacing w:after="0" w:line="235" w:lineRule="auto"/>
        <w:rPr>
          <w:sz w:val="20"/>
          <w:szCs w:val="20"/>
          <w:color w:val="auto"/>
        </w:rPr>
      </w:pPr>
      <w:r>
        <w:rPr>
          <w:rFonts w:ascii="Calibri" w:cs="Calibri" w:eastAsia="Calibri" w:hAnsi="Calibri"/>
          <w:sz w:val="18"/>
          <w:szCs w:val="18"/>
          <w:color w:val="auto"/>
        </w:rPr>
        <w:t>The Company announced that its Board of Directors has declared a third quarter 2024 base dividend of $0.46 per share to shareholders of record as of September 16, 2024, payable on September 30, 2024, and a second quarter supplemental dividend of $0.06 per share to shareholders of record as of August 30, 2024, payable on September 20, 2024. Adjusted for the impact of the supplemental dividend related to this quarter’s earnings, the Company’s Q2 adjusted NAV per share was $17.13.</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60"/>
        <w:spacing w:after="0"/>
        <w:rPr>
          <w:sz w:val="20"/>
          <w:szCs w:val="20"/>
          <w:color w:val="auto"/>
        </w:rPr>
      </w:pPr>
      <w:r>
        <w:rPr>
          <w:rFonts w:ascii="Calibri" w:cs="Calibri" w:eastAsia="Calibri" w:hAnsi="Calibri"/>
          <w:sz w:val="14"/>
          <w:szCs w:val="14"/>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192024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240" cy="18859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20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2024</w:t>
            </w: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$0.59</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740" w:type="dxa"/>
            <w:vAlign w:val="bottom"/>
          </w:tcPr>
          <w:p>
            <w:pPr>
              <w:ind w:left="20"/>
              <w:spacing w:after="0"/>
              <w:rPr>
                <w:sz w:val="20"/>
                <w:szCs w:val="20"/>
                <w:color w:val="auto"/>
              </w:rPr>
            </w:pPr>
            <w:r>
              <w:rPr>
                <w:rFonts w:ascii="Calibri" w:cs="Calibri" w:eastAsia="Calibri" w:hAnsi="Calibri"/>
                <w:sz w:val="14"/>
                <w:szCs w:val="14"/>
                <w:b w:val="1"/>
                <w:bCs w:val="1"/>
                <w:color w:val="auto"/>
              </w:rPr>
              <w:t>(adjusted):</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$0.58</w:t>
            </w:r>
          </w:p>
        </w:tc>
      </w:tr>
      <w:tr>
        <w:trPr>
          <w:trHeight w:val="371"/>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0"/>
        </w:trPr>
        <w:tc>
          <w:tcPr>
            <w:tcW w:w="26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740" w:type="dxa"/>
            <w:vAlign w:val="bottom"/>
            <w:shd w:val="clear" w:color="auto" w:fill="0F2F50"/>
          </w:tcPr>
          <w:p>
            <w:pPr>
              <w:jc w:val="center"/>
              <w:ind w:left="48"/>
              <w:spacing w:after="0"/>
              <w:rPr>
                <w:sz w:val="20"/>
                <w:szCs w:val="20"/>
                <w:color w:val="auto"/>
              </w:rPr>
            </w:pPr>
            <w:r>
              <w:rPr>
                <w:rFonts w:ascii="Calibri" w:cs="Calibri" w:eastAsia="Calibri" w:hAnsi="Calibri"/>
                <w:sz w:val="14"/>
                <w:szCs w:val="14"/>
                <w:b w:val="1"/>
                <w:bCs w:val="1"/>
                <w:color w:val="FFFFFF"/>
              </w:rPr>
              <w:t>Net Income Per Share</w:t>
            </w:r>
          </w:p>
        </w:tc>
        <w:tc>
          <w:tcPr>
            <w:tcW w:w="700" w:type="dxa"/>
            <w:vAlign w:val="bottom"/>
            <w:shd w:val="clear" w:color="auto" w:fill="0F2F50"/>
          </w:tcPr>
          <w:p>
            <w:pPr>
              <w:spacing w:after="0"/>
              <w:rPr>
                <w:sz w:val="18"/>
                <w:szCs w:val="18"/>
                <w:color w:val="auto"/>
              </w:rPr>
            </w:pPr>
          </w:p>
        </w:tc>
      </w:tr>
      <w:tr>
        <w:trPr>
          <w:trHeight w:val="88"/>
        </w:trPr>
        <w:tc>
          <w:tcPr>
            <w:tcW w:w="260" w:type="dxa"/>
            <w:vAlign w:val="bottom"/>
            <w:shd w:val="clear" w:color="auto" w:fill="0F2F50"/>
          </w:tcPr>
          <w:p>
            <w:pPr>
              <w:spacing w:after="0"/>
              <w:rPr>
                <w:sz w:val="7"/>
                <w:szCs w:val="7"/>
                <w:color w:val="auto"/>
              </w:rPr>
            </w:pPr>
          </w:p>
        </w:tc>
        <w:tc>
          <w:tcPr>
            <w:tcW w:w="2060" w:type="dxa"/>
            <w:vAlign w:val="bottom"/>
            <w:gridSpan w:val="2"/>
            <w:shd w:val="clear" w:color="auto" w:fill="0F2F50"/>
          </w:tcPr>
          <w:p>
            <w:pPr>
              <w:spacing w:after="0"/>
              <w:rPr>
                <w:sz w:val="7"/>
                <w:szCs w:val="7"/>
                <w:color w:val="auto"/>
              </w:rPr>
            </w:pPr>
          </w:p>
        </w:tc>
        <w:tc>
          <w:tcPr>
            <w:tcW w:w="700" w:type="dxa"/>
            <w:vAlign w:val="bottom"/>
            <w:shd w:val="clear" w:color="auto" w:fill="0F2F50"/>
          </w:tcPr>
          <w:p>
            <w:pPr>
              <w:spacing w:after="0"/>
              <w:rPr>
                <w:sz w:val="7"/>
                <w:szCs w:val="7"/>
                <w:color w:val="auto"/>
              </w:rPr>
            </w:pPr>
          </w:p>
        </w:tc>
      </w:tr>
      <w:tr>
        <w:trPr>
          <w:trHeight w:val="209"/>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20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2024:</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$0.51</w:t>
            </w:r>
          </w:p>
        </w:tc>
      </w:tr>
      <w:tr>
        <w:trPr>
          <w:trHeight w:val="88"/>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740" w:type="dxa"/>
            <w:vAlign w:val="bottom"/>
          </w:tcPr>
          <w:p>
            <w:pPr>
              <w:ind w:left="20"/>
              <w:spacing w:after="0"/>
              <w:rPr>
                <w:sz w:val="20"/>
                <w:szCs w:val="20"/>
                <w:color w:val="auto"/>
              </w:rPr>
            </w:pPr>
            <w:r>
              <w:rPr>
                <w:rFonts w:ascii="Calibri" w:cs="Calibri" w:eastAsia="Calibri" w:hAnsi="Calibri"/>
                <w:sz w:val="14"/>
                <w:szCs w:val="14"/>
                <w:b w:val="1"/>
                <w:bCs w:val="1"/>
                <w:color w:val="auto"/>
              </w:rPr>
              <w:t>(adjusted):</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$0.50</w:t>
            </w:r>
          </w:p>
        </w:tc>
      </w:tr>
      <w:tr>
        <w:trPr>
          <w:trHeight w:val="384"/>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9"/>
        </w:trPr>
        <w:tc>
          <w:tcPr>
            <w:tcW w:w="26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740" w:type="dxa"/>
            <w:vAlign w:val="bottom"/>
            <w:shd w:val="clear" w:color="auto" w:fill="0F2F50"/>
          </w:tcPr>
          <w:p>
            <w:pPr>
              <w:jc w:val="center"/>
              <w:ind w:left="28"/>
              <w:spacing w:after="0"/>
              <w:rPr>
                <w:sz w:val="20"/>
                <w:szCs w:val="20"/>
                <w:color w:val="auto"/>
              </w:rPr>
            </w:pPr>
            <w:r>
              <w:rPr>
                <w:rFonts w:ascii="Calibri" w:cs="Calibri" w:eastAsia="Calibri" w:hAnsi="Calibri"/>
                <w:sz w:val="14"/>
                <w:szCs w:val="14"/>
                <w:b w:val="1"/>
                <w:bCs w:val="1"/>
                <w:color w:val="FFFFFF"/>
              </w:rPr>
              <w:t>Return on Equity</w:t>
            </w:r>
          </w:p>
        </w:tc>
        <w:tc>
          <w:tcPr>
            <w:tcW w:w="700" w:type="dxa"/>
            <w:vAlign w:val="bottom"/>
            <w:shd w:val="clear" w:color="auto" w:fill="0F2F50"/>
          </w:tcPr>
          <w:p>
            <w:pPr>
              <w:spacing w:after="0"/>
              <w:rPr>
                <w:sz w:val="18"/>
                <w:szCs w:val="18"/>
                <w:color w:val="auto"/>
              </w:rPr>
            </w:pPr>
          </w:p>
        </w:tc>
      </w:tr>
      <w:tr>
        <w:trPr>
          <w:trHeight w:val="88"/>
        </w:trPr>
        <w:tc>
          <w:tcPr>
            <w:tcW w:w="260" w:type="dxa"/>
            <w:vAlign w:val="bottom"/>
            <w:shd w:val="clear" w:color="auto" w:fill="0F2F50"/>
          </w:tcPr>
          <w:p>
            <w:pPr>
              <w:spacing w:after="0"/>
              <w:rPr>
                <w:sz w:val="7"/>
                <w:szCs w:val="7"/>
                <w:color w:val="auto"/>
              </w:rPr>
            </w:pPr>
          </w:p>
        </w:tc>
        <w:tc>
          <w:tcPr>
            <w:tcW w:w="320" w:type="dxa"/>
            <w:vAlign w:val="bottom"/>
            <w:shd w:val="clear" w:color="auto" w:fill="0F2F50"/>
          </w:tcPr>
          <w:p>
            <w:pPr>
              <w:spacing w:after="0"/>
              <w:rPr>
                <w:sz w:val="7"/>
                <w:szCs w:val="7"/>
                <w:color w:val="auto"/>
              </w:rPr>
            </w:pPr>
          </w:p>
        </w:tc>
        <w:tc>
          <w:tcPr>
            <w:tcW w:w="1740" w:type="dxa"/>
            <w:vAlign w:val="bottom"/>
            <w:shd w:val="clear" w:color="auto" w:fill="0F2F50"/>
          </w:tcPr>
          <w:p>
            <w:pPr>
              <w:spacing w:after="0"/>
              <w:rPr>
                <w:sz w:val="7"/>
                <w:szCs w:val="7"/>
                <w:color w:val="auto"/>
              </w:rPr>
            </w:pPr>
          </w:p>
        </w:tc>
        <w:tc>
          <w:tcPr>
            <w:tcW w:w="700" w:type="dxa"/>
            <w:vAlign w:val="bottom"/>
            <w:shd w:val="clear" w:color="auto" w:fill="0F2F50"/>
          </w:tcPr>
          <w:p>
            <w:pPr>
              <w:spacing w:after="0"/>
              <w:rPr>
                <w:sz w:val="7"/>
                <w:szCs w:val="7"/>
                <w:color w:val="auto"/>
              </w:rPr>
            </w:pPr>
          </w:p>
        </w:tc>
      </w:tr>
      <w:tr>
        <w:trPr>
          <w:trHeight w:val="21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740" w:type="dxa"/>
            <w:vAlign w:val="bottom"/>
          </w:tcPr>
          <w:p>
            <w:pPr>
              <w:ind w:left="20"/>
              <w:spacing w:after="0"/>
              <w:rPr>
                <w:sz w:val="20"/>
                <w:szCs w:val="20"/>
                <w:color w:val="auto"/>
              </w:rPr>
            </w:pPr>
            <w:r>
              <w:rPr>
                <w:rFonts w:ascii="Calibri" w:cs="Calibri" w:eastAsia="Calibri" w:hAnsi="Calibri"/>
                <w:sz w:val="14"/>
                <w:szCs w:val="14"/>
                <w:b w:val="1"/>
                <w:bCs w:val="1"/>
                <w:color w:val="auto"/>
              </w:rPr>
              <w:t>(NII):</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13.9%</w:t>
            </w:r>
          </w:p>
        </w:tc>
      </w:tr>
      <w:tr>
        <w:trPr>
          <w:trHeight w:val="88"/>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740" w:type="dxa"/>
            <w:vAlign w:val="bottom"/>
          </w:tcPr>
          <w:p>
            <w:pPr>
              <w:ind w:left="20"/>
              <w:spacing w:after="0"/>
              <w:rPr>
                <w:sz w:val="20"/>
                <w:szCs w:val="20"/>
                <w:color w:val="auto"/>
              </w:rPr>
            </w:pPr>
            <w:r>
              <w:rPr>
                <w:rFonts w:ascii="Calibri" w:cs="Calibri" w:eastAsia="Calibri" w:hAnsi="Calibri"/>
                <w:sz w:val="14"/>
                <w:szCs w:val="14"/>
                <w:b w:val="1"/>
                <w:bCs w:val="1"/>
                <w:color w:val="auto"/>
              </w:rPr>
              <w:t>(NI):</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11.9%</w:t>
            </w:r>
          </w:p>
        </w:tc>
      </w:tr>
      <w:tr>
        <w:trPr>
          <w:trHeight w:val="88"/>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740" w:type="dxa"/>
            <w:vAlign w:val="bottom"/>
          </w:tcPr>
          <w:p>
            <w:pPr>
              <w:ind w:left="20"/>
              <w:spacing w:after="0"/>
              <w:rPr>
                <w:sz w:val="20"/>
                <w:szCs w:val="20"/>
                <w:color w:val="auto"/>
              </w:rPr>
            </w:pPr>
            <w:r>
              <w:rPr>
                <w:rFonts w:ascii="Calibri" w:cs="Calibri" w:eastAsia="Calibri" w:hAnsi="Calibri"/>
                <w:sz w:val="14"/>
                <w:szCs w:val="14"/>
                <w:b w:val="1"/>
                <w:bCs w:val="1"/>
                <w:color w:val="auto"/>
              </w:rPr>
              <w:t>(Adj. NII):</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13.5%</w:t>
            </w:r>
          </w:p>
        </w:tc>
      </w:tr>
      <w:tr>
        <w:trPr>
          <w:trHeight w:val="88"/>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740" w:type="dxa"/>
            <w:vAlign w:val="bottom"/>
          </w:tcPr>
          <w:p>
            <w:pPr>
              <w:ind w:left="20"/>
              <w:spacing w:after="0"/>
              <w:rPr>
                <w:sz w:val="20"/>
                <w:szCs w:val="20"/>
                <w:color w:val="auto"/>
              </w:rPr>
            </w:pPr>
            <w:r>
              <w:rPr>
                <w:rFonts w:ascii="Calibri" w:cs="Calibri" w:eastAsia="Calibri" w:hAnsi="Calibri"/>
                <w:sz w:val="14"/>
                <w:szCs w:val="14"/>
                <w:b w:val="1"/>
                <w:bCs w:val="1"/>
                <w:color w:val="auto"/>
              </w:rPr>
              <w:t>(Adj. NI):</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11.6%</w:t>
            </w:r>
          </w:p>
        </w:tc>
      </w:tr>
      <w:tr>
        <w:trPr>
          <w:trHeight w:val="384"/>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0"/>
        </w:trPr>
        <w:tc>
          <w:tcPr>
            <w:tcW w:w="26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740" w:type="dxa"/>
            <w:vAlign w:val="bottom"/>
            <w:shd w:val="clear" w:color="auto" w:fill="0F2F50"/>
          </w:tcPr>
          <w:p>
            <w:pPr>
              <w:jc w:val="center"/>
              <w:ind w:left="48"/>
              <w:spacing w:after="0"/>
              <w:rPr>
                <w:sz w:val="20"/>
                <w:szCs w:val="20"/>
                <w:color w:val="auto"/>
              </w:rPr>
            </w:pPr>
            <w:r>
              <w:rPr>
                <w:rFonts w:ascii="Calibri" w:cs="Calibri" w:eastAsia="Calibri" w:hAnsi="Calibri"/>
                <w:sz w:val="14"/>
                <w:szCs w:val="14"/>
                <w:b w:val="1"/>
                <w:bCs w:val="1"/>
                <w:color w:val="FFFFFF"/>
                <w:w w:val="99"/>
              </w:rPr>
              <w:t>NAV</w:t>
            </w:r>
          </w:p>
        </w:tc>
        <w:tc>
          <w:tcPr>
            <w:tcW w:w="700" w:type="dxa"/>
            <w:vAlign w:val="bottom"/>
            <w:shd w:val="clear" w:color="auto" w:fill="0F2F50"/>
          </w:tcPr>
          <w:p>
            <w:pPr>
              <w:spacing w:after="0"/>
              <w:rPr>
                <w:sz w:val="18"/>
                <w:szCs w:val="18"/>
                <w:color w:val="auto"/>
              </w:rPr>
            </w:pPr>
          </w:p>
        </w:tc>
      </w:tr>
      <w:tr>
        <w:trPr>
          <w:trHeight w:val="87"/>
        </w:trPr>
        <w:tc>
          <w:tcPr>
            <w:tcW w:w="260" w:type="dxa"/>
            <w:vAlign w:val="bottom"/>
            <w:shd w:val="clear" w:color="auto" w:fill="0F2F50"/>
          </w:tcPr>
          <w:p>
            <w:pPr>
              <w:spacing w:after="0"/>
              <w:rPr>
                <w:sz w:val="7"/>
                <w:szCs w:val="7"/>
                <w:color w:val="auto"/>
              </w:rPr>
            </w:pPr>
          </w:p>
        </w:tc>
        <w:tc>
          <w:tcPr>
            <w:tcW w:w="320" w:type="dxa"/>
            <w:vAlign w:val="bottom"/>
            <w:shd w:val="clear" w:color="auto" w:fill="0F2F50"/>
          </w:tcPr>
          <w:p>
            <w:pPr>
              <w:spacing w:after="0"/>
              <w:rPr>
                <w:sz w:val="7"/>
                <w:szCs w:val="7"/>
                <w:color w:val="auto"/>
              </w:rPr>
            </w:pPr>
          </w:p>
        </w:tc>
        <w:tc>
          <w:tcPr>
            <w:tcW w:w="1740" w:type="dxa"/>
            <w:vAlign w:val="bottom"/>
            <w:shd w:val="clear" w:color="auto" w:fill="0F2F50"/>
          </w:tcPr>
          <w:p>
            <w:pPr>
              <w:spacing w:after="0"/>
              <w:rPr>
                <w:sz w:val="7"/>
                <w:szCs w:val="7"/>
                <w:color w:val="auto"/>
              </w:rPr>
            </w:pPr>
          </w:p>
        </w:tc>
        <w:tc>
          <w:tcPr>
            <w:tcW w:w="700" w:type="dxa"/>
            <w:vAlign w:val="bottom"/>
            <w:shd w:val="clear" w:color="auto" w:fill="0F2F50"/>
          </w:tcPr>
          <w:p>
            <w:pPr>
              <w:spacing w:after="0"/>
              <w:rPr>
                <w:sz w:val="7"/>
                <w:szCs w:val="7"/>
                <w:color w:val="auto"/>
              </w:rPr>
            </w:pPr>
          </w:p>
        </w:tc>
      </w:tr>
      <w:tr>
        <w:trPr>
          <w:trHeight w:val="21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740" w:type="dxa"/>
            <w:vAlign w:val="bottom"/>
          </w:tcPr>
          <w:p>
            <w:pPr>
              <w:ind w:left="20"/>
              <w:spacing w:after="0"/>
              <w:rPr>
                <w:sz w:val="20"/>
                <w:szCs w:val="20"/>
                <w:color w:val="auto"/>
              </w:rPr>
            </w:pPr>
            <w:r>
              <w:rPr>
                <w:rFonts w:ascii="Calibri" w:cs="Calibri" w:eastAsia="Calibri" w:hAnsi="Calibri"/>
                <w:sz w:val="14"/>
                <w:szCs w:val="14"/>
                <w:b w:val="1"/>
                <w:bCs w:val="1"/>
                <w:color w:val="auto"/>
              </w:rPr>
              <w:t>($MM):</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$1,599.0</w:t>
            </w:r>
          </w:p>
        </w:tc>
      </w:tr>
      <w:tr>
        <w:trPr>
          <w:trHeight w:val="88"/>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740" w:type="dxa"/>
            <w:vAlign w:val="bottom"/>
          </w:tcPr>
          <w:p>
            <w:pPr>
              <w:ind w:left="20"/>
              <w:spacing w:after="0"/>
              <w:rPr>
                <w:sz w:val="20"/>
                <w:szCs w:val="20"/>
                <w:color w:val="auto"/>
              </w:rPr>
            </w:pPr>
            <w:r>
              <w:rPr>
                <w:rFonts w:ascii="Calibri" w:cs="Calibri" w:eastAsia="Calibri" w:hAnsi="Calibri"/>
                <w:sz w:val="14"/>
                <w:szCs w:val="14"/>
                <w:b w:val="1"/>
                <w:bCs w:val="1"/>
                <w:color w:val="auto"/>
              </w:rPr>
              <w:t>(per share):</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$17.19</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Q2</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740" w:type="dxa"/>
            <w:vAlign w:val="bottom"/>
          </w:tcPr>
          <w:p>
            <w:pPr>
              <w:ind w:left="20"/>
              <w:spacing w:after="0"/>
              <w:rPr>
                <w:sz w:val="20"/>
                <w:szCs w:val="20"/>
                <w:color w:val="auto"/>
              </w:rPr>
            </w:pPr>
            <w:r>
              <w:rPr>
                <w:rFonts w:ascii="Calibri" w:cs="Calibri" w:eastAsia="Calibri" w:hAnsi="Calibri"/>
                <w:sz w:val="14"/>
                <w:szCs w:val="14"/>
                <w:b w:val="1"/>
                <w:bCs w:val="1"/>
                <w:color w:val="auto"/>
              </w:rPr>
              <w:t>(per share, adj):</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$17.13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192024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18859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8040" w:space="120"/>
            <w:col w:w="3080"/>
          </w:cols>
          <w:pgMar w:left="320" w:top="760" w:right="339" w:bottom="1440" w:gutter="0" w:footer="0" w:header="0"/>
          <w:type w:val="continuous"/>
        </w:sectPr>
      </w:pPr>
    </w:p>
    <w:p>
      <w:pPr>
        <w:spacing w:after="0" w:line="87" w:lineRule="exact"/>
        <w:rPr>
          <w:sz w:val="20"/>
          <w:szCs w:val="20"/>
          <w:color w:val="auto"/>
        </w:rPr>
      </w:pPr>
    </w:p>
    <w:p>
      <w:pPr>
        <w:jc w:val="both"/>
        <w:ind w:left="80"/>
        <w:spacing w:after="0" w:line="235" w:lineRule="auto"/>
        <w:rPr>
          <w:sz w:val="20"/>
          <w:szCs w:val="20"/>
          <w:color w:val="auto"/>
        </w:rPr>
      </w:pPr>
      <w:r>
        <w:rPr>
          <w:rFonts w:ascii="Calibri" w:cs="Calibri" w:eastAsia="Calibri" w:hAnsi="Calibri"/>
          <w:sz w:val="18"/>
          <w:szCs w:val="18"/>
          <w:color w:val="auto"/>
        </w:rPr>
        <w:t>On April 1, 2024, the Company issued 600,000 shares of common stock pursuant to the overallotment opton granted to underwriters related to the Company’s previously reported common stock issuance on March 5, 2024. Net of underwritng fees and ofering costs, total cash proceeds to the Company, inclusive of the overallotment shares issued, were approximately $93.3 million.</w:t>
      </w:r>
    </w:p>
    <w:p>
      <w:pPr>
        <w:spacing w:after="0" w:line="219" w:lineRule="exact"/>
        <w:rPr>
          <w:sz w:val="20"/>
          <w:szCs w:val="20"/>
          <w:color w:val="auto"/>
        </w:rPr>
      </w:pPr>
    </w:p>
    <w:p>
      <w:pPr>
        <w:ind w:left="80" w:right="120"/>
        <w:spacing w:after="0" w:line="235" w:lineRule="auto"/>
        <w:rPr>
          <w:sz w:val="20"/>
          <w:szCs w:val="20"/>
          <w:color w:val="auto"/>
        </w:rPr>
      </w:pPr>
      <w:r>
        <w:rPr>
          <w:rFonts w:ascii="Calibri" w:cs="Calibri" w:eastAsia="Calibri" w:hAnsi="Calibri"/>
          <w:sz w:val="18"/>
          <w:szCs w:val="18"/>
          <w:color w:val="auto"/>
        </w:rPr>
        <w:t>On April 24, 2024, the Company completed an amendment to its Revolving Credit Facility, which, among other changes, (a) increased the aggregate commitments under the facility to $1.700 billion and (b) extended the stated maturity date to April 24, 2029 for $1.505 billion of commitments.</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alibri" w:cs="Calibri" w:eastAsia="Calibri" w:hAnsi="Calibri"/>
          <w:sz w:val="14"/>
          <w:szCs w:val="14"/>
          <w:b w:val="1"/>
          <w:bCs w:val="1"/>
          <w:color w:val="FFFFFF"/>
        </w:rPr>
        <w:t>Dividends Declared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ind w:left="80"/>
              <w:spacing w:after="0"/>
              <w:rPr>
                <w:sz w:val="20"/>
                <w:szCs w:val="20"/>
                <w:color w:val="auto"/>
              </w:rPr>
            </w:pPr>
            <w:r>
              <w:rPr>
                <w:rFonts w:ascii="Calibri" w:cs="Calibri" w:eastAsia="Calibri" w:hAnsi="Calibri"/>
                <w:sz w:val="14"/>
                <w:szCs w:val="14"/>
                <w:b w:val="1"/>
                <w:bCs w:val="1"/>
                <w:color w:val="auto"/>
              </w:rPr>
              <w:t>Q2 2024 (Base):</w:t>
            </w:r>
          </w:p>
        </w:tc>
        <w:tc>
          <w:tcPr>
            <w:tcW w:w="840" w:type="dxa"/>
            <w:vAlign w:val="bottom"/>
          </w:tcPr>
          <w:p>
            <w:pPr>
              <w:jc w:val="right"/>
              <w:spacing w:after="0"/>
              <w:rPr>
                <w:sz w:val="20"/>
                <w:szCs w:val="20"/>
                <w:color w:val="auto"/>
              </w:rPr>
            </w:pPr>
            <w:r>
              <w:rPr>
                <w:rFonts w:ascii="Calibri" w:cs="Calibri" w:eastAsia="Calibri" w:hAnsi="Calibri"/>
                <w:sz w:val="14"/>
                <w:szCs w:val="14"/>
                <w:b w:val="1"/>
                <w:bCs w:val="1"/>
                <w:color w:val="auto"/>
              </w:rPr>
              <w:t>$0.46</w:t>
            </w:r>
          </w:p>
        </w:tc>
      </w:tr>
      <w:tr>
        <w:trPr>
          <w:trHeight w:val="87"/>
        </w:trPr>
        <w:tc>
          <w:tcPr>
            <w:tcW w:w="2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203"/>
        </w:trPr>
        <w:tc>
          <w:tcPr>
            <w:tcW w:w="2180" w:type="dxa"/>
            <w:vAlign w:val="bottom"/>
          </w:tcPr>
          <w:p>
            <w:pPr>
              <w:ind w:left="80"/>
              <w:spacing w:after="0"/>
              <w:rPr>
                <w:sz w:val="20"/>
                <w:szCs w:val="20"/>
                <w:color w:val="auto"/>
              </w:rPr>
            </w:pPr>
            <w:r>
              <w:rPr>
                <w:rFonts w:ascii="Calibri" w:cs="Calibri" w:eastAsia="Calibri" w:hAnsi="Calibri"/>
                <w:sz w:val="14"/>
                <w:szCs w:val="14"/>
                <w:b w:val="1"/>
                <w:bCs w:val="1"/>
                <w:color w:val="auto"/>
              </w:rPr>
              <w:t>LTM Q2'24 (Base):</w:t>
            </w:r>
          </w:p>
        </w:tc>
        <w:tc>
          <w:tcPr>
            <w:tcW w:w="840" w:type="dxa"/>
            <w:vAlign w:val="bottom"/>
          </w:tcPr>
          <w:p>
            <w:pPr>
              <w:jc w:val="right"/>
              <w:spacing w:after="0"/>
              <w:rPr>
                <w:sz w:val="20"/>
                <w:szCs w:val="20"/>
                <w:color w:val="auto"/>
              </w:rPr>
            </w:pPr>
            <w:r>
              <w:rPr>
                <w:rFonts w:ascii="Calibri" w:cs="Calibri" w:eastAsia="Calibri" w:hAnsi="Calibri"/>
                <w:sz w:val="14"/>
                <w:szCs w:val="14"/>
                <w:b w:val="1"/>
                <w:bCs w:val="1"/>
                <w:color w:val="auto"/>
              </w:rPr>
              <w:t>$1.84</w:t>
            </w:r>
          </w:p>
        </w:tc>
      </w:tr>
      <w:tr>
        <w:trPr>
          <w:trHeight w:val="87"/>
        </w:trPr>
        <w:tc>
          <w:tcPr>
            <w:tcW w:w="2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203"/>
        </w:trPr>
        <w:tc>
          <w:tcPr>
            <w:tcW w:w="2180" w:type="dxa"/>
            <w:vAlign w:val="bottom"/>
          </w:tcPr>
          <w:p>
            <w:pPr>
              <w:ind w:left="80"/>
              <w:spacing w:after="0"/>
              <w:rPr>
                <w:sz w:val="20"/>
                <w:szCs w:val="20"/>
                <w:color w:val="auto"/>
              </w:rPr>
            </w:pPr>
            <w:r>
              <w:rPr>
                <w:rFonts w:ascii="Calibri" w:cs="Calibri" w:eastAsia="Calibri" w:hAnsi="Calibri"/>
                <w:sz w:val="14"/>
                <w:szCs w:val="14"/>
                <w:b w:val="1"/>
                <w:bCs w:val="1"/>
                <w:color w:val="auto"/>
              </w:rPr>
              <w:t>LTM Q2'24 (Supplemental):</w:t>
            </w:r>
          </w:p>
        </w:tc>
        <w:tc>
          <w:tcPr>
            <w:tcW w:w="840" w:type="dxa"/>
            <w:vAlign w:val="bottom"/>
          </w:tcPr>
          <w:p>
            <w:pPr>
              <w:jc w:val="right"/>
              <w:spacing w:after="0"/>
              <w:rPr>
                <w:sz w:val="20"/>
                <w:szCs w:val="20"/>
                <w:color w:val="auto"/>
              </w:rPr>
            </w:pPr>
            <w:r>
              <w:rPr>
                <w:rFonts w:ascii="Calibri" w:cs="Calibri" w:eastAsia="Calibri" w:hAnsi="Calibri"/>
                <w:sz w:val="14"/>
                <w:szCs w:val="14"/>
                <w:b w:val="1"/>
                <w:bCs w:val="1"/>
                <w:color w:val="auto"/>
              </w:rPr>
              <w:t>$0.27</w:t>
            </w:r>
          </w:p>
        </w:tc>
      </w:tr>
      <w:tr>
        <w:trPr>
          <w:trHeight w:val="87"/>
        </w:trPr>
        <w:tc>
          <w:tcPr>
            <w:tcW w:w="2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203"/>
        </w:trPr>
        <w:tc>
          <w:tcPr>
            <w:tcW w:w="2180" w:type="dxa"/>
            <w:vAlign w:val="bottom"/>
          </w:tcPr>
          <w:p>
            <w:pPr>
              <w:ind w:left="80"/>
              <w:spacing w:after="0"/>
              <w:rPr>
                <w:sz w:val="20"/>
                <w:szCs w:val="20"/>
                <w:color w:val="auto"/>
              </w:rPr>
            </w:pPr>
            <w:r>
              <w:rPr>
                <w:rFonts w:ascii="Calibri" w:cs="Calibri" w:eastAsia="Calibri" w:hAnsi="Calibri"/>
                <w:sz w:val="14"/>
                <w:szCs w:val="14"/>
                <w:b w:val="1"/>
                <w:bCs w:val="1"/>
                <w:color w:val="auto"/>
              </w:rPr>
              <w:t>LTM Q2'24 (Total):</w:t>
            </w:r>
          </w:p>
        </w:tc>
        <w:tc>
          <w:tcPr>
            <w:tcW w:w="840" w:type="dxa"/>
            <w:vAlign w:val="bottom"/>
          </w:tcPr>
          <w:p>
            <w:pPr>
              <w:jc w:val="right"/>
              <w:spacing w:after="0"/>
              <w:rPr>
                <w:sz w:val="20"/>
                <w:szCs w:val="20"/>
                <w:color w:val="auto"/>
              </w:rPr>
            </w:pPr>
            <w:r>
              <w:rPr>
                <w:rFonts w:ascii="Calibri" w:cs="Calibri" w:eastAsia="Calibri" w:hAnsi="Calibri"/>
                <w:sz w:val="14"/>
                <w:szCs w:val="14"/>
                <w:b w:val="1"/>
                <w:bCs w:val="1"/>
                <w:color w:val="auto"/>
              </w:rPr>
              <w:t>$2.11</w:t>
            </w:r>
          </w:p>
        </w:tc>
      </w:tr>
    </w:tbl>
    <w:p>
      <w:pPr>
        <w:spacing w:after="0" w:line="613" w:lineRule="exact"/>
        <w:rPr>
          <w:sz w:val="20"/>
          <w:szCs w:val="20"/>
          <w:color w:val="auto"/>
        </w:rPr>
      </w:pPr>
    </w:p>
    <w:p>
      <w:pPr>
        <w:sectPr>
          <w:pgSz w:w="11900" w:h="16838" w:orient="portrait"/>
          <w:cols w:equalWidth="0" w:num="2">
            <w:col w:w="8040" w:space="120"/>
            <w:col w:w="3080"/>
          </w:cols>
          <w:pgMar w:left="320" w:top="760" w:right="339" w:bottom="1440" w:gutter="0" w:footer="0" w:header="0"/>
          <w:type w:val="continuous"/>
        </w:sectPr>
      </w:pPr>
    </w:p>
    <w:p>
      <w:pPr>
        <w:spacing w:after="0" w:line="14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 w:name="page5"/>
    <w:bookmarkEnd w:id="4"/>
    <w:p>
      <w:pPr>
        <w:spacing w:after="0" w:line="2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PORTFOLIO AND INVESTMENT ACTIVITY</w:t>
      </w:r>
    </w:p>
    <w:p>
      <w:pPr>
        <w:spacing w:after="0" w:line="200" w:lineRule="exact"/>
        <w:rPr>
          <w:sz w:val="20"/>
          <w:szCs w:val="20"/>
          <w:color w:val="auto"/>
        </w:rPr>
      </w:pPr>
    </w:p>
    <w:p>
      <w:pPr>
        <w:spacing w:after="0" w:line="264" w:lineRule="exact"/>
        <w:rPr>
          <w:sz w:val="20"/>
          <w:szCs w:val="20"/>
          <w:color w:val="auto"/>
        </w:rPr>
      </w:pPr>
    </w:p>
    <w:p>
      <w:pPr>
        <w:jc w:val="both"/>
        <w:ind w:left="20" w:right="20"/>
        <w:spacing w:after="0" w:line="235" w:lineRule="auto"/>
        <w:rPr>
          <w:sz w:val="20"/>
          <w:szCs w:val="20"/>
          <w:color w:val="auto"/>
        </w:rPr>
      </w:pPr>
      <w:r>
        <w:rPr>
          <w:rFonts w:ascii="Calibri" w:cs="Calibri" w:eastAsia="Calibri" w:hAnsi="Calibri"/>
          <w:sz w:val="18"/>
          <w:szCs w:val="18"/>
          <w:color w:val="auto"/>
        </w:rPr>
        <w:t>For the quarter ended June 30, 2024, new investment commitments totaled $231.0 million. This compares to $263.6 million for the quarter ended March 31, 2024.</w:t>
      </w:r>
    </w:p>
    <w:p>
      <w:pPr>
        <w:spacing w:after="0" w:line="123"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quarter ended June 30, 2024, the principal amount of new investments funded was $163.6 million across eight new portolio companies and fve upsizes to existng portolio companies. For this period, the Company had $290.3 million aggregate principal amount in exits and repayments. For the quarter ended March 31, 2024, the principal amount of new investments funded was $162.8 million across nine new portolio companies and fve upsizes to existng portolio companies. For that period, the Company had $108.6 million aggregate principal amount in exits and repayments.</w:t>
      </w:r>
    </w:p>
    <w:p>
      <w:pPr>
        <w:spacing w:after="0" w:line="197" w:lineRule="exact"/>
        <w:rPr>
          <w:sz w:val="20"/>
          <w:szCs w:val="20"/>
          <w:color w:val="auto"/>
        </w:rPr>
      </w:pPr>
    </w:p>
    <w:p>
      <w:pPr>
        <w:jc w:val="both"/>
        <w:ind w:left="20"/>
        <w:spacing w:after="0" w:line="207" w:lineRule="auto"/>
        <w:rPr>
          <w:sz w:val="20"/>
          <w:szCs w:val="20"/>
          <w:color w:val="auto"/>
        </w:rPr>
      </w:pPr>
      <w:r>
        <w:rPr>
          <w:rFonts w:ascii="Calibri" w:cs="Calibri" w:eastAsia="Calibri" w:hAnsi="Calibri"/>
          <w:sz w:val="18"/>
          <w:szCs w:val="18"/>
          <w:color w:val="auto"/>
        </w:rPr>
        <w:t>As of June 30, 2024 and March 31, 2024, the Company had investments in 105</w:t>
      </w:r>
      <w:r>
        <w:rPr>
          <w:rFonts w:ascii="Calibri" w:cs="Calibri" w:eastAsia="Calibri" w:hAnsi="Calibri"/>
          <w:sz w:val="24"/>
          <w:szCs w:val="24"/>
          <w:color w:val="auto"/>
          <w:vertAlign w:val="superscript"/>
        </w:rPr>
        <w:t>1</w:t>
      </w:r>
      <w:r>
        <w:rPr>
          <w:rFonts w:ascii="Calibri" w:cs="Calibri" w:eastAsia="Calibri" w:hAnsi="Calibri"/>
          <w:sz w:val="18"/>
          <w:szCs w:val="18"/>
          <w:color w:val="auto"/>
        </w:rPr>
        <w:t xml:space="preserve"> and 100</w:t>
      </w:r>
      <w:r>
        <w:rPr>
          <w:rFonts w:ascii="Calibri" w:cs="Calibri" w:eastAsia="Calibri" w:hAnsi="Calibri"/>
          <w:sz w:val="24"/>
          <w:szCs w:val="24"/>
          <w:color w:val="auto"/>
          <w:vertAlign w:val="superscript"/>
        </w:rPr>
        <w:t>2</w:t>
      </w:r>
      <w:r>
        <w:rPr>
          <w:rFonts w:ascii="Calibri" w:cs="Calibri" w:eastAsia="Calibri" w:hAnsi="Calibri"/>
          <w:sz w:val="18"/>
          <w:szCs w:val="18"/>
          <w:color w:val="auto"/>
        </w:rPr>
        <w:t xml:space="preserve"> portolio companies, respectvely, with an aggregate fair value of $3,317.1 million and $3,380.0 million, respectvely. As of June 30, 2024, the average investment size in each portolio company was $31.5</w:t>
      </w:r>
      <w:r>
        <w:rPr>
          <w:rFonts w:ascii="Calibri" w:cs="Calibri" w:eastAsia="Calibri" w:hAnsi="Calibri"/>
          <w:sz w:val="24"/>
          <w:szCs w:val="24"/>
          <w:color w:val="auto"/>
          <w:vertAlign w:val="superscript"/>
        </w:rPr>
        <w:t>1</w:t>
      </w:r>
      <w:r>
        <w:rPr>
          <w:rFonts w:ascii="Calibri" w:cs="Calibri" w:eastAsia="Calibri" w:hAnsi="Calibri"/>
          <w:sz w:val="18"/>
          <w:szCs w:val="18"/>
          <w:color w:val="auto"/>
        </w:rPr>
        <w:t xml:space="preserve"> million based on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80"/>
        <w:spacing w:after="0"/>
        <w:rPr>
          <w:sz w:val="20"/>
          <w:szCs w:val="20"/>
          <w:color w:val="auto"/>
        </w:rPr>
      </w:pPr>
      <w:r>
        <w:rPr>
          <w:rFonts w:ascii="Calibri" w:cs="Calibri" w:eastAsia="Calibri" w:hAnsi="Calibri"/>
          <w:sz w:val="15"/>
          <w:szCs w:val="15"/>
          <w:b w:val="1"/>
          <w:bCs w:val="1"/>
          <w:color w:val="FFFFFF"/>
        </w:rPr>
        <w:t>Q2 2024 Originaton Actvity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-109220</wp:posOffset>
            </wp:positionV>
            <wp:extent cx="220281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02815" cy="146050"/>
                    </a:xfrm>
                    <a:prstGeom prst="rect">
                      <a:avLst/>
                    </a:prstGeom>
                    <a:noFill/>
                  </pic:spPr>
                </pic:pic>
              </a:graphicData>
            </a:graphic>
          </wp:anchor>
        </w:drawing>
      </w:r>
    </w:p>
    <w:p>
      <w:pPr>
        <w:spacing w:after="0" w:line="26" w:lineRule="exact"/>
        <w:rPr>
          <w:sz w:val="20"/>
          <w:szCs w:val="20"/>
          <w:color w:val="auto"/>
        </w:rPr>
      </w:pPr>
    </w:p>
    <w:p>
      <w:pPr>
        <w:spacing w:after="0"/>
        <w:tabs>
          <w:tab w:leader="none" w:pos="2580" w:val="left"/>
        </w:tabs>
        <w:rPr>
          <w:sz w:val="20"/>
          <w:szCs w:val="20"/>
          <w:color w:val="auto"/>
        </w:rPr>
      </w:pPr>
      <w:r>
        <w:rPr>
          <w:rFonts w:ascii="Calibri" w:cs="Calibri" w:eastAsia="Calibri" w:hAnsi="Calibri"/>
          <w:sz w:val="15"/>
          <w:szCs w:val="15"/>
          <w:b w:val="1"/>
          <w:bCs w:val="1"/>
          <w:color w:val="auto"/>
        </w:rPr>
        <w:t>Commitments:</w:t>
      </w:r>
      <w:r>
        <w:rPr>
          <w:sz w:val="20"/>
          <w:szCs w:val="20"/>
          <w:color w:val="auto"/>
        </w:rPr>
        <w:tab/>
      </w:r>
      <w:r>
        <w:rPr>
          <w:rFonts w:ascii="Calibri" w:cs="Calibri" w:eastAsia="Calibri" w:hAnsi="Calibri"/>
          <w:sz w:val="15"/>
          <w:szCs w:val="15"/>
          <w:b w:val="1"/>
          <w:bCs w:val="1"/>
          <w:color w:val="auto"/>
        </w:rPr>
        <w:t>$231.0MM</w:t>
      </w:r>
    </w:p>
    <w:p>
      <w:pPr>
        <w:spacing w:after="0" w:line="46" w:lineRule="exact"/>
        <w:rPr>
          <w:sz w:val="20"/>
          <w:szCs w:val="20"/>
          <w:color w:val="auto"/>
        </w:rPr>
      </w:pPr>
    </w:p>
    <w:p>
      <w:pPr>
        <w:spacing w:after="0"/>
        <w:tabs>
          <w:tab w:leader="none" w:pos="2580" w:val="left"/>
        </w:tabs>
        <w:rPr>
          <w:sz w:val="20"/>
          <w:szCs w:val="20"/>
          <w:color w:val="auto"/>
        </w:rPr>
      </w:pPr>
      <w:r>
        <w:rPr>
          <w:rFonts w:ascii="Calibri" w:cs="Calibri" w:eastAsia="Calibri" w:hAnsi="Calibri"/>
          <w:sz w:val="15"/>
          <w:szCs w:val="15"/>
          <w:b w:val="1"/>
          <w:bCs w:val="1"/>
          <w:color w:val="auto"/>
        </w:rPr>
        <w:t>Fundings:</w:t>
      </w:r>
      <w:r>
        <w:rPr>
          <w:sz w:val="20"/>
          <w:szCs w:val="20"/>
          <w:color w:val="auto"/>
        </w:rPr>
        <w:tab/>
      </w:r>
      <w:r>
        <w:rPr>
          <w:rFonts w:ascii="Calibri" w:cs="Calibri" w:eastAsia="Calibri" w:hAnsi="Calibri"/>
          <w:sz w:val="15"/>
          <w:szCs w:val="15"/>
          <w:b w:val="1"/>
          <w:bCs w:val="1"/>
          <w:color w:val="auto"/>
        </w:rPr>
        <w:t>$163.6MM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80" w:type="dxa"/>
            <w:vAlign w:val="bottom"/>
          </w:tcPr>
          <w:p>
            <w:pPr>
              <w:spacing w:after="0"/>
              <w:rPr>
                <w:sz w:val="20"/>
                <w:szCs w:val="20"/>
                <w:color w:val="auto"/>
              </w:rPr>
            </w:pPr>
            <w:r>
              <w:rPr>
                <w:rFonts w:ascii="Calibri" w:cs="Calibri" w:eastAsia="Calibri" w:hAnsi="Calibri"/>
                <w:sz w:val="15"/>
                <w:szCs w:val="15"/>
                <w:b w:val="1"/>
                <w:bCs w:val="1"/>
                <w:color w:val="auto"/>
              </w:rPr>
              <w:t>Net Payofs:</w:t>
            </w:r>
          </w:p>
        </w:tc>
        <w:tc>
          <w:tcPr>
            <w:tcW w:w="1620" w:type="dxa"/>
            <w:vAlign w:val="bottom"/>
          </w:tcPr>
          <w:p>
            <w:pPr>
              <w:ind w:left="920"/>
              <w:spacing w:after="0"/>
              <w:rPr>
                <w:sz w:val="20"/>
                <w:szCs w:val="20"/>
                <w:color w:val="auto"/>
              </w:rPr>
            </w:pPr>
            <w:r>
              <w:rPr>
                <w:rFonts w:ascii="Calibri" w:cs="Calibri" w:eastAsia="Calibri" w:hAnsi="Calibri"/>
                <w:sz w:val="15"/>
                <w:szCs w:val="15"/>
                <w:b w:val="1"/>
                <w:bCs w:val="1"/>
                <w:color w:val="auto"/>
                <w:w w:val="99"/>
              </w:rPr>
              <w:t>$126.7MM</w:t>
            </w:r>
          </w:p>
        </w:tc>
      </w:tr>
    </w:tbl>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Calibri" w:cs="Calibri" w:eastAsia="Calibri" w:hAnsi="Calibri"/>
          <w:sz w:val="15"/>
          <w:szCs w:val="15"/>
          <w:b w:val="1"/>
          <w:bCs w:val="1"/>
          <w:color w:val="FFFFFF"/>
        </w:rPr>
        <w:t>Average Investment Size</w:t>
      </w:r>
      <w:r>
        <w:rPr>
          <w:rFonts w:ascii="Calibri" w:cs="Calibri" w:eastAsia="Calibri" w:hAnsi="Calibri"/>
          <w:sz w:val="20"/>
          <w:szCs w:val="20"/>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-130810</wp:posOffset>
            </wp:positionV>
            <wp:extent cx="220281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02815" cy="146050"/>
                    </a:xfrm>
                    <a:prstGeom prst="rect">
                      <a:avLst/>
                    </a:prstGeom>
                    <a:noFill/>
                  </pic:spPr>
                </pic:pic>
              </a:graphicData>
            </a:graphic>
          </wp:anchor>
        </w:drawing>
      </w:r>
    </w:p>
    <w:p>
      <w:pPr>
        <w:jc w:val="center"/>
        <w:ind w:right="80"/>
        <w:spacing w:after="0"/>
        <w:rPr>
          <w:sz w:val="20"/>
          <w:szCs w:val="20"/>
          <w:color w:val="auto"/>
        </w:rPr>
      </w:pPr>
      <w:r>
        <w:rPr>
          <w:rFonts w:ascii="Calibri" w:cs="Calibri" w:eastAsia="Calibri" w:hAnsi="Calibri"/>
          <w:sz w:val="15"/>
          <w:szCs w:val="15"/>
          <w:b w:val="1"/>
          <w:bCs w:val="1"/>
          <w:color w:val="auto"/>
        </w:rPr>
        <w:t>$31.5MM</w:t>
      </w:r>
    </w:p>
    <w:p>
      <w:pPr>
        <w:spacing w:after="0" w:line="46" w:lineRule="exact"/>
        <w:rPr>
          <w:sz w:val="20"/>
          <w:szCs w:val="20"/>
          <w:color w:val="auto"/>
        </w:rPr>
      </w:pPr>
    </w:p>
    <w:p>
      <w:pPr>
        <w:jc w:val="center"/>
        <w:ind w:right="80"/>
        <w:spacing w:after="0"/>
        <w:rPr>
          <w:sz w:val="20"/>
          <w:szCs w:val="20"/>
          <w:color w:val="auto"/>
        </w:rPr>
      </w:pPr>
      <w:r>
        <w:rPr>
          <w:rFonts w:ascii="Calibri" w:cs="Calibri" w:eastAsia="Calibri" w:hAnsi="Calibri"/>
          <w:sz w:val="15"/>
          <w:szCs w:val="15"/>
          <w:i w:val="1"/>
          <w:iCs w:val="1"/>
          <w:color w:val="auto"/>
        </w:rPr>
        <w:t>(1.0% of the portolio at fair value)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Calibri" w:cs="Calibri" w:eastAsia="Calibri" w:hAnsi="Calibri"/>
          <w:sz w:val="15"/>
          <w:szCs w:val="15"/>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-109220</wp:posOffset>
            </wp:positionV>
            <wp:extent cx="220281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02815" cy="145415"/>
                    </a:xfrm>
                    <a:prstGeom prst="rect">
                      <a:avLst/>
                    </a:prstGeom>
                    <a:noFill/>
                  </pic:spPr>
                </pic:pic>
              </a:graphicData>
            </a:graphic>
          </wp:anchor>
        </w:drawing>
      </w:r>
    </w:p>
    <w:p>
      <w:pPr>
        <w:spacing w:after="0" w:line="26" w:lineRule="exact"/>
        <w:rPr>
          <w:sz w:val="20"/>
          <w:szCs w:val="20"/>
          <w:color w:val="auto"/>
        </w:rPr>
      </w:pPr>
    </w:p>
    <w:p>
      <w:pPr>
        <w:jc w:val="center"/>
        <w:ind w:right="80"/>
        <w:spacing w:after="0"/>
        <w:rPr>
          <w:sz w:val="20"/>
          <w:szCs w:val="20"/>
          <w:color w:val="auto"/>
        </w:rPr>
      </w:pPr>
      <w:r>
        <w:rPr>
          <w:rFonts w:ascii="Calibri" w:cs="Calibri" w:eastAsia="Calibri" w:hAnsi="Calibri"/>
          <w:sz w:val="15"/>
          <w:szCs w:val="15"/>
          <w:b w:val="1"/>
          <w:bCs w:val="1"/>
          <w:color w:val="auto"/>
        </w:rPr>
        <w:t>92.8%</w:t>
      </w:r>
    </w:p>
    <w:p>
      <w:pPr>
        <w:spacing w:after="0" w:line="34" w:lineRule="exact"/>
        <w:rPr>
          <w:sz w:val="20"/>
          <w:szCs w:val="20"/>
          <w:color w:val="auto"/>
        </w:rPr>
      </w:pPr>
    </w:p>
    <w:p>
      <w:pPr>
        <w:sectPr>
          <w:pgSz w:w="11900" w:h="16838" w:orient="portrait"/>
          <w:cols w:equalWidth="0" w:num="2">
            <w:col w:w="7640" w:space="200"/>
            <w:col w:w="3400"/>
          </w:cols>
          <w:pgMar w:left="320" w:top="1440" w:right="339" w:bottom="1440" w:gutter="0" w:footer="0" w:header="0"/>
        </w:sectPr>
      </w:pPr>
    </w:p>
    <w:p>
      <w:pPr>
        <w:jc w:val="both"/>
        <w:ind w:left="20"/>
        <w:spacing w:after="0" w:line="251" w:lineRule="auto"/>
        <w:rPr>
          <w:sz w:val="20"/>
          <w:szCs w:val="20"/>
          <w:color w:val="auto"/>
        </w:rPr>
      </w:pPr>
      <w:r>
        <w:rPr>
          <w:rFonts w:ascii="Calibri" w:cs="Calibri" w:eastAsia="Calibri" w:hAnsi="Calibri"/>
          <w:sz w:val="17"/>
          <w:szCs w:val="17"/>
          <w:color w:val="auto"/>
        </w:rPr>
        <w:t>As of June 30, 2024, the Company’s portolio based on fair value consisted of 92.8% frst-lien debt investments, 0.8% second-lien debt investments, 0.2% structured credit investments, 1.3% mezzanine debt investments, and 4.9% equity and other investments. As of March 31, 2024, the Company’s portolio based on fair value consisted of 92.3% frst-lien debt investments, 0.8% second-lien debt investments, 0.9% structured credit investments, 1.2% mezzanine debt investments, and 4.8% equity and other investments.</w:t>
      </w:r>
    </w:p>
    <w:p>
      <w:pPr>
        <w:spacing w:after="0" w:line="186" w:lineRule="exact"/>
        <w:rPr>
          <w:sz w:val="20"/>
          <w:szCs w:val="20"/>
          <w:color w:val="auto"/>
        </w:rPr>
      </w:pPr>
    </w:p>
    <w:p>
      <w:pPr>
        <w:jc w:val="both"/>
        <w:ind w:left="20"/>
        <w:spacing w:after="0" w:line="225" w:lineRule="auto"/>
        <w:rPr>
          <w:sz w:val="20"/>
          <w:szCs w:val="20"/>
          <w:color w:val="auto"/>
        </w:rPr>
      </w:pPr>
      <w:r>
        <w:rPr>
          <w:rFonts w:ascii="Calibri" w:cs="Calibri" w:eastAsia="Calibri" w:hAnsi="Calibri"/>
          <w:sz w:val="18"/>
          <w:szCs w:val="18"/>
          <w:color w:val="auto"/>
        </w:rPr>
        <w:t>As of June 30, 2024, 99.6% of debt investments</w:t>
      </w:r>
      <w:r>
        <w:rPr>
          <w:rFonts w:ascii="Calibri" w:cs="Calibri" w:eastAsia="Calibri" w:hAnsi="Calibri"/>
          <w:sz w:val="24"/>
          <w:szCs w:val="24"/>
          <w:color w:val="auto"/>
          <w:vertAlign w:val="superscript"/>
        </w:rPr>
        <w:t>3</w:t>
      </w:r>
      <w:r>
        <w:rPr>
          <w:rFonts w:ascii="Calibri" w:cs="Calibri" w:eastAsia="Calibri" w:hAnsi="Calibri"/>
          <w:sz w:val="18"/>
          <w:szCs w:val="18"/>
          <w:color w:val="auto"/>
        </w:rPr>
        <w:t xml:space="preserve"> based on fair value in the portolio bore interest at foatng rates with 100.0% of these subject to reference rate foors. The Company’s credit facilites also bear interest at foatng rates. In connecton with the Company’s Unsecured Notes, which bear interest at fxed rates, the Company has entered into fxed-to-foatng interest rate swaps in order to align the nature of the interest rates of its liabilites with its investment portolio.</w:t>
      </w:r>
    </w:p>
    <w:p>
      <w:pPr>
        <w:spacing w:after="0" w:line="222"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As of June 30, 2024 and March 31, 2024, the weighted average total yield of debt and income-producing securites at fair value (which includes interest income and amortzaton of fees and discounts) was 13.8%, and the weighted average total yield of debt and income-producing securites at amortzed cost (which includes interest income and amortzaton of fees and discounts) was 13.9% and 14.0% for the quarter ended June 30, 2024 and March 31, 2024, respectvely.</w:t>
      </w:r>
    </w:p>
    <w:p>
      <w:pPr>
        <w:spacing w:after="0" w:line="21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As of June 30, 2024 and March 31, 2024, 1.1% of the portolio at fair value was on non-accrual status.</w:t>
      </w:r>
    </w:p>
    <w:p>
      <w:pPr>
        <w:ind w:left="20"/>
        <w:spacing w:after="0" w:line="235" w:lineRule="auto"/>
        <w:rPr>
          <w:sz w:val="20"/>
          <w:szCs w:val="20"/>
          <w:color w:val="auto"/>
        </w:rPr>
      </w:pPr>
      <w:r>
        <w:rPr>
          <w:rFonts w:ascii="Calibri" w:cs="Calibri" w:eastAsia="Calibri" w:hAnsi="Calibri"/>
          <w:sz w:val="18"/>
          <w:szCs w:val="18"/>
          <w:color w:val="auto"/>
        </w:rPr>
        <w:t>There were no new investments added to non-accrual status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954405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b w:val="1"/>
          <w:bCs w:val="1"/>
          <w:color w:val="FFFFFF"/>
        </w:rPr>
        <w:t>Floatng Rate Debt Investments</w:t>
      </w:r>
      <w:r>
        <w:rPr>
          <w:rFonts w:ascii="Calibri" w:cs="Calibri" w:eastAsia="Calibri" w:hAnsi="Calibri"/>
          <w:sz w:val="20"/>
          <w:szCs w:val="20"/>
          <w:b w:val="1"/>
          <w:bCs w:val="1"/>
          <w:color w:val="FFFFFF"/>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220281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02815" cy="325755"/>
                    </a:xfrm>
                    <a:prstGeom prst="rect">
                      <a:avLst/>
                    </a:prstGeom>
                    <a:noFill/>
                  </pic:spPr>
                </pic:pic>
              </a:graphicData>
            </a:graphic>
          </wp:anchor>
        </w:drawing>
      </w:r>
    </w:p>
    <w:p>
      <w:pPr>
        <w:jc w:val="center"/>
        <w:spacing w:after="0" w:line="221" w:lineRule="auto"/>
        <w:rPr>
          <w:sz w:val="20"/>
          <w:szCs w:val="20"/>
          <w:color w:val="auto"/>
        </w:rPr>
      </w:pPr>
      <w:r>
        <w:rPr>
          <w:rFonts w:ascii="Calibri" w:cs="Calibri" w:eastAsia="Calibri" w:hAnsi="Calibri"/>
          <w:sz w:val="15"/>
          <w:szCs w:val="15"/>
          <w:b w:val="1"/>
          <w:bCs w:val="1"/>
          <w:color w:val="FFFFFF"/>
        </w:rPr>
        <w:t>(% FV)</w:t>
      </w:r>
    </w:p>
    <w:p>
      <w:pPr>
        <w:spacing w:after="0" w:line="128"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99.6%</w:t>
      </w:r>
    </w:p>
    <w:p>
      <w:pPr>
        <w:spacing w:after="0" w:line="384" w:lineRule="exact"/>
        <w:rPr>
          <w:sz w:val="20"/>
          <w:szCs w:val="20"/>
          <w:color w:val="auto"/>
        </w:rPr>
      </w:pPr>
    </w:p>
    <w:p>
      <w:pPr>
        <w:jc w:val="center"/>
        <w:ind w:left="260"/>
        <w:spacing w:after="0" w:line="247" w:lineRule="auto"/>
        <w:rPr>
          <w:sz w:val="20"/>
          <w:szCs w:val="20"/>
          <w:color w:val="auto"/>
        </w:rPr>
      </w:pPr>
      <w:r>
        <w:rPr>
          <w:rFonts w:ascii="Calibri" w:cs="Calibri" w:eastAsia="Calibri" w:hAnsi="Calibri"/>
          <w:sz w:val="15"/>
          <w:szCs w:val="15"/>
          <w:b w:val="1"/>
          <w:bCs w:val="1"/>
          <w:color w:val="FFFFFF"/>
        </w:rPr>
        <w:t>Weighted Average Yield of Debt and Incoming-Producing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-224155</wp:posOffset>
            </wp:positionV>
            <wp:extent cx="2202815" cy="248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02815" cy="248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200" w:type="dxa"/>
            <w:vAlign w:val="bottom"/>
          </w:tcPr>
          <w:p>
            <w:pPr>
              <w:ind w:left="60"/>
              <w:spacing w:after="0"/>
              <w:rPr>
                <w:sz w:val="20"/>
                <w:szCs w:val="20"/>
                <w:color w:val="auto"/>
              </w:rPr>
            </w:pPr>
            <w:r>
              <w:rPr>
                <w:rFonts w:ascii="Calibri" w:cs="Calibri" w:eastAsia="Calibri" w:hAnsi="Calibri"/>
                <w:sz w:val="15"/>
                <w:szCs w:val="15"/>
                <w:b w:val="1"/>
                <w:bCs w:val="1"/>
                <w:color w:val="auto"/>
              </w:rPr>
              <w:t>Yield at Fair Value:</w:t>
            </w:r>
          </w:p>
        </w:tc>
        <w:tc>
          <w:tcPr>
            <w:tcW w:w="126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13.8%</w:t>
            </w:r>
          </w:p>
        </w:tc>
      </w:tr>
      <w:tr>
        <w:trPr>
          <w:trHeight w:val="56"/>
        </w:trPr>
        <w:tc>
          <w:tcPr>
            <w:tcW w:w="2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76"/>
        </w:trPr>
        <w:tc>
          <w:tcPr>
            <w:tcW w:w="2200" w:type="dxa"/>
            <w:vAlign w:val="bottom"/>
          </w:tcPr>
          <w:p>
            <w:pPr>
              <w:ind w:left="60"/>
              <w:spacing w:after="0" w:line="176" w:lineRule="exact"/>
              <w:rPr>
                <w:sz w:val="20"/>
                <w:szCs w:val="20"/>
                <w:color w:val="auto"/>
              </w:rPr>
            </w:pPr>
            <w:r>
              <w:rPr>
                <w:rFonts w:ascii="Calibri" w:cs="Calibri" w:eastAsia="Calibri" w:hAnsi="Calibri"/>
                <w:sz w:val="15"/>
                <w:szCs w:val="15"/>
                <w:b w:val="1"/>
                <w:bCs w:val="1"/>
                <w:color w:val="auto"/>
              </w:rPr>
              <w:t>Yield at Amortzed Cost:</w:t>
            </w:r>
          </w:p>
        </w:tc>
        <w:tc>
          <w:tcPr>
            <w:tcW w:w="1260" w:type="dxa"/>
            <w:vAlign w:val="bottom"/>
          </w:tcPr>
          <w:p>
            <w:pPr>
              <w:jc w:val="right"/>
              <w:ind w:right="184"/>
              <w:spacing w:after="0" w:line="176" w:lineRule="exact"/>
              <w:rPr>
                <w:sz w:val="20"/>
                <w:szCs w:val="20"/>
                <w:color w:val="auto"/>
              </w:rPr>
            </w:pPr>
            <w:r>
              <w:rPr>
                <w:rFonts w:ascii="Calibri" w:cs="Calibri" w:eastAsia="Calibri" w:hAnsi="Calibri"/>
                <w:sz w:val="15"/>
                <w:szCs w:val="15"/>
                <w:b w:val="1"/>
                <w:bCs w:val="1"/>
                <w:color w:val="auto"/>
              </w:rPr>
              <w:t>13.9%</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w:t>
      </w:r>
      <w:r>
        <w:rPr>
          <w:rFonts w:ascii="Calibri" w:cs="Calibri" w:eastAsia="Calibri" w:hAnsi="Calibri"/>
          <w:sz w:val="14"/>
          <w:szCs w:val="14"/>
          <w:color w:val="auto"/>
        </w:rPr>
        <w:t>As  of  June  30,  2024,  excludes  4  structured  credit</w:t>
      </w:r>
    </w:p>
    <w:p>
      <w:pPr>
        <w:ind w:left="100" w:hanging="96"/>
        <w:spacing w:after="0" w:line="197" w:lineRule="auto"/>
        <w:tabs>
          <w:tab w:leader="none" w:pos="100" w:val="left"/>
        </w:tabs>
        <w:numPr>
          <w:ilvl w:val="0"/>
          <w:numId w:val="2"/>
        </w:numPr>
        <w:rPr>
          <w:rFonts w:ascii="Times New Roman" w:cs="Times New Roman" w:eastAsia="Times New Roman" w:hAnsi="Times New Roman"/>
          <w:sz w:val="20"/>
          <w:szCs w:val="20"/>
          <w:color w:val="auto"/>
          <w:vertAlign w:val="superscript"/>
        </w:rPr>
      </w:pPr>
      <w:r>
        <w:rPr>
          <w:rFonts w:ascii="Calibri" w:cs="Calibri" w:eastAsia="Calibri" w:hAnsi="Calibri"/>
          <w:sz w:val="12"/>
          <w:szCs w:val="12"/>
          <w:color w:val="auto"/>
        </w:rPr>
        <w:t>investments with a total fair value of $6.1 million.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20"/>
                <w:szCs w:val="20"/>
                <w:color w:val="auto"/>
              </w:rPr>
            </w:pPr>
            <w:r>
              <w:rPr>
                <w:rFonts w:ascii="Calibri" w:cs="Calibri" w:eastAsia="Calibri" w:hAnsi="Calibri"/>
                <w:sz w:val="14"/>
                <w:szCs w:val="14"/>
                <w:color w:val="auto"/>
              </w:rPr>
              <w:t>2</w:t>
            </w:r>
          </w:p>
        </w:tc>
        <w:tc>
          <w:tcPr>
            <w:tcW w:w="3340" w:type="dxa"/>
            <w:vAlign w:val="bottom"/>
          </w:tcPr>
          <w:p>
            <w:pPr>
              <w:spacing w:after="0"/>
              <w:rPr>
                <w:sz w:val="20"/>
                <w:szCs w:val="20"/>
                <w:color w:val="auto"/>
              </w:rPr>
            </w:pPr>
            <w:r>
              <w:rPr>
                <w:rFonts w:ascii="Calibri" w:cs="Calibri" w:eastAsia="Calibri" w:hAnsi="Calibri"/>
                <w:sz w:val="14"/>
                <w:szCs w:val="14"/>
                <w:color w:val="auto"/>
              </w:rPr>
              <w:t>As of March 31, 2024, excludes 24 structured credit</w:t>
            </w:r>
          </w:p>
        </w:tc>
      </w:tr>
      <w:tr>
        <w:trPr>
          <w:trHeight w:val="170"/>
        </w:trPr>
        <w:tc>
          <w:tcPr>
            <w:tcW w:w="100" w:type="dxa"/>
            <w:vAlign w:val="bottom"/>
          </w:tcPr>
          <w:p>
            <w:pPr>
              <w:spacing w:after="0"/>
              <w:rPr>
                <w:sz w:val="20"/>
                <w:szCs w:val="20"/>
                <w:color w:val="auto"/>
              </w:rPr>
            </w:pPr>
            <w:r>
              <w:rPr>
                <w:rFonts w:ascii="Calibri" w:cs="Calibri" w:eastAsia="Calibri" w:hAnsi="Calibri"/>
                <w:sz w:val="14"/>
                <w:szCs w:val="14"/>
                <w:color w:val="auto"/>
              </w:rPr>
              <w:t>.</w:t>
            </w:r>
          </w:p>
        </w:tc>
        <w:tc>
          <w:tcPr>
            <w:tcW w:w="3340" w:type="dxa"/>
            <w:vAlign w:val="bottom"/>
          </w:tcPr>
          <w:p>
            <w:pPr>
              <w:spacing w:after="0"/>
              <w:rPr>
                <w:sz w:val="20"/>
                <w:szCs w:val="20"/>
                <w:color w:val="auto"/>
              </w:rPr>
            </w:pPr>
            <w:r>
              <w:rPr>
                <w:rFonts w:ascii="Calibri" w:cs="Calibri" w:eastAsia="Calibri" w:hAnsi="Calibri"/>
                <w:sz w:val="14"/>
                <w:szCs w:val="14"/>
                <w:color w:val="auto"/>
              </w:rPr>
              <w:t>investments with a total fair value of $30.6 million.</w:t>
            </w:r>
          </w:p>
        </w:tc>
      </w:tr>
      <w:tr>
        <w:trPr>
          <w:trHeight w:val="283"/>
        </w:trPr>
        <w:tc>
          <w:tcPr>
            <w:tcW w:w="100" w:type="dxa"/>
            <w:vAlign w:val="bottom"/>
          </w:tcPr>
          <w:p>
            <w:pPr>
              <w:spacing w:after="0"/>
              <w:rPr>
                <w:sz w:val="20"/>
                <w:szCs w:val="20"/>
                <w:color w:val="auto"/>
              </w:rPr>
            </w:pPr>
            <w:r>
              <w:rPr>
                <w:rFonts w:ascii="Calibri" w:cs="Calibri" w:eastAsia="Calibri" w:hAnsi="Calibri"/>
                <w:sz w:val="14"/>
                <w:szCs w:val="14"/>
                <w:color w:val="auto"/>
              </w:rPr>
              <w:t>3</w:t>
            </w:r>
          </w:p>
        </w:tc>
        <w:tc>
          <w:tcPr>
            <w:tcW w:w="3340" w:type="dxa"/>
            <w:vAlign w:val="bottom"/>
          </w:tcPr>
          <w:p>
            <w:pPr>
              <w:spacing w:after="0"/>
              <w:rPr>
                <w:sz w:val="20"/>
                <w:szCs w:val="20"/>
                <w:color w:val="auto"/>
              </w:rPr>
            </w:pPr>
            <w:r>
              <w:rPr>
                <w:rFonts w:ascii="Calibri" w:cs="Calibri" w:eastAsia="Calibri" w:hAnsi="Calibri"/>
                <w:sz w:val="14"/>
                <w:szCs w:val="14"/>
                <w:color w:val="auto"/>
              </w:rPr>
              <w:t>Calculaton includes income earning debt investments</w:t>
            </w:r>
          </w:p>
        </w:tc>
      </w:tr>
    </w:tbl>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 only.</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40" w:space="140"/>
            <w:col w:w="3460"/>
          </w:cols>
          <w:pgMar w:left="320" w:top="1440" w:right="339" w:bottom="1440" w:gutter="0" w:footer="0" w:header="0"/>
          <w:type w:val="continuous"/>
        </w:sectPr>
      </w:pPr>
    </w:p>
    <w:bookmarkStart w:id="5" w:name="page6"/>
    <w:bookmarkEnd w:id="5"/>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RESULTS OF OPERATIONS FOR THE THREE MONTHS ENDED JUNE 30, 2024</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Total Investment Income</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7860" w:type="dxa"/>
            <w:vAlign w:val="bottom"/>
            <w:vMerge w:val="restart"/>
          </w:tcPr>
          <w:p>
            <w:pPr>
              <w:spacing w:after="0"/>
              <w:rPr>
                <w:sz w:val="20"/>
                <w:szCs w:val="20"/>
                <w:color w:val="auto"/>
              </w:rPr>
            </w:pPr>
            <w:r>
              <w:rPr>
                <w:rFonts w:ascii="Calibri" w:cs="Calibri" w:eastAsia="Calibri" w:hAnsi="Calibri"/>
                <w:sz w:val="18"/>
                <w:szCs w:val="18"/>
                <w:color w:val="auto"/>
              </w:rPr>
              <w:t>For the three months ended June 30, 2024 and 2023, investment income was $121.8 million and $107.6</w:t>
            </w:r>
          </w:p>
        </w:tc>
        <w:tc>
          <w:tcPr>
            <w:tcW w:w="3360" w:type="dxa"/>
            <w:vAlign w:val="bottom"/>
            <w:shd w:val="clear" w:color="auto" w:fill="0F2F50"/>
          </w:tcPr>
          <w:p>
            <w:pPr>
              <w:jc w:val="center"/>
              <w:spacing w:after="0"/>
              <w:rPr>
                <w:sz w:val="20"/>
                <w:szCs w:val="20"/>
                <w:color w:val="auto"/>
              </w:rPr>
            </w:pPr>
            <w:r>
              <w:rPr>
                <w:rFonts w:ascii="Calibri" w:cs="Calibri" w:eastAsia="Calibri" w:hAnsi="Calibri"/>
                <w:sz w:val="15"/>
                <w:szCs w:val="15"/>
                <w:b w:val="1"/>
                <w:bCs w:val="1"/>
                <w:color w:val="FFFFFF"/>
              </w:rPr>
              <w:t>Total Investment Income</w:t>
            </w:r>
          </w:p>
        </w:tc>
        <w:tc>
          <w:tcPr>
            <w:tcW w:w="0" w:type="dxa"/>
            <w:vAlign w:val="bottom"/>
          </w:tcPr>
          <w:p>
            <w:pPr>
              <w:spacing w:after="0"/>
              <w:rPr>
                <w:sz w:val="1"/>
                <w:szCs w:val="1"/>
                <w:color w:val="auto"/>
              </w:rPr>
            </w:pPr>
          </w:p>
        </w:tc>
      </w:tr>
      <w:tr>
        <w:trPr>
          <w:trHeight w:val="158"/>
        </w:trPr>
        <w:tc>
          <w:tcPr>
            <w:tcW w:w="7860" w:type="dxa"/>
            <w:vAlign w:val="bottom"/>
            <w:vMerge w:val="continue"/>
          </w:tcPr>
          <w:p>
            <w:pPr>
              <w:spacing w:after="0"/>
              <w:rPr>
                <w:sz w:val="13"/>
                <w:szCs w:val="13"/>
                <w:color w:val="auto"/>
              </w:rPr>
            </w:pPr>
          </w:p>
        </w:tc>
        <w:tc>
          <w:tcPr>
            <w:tcW w:w="3360" w:type="dxa"/>
            <w:vAlign w:val="bottom"/>
            <w:tcBorders>
              <w:bottom w:val="single" w:sz="8" w:color="0F2F50"/>
            </w:tcBorders>
            <w:shd w:val="clear" w:color="auto" w:fill="0F2F50"/>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60" w:type="dxa"/>
            <w:vAlign w:val="bottom"/>
          </w:tcPr>
          <w:p>
            <w:pPr>
              <w:spacing w:after="0" w:line="179" w:lineRule="exact"/>
              <w:rPr>
                <w:sz w:val="20"/>
                <w:szCs w:val="20"/>
                <w:color w:val="auto"/>
              </w:rPr>
            </w:pPr>
            <w:r>
              <w:rPr>
                <w:rFonts w:ascii="Calibri" w:cs="Calibri" w:eastAsia="Calibri" w:hAnsi="Calibri"/>
                <w:sz w:val="18"/>
                <w:szCs w:val="18"/>
                <w:color w:val="auto"/>
              </w:rPr>
              <w:t>million, respectvely. The increase in investment income was largely the result of net funding actvity and an</w:t>
            </w: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line="216" w:lineRule="exact"/>
              <w:rPr>
                <w:sz w:val="20"/>
                <w:szCs w:val="20"/>
                <w:color w:val="auto"/>
              </w:rPr>
            </w:pPr>
            <w:r>
              <w:rPr>
                <w:rFonts w:ascii="Calibri" w:cs="Calibri" w:eastAsia="Calibri" w:hAnsi="Calibri"/>
                <w:sz w:val="18"/>
                <w:szCs w:val="18"/>
                <w:color w:val="auto"/>
              </w:rPr>
              <w:t>increase in reference rates.</w:t>
            </w:r>
          </w:p>
        </w:tc>
        <w:tc>
          <w:tcPr>
            <w:tcW w:w="336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$121.8MM</w:t>
            </w:r>
          </w:p>
        </w:tc>
        <w:tc>
          <w:tcPr>
            <w:tcW w:w="0" w:type="dxa"/>
            <w:vAlign w:val="bottom"/>
          </w:tcPr>
          <w:p>
            <w:pPr>
              <w:spacing w:after="0"/>
              <w:rPr>
                <w:sz w:val="1"/>
                <w:szCs w:val="1"/>
                <w:color w:val="auto"/>
              </w:rPr>
            </w:pPr>
          </w:p>
        </w:tc>
      </w:tr>
      <w:tr>
        <w:trPr>
          <w:trHeight w:val="511"/>
        </w:trPr>
        <w:tc>
          <w:tcPr>
            <w:tcW w:w="7860" w:type="dxa"/>
            <w:vAlign w:val="bottom"/>
          </w:tcPr>
          <w:p>
            <w:pPr>
              <w:spacing w:after="0"/>
              <w:rPr>
                <w:sz w:val="20"/>
                <w:szCs w:val="20"/>
                <w:color w:val="auto"/>
              </w:rPr>
            </w:pPr>
            <w:r>
              <w:rPr>
                <w:rFonts w:ascii="Calibri" w:cs="Calibri" w:eastAsia="Calibri" w:hAnsi="Calibri"/>
                <w:sz w:val="17"/>
                <w:szCs w:val="17"/>
                <w:b w:val="1"/>
                <w:bCs w:val="1"/>
                <w:color w:val="auto"/>
              </w:rPr>
              <w:t>Net Expenses</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78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7860" w:type="dxa"/>
            <w:vAlign w:val="bottom"/>
            <w:vMerge w:val="restart"/>
          </w:tcPr>
          <w:p>
            <w:pPr>
              <w:spacing w:after="0"/>
              <w:rPr>
                <w:sz w:val="20"/>
                <w:szCs w:val="20"/>
                <w:color w:val="auto"/>
              </w:rPr>
            </w:pPr>
            <w:r>
              <w:rPr>
                <w:rFonts w:ascii="Calibri" w:cs="Calibri" w:eastAsia="Calibri" w:hAnsi="Calibri"/>
                <w:sz w:val="18"/>
                <w:szCs w:val="18"/>
                <w:color w:val="auto"/>
              </w:rPr>
              <w:t>Net expenses totaled $65.4 million and $57.9 million for the three months ended June 30, 2024 and 2023,</w:t>
            </w:r>
          </w:p>
        </w:tc>
        <w:tc>
          <w:tcPr>
            <w:tcW w:w="3360" w:type="dxa"/>
            <w:vAlign w:val="bottom"/>
            <w:shd w:val="clear" w:color="auto" w:fill="0F2F50"/>
          </w:tcPr>
          <w:p>
            <w:pPr>
              <w:jc w:val="center"/>
              <w:spacing w:after="0"/>
              <w:rPr>
                <w:sz w:val="20"/>
                <w:szCs w:val="20"/>
                <w:color w:val="auto"/>
              </w:rPr>
            </w:pPr>
            <w:r>
              <w:rPr>
                <w:rFonts w:ascii="Calibri" w:cs="Calibri" w:eastAsia="Calibri" w:hAnsi="Calibri"/>
                <w:sz w:val="15"/>
                <w:szCs w:val="15"/>
                <w:b w:val="1"/>
                <w:bCs w:val="1"/>
                <w:color w:val="FFFFFF"/>
              </w:rPr>
              <w:t>Net Expenses</w:t>
            </w:r>
          </w:p>
        </w:tc>
        <w:tc>
          <w:tcPr>
            <w:tcW w:w="0" w:type="dxa"/>
            <w:vAlign w:val="bottom"/>
          </w:tcPr>
          <w:p>
            <w:pPr>
              <w:spacing w:after="0"/>
              <w:rPr>
                <w:sz w:val="1"/>
                <w:szCs w:val="1"/>
                <w:color w:val="auto"/>
              </w:rPr>
            </w:pPr>
          </w:p>
        </w:tc>
      </w:tr>
      <w:tr>
        <w:trPr>
          <w:trHeight w:val="171"/>
        </w:trPr>
        <w:tc>
          <w:tcPr>
            <w:tcW w:w="7860" w:type="dxa"/>
            <w:vAlign w:val="bottom"/>
            <w:vMerge w:val="continue"/>
          </w:tcPr>
          <w:p>
            <w:pPr>
              <w:spacing w:after="0"/>
              <w:rPr>
                <w:sz w:val="14"/>
                <w:szCs w:val="14"/>
                <w:color w:val="auto"/>
              </w:rPr>
            </w:pPr>
          </w:p>
        </w:tc>
        <w:tc>
          <w:tcPr>
            <w:tcW w:w="3360" w:type="dxa"/>
            <w:vAlign w:val="bottom"/>
            <w:tcBorders>
              <w:bottom w:val="single" w:sz="8" w:color="0F2F50"/>
            </w:tcBorders>
            <w:shd w:val="clear" w:color="auto" w:fill="0F2F50"/>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860" w:type="dxa"/>
            <w:vAlign w:val="bottom"/>
          </w:tcPr>
          <w:p>
            <w:pPr>
              <w:spacing w:after="0" w:line="179" w:lineRule="exact"/>
              <w:rPr>
                <w:sz w:val="20"/>
                <w:szCs w:val="20"/>
                <w:color w:val="auto"/>
              </w:rPr>
            </w:pPr>
            <w:r>
              <w:rPr>
                <w:rFonts w:ascii="Calibri" w:cs="Calibri" w:eastAsia="Calibri" w:hAnsi="Calibri"/>
                <w:sz w:val="18"/>
                <w:szCs w:val="18"/>
                <w:color w:val="auto"/>
              </w:rPr>
              <w:t>respectvely. The increase in net expenses was primarily due to the upward movement in reference rates</w:t>
            </w: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line="216" w:lineRule="exact"/>
              <w:rPr>
                <w:sz w:val="20"/>
                <w:szCs w:val="20"/>
                <w:color w:val="auto"/>
              </w:rPr>
            </w:pPr>
            <w:r>
              <w:rPr>
                <w:rFonts w:ascii="Calibri" w:cs="Calibri" w:eastAsia="Calibri" w:hAnsi="Calibri"/>
                <w:sz w:val="18"/>
                <w:szCs w:val="18"/>
                <w:color w:val="auto"/>
              </w:rPr>
              <w:t>which increased the Company’s weighted average interest rate on average debt outstanding.</w:t>
            </w:r>
          </w:p>
        </w:tc>
        <w:tc>
          <w:tcPr>
            <w:tcW w:w="336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$65.4MM</w:t>
            </w:r>
          </w:p>
        </w:tc>
        <w:tc>
          <w:tcPr>
            <w:tcW w:w="0" w:type="dxa"/>
            <w:vAlign w:val="bottom"/>
          </w:tcPr>
          <w:p>
            <w:pPr>
              <w:spacing w:after="0"/>
              <w:rPr>
                <w:sz w:val="1"/>
                <w:szCs w:val="1"/>
                <w:color w:val="auto"/>
              </w:rPr>
            </w:pPr>
          </w:p>
        </w:tc>
      </w:tr>
      <w:tr>
        <w:trPr>
          <w:trHeight w:val="511"/>
        </w:trPr>
        <w:tc>
          <w:tcPr>
            <w:tcW w:w="7860" w:type="dxa"/>
            <w:vAlign w:val="bottom"/>
          </w:tcPr>
          <w:p>
            <w:pPr>
              <w:spacing w:after="0"/>
              <w:rPr>
                <w:sz w:val="20"/>
                <w:szCs w:val="20"/>
                <w:color w:val="auto"/>
              </w:rPr>
            </w:pPr>
            <w:r>
              <w:rPr>
                <w:rFonts w:ascii="Calibri" w:cs="Calibri" w:eastAsia="Calibri" w:hAnsi="Calibri"/>
                <w:sz w:val="17"/>
                <w:szCs w:val="17"/>
                <w:b w:val="1"/>
                <w:bCs w:val="1"/>
                <w:color w:val="auto"/>
              </w:rPr>
              <w:t>Debt and Capital Resources</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41" w:lineRule="exact"/>
        <w:rPr>
          <w:sz w:val="20"/>
          <w:szCs w:val="20"/>
          <w:color w:val="auto"/>
        </w:rPr>
      </w:pPr>
    </w:p>
    <w:p>
      <w:pPr>
        <w:ind w:left="20"/>
        <w:spacing w:after="0" w:line="235" w:lineRule="auto"/>
        <w:rPr>
          <w:sz w:val="20"/>
          <w:szCs w:val="20"/>
          <w:color w:val="auto"/>
        </w:rPr>
      </w:pPr>
      <w:r>
        <w:rPr>
          <w:rFonts w:ascii="Calibri" w:cs="Calibri" w:eastAsia="Calibri" w:hAnsi="Calibri"/>
          <w:sz w:val="18"/>
          <w:szCs w:val="18"/>
          <w:color w:val="auto"/>
        </w:rPr>
        <w:t>As of June 30, 2024, the Company had $34.6 million in cash and cash equivalents (including $29.5 million of restricted cash), total principal value of debt outstanding of $1,785.0 million, and $1,209.5 million of undrawn capacity on its revolving credit facility, subject to borrowing base, outstanding leters of credit, asset coverage requirements and other limitatons. The Company’s weighted average interest rate on debt outstanding was 7.7% and 7.6% for the three-month periods ended June 30, 2024 and March 31, 2024, respectvely. At June 30, 2024, the Company’s debt to equity rato was 1.12x, compared to 1.19x at March 31, 2024. Average debt to equity was 1.17x for the three-month period ended June 30, 2024, compared to 1.24x for the three-month period ended March 31, 2024.</w:t>
      </w:r>
    </w:p>
    <w:p>
      <w:pPr>
        <w:spacing w:after="0" w:line="136" w:lineRule="exact"/>
        <w:rPr>
          <w:sz w:val="20"/>
          <w:szCs w:val="20"/>
          <w:color w:val="auto"/>
        </w:rPr>
      </w:pPr>
    </w:p>
    <w:p>
      <w:pPr>
        <w:ind w:left="180" w:right="220" w:hanging="159"/>
        <w:spacing w:after="0" w:line="245" w:lineRule="auto"/>
        <w:tabs>
          <w:tab w:leader="none" w:pos="1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Daily average debt outstanding during the quarter divided by the average net assets during the quarter. Average net assets is calculated by startng with the prior quarter end net asset value and adjustng for capital actvity during the quarter (adding common stock oferings / DRIP contributons).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Total Principal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21342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235" cy="145415"/>
                    </a:xfrm>
                    <a:prstGeom prst="rect">
                      <a:avLst/>
                    </a:prstGeom>
                    <a:noFill/>
                  </pic:spPr>
                </pic:pic>
              </a:graphicData>
            </a:graphic>
          </wp:anchor>
        </w:drawing>
      </w:r>
    </w:p>
    <w:p>
      <w:pPr>
        <w:spacing w:after="0" w:line="26" w:lineRule="exact"/>
        <w:rPr>
          <w:sz w:val="20"/>
          <w:szCs w:val="20"/>
          <w:color w:val="auto"/>
        </w:rPr>
      </w:pPr>
    </w:p>
    <w:p>
      <w:pPr>
        <w:ind w:left="1280"/>
        <w:spacing w:after="0"/>
        <w:rPr>
          <w:sz w:val="20"/>
          <w:szCs w:val="20"/>
          <w:color w:val="auto"/>
        </w:rPr>
      </w:pPr>
      <w:r>
        <w:rPr>
          <w:rFonts w:ascii="Calibri" w:cs="Calibri" w:eastAsia="Calibri" w:hAnsi="Calibri"/>
          <w:sz w:val="15"/>
          <w:szCs w:val="15"/>
          <w:b w:val="1"/>
          <w:bCs w:val="1"/>
          <w:color w:val="auto"/>
        </w:rPr>
        <w:t>$1,785.0MM</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Borders>
              <w:bottom w:val="single" w:sz="8" w:color="0F2F50"/>
            </w:tcBorders>
            <w:shd w:val="clear" w:color="auto" w:fill="0F2F50"/>
          </w:tcPr>
          <w:p>
            <w:pPr>
              <w:spacing w:after="0"/>
              <w:rPr>
                <w:sz w:val="18"/>
                <w:szCs w:val="18"/>
                <w:color w:val="auto"/>
              </w:rPr>
            </w:pPr>
          </w:p>
        </w:tc>
        <w:tc>
          <w:tcPr>
            <w:tcW w:w="2380" w:type="dxa"/>
            <w:vAlign w:val="bottom"/>
            <w:tcBorders>
              <w:bottom w:val="single" w:sz="8" w:color="0F2F50"/>
            </w:tcBorders>
            <w:shd w:val="clear" w:color="auto" w:fill="0F2F50"/>
          </w:tcPr>
          <w:p>
            <w:pPr>
              <w:ind w:left="760"/>
              <w:spacing w:after="0"/>
              <w:rPr>
                <w:sz w:val="20"/>
                <w:szCs w:val="20"/>
                <w:color w:val="auto"/>
              </w:rPr>
            </w:pPr>
            <w:r>
              <w:rPr>
                <w:rFonts w:ascii="Calibri" w:cs="Calibri" w:eastAsia="Calibri" w:hAnsi="Calibri"/>
                <w:sz w:val="15"/>
                <w:szCs w:val="15"/>
                <w:b w:val="1"/>
                <w:bCs w:val="1"/>
                <w:color w:val="FFFFFF"/>
              </w:rPr>
              <w:t>Debt-to-Equity Rato</w:t>
            </w:r>
          </w:p>
        </w:tc>
        <w:tc>
          <w:tcPr>
            <w:tcW w:w="700" w:type="dxa"/>
            <w:vAlign w:val="bottom"/>
            <w:tcBorders>
              <w:bottom w:val="single" w:sz="8" w:color="0F2F50"/>
            </w:tcBorders>
            <w:shd w:val="clear" w:color="auto" w:fill="0F2F50"/>
          </w:tcPr>
          <w:p>
            <w:pPr>
              <w:spacing w:after="0"/>
              <w:rPr>
                <w:sz w:val="18"/>
                <w:szCs w:val="18"/>
                <w:color w:val="auto"/>
              </w:rPr>
            </w:pPr>
          </w:p>
        </w:tc>
      </w:tr>
      <w:tr>
        <w:trPr>
          <w:trHeight w:val="183"/>
        </w:trPr>
        <w:tc>
          <w:tcPr>
            <w:tcW w:w="280" w:type="dxa"/>
            <w:vAlign w:val="bottom"/>
          </w:tcPr>
          <w:p>
            <w:pPr>
              <w:ind w:left="80"/>
              <w:spacing w:after="0"/>
              <w:rPr>
                <w:sz w:val="20"/>
                <w:szCs w:val="20"/>
                <w:color w:val="auto"/>
              </w:rPr>
            </w:pPr>
            <w:r>
              <w:rPr>
                <w:rFonts w:ascii="Calibri" w:cs="Calibri" w:eastAsia="Calibri" w:hAnsi="Calibri"/>
                <w:sz w:val="15"/>
                <w:szCs w:val="15"/>
                <w:b w:val="1"/>
                <w:bCs w:val="1"/>
                <w:color w:val="auto"/>
              </w:rPr>
              <w:t>Q2</w:t>
            </w:r>
          </w:p>
        </w:tc>
        <w:tc>
          <w:tcPr>
            <w:tcW w:w="2380" w:type="dxa"/>
            <w:vAlign w:val="bottom"/>
          </w:tcPr>
          <w:p>
            <w:pPr>
              <w:ind w:left="20"/>
              <w:spacing w:after="0"/>
              <w:rPr>
                <w:sz w:val="20"/>
                <w:szCs w:val="20"/>
                <w:color w:val="auto"/>
              </w:rPr>
            </w:pPr>
            <w:r>
              <w:rPr>
                <w:rFonts w:ascii="Calibri" w:cs="Calibri" w:eastAsia="Calibri" w:hAnsi="Calibri"/>
                <w:sz w:val="15"/>
                <w:szCs w:val="15"/>
                <w:b w:val="1"/>
                <w:bCs w:val="1"/>
                <w:color w:val="auto"/>
              </w:rPr>
              <w:t>2024 Quarter End:</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1.12x</w:t>
            </w:r>
          </w:p>
        </w:tc>
      </w:tr>
      <w:tr>
        <w:trPr>
          <w:trHeight w:val="240"/>
        </w:trPr>
        <w:tc>
          <w:tcPr>
            <w:tcW w:w="280" w:type="dxa"/>
            <w:vAlign w:val="bottom"/>
          </w:tcPr>
          <w:p>
            <w:pPr>
              <w:ind w:left="80"/>
              <w:spacing w:after="0"/>
              <w:rPr>
                <w:sz w:val="20"/>
                <w:szCs w:val="20"/>
                <w:color w:val="auto"/>
              </w:rPr>
            </w:pPr>
            <w:r>
              <w:rPr>
                <w:rFonts w:ascii="Calibri" w:cs="Calibri" w:eastAsia="Calibri" w:hAnsi="Calibri"/>
                <w:sz w:val="15"/>
                <w:szCs w:val="15"/>
                <w:b w:val="1"/>
                <w:bCs w:val="1"/>
                <w:color w:val="auto"/>
              </w:rPr>
              <w:t>Q2</w:t>
            </w:r>
          </w:p>
        </w:tc>
        <w:tc>
          <w:tcPr>
            <w:tcW w:w="2380" w:type="dxa"/>
            <w:vAlign w:val="bottom"/>
          </w:tcPr>
          <w:p>
            <w:pPr>
              <w:ind w:left="20"/>
              <w:spacing w:after="0" w:line="240" w:lineRule="exact"/>
              <w:rPr>
                <w:sz w:val="20"/>
                <w:szCs w:val="20"/>
                <w:color w:val="auto"/>
              </w:rPr>
            </w:pPr>
            <w:r>
              <w:rPr>
                <w:rFonts w:ascii="Calibri" w:cs="Calibri" w:eastAsia="Calibri" w:hAnsi="Calibri"/>
                <w:sz w:val="15"/>
                <w:szCs w:val="15"/>
                <w:b w:val="1"/>
                <w:bCs w:val="1"/>
                <w:color w:val="auto"/>
              </w:rPr>
              <w:t>2024 Average</w:t>
            </w:r>
            <w:r>
              <w:rPr>
                <w:rFonts w:ascii="Calibri" w:cs="Calibri" w:eastAsia="Calibri" w:hAnsi="Calibri"/>
                <w:sz w:val="20"/>
                <w:szCs w:val="20"/>
                <w:b w:val="1"/>
                <w:bCs w:val="1"/>
                <w:color w:val="auto"/>
                <w:vertAlign w:val="superscript"/>
              </w:rPr>
              <w:t>1</w:t>
            </w:r>
            <w:r>
              <w:rPr>
                <w:rFonts w:ascii="Calibri" w:cs="Calibri" w:eastAsia="Calibri" w:hAnsi="Calibri"/>
                <w:sz w:val="15"/>
                <w:szCs w:val="15"/>
                <w:b w:val="1"/>
                <w:bCs w:val="1"/>
                <w:color w:val="auto"/>
              </w:rPr>
              <w:t>:</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1.17x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660" w:space="220"/>
            <w:col w:w="3360"/>
          </w:cols>
          <w:pgMar w:left="320" w:top="1440" w:right="339" w:bottom="1440" w:gutter="0" w:footer="0" w:header="0"/>
          <w:type w:val="continuous"/>
        </w:sectPr>
      </w:pPr>
    </w:p>
    <w:bookmarkStart w:id="6" w:name="page7"/>
    <w:bookmarkEnd w:id="6"/>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LIQUIDITY AND FUNDING PROFILE</w:t>
      </w:r>
    </w:p>
    <w:p>
      <w:pPr>
        <w:spacing w:after="0" w:line="13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Liquidity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summarize the Company’s liquidity at June 30, 2024 and changes to unfunded commitments since March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alibri" w:cs="Calibri" w:eastAsia="Calibri" w:hAnsi="Calibri"/>
                <w:sz w:val="14"/>
                <w:szCs w:val="14"/>
                <w:color w:val="auto"/>
              </w:rPr>
              <w:t>$ Millions</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60"/>
        </w:trPr>
        <w:tc>
          <w:tcPr>
            <w:tcW w:w="4380" w:type="dxa"/>
            <w:vAlign w:val="bottom"/>
            <w:tcBorders>
              <w:bottom w:val="single" w:sz="8" w:color="0F2F50"/>
            </w:tcBorders>
            <w:shd w:val="clear" w:color="auto" w:fill="0F2F50"/>
          </w:tcPr>
          <w:p>
            <w:pPr>
              <w:ind w:left="1920"/>
              <w:spacing w:after="0"/>
              <w:rPr>
                <w:sz w:val="20"/>
                <w:szCs w:val="20"/>
                <w:color w:val="auto"/>
              </w:rPr>
            </w:pPr>
            <w:r>
              <w:rPr>
                <w:rFonts w:ascii="Calibri" w:cs="Calibri" w:eastAsia="Calibri" w:hAnsi="Calibri"/>
                <w:sz w:val="18"/>
                <w:szCs w:val="18"/>
                <w:b w:val="1"/>
                <w:bCs w:val="1"/>
                <w:color w:val="FFFFFF"/>
              </w:rPr>
              <w:t>Revolving Credit Facility</w:t>
            </w:r>
          </w:p>
        </w:tc>
        <w:tc>
          <w:tcPr>
            <w:tcW w:w="1180" w:type="dxa"/>
            <w:vAlign w:val="bottom"/>
            <w:tcBorders>
              <w:bottom w:val="single" w:sz="8" w:color="0F2F50"/>
            </w:tcBorders>
            <w:shd w:val="clear" w:color="auto" w:fill="0F2F50"/>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Borders>
              <w:bottom w:val="single" w:sz="8" w:color="0F2F50"/>
            </w:tcBorders>
            <w:shd w:val="clear" w:color="auto" w:fill="0F2F50"/>
          </w:tcPr>
          <w:p>
            <w:pPr>
              <w:ind w:left="1560"/>
              <w:spacing w:after="0"/>
              <w:rPr>
                <w:sz w:val="20"/>
                <w:szCs w:val="20"/>
                <w:color w:val="auto"/>
              </w:rPr>
            </w:pPr>
            <w:r>
              <w:rPr>
                <w:rFonts w:ascii="Calibri" w:cs="Calibri" w:eastAsia="Calibri" w:hAnsi="Calibri"/>
                <w:sz w:val="18"/>
                <w:szCs w:val="18"/>
                <w:b w:val="1"/>
                <w:bCs w:val="1"/>
                <w:color w:val="FFFFFF"/>
              </w:rPr>
              <w:t>Unfunded Commitment Actvity</w:t>
            </w:r>
          </w:p>
        </w:tc>
        <w:tc>
          <w:tcPr>
            <w:tcW w:w="940" w:type="dxa"/>
            <w:vAlign w:val="bottom"/>
            <w:tcBorders>
              <w:bottom w:val="single" w:sz="8" w:color="0F2F50"/>
            </w:tcBorders>
            <w:shd w:val="clear" w:color="auto" w:fill="0F2F50"/>
          </w:tcPr>
          <w:p>
            <w:pPr>
              <w:spacing w:after="0"/>
              <w:rPr>
                <w:sz w:val="22"/>
                <w:szCs w:val="22"/>
                <w:color w:val="auto"/>
              </w:rPr>
            </w:pPr>
          </w:p>
        </w:tc>
      </w:tr>
      <w:tr>
        <w:trPr>
          <w:trHeight w:val="193"/>
        </w:trPr>
        <w:tc>
          <w:tcPr>
            <w:tcW w:w="43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Revolver Capacity</w:t>
            </w: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$1,700</w:t>
            </w:r>
          </w:p>
        </w:tc>
        <w:tc>
          <w:tcPr>
            <w:tcW w:w="240" w:type="dxa"/>
            <w:vAlign w:val="bottom"/>
          </w:tcPr>
          <w:p>
            <w:pPr>
              <w:spacing w:after="0"/>
              <w:rPr>
                <w:sz w:val="16"/>
                <w:szCs w:val="16"/>
                <w:color w:val="auto"/>
              </w:rPr>
            </w:pPr>
          </w:p>
        </w:tc>
        <w:tc>
          <w:tcPr>
            <w:tcW w:w="45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Unfunded Commitments (See Note 8 in 3/31/24 10-Q)</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22860</wp:posOffset>
            </wp:positionV>
            <wp:extent cx="3454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Borders>
              <w:top w:val="single" w:sz="8" w:color="ECEEF0"/>
            </w:tcBorders>
          </w:tcPr>
          <w:p>
            <w:pPr>
              <w:ind w:left="20"/>
              <w:spacing w:after="0"/>
              <w:rPr>
                <w:sz w:val="20"/>
                <w:szCs w:val="20"/>
                <w:color w:val="auto"/>
              </w:rPr>
            </w:pPr>
            <w:r>
              <w:rPr>
                <w:rFonts w:ascii="Calibri" w:cs="Calibri" w:eastAsia="Calibri" w:hAnsi="Calibri"/>
                <w:sz w:val="16"/>
                <w:szCs w:val="16"/>
                <w:color w:val="auto"/>
              </w:rPr>
              <w:t>Drawn on Revolver</w:t>
            </w:r>
          </w:p>
        </w:tc>
        <w:tc>
          <w:tcPr>
            <w:tcW w:w="1160" w:type="dxa"/>
            <w:vAlign w:val="bottom"/>
            <w:tcBorders>
              <w:top w:val="single" w:sz="8" w:color="ECEEF0"/>
            </w:tcBorders>
          </w:tcPr>
          <w:p>
            <w:pPr>
              <w:jc w:val="right"/>
              <w:spacing w:after="0"/>
              <w:rPr>
                <w:sz w:val="20"/>
                <w:szCs w:val="20"/>
                <w:color w:val="auto"/>
              </w:rPr>
            </w:pPr>
            <w:r>
              <w:rPr>
                <w:rFonts w:ascii="Calibri" w:cs="Calibri" w:eastAsia="Calibri" w:hAnsi="Calibri"/>
                <w:sz w:val="16"/>
                <w:szCs w:val="16"/>
                <w:color w:val="auto"/>
              </w:rPr>
              <w:t>($488)</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color w:val="auto"/>
              </w:rPr>
              <w:t>Unrestricted Cash Balance</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color w:val="auto"/>
              </w:rPr>
              <w:t>$5</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color w:val="auto"/>
              </w:rPr>
              <w:t>Issued Leters of Credit</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color w:val="auto"/>
              </w:rPr>
              <w:t>($3)</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Liquidity (Pre-Unfunded Commitments)</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$1,215</w:t>
            </w:r>
          </w:p>
        </w:tc>
      </w:tr>
      <w:tr>
        <w:trPr>
          <w:trHeight w:val="252"/>
        </w:trPr>
        <w:tc>
          <w:tcPr>
            <w:tcW w:w="4400" w:type="dxa"/>
            <w:vAlign w:val="bottom"/>
          </w:tcPr>
          <w:p>
            <w:pPr>
              <w:ind w:left="20"/>
              <w:spacing w:after="0" w:line="252" w:lineRule="exact"/>
              <w:rPr>
                <w:sz w:val="20"/>
                <w:szCs w:val="20"/>
                <w:color w:val="auto"/>
              </w:rPr>
            </w:pPr>
            <w:r>
              <w:rPr>
                <w:rFonts w:ascii="Calibri" w:cs="Calibri" w:eastAsia="Calibri" w:hAnsi="Calibri"/>
                <w:sz w:val="16"/>
                <w:szCs w:val="16"/>
                <w:color w:val="auto"/>
              </w:rPr>
              <w:t>Available Unfunded Commitments</w:t>
            </w:r>
            <w:r>
              <w:rPr>
                <w:rFonts w:ascii="Calibri" w:cs="Calibri" w:eastAsia="Calibri" w:hAnsi="Calibri"/>
                <w:sz w:val="21"/>
                <w:szCs w:val="21"/>
                <w:color w:val="auto"/>
                <w:vertAlign w:val="superscript"/>
              </w:rPr>
              <w:t>1</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($250)</w:t>
            </w:r>
          </w:p>
        </w:tc>
      </w:tr>
      <w:tr>
        <w:trPr>
          <w:trHeight w:val="27"/>
        </w:trPr>
        <w:tc>
          <w:tcPr>
            <w:tcW w:w="4400" w:type="dxa"/>
            <w:vAlign w:val="bottom"/>
            <w:tcBorders>
              <w:bottom w:val="single" w:sz="8" w:color="ECEEF0"/>
            </w:tcBorders>
          </w:tcPr>
          <w:p>
            <w:pPr>
              <w:spacing w:after="0"/>
              <w:rPr>
                <w:sz w:val="2"/>
                <w:szCs w:val="2"/>
                <w:color w:val="auto"/>
              </w:rPr>
            </w:pPr>
          </w:p>
        </w:tc>
        <w:tc>
          <w:tcPr>
            <w:tcW w:w="1160" w:type="dxa"/>
            <w:vAlign w:val="bottom"/>
            <w:tcBorders>
              <w:bottom w:val="single" w:sz="8" w:color="ECEEF0"/>
            </w:tcBorders>
          </w:tcPr>
          <w:p>
            <w:pPr>
              <w:spacing w:after="0"/>
              <w:rPr>
                <w:sz w:val="2"/>
                <w:szCs w:val="2"/>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Liquidity (Burdened for Unfunded Commitments)</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$965</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3531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ind w:left="20"/>
              <w:spacing w:after="0"/>
              <w:rPr>
                <w:sz w:val="20"/>
                <w:szCs w:val="20"/>
                <w:color w:val="auto"/>
              </w:rPr>
            </w:pPr>
            <w:r>
              <w:rPr>
                <w:rFonts w:ascii="Calibri" w:cs="Calibri" w:eastAsia="Calibri" w:hAnsi="Calibri"/>
                <w:sz w:val="16"/>
                <w:szCs w:val="16"/>
                <w:color w:val="auto"/>
              </w:rPr>
              <w:t>Extnguished Unfunded Commitments</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($21)</w:t>
            </w:r>
          </w:p>
        </w:tc>
      </w:tr>
      <w:tr>
        <w:trPr>
          <w:trHeight w:val="41"/>
        </w:trPr>
        <w:tc>
          <w:tcPr>
            <w:tcW w:w="3960" w:type="dxa"/>
            <w:vAlign w:val="bottom"/>
            <w:tcBorders>
              <w:bottom w:val="single" w:sz="8" w:color="ECEEF0"/>
            </w:tcBorders>
          </w:tcPr>
          <w:p>
            <w:pPr>
              <w:spacing w:after="0"/>
              <w:rPr>
                <w:sz w:val="3"/>
                <w:szCs w:val="3"/>
                <w:color w:val="auto"/>
              </w:rPr>
            </w:pPr>
          </w:p>
        </w:tc>
        <w:tc>
          <w:tcPr>
            <w:tcW w:w="1480" w:type="dxa"/>
            <w:vAlign w:val="bottom"/>
            <w:tcBorders>
              <w:bottom w:val="single" w:sz="8" w:color="ECEEF0"/>
            </w:tcBorders>
          </w:tcPr>
          <w:p>
            <w:pPr>
              <w:spacing w:after="0"/>
              <w:rPr>
                <w:sz w:val="3"/>
                <w:szCs w:val="3"/>
                <w:color w:val="auto"/>
              </w:rPr>
            </w:pPr>
          </w:p>
        </w:tc>
      </w:tr>
      <w:tr>
        <w:trPr>
          <w:trHeight w:val="187"/>
        </w:trPr>
        <w:tc>
          <w:tcPr>
            <w:tcW w:w="3960" w:type="dxa"/>
            <w:vAlign w:val="bottom"/>
          </w:tcPr>
          <w:p>
            <w:pPr>
              <w:ind w:left="20"/>
              <w:spacing w:after="0" w:line="187" w:lineRule="exact"/>
              <w:rPr>
                <w:sz w:val="20"/>
                <w:szCs w:val="20"/>
                <w:color w:val="auto"/>
              </w:rPr>
            </w:pPr>
            <w:r>
              <w:rPr>
                <w:rFonts w:ascii="Calibri" w:cs="Calibri" w:eastAsia="Calibri" w:hAnsi="Calibri"/>
                <w:sz w:val="16"/>
                <w:szCs w:val="16"/>
                <w:color w:val="auto"/>
              </w:rPr>
              <w:t>New Unfunded Commitments</w:t>
            </w:r>
          </w:p>
        </w:tc>
        <w:tc>
          <w:tcPr>
            <w:tcW w:w="1480" w:type="dxa"/>
            <w:vAlign w:val="bottom"/>
          </w:tcPr>
          <w:p>
            <w:pPr>
              <w:jc w:val="right"/>
              <w:spacing w:after="0" w:line="187" w:lineRule="exact"/>
              <w:rPr>
                <w:sz w:val="20"/>
                <w:szCs w:val="20"/>
                <w:color w:val="auto"/>
              </w:rPr>
            </w:pPr>
            <w:r>
              <w:rPr>
                <w:rFonts w:ascii="Calibri" w:cs="Calibri" w:eastAsia="Calibri" w:hAnsi="Calibri"/>
                <w:sz w:val="16"/>
                <w:szCs w:val="16"/>
                <w:color w:val="auto"/>
              </w:rPr>
              <w:t>$45</w:t>
            </w:r>
          </w:p>
        </w:tc>
      </w:tr>
      <w:tr>
        <w:trPr>
          <w:trHeight w:val="36"/>
        </w:trPr>
        <w:tc>
          <w:tcPr>
            <w:tcW w:w="3960" w:type="dxa"/>
            <w:vAlign w:val="bottom"/>
            <w:tcBorders>
              <w:bottom w:val="single" w:sz="8" w:color="ECEEF0"/>
            </w:tcBorders>
          </w:tcPr>
          <w:p>
            <w:pPr>
              <w:spacing w:after="0"/>
              <w:rPr>
                <w:sz w:val="3"/>
                <w:szCs w:val="3"/>
                <w:color w:val="auto"/>
              </w:rPr>
            </w:pPr>
          </w:p>
        </w:tc>
        <w:tc>
          <w:tcPr>
            <w:tcW w:w="1480" w:type="dxa"/>
            <w:vAlign w:val="bottom"/>
            <w:tcBorders>
              <w:bottom w:val="single" w:sz="8" w:color="ECEEF0"/>
            </w:tcBorders>
          </w:tcPr>
          <w:p>
            <w:pPr>
              <w:spacing w:after="0"/>
              <w:rPr>
                <w:sz w:val="3"/>
                <w:szCs w:val="3"/>
                <w:color w:val="auto"/>
              </w:rPr>
            </w:pPr>
          </w:p>
        </w:tc>
      </w:tr>
      <w:tr>
        <w:trPr>
          <w:trHeight w:val="187"/>
        </w:trPr>
        <w:tc>
          <w:tcPr>
            <w:tcW w:w="3960" w:type="dxa"/>
            <w:vAlign w:val="bottom"/>
          </w:tcPr>
          <w:p>
            <w:pPr>
              <w:ind w:left="20"/>
              <w:spacing w:after="0" w:line="187" w:lineRule="exact"/>
              <w:rPr>
                <w:sz w:val="20"/>
                <w:szCs w:val="20"/>
                <w:color w:val="auto"/>
              </w:rPr>
            </w:pPr>
            <w:r>
              <w:rPr>
                <w:rFonts w:ascii="Calibri" w:cs="Calibri" w:eastAsia="Calibri" w:hAnsi="Calibri"/>
                <w:sz w:val="16"/>
                <w:szCs w:val="16"/>
                <w:color w:val="auto"/>
              </w:rPr>
              <w:t>Net Drawdown of Unfunded Commitments</w:t>
            </w:r>
          </w:p>
        </w:tc>
        <w:tc>
          <w:tcPr>
            <w:tcW w:w="1480" w:type="dxa"/>
            <w:vAlign w:val="bottom"/>
          </w:tcPr>
          <w:p>
            <w:pPr>
              <w:jc w:val="right"/>
              <w:spacing w:after="0" w:line="187" w:lineRule="exact"/>
              <w:rPr>
                <w:sz w:val="20"/>
                <w:szCs w:val="20"/>
                <w:color w:val="auto"/>
              </w:rPr>
            </w:pPr>
            <w:r>
              <w:rPr>
                <w:rFonts w:ascii="Calibri" w:cs="Calibri" w:eastAsia="Calibri" w:hAnsi="Calibri"/>
                <w:sz w:val="16"/>
                <w:szCs w:val="16"/>
                <w:color w:val="auto"/>
              </w:rPr>
              <w:t>($60)</w:t>
            </w:r>
          </w:p>
        </w:tc>
      </w:tr>
      <w:tr>
        <w:trPr>
          <w:trHeight w:val="36"/>
        </w:trPr>
        <w:tc>
          <w:tcPr>
            <w:tcW w:w="3960" w:type="dxa"/>
            <w:vAlign w:val="bottom"/>
            <w:tcBorders>
              <w:bottom w:val="single" w:sz="8" w:color="ECEEF0"/>
            </w:tcBorders>
          </w:tcPr>
          <w:p>
            <w:pPr>
              <w:spacing w:after="0"/>
              <w:rPr>
                <w:sz w:val="3"/>
                <w:szCs w:val="3"/>
                <w:color w:val="auto"/>
              </w:rPr>
            </w:pPr>
          </w:p>
        </w:tc>
        <w:tc>
          <w:tcPr>
            <w:tcW w:w="1480" w:type="dxa"/>
            <w:vAlign w:val="bottom"/>
            <w:tcBorders>
              <w:bottom w:val="single" w:sz="8" w:color="ECEEF0"/>
            </w:tcBorders>
          </w:tcPr>
          <w:p>
            <w:pPr>
              <w:spacing w:after="0"/>
              <w:rPr>
                <w:sz w:val="3"/>
                <w:szCs w:val="3"/>
                <w:color w:val="auto"/>
              </w:rPr>
            </w:pPr>
          </w:p>
        </w:tc>
      </w:tr>
      <w:tr>
        <w:trPr>
          <w:trHeight w:val="187"/>
        </w:trPr>
        <w:tc>
          <w:tcPr>
            <w:tcW w:w="396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Unfunded Commitments</w:t>
            </w:r>
          </w:p>
        </w:tc>
        <w:tc>
          <w:tcPr>
            <w:tcW w:w="148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$328</w:t>
            </w:r>
          </w:p>
        </w:tc>
      </w:tr>
      <w:tr>
        <w:trPr>
          <w:trHeight w:val="36"/>
        </w:trPr>
        <w:tc>
          <w:tcPr>
            <w:tcW w:w="3960" w:type="dxa"/>
            <w:vAlign w:val="bottom"/>
            <w:tcBorders>
              <w:bottom w:val="single" w:sz="8" w:color="ECEEF0"/>
            </w:tcBorders>
          </w:tcPr>
          <w:p>
            <w:pPr>
              <w:spacing w:after="0"/>
              <w:rPr>
                <w:sz w:val="3"/>
                <w:szCs w:val="3"/>
                <w:color w:val="auto"/>
              </w:rPr>
            </w:pPr>
          </w:p>
        </w:tc>
        <w:tc>
          <w:tcPr>
            <w:tcW w:w="1480" w:type="dxa"/>
            <w:vAlign w:val="bottom"/>
            <w:tcBorders>
              <w:bottom w:val="single" w:sz="8" w:color="ECEEF0"/>
            </w:tcBorders>
          </w:tcPr>
          <w:p>
            <w:pPr>
              <w:spacing w:after="0"/>
              <w:rPr>
                <w:sz w:val="3"/>
                <w:szCs w:val="3"/>
                <w:color w:val="auto"/>
              </w:rPr>
            </w:pPr>
          </w:p>
        </w:tc>
      </w:tr>
      <w:tr>
        <w:trPr>
          <w:trHeight w:val="223"/>
        </w:trPr>
        <w:tc>
          <w:tcPr>
            <w:tcW w:w="3960" w:type="dxa"/>
            <w:vAlign w:val="bottom"/>
            <w:tcBorders>
              <w:bottom w:val="single" w:sz="8" w:color="ECEEF0"/>
            </w:tcBorders>
          </w:tcPr>
          <w:p>
            <w:pPr>
              <w:ind w:left="20"/>
              <w:spacing w:after="0" w:line="223" w:lineRule="exact"/>
              <w:rPr>
                <w:sz w:val="20"/>
                <w:szCs w:val="20"/>
                <w:color w:val="auto"/>
              </w:rPr>
            </w:pPr>
            <w:r>
              <w:rPr>
                <w:rFonts w:ascii="Calibri" w:cs="Calibri" w:eastAsia="Calibri" w:hAnsi="Calibri"/>
                <w:sz w:val="16"/>
                <w:szCs w:val="16"/>
                <w:color w:val="auto"/>
              </w:rPr>
              <w:t>Unavailable Unfunded Commitments</w:t>
            </w:r>
            <w:r>
              <w:rPr>
                <w:rFonts w:ascii="Calibri" w:cs="Calibri" w:eastAsia="Calibri" w:hAnsi="Calibri"/>
                <w:sz w:val="21"/>
                <w:szCs w:val="21"/>
                <w:color w:val="auto"/>
                <w:vertAlign w:val="superscript"/>
              </w:rPr>
              <w:t>1</w:t>
            </w:r>
          </w:p>
        </w:tc>
        <w:tc>
          <w:tcPr>
            <w:tcW w:w="148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color w:val="auto"/>
              </w:rPr>
              <w:t>($78)</w:t>
            </w:r>
          </w:p>
        </w:tc>
      </w:tr>
      <w:tr>
        <w:trPr>
          <w:trHeight w:val="223"/>
        </w:trPr>
        <w:tc>
          <w:tcPr>
            <w:tcW w:w="3960" w:type="dxa"/>
            <w:vAlign w:val="bottom"/>
            <w:tcBorders>
              <w:bottom w:val="single" w:sz="8" w:color="ECEEF0"/>
            </w:tcBorders>
          </w:tcPr>
          <w:p>
            <w:pPr>
              <w:ind w:left="20"/>
              <w:spacing w:after="0" w:line="223" w:lineRule="exact"/>
              <w:rPr>
                <w:sz w:val="20"/>
                <w:szCs w:val="20"/>
                <w:color w:val="auto"/>
              </w:rPr>
            </w:pPr>
            <w:r>
              <w:rPr>
                <w:rFonts w:ascii="Calibri" w:cs="Calibri" w:eastAsia="Calibri" w:hAnsi="Calibri"/>
                <w:sz w:val="16"/>
                <w:szCs w:val="16"/>
                <w:b w:val="1"/>
                <w:bCs w:val="1"/>
                <w:color w:val="auto"/>
              </w:rPr>
              <w:t>Available Unfunded Commitments</w:t>
            </w:r>
            <w:r>
              <w:rPr>
                <w:rFonts w:ascii="Calibri" w:cs="Calibri" w:eastAsia="Calibri" w:hAnsi="Calibri"/>
                <w:sz w:val="21"/>
                <w:szCs w:val="21"/>
                <w:b w:val="1"/>
                <w:bCs w:val="1"/>
                <w:color w:val="auto"/>
                <w:vertAlign w:val="superscript"/>
              </w:rPr>
              <w:t>1</w:t>
            </w:r>
          </w:p>
        </w:tc>
        <w:tc>
          <w:tcPr>
            <w:tcW w:w="148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b w:val="1"/>
                <w:bCs w:val="1"/>
                <w:color w:val="auto"/>
              </w:rPr>
              <w:t>$250</w:t>
            </w:r>
          </w:p>
        </w:tc>
      </w:tr>
    </w:tbl>
    <w:p>
      <w:pPr>
        <w:spacing w:after="0" w:line="138" w:lineRule="exact"/>
        <w:rPr>
          <w:sz w:val="20"/>
          <w:szCs w:val="20"/>
          <w:color w:val="auto"/>
        </w:rPr>
      </w:pPr>
    </w:p>
    <w:p>
      <w:pPr>
        <w:sectPr>
          <w:pgSz w:w="11900" w:h="16838" w:orient="portrait"/>
          <w:cols w:equalWidth="0" w:num="2">
            <w:col w:w="5560" w:space="240"/>
            <w:col w:w="5440"/>
          </w:cols>
          <w:pgMar w:left="320" w:top="1440" w:right="339" w:bottom="1440" w:gutter="0" w:footer="0" w:header="0"/>
          <w:type w:val="continuous"/>
        </w:sectPr>
      </w:pPr>
    </w:p>
    <w:p>
      <w:pPr>
        <w:ind w:left="380" w:hanging="372"/>
        <w:spacing w:after="0" w:line="224" w:lineRule="auto"/>
        <w:tabs>
          <w:tab w:leader="none" w:pos="38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Commitments may be subject to limitatons on borrowings set forth in the agreements between the Company and the applicable portolio company. As a result, portolio companies may not be eligible to borrow the full commitment amount on such date.</w:t>
      </w:r>
    </w:p>
    <w:p>
      <w:pPr>
        <w:spacing w:after="0" w:line="225" w:lineRule="auto"/>
        <w:rPr>
          <w:sz w:val="20"/>
          <w:szCs w:val="20"/>
          <w:color w:val="auto"/>
        </w:rPr>
      </w:pPr>
      <w:r>
        <w:rPr>
          <w:rFonts w:ascii="Calibri" w:cs="Calibri" w:eastAsia="Calibri" w:hAnsi="Calibri"/>
          <w:sz w:val="13"/>
          <w:szCs w:val="13"/>
          <w:color w:val="auto"/>
        </w:rPr>
        <w:t>Note: May not sum due to rounding.</w:t>
      </w: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Funding Profle</w:t>
      </w:r>
    </w:p>
    <w:p>
      <w:pPr>
        <w:spacing w:after="0" w:line="109" w:lineRule="exact"/>
        <w:rPr>
          <w:sz w:val="20"/>
          <w:szCs w:val="20"/>
          <w:color w:val="auto"/>
        </w:rPr>
      </w:pPr>
    </w:p>
    <w:p>
      <w:pPr>
        <w:jc w:val="both"/>
        <w:spacing w:after="0" w:line="238" w:lineRule="auto"/>
        <w:rPr>
          <w:sz w:val="20"/>
          <w:szCs w:val="20"/>
          <w:color w:val="auto"/>
        </w:rPr>
      </w:pPr>
      <w:r>
        <w:rPr>
          <w:rFonts w:ascii="Calibri" w:cs="Calibri" w:eastAsia="Calibri" w:hAnsi="Calibri"/>
          <w:sz w:val="18"/>
          <w:szCs w:val="18"/>
          <w:color w:val="auto"/>
        </w:rPr>
        <w:t>At June 30, 2024, the Company’s funding mix was comprised of approximately 73% unsecured and 27% secured debt. As illustrated below, the Company’s nearest debt maturity is in November 2024 at $348 million, and the weighted average remaining life of investments funded with debt was ~2.6 years, compared to a weighted average remaining maturity on debt of ~3.8 years</w:t>
      </w:r>
      <w:r>
        <w:rPr>
          <w:rFonts w:ascii="Calibri" w:cs="Calibri" w:eastAsia="Calibri" w:hAnsi="Calibri"/>
          <w:sz w:val="24"/>
          <w:szCs w:val="24"/>
          <w:color w:val="auto"/>
          <w:vertAlign w:val="superscript"/>
        </w:rPr>
        <w:t>2</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5452110" cy="1568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 w:hanging="292"/>
        <w:spacing w:after="0" w:line="224" w:lineRule="auto"/>
        <w:tabs>
          <w:tab w:leader="none" w:pos="30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Includes $25 million of non-extending commitments with a maturity of February 4, 2026 and a revolving period ending February 4, 2025 and $170 million of non-extending commitments with a maturity of April 23, 2027 and a revolving period ending April 24, 2026.</w:t>
      </w:r>
    </w:p>
    <w:p>
      <w:pPr>
        <w:ind w:left="300" w:hanging="292"/>
        <w:spacing w:after="0" w:line="224" w:lineRule="auto"/>
        <w:tabs>
          <w:tab w:leader="none" w:pos="30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Weighted by gross commitment amount.</w:t>
      </w:r>
    </w:p>
    <w:p>
      <w:pPr>
        <w:spacing w:after="0" w:line="98" w:lineRule="exact"/>
        <w:rPr>
          <w:sz w:val="20"/>
          <w:szCs w:val="20"/>
          <w:color w:val="auto"/>
        </w:rPr>
      </w:pPr>
    </w:p>
    <w:p>
      <w:pPr>
        <w:spacing w:after="0"/>
        <w:rPr>
          <w:sz w:val="20"/>
          <w:szCs w:val="20"/>
          <w:color w:val="auto"/>
        </w:rPr>
      </w:pPr>
      <w:r>
        <w:rPr>
          <w:rFonts w:ascii="Calibri" w:cs="Calibri" w:eastAsia="Calibri" w:hAnsi="Calibri"/>
          <w:sz w:val="13"/>
          <w:szCs w:val="13"/>
          <w:color w:val="auto"/>
        </w:rPr>
        <w:t>Note: Numbers may not sum due to rounding.</w:t>
      </w:r>
    </w:p>
    <w:p>
      <w:pPr>
        <w:ind w:left="111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Conference Call Informaton:</w:t>
      </w:r>
    </w:p>
    <w:p>
      <w:pPr>
        <w:spacing w:after="0" w:line="32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conference call to discuss the Company’s fnancial results will be held at 8:30 a.m. Eastern Time on August 1, 2024. The conference call will be broadcast live in listen-only mode on the Investor Resources secton of TSLX’s website at htps://sixthstreetspecialtylending.gcs-web.com/events-and-presentatons. The Events &amp; Presentatons page of the Investor Resources secton of TSLX’s website also includes a slide presentaton that complements the Earnings Conference Call. Please visit the website to test your connecton before the webcast.</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Research analysts who wish to partcipate in the conference call must frst register at htps://register.vevent.com/register/BI46292d14404d4f17a64ea95eac508eef. Upon registraton, all telephone partcipants will receive a confrmaton email detailing how to join the conference call, including the dial-in number along with a unique passcode and registrant ID that can be used to access the call.</w:t>
      </w:r>
    </w:p>
    <w:p>
      <w:pPr>
        <w:spacing w:after="0" w:line="3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Replay Informaton:</w:t>
      </w:r>
    </w:p>
    <w:p>
      <w:pPr>
        <w:spacing w:after="0" w:line="3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recorded version will be available under the same webcast link (</w:t>
      </w:r>
      <w:r>
        <w:rPr>
          <w:rFonts w:ascii="Calibri" w:cs="Calibri" w:eastAsia="Calibri" w:hAnsi="Calibri"/>
          <w:sz w:val="18"/>
          <w:szCs w:val="18"/>
          <w:color w:val="0563C1"/>
        </w:rPr>
        <w:t>htps://sixthstreetspecialtylending.gcs-web.com/events-and-presentatons</w:t>
      </w:r>
      <w:r>
        <w:rPr>
          <w:rFonts w:ascii="Calibri" w:cs="Calibri" w:eastAsia="Calibri" w:hAnsi="Calibri"/>
          <w:sz w:val="18"/>
          <w:szCs w:val="18"/>
          <w:color w:val="auto"/>
        </w:rPr>
        <w:t>) following the conclusion of the conference call.</w:t>
      </w:r>
    </w:p>
    <w:p>
      <w:pPr>
        <w:spacing w:after="0" w:line="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(Amounts in millions, except per share amounts)</w:t>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7"/>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3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3,317.1</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3,387.0</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Adjusted Net Investment Income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0"/>
        </w:trPr>
        <w:tc>
          <w:tcPr>
            <w:tcW w:w="6440" w:type="dxa"/>
            <w:vAlign w:val="bottom"/>
            <w:shd w:val="clear" w:color="auto" w:fill="CFF0FC"/>
          </w:tcPr>
          <w:p>
            <w:pPr>
              <w:spacing w:after="0" w:line="250" w:lineRule="exact"/>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Per Share </w:t>
            </w:r>
            <w:r>
              <w:rPr>
                <w:rFonts w:ascii="Times New Roman" w:cs="Times New Roman" w:eastAsia="Times New Roman" w:hAnsi="Times New Roman"/>
                <w:sz w:val="24"/>
                <w:szCs w:val="24"/>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8"/>
        </w:trPr>
        <w:tc>
          <w:tcPr>
            <w:tcW w:w="644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 xml:space="preserve">Annualized Return on Equity (Net Investment Income)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13.9 %</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14.7 %</w:t>
            </w:r>
          </w:p>
        </w:tc>
        <w:tc>
          <w:tcPr>
            <w:tcW w:w="1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Annualized Return on Equity (Net Income)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13.8 %</w:t>
            </w:r>
          </w:p>
        </w:tc>
        <w:tc>
          <w:tcPr>
            <w:tcW w:w="18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Investment Income) </w:t>
            </w:r>
            <w:r>
              <w:rPr>
                <w:rFonts w:ascii="Times New Roman" w:cs="Times New Roman" w:eastAsia="Times New Roman" w:hAnsi="Times New Roman"/>
                <w:sz w:val="24"/>
                <w:szCs w:val="24"/>
                <w:color w:val="auto"/>
                <w:vertAlign w:val="superscript"/>
              </w:rPr>
              <w:t>(2)(3)</w:t>
            </w:r>
          </w:p>
        </w:tc>
        <w:tc>
          <w:tcPr>
            <w:tcW w:w="18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14.5 %</w:t>
            </w:r>
          </w:p>
        </w:tc>
        <w:tc>
          <w:tcPr>
            <w:tcW w:w="18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68"/>
        </w:trPr>
        <w:tc>
          <w:tcPr>
            <w:tcW w:w="64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Income) </w:t>
            </w:r>
            <w:r>
              <w:rPr>
                <w:rFonts w:ascii="Times New Roman" w:cs="Times New Roman" w:eastAsia="Times New Roman" w:hAnsi="Times New Roman"/>
                <w:sz w:val="24"/>
                <w:szCs w:val="24"/>
                <w:color w:val="auto"/>
                <w:vertAlign w:val="superscript"/>
              </w:rPr>
              <w:t>(2)(3)</w:t>
            </w:r>
          </w:p>
        </w:tc>
        <w:tc>
          <w:tcPr>
            <w:tcW w:w="180" w:type="dxa"/>
            <w:vAlign w:val="bottom"/>
          </w:tcPr>
          <w:p>
            <w:pPr>
              <w:spacing w:after="0"/>
              <w:rPr>
                <w:sz w:val="23"/>
                <w:szCs w:val="2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11.6 %</w:t>
            </w:r>
          </w:p>
        </w:tc>
        <w:tc>
          <w:tcPr>
            <w:tcW w:w="22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13.6 %</w:t>
            </w:r>
          </w:p>
        </w:tc>
        <w:tc>
          <w:tcPr>
            <w:tcW w:w="18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50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 Securities at Fair Value</w:t>
            </w:r>
          </w:p>
        </w:tc>
        <w:tc>
          <w:tcPr>
            <w:tcW w:w="18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13.8 %</w:t>
            </w:r>
          </w:p>
        </w:tc>
        <w:tc>
          <w:tcPr>
            <w:tcW w:w="22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14.1 %</w:t>
            </w:r>
          </w:p>
        </w:tc>
        <w:tc>
          <w:tcPr>
            <w:tcW w:w="1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4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 Securities at Amortized Cost</w:t>
            </w:r>
          </w:p>
        </w:tc>
        <w:tc>
          <w:tcPr>
            <w:tcW w:w="18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14.2 %</w:t>
            </w:r>
          </w:p>
        </w:tc>
        <w:tc>
          <w:tcPr>
            <w:tcW w:w="18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4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 Rates</w:t>
            </w:r>
          </w:p>
        </w:tc>
        <w:tc>
          <w:tcPr>
            <w:tcW w:w="18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99.6 %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99.7 %</w:t>
            </w:r>
          </w:p>
        </w:tc>
        <w:tc>
          <w:tcPr>
            <w:tcW w:w="18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-1088390</wp:posOffset>
            </wp:positionV>
            <wp:extent cx="705485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-779780</wp:posOffset>
            </wp:positionV>
            <wp:extent cx="705485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-454025</wp:posOffset>
            </wp:positionV>
            <wp:extent cx="705485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-145415</wp:posOffset>
            </wp:positionV>
            <wp:extent cx="705485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154" w:lineRule="exact"/>
        <w:rPr>
          <w:sz w:val="20"/>
          <w:szCs w:val="20"/>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Adjusted net asset value per share gives efect to the supplemental dividend declared related to earnings or special dividend in the applicable period.</w:t>
      </w:r>
    </w:p>
    <w:p>
      <w:pPr>
        <w:spacing w:after="0" w:line="5" w:lineRule="exact"/>
        <w:rPr>
          <w:rFonts w:ascii="Calibri" w:cs="Calibri" w:eastAsia="Calibri" w:hAnsi="Calibri"/>
          <w:sz w:val="14"/>
          <w:szCs w:val="14"/>
          <w:color w:val="auto"/>
        </w:rPr>
      </w:pPr>
    </w:p>
    <w:p>
      <w:pPr>
        <w:ind w:left="760" w:hanging="378"/>
        <w:spacing w:after="0" w:line="245" w:lineRule="auto"/>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Adjusted to exclude the capital gains incentve fee that was accrued, but not paid, related to cumulatve unrealized capital gains in excess of cumulatve net realized capital gains less any cumulatve unrealized losses and capital gains incentve fees paid incepton to date.</w:t>
      </w:r>
    </w:p>
    <w:p>
      <w:pPr>
        <w:spacing w:after="0" w:line="1" w:lineRule="exact"/>
        <w:rPr>
          <w:rFonts w:ascii="Calibri" w:cs="Calibri" w:eastAsia="Calibri" w:hAnsi="Calibri"/>
          <w:sz w:val="14"/>
          <w:szCs w:val="14"/>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Return on equity is calculated using prior period’s ending net asset value per share.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jc w:val="center"/>
        <w:spacing w:after="0" w:line="235" w:lineRule="auto"/>
        <w:rPr>
          <w:sz w:val="20"/>
          <w:szCs w:val="20"/>
          <w:color w:val="auto"/>
        </w:rPr>
      </w:pPr>
      <w:r>
        <w:rPr>
          <w:rFonts w:ascii="Calibri" w:cs="Calibri" w:eastAsia="Calibri" w:hAnsi="Calibri"/>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$3,221,394 and $3,172,853,</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3,254,527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3,223,152</w:t>
            </w:r>
          </w:p>
        </w:tc>
        <w:tc>
          <w:tcPr>
            <w:tcW w:w="100" w:type="dxa"/>
            <w:vAlign w:val="bottom"/>
            <w:shd w:val="clear" w:color="auto" w:fill="CFF0FC"/>
          </w:tcPr>
          <w:p>
            <w:pPr>
              <w:spacing w:after="0"/>
              <w:rPr>
                <w:sz w:val="21"/>
                <w:szCs w:val="21"/>
                <w:color w:val="auto"/>
              </w:rPr>
            </w:pPr>
          </w:p>
        </w:tc>
      </w:tr>
      <w:tr>
        <w:trPr>
          <w:trHeight w:val="243"/>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Controlled, affiliated investments (amortized cost of $83,169 and $78,159, respectively)</w:t>
            </w:r>
          </w:p>
        </w:tc>
        <w:tc>
          <w:tcPr>
            <w:tcW w:w="3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62,542</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59,913</w:t>
            </w:r>
          </w:p>
        </w:tc>
        <w:tc>
          <w:tcPr>
            <w:tcW w:w="100" w:type="dxa"/>
            <w:vAlign w:val="bottom"/>
          </w:tcPr>
          <w:p>
            <w:pPr>
              <w:spacing w:after="0"/>
              <w:rPr>
                <w:sz w:val="21"/>
                <w:szCs w:val="21"/>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 (amortized cost of $3,304,563 and $3,251,012, respectively)</w:t>
            </w:r>
          </w:p>
        </w:tc>
        <w:tc>
          <w:tcPr>
            <w:tcW w:w="3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3,317,069</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3,283,065</w:t>
            </w: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(restricted cash of $29,527 and $23,979, respectively)</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tcPr>
          <w:p>
            <w:pPr>
              <w:spacing w:after="0"/>
              <w:rPr>
                <w:sz w:val="20"/>
                <w:szCs w:val="20"/>
                <w:color w:val="auto"/>
              </w:rPr>
            </w:pPr>
          </w:p>
        </w:tc>
      </w:tr>
      <w:tr>
        <w:trPr>
          <w:trHeight w:val="281"/>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3,386,951</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3,343,808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(net of deferred financing costs of $27,262 and $21,930, respectively)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1,712,905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1,780,307</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 on net investment income payable to affiliate</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on net capital gains accrued to affiliate</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30,465</w:t>
            </w:r>
          </w:p>
        </w:tc>
        <w:tc>
          <w:tcPr>
            <w:tcW w:w="100" w:type="dxa"/>
            <w:vAlign w:val="bottom"/>
          </w:tcPr>
          <w:p>
            <w:pPr>
              <w:spacing w:after="0"/>
              <w:rPr>
                <w:sz w:val="20"/>
                <w:szCs w:val="20"/>
                <w:color w:val="auto"/>
              </w:rPr>
            </w:pPr>
          </w:p>
        </w:tc>
      </w:tr>
      <w:tr>
        <w:trPr>
          <w:trHeight w:val="238"/>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1,787,916</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1,847,433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w:t>
            </w:r>
          </w:p>
        </w:tc>
        <w:tc>
          <w:tcPr>
            <w:tcW w:w="36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$0.01 par value; 400,000,000 shares authorized, 93,681,455</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88,493,749 shares issued, respectively; and 93,017,205 and 87,829,499</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1,510,345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1,405,173</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at cost; 664,250 and 664,250 shares held, respectively</w:t>
            </w:r>
          </w:p>
        </w:tc>
        <w:tc>
          <w:tcPr>
            <w:tcW w:w="3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(10,459 )</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(10,459 )</w:t>
            </w: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Distributable earnings</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98,212</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100,776</w:t>
            </w:r>
          </w:p>
        </w:tc>
        <w:tc>
          <w:tcPr>
            <w:tcW w:w="100" w:type="dxa"/>
            <w:vAlign w:val="bottom"/>
          </w:tcPr>
          <w:p>
            <w:pPr>
              <w:spacing w:after="0"/>
              <w:rPr>
                <w:sz w:val="20"/>
                <w:szCs w:val="20"/>
                <w:color w:val="auto"/>
              </w:rPr>
            </w:pPr>
          </w:p>
        </w:tc>
      </w:tr>
      <w:tr>
        <w:trPr>
          <w:trHeight w:val="238"/>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3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1,599,035</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1,496,375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3,386,951</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3,343,808</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3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6"/>
        </w:trPr>
        <w:tc>
          <w:tcPr>
            <w:tcW w:w="7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948"/>
        </w:trPr>
        <w:tc>
          <w:tcPr>
            <w:tcW w:w="7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-4191000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-4173855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-2922270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-1259840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-916940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-899795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Statements of Operatons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jc w:val="center"/>
        <w:spacing w:after="0" w:line="235" w:lineRule="auto"/>
        <w:rPr>
          <w:sz w:val="20"/>
          <w:szCs w:val="20"/>
          <w:color w:val="auto"/>
        </w:rPr>
      </w:pPr>
      <w:r>
        <w:rPr>
          <w:rFonts w:ascii="Calibri" w:cs="Calibri" w:eastAsia="Calibri" w:hAnsi="Calibri"/>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7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69"/>
        </w:trPr>
        <w:tc>
          <w:tcPr>
            <w:tcW w:w="5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4"/>
                <w:szCs w:val="14"/>
                <w:color w:val="auto"/>
              </w:rPr>
            </w:pPr>
          </w:p>
        </w:tc>
      </w:tr>
      <w:tr>
        <w:trPr>
          <w:trHeight w:val="16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102,707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96,221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205,114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184,655</w:t>
            </w:r>
          </w:p>
        </w:tc>
        <w:tc>
          <w:tcPr>
            <w:tcW w:w="100" w:type="dxa"/>
            <w:vAlign w:val="bottom"/>
            <w:shd w:val="clear" w:color="auto" w:fill="CFF0FC"/>
          </w:tcPr>
          <w:p>
            <w:pPr>
              <w:spacing w:after="0"/>
              <w:rPr>
                <w:sz w:val="15"/>
                <w:szCs w:val="15"/>
                <w:color w:val="auto"/>
              </w:rPr>
            </w:pPr>
          </w:p>
        </w:tc>
      </w:tr>
      <w:tr>
        <w:trPr>
          <w:trHeight w:val="176"/>
        </w:trPr>
        <w:tc>
          <w:tcPr>
            <w:tcW w:w="5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Paid-in-kind interest income</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100" w:type="dxa"/>
            <w:vAlign w:val="bottom"/>
          </w:tcPr>
          <w:p>
            <w:pPr>
              <w:spacing w:after="0"/>
              <w:rPr>
                <w:sz w:val="15"/>
                <w:szCs w:val="15"/>
                <w:color w:val="auto"/>
              </w:rPr>
            </w:pPr>
          </w:p>
        </w:tc>
      </w:tr>
      <w:tr>
        <w:trPr>
          <w:trHeight w:val="17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9,787</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100" w:type="dxa"/>
            <w:vAlign w:val="bottom"/>
          </w:tcPr>
          <w:p>
            <w:pPr>
              <w:spacing w:after="0"/>
              <w:rPr>
                <w:sz w:val="15"/>
                <w:szCs w:val="15"/>
                <w:color w:val="auto"/>
              </w:rPr>
            </w:pPr>
          </w:p>
        </w:tc>
      </w:tr>
      <w:tr>
        <w:trPr>
          <w:trHeight w:val="169"/>
        </w:trPr>
        <w:tc>
          <w:tcPr>
            <w:tcW w:w="5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119,490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105,737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235,040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200,539</w:t>
            </w:r>
          </w:p>
        </w:tc>
        <w:tc>
          <w:tcPr>
            <w:tcW w:w="100" w:type="dxa"/>
            <w:vAlign w:val="bottom"/>
            <w:shd w:val="clear" w:color="auto" w:fill="CFF0FC"/>
          </w:tcPr>
          <w:p>
            <w:pPr>
              <w:spacing w:after="0"/>
              <w:rPr>
                <w:sz w:val="14"/>
                <w:szCs w:val="14"/>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shd w:val="clear" w:color="auto" w:fill="CFF0FC"/>
          </w:tcPr>
          <w:p>
            <w:pPr>
              <w:spacing w:after="0"/>
              <w:rPr>
                <w:sz w:val="15"/>
                <w:szCs w:val="15"/>
                <w:color w:val="auto"/>
              </w:rPr>
            </w:pPr>
          </w:p>
        </w:tc>
      </w:tr>
      <w:tr>
        <w:trPr>
          <w:trHeight w:val="176"/>
        </w:trPr>
        <w:tc>
          <w:tcPr>
            <w:tcW w:w="5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r>
      <w:tr>
        <w:trPr>
          <w:trHeight w:val="169"/>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4,559</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121,815</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239,599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204,111</w:t>
            </w:r>
          </w:p>
        </w:tc>
        <w:tc>
          <w:tcPr>
            <w:tcW w:w="100" w:type="dxa"/>
            <w:vAlign w:val="bottom"/>
          </w:tcPr>
          <w:p>
            <w:pPr>
              <w:spacing w:after="0"/>
              <w:rPr>
                <w:sz w:val="14"/>
                <w:szCs w:val="14"/>
                <w:color w:val="auto"/>
              </w:rPr>
            </w:pPr>
          </w:p>
        </w:tc>
      </w:tr>
      <w:tr>
        <w:trPr>
          <w:trHeight w:val="16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60,928</w:t>
            </w: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fees</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25,361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22,143</w:t>
            </w:r>
          </w:p>
        </w:tc>
        <w:tc>
          <w:tcPr>
            <w:tcW w:w="100" w:type="dxa"/>
            <w:vAlign w:val="bottom"/>
            <w:shd w:val="clear" w:color="auto" w:fill="CFF0FC"/>
          </w:tcPr>
          <w:p>
            <w:pPr>
              <w:spacing w:after="0"/>
              <w:rPr>
                <w:sz w:val="15"/>
                <w:szCs w:val="15"/>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19,988</w:t>
            </w: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w:t>
            </w: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(1,335 )</w:t>
            </w: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(2,179 )</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100" w:type="dxa"/>
            <w:vAlign w:val="bottom"/>
            <w:shd w:val="clear" w:color="auto" w:fill="CFF0FC"/>
          </w:tcPr>
          <w:p>
            <w:pPr>
              <w:spacing w:after="0"/>
              <w:rPr>
                <w:sz w:val="15"/>
                <w:szCs w:val="15"/>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Directors’ fees</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tcPr>
          <w:p>
            <w:pPr>
              <w:spacing w:after="0"/>
              <w:rPr>
                <w:sz w:val="15"/>
                <w:szCs w:val="15"/>
                <w:color w:val="auto"/>
              </w:rPr>
            </w:pPr>
          </w:p>
        </w:tc>
      </w:tr>
      <w:tr>
        <w:trPr>
          <w:trHeight w:val="169"/>
        </w:trPr>
        <w:tc>
          <w:tcPr>
            <w:tcW w:w="5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65,743</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58,219</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130,711</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111,630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14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(297 )</w:t>
            </w:r>
          </w:p>
        </w:tc>
        <w:tc>
          <w:tcPr>
            <w:tcW w:w="18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(694 )</w:t>
            </w:r>
          </w:p>
        </w:tc>
        <w:tc>
          <w:tcPr>
            <w:tcW w:w="16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(556 )</w:t>
            </w:r>
          </w:p>
        </w:tc>
      </w:tr>
      <w:tr>
        <w:trPr>
          <w:trHeight w:val="169"/>
        </w:trPr>
        <w:tc>
          <w:tcPr>
            <w:tcW w:w="52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65,446</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57,919</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130,017</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111,074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109,582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93,037</w:t>
            </w:r>
          </w:p>
        </w:tc>
        <w:tc>
          <w:tcPr>
            <w:tcW w:w="100" w:type="dxa"/>
            <w:vAlign w:val="bottom"/>
          </w:tcPr>
          <w:p>
            <w:pPr>
              <w:spacing w:after="0"/>
              <w:rPr>
                <w:sz w:val="14"/>
                <w:szCs w:val="14"/>
                <w:color w:val="auto"/>
              </w:rPr>
            </w:pPr>
          </w:p>
        </w:tc>
      </w:tr>
      <w:tr>
        <w:trPr>
          <w:trHeight w:val="175"/>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 including excise taxes</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91,721</w:t>
            </w:r>
          </w:p>
        </w:tc>
        <w:tc>
          <w:tcPr>
            <w:tcW w:w="100" w:type="dxa"/>
            <w:vAlign w:val="bottom"/>
          </w:tcPr>
          <w:p>
            <w:pPr>
              <w:spacing w:after="0"/>
              <w:rPr>
                <w:sz w:val="14"/>
                <w:szCs w:val="14"/>
                <w:color w:val="auto"/>
              </w:rPr>
            </w:pPr>
          </w:p>
        </w:tc>
      </w:tr>
      <w:tr>
        <w:trPr>
          <w:trHeight w:val="17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(7,852 )</w:t>
            </w: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(17,166 )</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19,416</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14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(2,783 )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(2,381 )</w:t>
            </w:r>
          </w:p>
        </w:tc>
        <w:tc>
          <w:tcPr>
            <w:tcW w:w="16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(8,987 )</w:t>
            </w:r>
          </w:p>
        </w:tc>
      </w:tr>
      <w:tr>
        <w:trPr>
          <w:trHeight w:val="175"/>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(1,641 )</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(2,000 )</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(3,004 )</w:t>
            </w:r>
          </w:p>
        </w:tc>
      </w:tr>
      <w:tr>
        <w:trPr>
          <w:trHeight w:val="175"/>
        </w:trPr>
        <w:tc>
          <w:tcPr>
            <w:tcW w:w="5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5"/>
                <w:szCs w:val="15"/>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2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(9,493 )</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(16,462 )</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7,599</w:t>
            </w:r>
          </w:p>
        </w:tc>
        <w:tc>
          <w:tcPr>
            <w:tcW w:w="100" w:type="dxa"/>
            <w:vAlign w:val="bottom"/>
            <w:shd w:val="clear" w:color="auto" w:fill="CFF0FC"/>
          </w:tcPr>
          <w:p>
            <w:pPr>
              <w:spacing w:after="0"/>
              <w:rPr>
                <w:sz w:val="14"/>
                <w:szCs w:val="14"/>
                <w:color w:val="auto"/>
              </w:rPr>
            </w:pPr>
          </w:p>
        </w:tc>
      </w:tr>
      <w:tr>
        <w:trPr>
          <w:trHeight w:val="169"/>
        </w:trPr>
        <w:tc>
          <w:tcPr>
            <w:tcW w:w="5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Realized gains (losses):</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transactions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(139 )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5"/>
                <w:szCs w:val="15"/>
                <w:color w:val="auto"/>
              </w:rPr>
            </w:pPr>
          </w:p>
        </w:tc>
      </w:tr>
      <w:tr>
        <w:trPr>
          <w:trHeight w:val="169"/>
        </w:trPr>
        <w:tc>
          <w:tcPr>
            <w:tcW w:w="52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realized gains (losses)</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14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(7,742 )</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(12,587 )</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14,321</w:t>
            </w:r>
          </w:p>
        </w:tc>
        <w:tc>
          <w:tcPr>
            <w:tcW w:w="100" w:type="dxa"/>
            <w:vAlign w:val="bottom"/>
          </w:tcPr>
          <w:p>
            <w:pPr>
              <w:spacing w:after="0"/>
              <w:rPr>
                <w:sz w:val="14"/>
                <w:szCs w:val="14"/>
                <w:color w:val="auto"/>
              </w:rPr>
            </w:pPr>
          </w:p>
        </w:tc>
      </w:tr>
      <w:tr>
        <w:trPr>
          <w:trHeight w:val="209"/>
        </w:trPr>
        <w:tc>
          <w:tcPr>
            <w:tcW w:w="52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47,401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53,090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94,919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106,042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52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0.51</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0.63</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3"/>
                <w:szCs w:val="13"/>
                <w:color w:val="auto"/>
              </w:rPr>
            </w:pPr>
          </w:p>
        </w:tc>
      </w:tr>
      <w:tr>
        <w:trPr>
          <w:trHeight w:val="169"/>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92,734,320</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84,223,032</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90,883,350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82,819,734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430"/>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948"/>
        </w:trPr>
        <w:tc>
          <w:tcPr>
            <w:tcW w:w="5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-4379595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-4379595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-4379595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-3239770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-3239770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-3239770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-2999740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-2999740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-2999740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-2767965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-2767965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-2767965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-1859280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-1859280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-1859280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-1396365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-1396365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-1396365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-1156970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-1139190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-1156970</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-1139190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-1156970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-1139190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-899795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-899795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-899795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ind w:right="60"/>
        <w:spacing w:after="0" w:line="235" w:lineRule="auto"/>
        <w:rPr>
          <w:sz w:val="20"/>
          <w:szCs w:val="20"/>
          <w:color w:val="auto"/>
        </w:rPr>
      </w:pPr>
      <w:r>
        <w:rPr>
          <w:rFonts w:ascii="Calibri" w:cs="Calibri" w:eastAsia="Calibri" w:hAnsi="Calibri"/>
          <w:sz w:val="18"/>
          <w:szCs w:val="18"/>
          <w:color w:val="auto"/>
        </w:rPr>
        <w:t>The Company’s investment actvity for the quarter ended June 30, 2024 and 2023 is presented below (informaton presented herein is at par value unless otherwise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6"/>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gridSpan w:val="2"/>
          </w:tcPr>
          <w:p>
            <w:pPr>
              <w:spacing w:after="0"/>
              <w:rPr>
                <w:sz w:val="14"/>
                <w:szCs w:val="14"/>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1,858.8</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56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First-lien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Second-lien</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Mezzanine</w:t>
            </w:r>
          </w:p>
        </w:tc>
        <w:tc>
          <w:tcPr>
            <w:tcW w:w="22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and other</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Structured Credit</w:t>
            </w:r>
          </w:p>
        </w:tc>
        <w:tc>
          <w:tcPr>
            <w:tcW w:w="22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1"/>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First-lien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Second-lien</w:t>
            </w:r>
          </w:p>
        </w:tc>
        <w:tc>
          <w:tcPr>
            <w:tcW w:w="22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Mezzanine</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and other</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Structured Credit</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6"/>
        </w:trPr>
        <w:tc>
          <w:tcPr>
            <w:tcW w:w="75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5"/>
        </w:trPr>
        <w:tc>
          <w:tcPr>
            <w:tcW w:w="75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4"/>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22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22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11.6 %</w:t>
            </w: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22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6.6 %</w:t>
            </w: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22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13.4 %</w:t>
            </w: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-4516755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-2339340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3" w:lineRule="exact"/>
        <w:rPr>
          <w:sz w:val="20"/>
          <w:szCs w:val="20"/>
          <w:color w:val="auto"/>
        </w:rPr>
      </w:pPr>
    </w:p>
    <w:p>
      <w:pPr>
        <w:ind w:left="760" w:hanging="378"/>
        <w:spacing w:after="0"/>
        <w:tabs>
          <w:tab w:leader="none" w:pos="760" w:val="left"/>
        </w:tabs>
        <w:numPr>
          <w:ilvl w:val="0"/>
          <w:numId w:val="7"/>
        </w:numPr>
        <w:rPr>
          <w:rFonts w:ascii="Calibri" w:cs="Calibri" w:eastAsia="Calibri" w:hAnsi="Calibri"/>
          <w:sz w:val="14"/>
          <w:szCs w:val="14"/>
          <w:color w:val="auto"/>
        </w:rPr>
      </w:pPr>
      <w:r>
        <w:rPr>
          <w:rFonts w:ascii="Calibri" w:cs="Calibri" w:eastAsia="Calibri" w:hAnsi="Calibri"/>
          <w:sz w:val="14"/>
          <w:szCs w:val="14"/>
          <w:color w:val="auto"/>
        </w:rPr>
        <w:t>Includes afliates of Sixth Street.</w:t>
      </w:r>
    </w:p>
    <w:p>
      <w:pPr>
        <w:spacing w:after="0" w:line="217"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2" w:name="page13"/>
    <w:bookmarkEnd w:id="12"/>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b w:val="1"/>
          <w:bCs w:val="1"/>
          <w:color w:val="auto"/>
        </w:rPr>
        <w:t>About Sixth Street Specialty Lending</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Sixth Street Specialty Lending is a specialty fnance company focused on lending to middle-market companies. The Company seeks to generate current income primarily in U.S.-domiciled middle-market companies through direct originatons of senior secured loans and, to a lesser extent, originatons of mezzanine loans and investments in corporate bonds and equity securites. The Company has elected to be regulated as a business development company, or a BDC, under the Investment Company Act of 1940 and the rules and regulatons promulgated thereunder. The Company is externally managed by Sixth Street Specialty Lending Advisers, LLC, an afliate of Sixth Street and a Securites and Exchange Commission (“SEC”) registered investment adviser. The Company leverages the deep investment, sector, and operatng resources of Sixth Street, a global investment frm with over $78 billion in assets under management and commited capital. For more informaton, visit the Company’s website at </w:t>
      </w:r>
      <w:r>
        <w:rPr>
          <w:rFonts w:ascii="Calibri" w:cs="Calibri" w:eastAsia="Calibri" w:hAnsi="Calibri"/>
          <w:sz w:val="18"/>
          <w:szCs w:val="18"/>
          <w:color w:val="0563C1"/>
        </w:rPr>
        <w:t>htps://sixthstreetspecialtylending.com</w:t>
      </w:r>
      <w:r>
        <w:rPr>
          <w:rFonts w:ascii="Calibri" w:cs="Calibri" w:eastAsia="Calibri" w:hAnsi="Calibri"/>
          <w:sz w:val="18"/>
          <w:szCs w:val="18"/>
          <w:color w:val="auto"/>
        </w:rPr>
        <w:t>.</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Sixth Street</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Sixth Street is a global investment frm with over $78 billion in assets under management and commited capital. The frm uses its long-term fexible capital, data-enabled capabilites, and One Team culture to develop themes and ofer solutons to companies across all stages of growth. Founded in 2009, Sixth Street has more than 600 team members including over 250 investment professionals around the world. For more informaton, visit htps://sixthstreet.com or follow Sixth Street on LinkedIn.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Statements included herein may consttute “forward-looking statements,” within the meaning of the federal securites laws and the Private Securites Litgaton Reform Act of 1995, which relate to future events or the Company’s future performance or fnancial conditon. These forward-looking statements can be identfed by the use of forward-looking terminology, such as “outlook,” “indicator,” “believes,” “expects,” “potental,” “contnues,” “may,” “can,” “will,” “should,” “seeks,” “approximately,” “predicts,” “intends,” “plans,” “estmates,” “antcipates”, “confdent,” “convicton,” “identfed” or the negatve versions of these words or other comparable words thereof. These statements are not guarantees of future performance, conditons or results and involve a number of risks and uncertaintes. Actual results may difer materially from those in the forward-looking statements as a result of a number of factors, including those described from tme to tme in the Company’s flings with the SEC, which are accessible on the SEC’s website at www.sec.gov. Except as otherwise required by federal securites laws, the Company assumes no obligaton to update any such forward-looking statements, whether as a result of new informaton, future developments or otherwise.</w:t>
      </w:r>
    </w:p>
    <w:p>
      <w:pPr>
        <w:spacing w:after="0" w:line="1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Non-GAAP Financial Measures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net investment income and adjusted net income are each non-GAAP fnancial measures, which represent net investment income and net income, respectvely, in each case less the impact of accrued capital gains incentve fee expenses. The Company believes that adjusted net investment income and adjusted net income provide useful informaton to investors regarding the fundamental earnings power of the business, and these fgures are used by the Company to measure its fnancial conditon and results of operatons. The presentaton of this additonal informaton is not meant to be considered in isolaton or as a substtute for fnancial results prepared in accordance with GAAP.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8"/>
          <w:szCs w:val="18"/>
          <w:color w:val="auto"/>
        </w:rPr>
        <w:t>Investors: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Cami VanHorn, 469-621-2033</w:t>
      </w:r>
    </w:p>
    <w:p>
      <w:pPr>
        <w:spacing w:after="0" w:line="235" w:lineRule="auto"/>
        <w:rPr>
          <w:sz w:val="20"/>
          <w:szCs w:val="20"/>
          <w:color w:val="auto"/>
        </w:rPr>
      </w:pPr>
      <w:r>
        <w:rPr>
          <w:rFonts w:ascii="Calibri" w:cs="Calibri" w:eastAsia="Calibri" w:hAnsi="Calibri"/>
          <w:sz w:val="18"/>
          <w:szCs w:val="18"/>
          <w:color w:val="auto"/>
        </w:rPr>
        <w:t>Sixth Street Specialty Lending</w:t>
      </w:r>
    </w:p>
    <w:p>
      <w:pPr>
        <w:spacing w:after="0" w:line="236" w:lineRule="auto"/>
        <w:rPr>
          <w:sz w:val="20"/>
          <w:szCs w:val="20"/>
          <w:color w:val="auto"/>
        </w:rPr>
      </w:pPr>
      <w:r>
        <w:rPr>
          <w:rFonts w:ascii="Calibri" w:cs="Calibri" w:eastAsia="Calibri" w:hAnsi="Calibri"/>
          <w:sz w:val="18"/>
          <w:szCs w:val="18"/>
          <w:color w:val="auto"/>
        </w:rPr>
        <w:t>IRTSLX@sixthstreet.com</w:t>
      </w: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color w:val="auto"/>
        </w:rPr>
        <w:t>Media:</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Patrick Cliford, 617-793-2004</w:t>
      </w:r>
    </w:p>
    <w:p>
      <w:pPr>
        <w:spacing w:after="0" w:line="235" w:lineRule="auto"/>
        <w:rPr>
          <w:sz w:val="20"/>
          <w:szCs w:val="20"/>
          <w:color w:val="auto"/>
        </w:rPr>
      </w:pPr>
      <w:r>
        <w:rPr>
          <w:rFonts w:ascii="Calibri" w:cs="Calibri" w:eastAsia="Calibri" w:hAnsi="Calibri"/>
          <w:sz w:val="18"/>
          <w:szCs w:val="18"/>
          <w:color w:val="auto"/>
        </w:rPr>
        <w:t>Sixth Street</w:t>
      </w:r>
    </w:p>
    <w:p>
      <w:pPr>
        <w:spacing w:after="0" w:line="236" w:lineRule="auto"/>
        <w:rPr>
          <w:sz w:val="20"/>
          <w:szCs w:val="20"/>
          <w:color w:val="auto"/>
        </w:rPr>
      </w:pPr>
      <w:r>
        <w:rPr>
          <w:rFonts w:ascii="Calibri" w:cs="Calibri" w:eastAsia="Calibri" w:hAnsi="Calibri"/>
          <w:sz w:val="18"/>
          <w:szCs w:val="18"/>
          <w:color w:val="auto"/>
        </w:rPr>
        <w:t>PCliford@sixthstreet.com</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2024-07-31T15:17:34Z</dcterms:created>
  <dcterms:modified xsi:type="dcterms:W3CDTF">2024-07-31T15:17:34Z</dcterms:modified>
</cp:coreProperties>
</file>