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158750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August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3"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68580</wp:posOffset>
            </wp:positionV>
            <wp:extent cx="1645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41"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6"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480695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67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2, 2022, the registrant issued a press release announcing its financial results for the quarter ended June 30, 2022.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August 2, 2022, the registrant issued a press release, included herewith as Exhibit 99.1, announcing the declaration of a third quarter 2022 base dividend per share of $0.42 to shareholders of record as of September 15, 2022, payable on September 30, 2022.</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20"/>
        <w:spacing w:after="0"/>
        <w:tabs>
          <w:tab w:leader="none" w:pos="12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ind w:left="580"/>
              <w:spacing w:after="0"/>
              <w:rPr>
                <w:sz w:val="20"/>
                <w:szCs w:val="20"/>
                <w:color w:val="auto"/>
              </w:rPr>
            </w:pPr>
            <w:r>
              <w:rPr>
                <w:rFonts w:ascii="Arial" w:cs="Arial" w:eastAsia="Arial" w:hAnsi="Arial"/>
                <w:sz w:val="18"/>
                <w:szCs w:val="18"/>
                <w:color w:val="auto"/>
              </w:rPr>
              <w:t>(Registrant)</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2, 2022</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By: /s/ Ian Simmonds</w:t>
            </w:r>
          </w:p>
        </w:tc>
      </w:tr>
      <w:tr>
        <w:trPr>
          <w:trHeight w:val="195"/>
        </w:trPr>
        <w:tc>
          <w:tcPr>
            <w:tcW w:w="3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SECOND QUARTER 2022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Sixth Street Specialty Lending, Inc. Reports Second Quarter Adjusted Net Investment Income Per Share of $0.42 and NAV Per Share of $16.27; Declares a $0.01 Per Share Increase in Third Quarter Base Dividend Per Share to $0.42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NEW YORK—August 2, 2022— Sixth Street Specialty Lending, Inc. (NYSE: TSLX, or the “Company”) today reported adjusted net investment income of $0.42 per share and adjusted net loss of $0.30 per share for the second quarter ended June 30, 2022. These results correspond to an annualized return on equity (ROE) on adjusted net investment income and adjusted net loss of 9.9% and -7.1%, respectively. The Company’s net loss this quarter was primarily driven by unrealized losses from the impact of credit spread widening on the valuation of the Company’s portfolio.</w:t>
      </w:r>
    </w:p>
    <w:p>
      <w:pPr>
        <w:spacing w:after="0" w:line="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Unrealized losses during the quarter resulted in a partial reversal or unwind of previously accrued capital gains incentive fees amounting to approximately $0.12 per share. The Company’s adjusted results exclude the impact of this non-cash expense reversal given the unwind is tied primarily to unrealized gains from investments. Reported net investment income and net loss for the quarter ended June 30, 2022, unadjusted for the unwind of previously accrued capital gains incentive fees expenses, were $40.8 million, or $0.54 per share, and ($13.5) million, or ($0.18) per share, respectively. The Company’s net investment income in the second quarter reflects continued strength in the core earnings power of its portfolio, and the difference between this quarter’s net investment income and net loss was driven overwhelmingly by unrealized losses from the impact of incorporating wider market spreads on the valuation of the portfolio.</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announced that its Board of Directors has declared a $0.01 per share increase to its third quarter base dividend per share from $0.41 to $0.42 to shareholders of record as of September 15, 2022, payable on September 30, 2022. The increase reflects the Company’s updated view on forward earnings, which incorporates the anticipated positive impact of the interest rate environment on the Company’s income statement.</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Reported net asset value (NAV) per share was $16.27 at June 30, 2022 as compared to $16.88 at March 31, 2022 (or a pro forma NAV per share of $16.84, which accounts for the impact of the $0.04 per share first quarter 2022 supplemental dividend). The primary drivers of this quarter’s NAV per share decline were the unrealized losses related to the impact of credit spread widening on the valuation of the Company’s investments. As of June 30, 2022, 0.01% of the portfolio at fair value was on non-accrual status, which is flat compared to March 31, 2022. No new portfolio companies were added to non-accrual during the quarter.</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 2022, the Company completed an equity issuance of approximately 4.4 million shares in accordance with the settlement of the $100 million principal value of convertible notes that remained outstanding as of June 30, 2022. The conversion election of approximately $79 million principal value of note holders and corresponding equity issuance translated to approximately $0.08 per share of accretion to the Company’s net asset value, which will be reflected in its Q3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25717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$0.42</w:t>
            </w:r>
          </w:p>
        </w:tc>
      </w:tr>
      <w:tr>
        <w:trPr>
          <w:trHeight w:val="81"/>
        </w:trPr>
        <w:tc>
          <w:tcPr>
            <w:tcW w:w="320" w:type="dxa"/>
            <w:vAlign w:val="bottom"/>
            <w:tcBorders>
              <w:bottom w:val="single" w:sz="8" w:color="D9DDE1"/>
            </w:tcBorders>
          </w:tcPr>
          <w:p>
            <w:pPr>
              <w:spacing w:after="0"/>
              <w:rPr>
                <w:sz w:val="7"/>
                <w:szCs w:val="7"/>
                <w:color w:val="auto"/>
              </w:rPr>
            </w:pPr>
          </w:p>
        </w:tc>
        <w:tc>
          <w:tcPr>
            <w:tcW w:w="2480" w:type="dxa"/>
            <w:vAlign w:val="bottom"/>
            <w:tcBorders>
              <w:bottom w:val="single" w:sz="8" w:color="D9DDE1"/>
            </w:tcBorders>
            <w:gridSpan w:val="2"/>
          </w:tcPr>
          <w:p>
            <w:pPr>
              <w:spacing w:after="0"/>
              <w:rPr>
                <w:sz w:val="7"/>
                <w:szCs w:val="7"/>
                <w:color w:val="auto"/>
              </w:rPr>
            </w:pPr>
          </w:p>
        </w:tc>
        <w:tc>
          <w:tcPr>
            <w:tcW w:w="90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$0.54</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080" w:type="dxa"/>
            <w:vAlign w:val="bottom"/>
            <w:shd w:val="clear" w:color="auto" w:fill="0F2F50"/>
          </w:tcPr>
          <w:p>
            <w:pPr>
              <w:jc w:val="center"/>
              <w:ind w:left="90"/>
              <w:spacing w:after="0"/>
              <w:rPr>
                <w:sz w:val="20"/>
                <w:szCs w:val="20"/>
                <w:color w:val="auto"/>
              </w:rPr>
            </w:pPr>
            <w:r>
              <w:rPr>
                <w:rFonts w:ascii="Arial" w:cs="Arial" w:eastAsia="Arial" w:hAnsi="Arial"/>
                <w:sz w:val="18"/>
                <w:szCs w:val="18"/>
                <w:b w:val="1"/>
                <w:bCs w:val="1"/>
                <w:color w:val="FFFFFF"/>
                <w:w w:val="88"/>
              </w:rPr>
              <w:t>Net Loss Per Share</w:t>
            </w:r>
          </w:p>
        </w:tc>
        <w:tc>
          <w:tcPr>
            <w:tcW w:w="900" w:type="dxa"/>
            <w:vAlign w:val="bottom"/>
            <w:shd w:val="clear" w:color="auto" w:fill="0F2F50"/>
          </w:tcPr>
          <w:p>
            <w:pPr>
              <w:spacing w:after="0"/>
              <w:rPr>
                <w:sz w:val="24"/>
                <w:szCs w:val="24"/>
                <w:color w:val="auto"/>
              </w:rPr>
            </w:pPr>
          </w:p>
        </w:tc>
      </w:tr>
      <w:tr>
        <w:trPr>
          <w:trHeight w:val="108"/>
        </w:trPr>
        <w:tc>
          <w:tcPr>
            <w:tcW w:w="320" w:type="dxa"/>
            <w:vAlign w:val="bottom"/>
            <w:shd w:val="clear" w:color="auto" w:fill="0F2F50"/>
          </w:tcPr>
          <w:p>
            <w:pPr>
              <w:spacing w:after="0"/>
              <w:rPr>
                <w:sz w:val="9"/>
                <w:szCs w:val="9"/>
                <w:color w:val="auto"/>
              </w:rPr>
            </w:pPr>
          </w:p>
        </w:tc>
        <w:tc>
          <w:tcPr>
            <w:tcW w:w="400" w:type="dxa"/>
            <w:vAlign w:val="bottom"/>
            <w:shd w:val="clear" w:color="auto" w:fill="0F2F50"/>
          </w:tcPr>
          <w:p>
            <w:pPr>
              <w:spacing w:after="0"/>
              <w:rPr>
                <w:sz w:val="9"/>
                <w:szCs w:val="9"/>
                <w:color w:val="auto"/>
              </w:rPr>
            </w:pPr>
          </w:p>
        </w:tc>
        <w:tc>
          <w:tcPr>
            <w:tcW w:w="2080" w:type="dxa"/>
            <w:vAlign w:val="bottom"/>
            <w:shd w:val="clear" w:color="auto" w:fill="0F2F50"/>
          </w:tcPr>
          <w:p>
            <w:pPr>
              <w:spacing w:after="0"/>
              <w:rPr>
                <w:sz w:val="9"/>
                <w:szCs w:val="9"/>
                <w:color w:val="auto"/>
              </w:rPr>
            </w:pPr>
          </w:p>
        </w:tc>
        <w:tc>
          <w:tcPr>
            <w:tcW w:w="900" w:type="dxa"/>
            <w:vAlign w:val="bottom"/>
            <w:shd w:val="clear" w:color="auto" w:fill="0F2F50"/>
          </w:tcPr>
          <w:p>
            <w:pPr>
              <w:spacing w:after="0"/>
              <w:rPr>
                <w:sz w:val="9"/>
                <w:szCs w:val="9"/>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($0.30)</w:t>
            </w:r>
          </w:p>
        </w:tc>
      </w:tr>
      <w:tr>
        <w:trPr>
          <w:trHeight w:val="81"/>
        </w:trPr>
        <w:tc>
          <w:tcPr>
            <w:tcW w:w="320" w:type="dxa"/>
            <w:vAlign w:val="bottom"/>
            <w:tcBorders>
              <w:bottom w:val="single" w:sz="8" w:color="D9DDE1"/>
            </w:tcBorders>
          </w:tcPr>
          <w:p>
            <w:pPr>
              <w:spacing w:after="0"/>
              <w:rPr>
                <w:sz w:val="7"/>
                <w:szCs w:val="7"/>
                <w:color w:val="auto"/>
              </w:rPr>
            </w:pPr>
          </w:p>
        </w:tc>
        <w:tc>
          <w:tcPr>
            <w:tcW w:w="2480" w:type="dxa"/>
            <w:vAlign w:val="bottom"/>
            <w:tcBorders>
              <w:bottom w:val="single" w:sz="8" w:color="D9DDE1"/>
            </w:tcBorders>
            <w:gridSpan w:val="2"/>
          </w:tcPr>
          <w:p>
            <w:pPr>
              <w:spacing w:after="0"/>
              <w:rPr>
                <w:sz w:val="7"/>
                <w:szCs w:val="7"/>
                <w:color w:val="auto"/>
              </w:rPr>
            </w:pPr>
          </w:p>
        </w:tc>
        <w:tc>
          <w:tcPr>
            <w:tcW w:w="90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($0.18)</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080" w:type="dxa"/>
            <w:vAlign w:val="bottom"/>
            <w:shd w:val="clear" w:color="auto" w:fill="0F2F50"/>
          </w:tcPr>
          <w:p>
            <w:pPr>
              <w:jc w:val="center"/>
              <w:ind w:left="70"/>
              <w:spacing w:after="0"/>
              <w:rPr>
                <w:sz w:val="20"/>
                <w:szCs w:val="20"/>
                <w:color w:val="auto"/>
              </w:rPr>
            </w:pPr>
            <w:r>
              <w:rPr>
                <w:rFonts w:ascii="Arial" w:cs="Arial" w:eastAsia="Arial" w:hAnsi="Arial"/>
                <w:sz w:val="18"/>
                <w:szCs w:val="18"/>
                <w:b w:val="1"/>
                <w:bCs w:val="1"/>
                <w:color w:val="FFFFFF"/>
                <w:w w:val="94"/>
              </w:rPr>
              <w:t>Annualized ROE</w:t>
            </w:r>
          </w:p>
        </w:tc>
        <w:tc>
          <w:tcPr>
            <w:tcW w:w="900" w:type="dxa"/>
            <w:vAlign w:val="bottom"/>
            <w:shd w:val="clear" w:color="auto" w:fill="0F2F50"/>
          </w:tcPr>
          <w:p>
            <w:pPr>
              <w:spacing w:after="0"/>
              <w:rPr>
                <w:sz w:val="24"/>
                <w:szCs w:val="24"/>
                <w:color w:val="auto"/>
              </w:rPr>
            </w:pP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080" w:type="dxa"/>
            <w:vAlign w:val="bottom"/>
            <w:shd w:val="clear" w:color="auto" w:fill="0F2F50"/>
          </w:tcPr>
          <w:p>
            <w:pPr>
              <w:spacing w:after="0"/>
              <w:rPr>
                <w:sz w:val="8"/>
                <w:szCs w:val="8"/>
                <w:color w:val="auto"/>
              </w:rPr>
            </w:pPr>
          </w:p>
        </w:tc>
        <w:tc>
          <w:tcPr>
            <w:tcW w:w="900" w:type="dxa"/>
            <w:vAlign w:val="bottom"/>
            <w:shd w:val="clear" w:color="auto" w:fill="0F2F50"/>
          </w:tcPr>
          <w:p>
            <w:pPr>
              <w:spacing w:after="0"/>
              <w:rPr>
                <w:sz w:val="8"/>
                <w:szCs w:val="8"/>
                <w:color w:val="auto"/>
              </w:rPr>
            </w:pPr>
          </w:p>
        </w:tc>
      </w:tr>
      <w:tr>
        <w:trPr>
          <w:trHeight w:val="32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(Adj NII):</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r>
        <w:trPr>
          <w:trHeight w:val="108"/>
        </w:trPr>
        <w:tc>
          <w:tcPr>
            <w:tcW w:w="320" w:type="dxa"/>
            <w:vAlign w:val="bottom"/>
            <w:tcBorders>
              <w:bottom w:val="single" w:sz="8" w:color="D9DDE1"/>
            </w:tcBorders>
          </w:tcPr>
          <w:p>
            <w:pPr>
              <w:spacing w:after="0"/>
              <w:rPr>
                <w:sz w:val="9"/>
                <w:szCs w:val="9"/>
                <w:color w:val="auto"/>
              </w:rPr>
            </w:pPr>
          </w:p>
        </w:tc>
        <w:tc>
          <w:tcPr>
            <w:tcW w:w="400" w:type="dxa"/>
            <w:vAlign w:val="bottom"/>
            <w:tcBorders>
              <w:bottom w:val="single" w:sz="8" w:color="D9DDE1"/>
            </w:tcBorders>
          </w:tcPr>
          <w:p>
            <w:pPr>
              <w:spacing w:after="0"/>
              <w:rPr>
                <w:sz w:val="9"/>
                <w:szCs w:val="9"/>
                <w:color w:val="auto"/>
              </w:rPr>
            </w:pPr>
          </w:p>
        </w:tc>
        <w:tc>
          <w:tcPr>
            <w:tcW w:w="2080" w:type="dxa"/>
            <w:vAlign w:val="bottom"/>
            <w:tcBorders>
              <w:bottom w:val="single" w:sz="8" w:color="D9DDE1"/>
            </w:tcBorders>
          </w:tcPr>
          <w:p>
            <w:pPr>
              <w:spacing w:after="0"/>
              <w:rPr>
                <w:sz w:val="9"/>
                <w:szCs w:val="9"/>
                <w:color w:val="auto"/>
              </w:rPr>
            </w:pPr>
          </w:p>
        </w:tc>
        <w:tc>
          <w:tcPr>
            <w:tcW w:w="900" w:type="dxa"/>
            <w:vAlign w:val="bottom"/>
            <w:tcBorders>
              <w:bottom w:val="single" w:sz="8" w:color="D9DDE1"/>
            </w:tcBorders>
          </w:tcPr>
          <w:p>
            <w:pPr>
              <w:spacing w:after="0"/>
              <w:rPr>
                <w:sz w:val="9"/>
                <w:szCs w:val="9"/>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(Adj NI):</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080" w:type="dxa"/>
            <w:vAlign w:val="bottom"/>
            <w:tcBorders>
              <w:bottom w:val="single" w:sz="8" w:color="D9DDE1"/>
            </w:tcBorders>
          </w:tcPr>
          <w:p>
            <w:pPr>
              <w:spacing w:after="0"/>
              <w:rPr>
                <w:sz w:val="7"/>
                <w:szCs w:val="7"/>
                <w:color w:val="auto"/>
              </w:rPr>
            </w:pPr>
          </w:p>
        </w:tc>
        <w:tc>
          <w:tcPr>
            <w:tcW w:w="90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(NII):</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080" w:type="dxa"/>
            <w:vAlign w:val="bottom"/>
            <w:tcBorders>
              <w:bottom w:val="single" w:sz="8" w:color="D9DDE1"/>
            </w:tcBorders>
          </w:tcPr>
          <w:p>
            <w:pPr>
              <w:spacing w:after="0"/>
              <w:rPr>
                <w:sz w:val="7"/>
                <w:szCs w:val="7"/>
                <w:color w:val="auto"/>
              </w:rPr>
            </w:pPr>
          </w:p>
        </w:tc>
        <w:tc>
          <w:tcPr>
            <w:tcW w:w="90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(NI):</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080" w:type="dxa"/>
            <w:vAlign w:val="bottom"/>
            <w:shd w:val="clear" w:color="auto" w:fill="0F2F50"/>
          </w:tcPr>
          <w:p>
            <w:pPr>
              <w:jc w:val="center"/>
              <w:ind w:left="90"/>
              <w:spacing w:after="0"/>
              <w:rPr>
                <w:sz w:val="20"/>
                <w:szCs w:val="20"/>
                <w:color w:val="auto"/>
              </w:rPr>
            </w:pPr>
            <w:r>
              <w:rPr>
                <w:rFonts w:ascii="Arial" w:cs="Arial" w:eastAsia="Arial" w:hAnsi="Arial"/>
                <w:sz w:val="18"/>
                <w:szCs w:val="18"/>
                <w:b w:val="1"/>
                <w:bCs w:val="1"/>
                <w:color w:val="FFFFFF"/>
                <w:w w:val="99"/>
              </w:rPr>
              <w:t>NAV</w:t>
            </w:r>
          </w:p>
        </w:tc>
        <w:tc>
          <w:tcPr>
            <w:tcW w:w="90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080" w:type="dxa"/>
            <w:vAlign w:val="bottom"/>
            <w:shd w:val="clear" w:color="auto" w:fill="0F2F50"/>
          </w:tcPr>
          <w:p>
            <w:pPr>
              <w:spacing w:after="0"/>
              <w:rPr>
                <w:sz w:val="8"/>
                <w:szCs w:val="8"/>
                <w:color w:val="auto"/>
              </w:rPr>
            </w:pPr>
          </w:p>
        </w:tc>
        <w:tc>
          <w:tcPr>
            <w:tcW w:w="900" w:type="dxa"/>
            <w:vAlign w:val="bottom"/>
            <w:shd w:val="clear" w:color="auto" w:fill="0F2F50"/>
          </w:tcPr>
          <w:p>
            <w:pPr>
              <w:spacing w:after="0"/>
              <w:rPr>
                <w:sz w:val="8"/>
                <w:szCs w:val="8"/>
                <w:color w:val="auto"/>
              </w:rPr>
            </w:pPr>
          </w:p>
        </w:tc>
      </w:tr>
      <w:tr>
        <w:trPr>
          <w:trHeight w:val="31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$1,242.0</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2080" w:type="dxa"/>
            <w:vAlign w:val="bottom"/>
            <w:tcBorders>
              <w:bottom w:val="single" w:sz="8" w:color="D9DDE1"/>
            </w:tcBorders>
          </w:tcPr>
          <w:p>
            <w:pPr>
              <w:spacing w:after="0"/>
              <w:rPr>
                <w:sz w:val="8"/>
                <w:szCs w:val="8"/>
                <w:color w:val="auto"/>
              </w:rPr>
            </w:pPr>
          </w:p>
        </w:tc>
        <w:tc>
          <w:tcPr>
            <w:tcW w:w="90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$16.27</w:t>
            </w:r>
          </w:p>
        </w:tc>
      </w:tr>
      <w:tr>
        <w:trPr>
          <w:trHeight w:val="81"/>
        </w:trPr>
        <w:tc>
          <w:tcPr>
            <w:tcW w:w="320" w:type="dxa"/>
            <w:vAlign w:val="bottom"/>
            <w:tcBorders>
              <w:bottom w:val="single" w:sz="8" w:color="D9DDE1"/>
            </w:tcBorders>
          </w:tcPr>
          <w:p>
            <w:pPr>
              <w:spacing w:after="0"/>
              <w:rPr>
                <w:sz w:val="7"/>
                <w:szCs w:val="7"/>
                <w:color w:val="auto"/>
              </w:rPr>
            </w:pPr>
          </w:p>
        </w:tc>
        <w:tc>
          <w:tcPr>
            <w:tcW w:w="3380" w:type="dxa"/>
            <w:vAlign w:val="bottom"/>
            <w:tcBorders>
              <w:bottom w:val="single" w:sz="8" w:color="D9DDE1"/>
            </w:tcBorders>
            <w:gridSpan w:val="3"/>
          </w:tcPr>
          <w:p>
            <w:pPr>
              <w:spacing w:after="0"/>
              <w:rPr>
                <w:sz w:val="7"/>
                <w:szCs w:val="7"/>
                <w:color w:val="auto"/>
              </w:rPr>
            </w:pPr>
          </w:p>
        </w:tc>
      </w:tr>
      <w:tr>
        <w:trPr>
          <w:trHeight w:val="236"/>
        </w:trPr>
        <w:tc>
          <w:tcPr>
            <w:tcW w:w="320" w:type="dxa"/>
            <w:vAlign w:val="bottom"/>
          </w:tcPr>
          <w:p>
            <w:pPr>
              <w:spacing w:after="0"/>
              <w:rPr>
                <w:sz w:val="20"/>
                <w:szCs w:val="20"/>
                <w:color w:val="auto"/>
              </w:rPr>
            </w:pPr>
          </w:p>
        </w:tc>
        <w:tc>
          <w:tcPr>
            <w:tcW w:w="3380" w:type="dxa"/>
            <w:vAlign w:val="bottom"/>
            <w:gridSpan w:val="3"/>
          </w:tcPr>
          <w:p>
            <w:pPr>
              <w:spacing w:after="0"/>
              <w:rPr>
                <w:sz w:val="20"/>
                <w:szCs w:val="20"/>
                <w:color w:val="auto"/>
              </w:rPr>
            </w:pPr>
          </w:p>
        </w:tc>
      </w:tr>
      <w:tr>
        <w:trPr>
          <w:trHeight w:val="297"/>
        </w:trPr>
        <w:tc>
          <w:tcPr>
            <w:tcW w:w="320" w:type="dxa"/>
            <w:vAlign w:val="bottom"/>
            <w:shd w:val="clear" w:color="auto" w:fill="0F2F50"/>
          </w:tcPr>
          <w:p>
            <w:pPr>
              <w:spacing w:after="0"/>
              <w:rPr>
                <w:sz w:val="24"/>
                <w:szCs w:val="24"/>
                <w:color w:val="auto"/>
              </w:rPr>
            </w:pPr>
          </w:p>
        </w:tc>
        <w:tc>
          <w:tcPr>
            <w:tcW w:w="3380" w:type="dxa"/>
            <w:vAlign w:val="bottom"/>
            <w:gridSpan w:val="3"/>
            <w:shd w:val="clear" w:color="auto" w:fill="0F2F50"/>
          </w:tcPr>
          <w:p>
            <w:pPr>
              <w:jc w:val="center"/>
              <w:ind w:right="230"/>
              <w:spacing w:after="0"/>
              <w:rPr>
                <w:sz w:val="20"/>
                <w:szCs w:val="20"/>
                <w:color w:val="auto"/>
              </w:rPr>
            </w:pPr>
            <w:r>
              <w:rPr>
                <w:rFonts w:ascii="Arial" w:cs="Arial" w:eastAsia="Arial" w:hAnsi="Arial"/>
                <w:sz w:val="18"/>
                <w:szCs w:val="18"/>
                <w:b w:val="1"/>
                <w:bCs w:val="1"/>
                <w:color w:val="FFFFFF"/>
                <w:w w:val="89"/>
              </w:rPr>
              <w:t>Dividends Declared (per share)</w:t>
            </w: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080" w:type="dxa"/>
            <w:vAlign w:val="bottom"/>
            <w:shd w:val="clear" w:color="auto" w:fill="0F2F50"/>
          </w:tcPr>
          <w:p>
            <w:pPr>
              <w:spacing w:after="0"/>
              <w:rPr>
                <w:sz w:val="8"/>
                <w:szCs w:val="8"/>
                <w:color w:val="auto"/>
              </w:rPr>
            </w:pPr>
          </w:p>
        </w:tc>
        <w:tc>
          <w:tcPr>
            <w:tcW w:w="900" w:type="dxa"/>
            <w:vAlign w:val="bottom"/>
            <w:shd w:val="clear" w:color="auto" w:fill="0F2F50"/>
          </w:tcPr>
          <w:p>
            <w:pPr>
              <w:spacing w:after="0"/>
              <w:rPr>
                <w:sz w:val="8"/>
                <w:szCs w:val="8"/>
                <w:color w:val="auto"/>
              </w:rPr>
            </w:pPr>
          </w:p>
        </w:tc>
      </w:tr>
      <w:tr>
        <w:trPr>
          <w:trHeight w:val="25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(Base):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$0.41</w:t>
            </w:r>
          </w:p>
        </w:tc>
      </w:tr>
      <w:tr>
        <w:trPr>
          <w:trHeight w:val="54"/>
        </w:trPr>
        <w:tc>
          <w:tcPr>
            <w:tcW w:w="2800" w:type="dxa"/>
            <w:vAlign w:val="bottom"/>
            <w:tcBorders>
              <w:bottom w:val="single" w:sz="8" w:color="D9DDE1"/>
            </w:tcBorders>
            <w:gridSpan w:val="3"/>
          </w:tcPr>
          <w:p>
            <w:pPr>
              <w:spacing w:after="0"/>
              <w:rPr>
                <w:sz w:val="4"/>
                <w:szCs w:val="4"/>
                <w:color w:val="auto"/>
              </w:rPr>
            </w:pPr>
          </w:p>
        </w:tc>
        <w:tc>
          <w:tcPr>
            <w:tcW w:w="900" w:type="dxa"/>
            <w:vAlign w:val="bottom"/>
            <w:tcBorders>
              <w:bottom w:val="single" w:sz="8" w:color="D9DDE1"/>
            </w:tcBorders>
          </w:tcPr>
          <w:p>
            <w:pPr>
              <w:spacing w:after="0"/>
              <w:rPr>
                <w:sz w:val="4"/>
                <w:szCs w:val="4"/>
                <w:color w:val="auto"/>
              </w:rPr>
            </w:pPr>
          </w:p>
        </w:tc>
      </w:tr>
      <w:tr>
        <w:trPr>
          <w:trHeight w:val="250"/>
        </w:trPr>
        <w:tc>
          <w:tcPr>
            <w:tcW w:w="280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Q2’22 (Base):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r>
      <w:tr>
        <w:trPr>
          <w:trHeight w:val="54"/>
        </w:trPr>
        <w:tc>
          <w:tcPr>
            <w:tcW w:w="2800" w:type="dxa"/>
            <w:vAlign w:val="bottom"/>
            <w:tcBorders>
              <w:bottom w:val="single" w:sz="8" w:color="D9DDE1"/>
            </w:tcBorders>
            <w:gridSpan w:val="3"/>
          </w:tcPr>
          <w:p>
            <w:pPr>
              <w:spacing w:after="0"/>
              <w:rPr>
                <w:sz w:val="4"/>
                <w:szCs w:val="4"/>
                <w:color w:val="auto"/>
              </w:rPr>
            </w:pPr>
          </w:p>
        </w:tc>
        <w:tc>
          <w:tcPr>
            <w:tcW w:w="900" w:type="dxa"/>
            <w:vAlign w:val="bottom"/>
            <w:tcBorders>
              <w:bottom w:val="single" w:sz="8" w:color="D9DDE1"/>
            </w:tcBorders>
          </w:tcPr>
          <w:p>
            <w:pPr>
              <w:spacing w:after="0"/>
              <w:rPr>
                <w:sz w:val="4"/>
                <w:szCs w:val="4"/>
                <w:color w:val="auto"/>
              </w:rPr>
            </w:pPr>
          </w:p>
        </w:tc>
      </w:tr>
      <w:tr>
        <w:trPr>
          <w:trHeight w:val="250"/>
        </w:trPr>
        <w:tc>
          <w:tcPr>
            <w:tcW w:w="280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Q2’22 (Supp/Special):</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$0.72</w:t>
            </w:r>
          </w:p>
        </w:tc>
      </w:tr>
      <w:tr>
        <w:trPr>
          <w:trHeight w:val="40"/>
        </w:trPr>
        <w:tc>
          <w:tcPr>
            <w:tcW w:w="2800" w:type="dxa"/>
            <w:vAlign w:val="bottom"/>
            <w:tcBorders>
              <w:bottom w:val="single" w:sz="8" w:color="D9DDE1"/>
            </w:tcBorders>
            <w:gridSpan w:val="3"/>
          </w:tcPr>
          <w:p>
            <w:pPr>
              <w:spacing w:after="0"/>
              <w:rPr>
                <w:sz w:val="3"/>
                <w:szCs w:val="3"/>
                <w:color w:val="auto"/>
              </w:rPr>
            </w:pPr>
          </w:p>
        </w:tc>
        <w:tc>
          <w:tcPr>
            <w:tcW w:w="900" w:type="dxa"/>
            <w:vAlign w:val="bottom"/>
            <w:tcBorders>
              <w:bottom w:val="single" w:sz="8" w:color="D9DDE1"/>
            </w:tcBorders>
          </w:tcPr>
          <w:p>
            <w:pPr>
              <w:spacing w:after="0"/>
              <w:rPr>
                <w:sz w:val="3"/>
                <w:szCs w:val="3"/>
                <w:color w:val="auto"/>
              </w:rPr>
            </w:pPr>
          </w:p>
        </w:tc>
      </w:tr>
      <w:tr>
        <w:trPr>
          <w:trHeight w:val="237"/>
        </w:trPr>
        <w:tc>
          <w:tcPr>
            <w:tcW w:w="280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Q2’22 (Total):</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$2.36</w:t>
            </w:r>
          </w:p>
        </w:tc>
      </w:tr>
    </w:tbl>
    <w:p>
      <w:pPr>
        <w:spacing w:after="0" w:line="200" w:lineRule="exact"/>
        <w:rPr>
          <w:sz w:val="20"/>
          <w:szCs w:val="20"/>
          <w:color w:val="auto"/>
        </w:rPr>
      </w:pPr>
    </w:p>
    <w:p>
      <w:pPr>
        <w:sectPr>
          <w:pgSz w:w="11900" w:h="16838" w:orient="portrait"/>
          <w:cols w:equalWidth="0" w:num="2">
            <w:col w:w="7200" w:space="340"/>
            <w:col w:w="37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ended June 30, 2022, new investment commitments totaled $378.9 million. This compares to $79.3 million for the quarter ended March 31, 2022.</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quarter ended June 30, 2022, the principal amount of investments funded was $324.8 million in 30</w:t>
      </w:r>
      <w:r>
        <w:rPr>
          <w:rFonts w:ascii="Arial" w:cs="Arial" w:eastAsia="Arial" w:hAnsi="Arial"/>
          <w:sz w:val="14"/>
          <w:szCs w:val="14"/>
          <w:color w:val="auto"/>
        </w:rPr>
        <w:t>1</w:t>
      </w:r>
      <w:r>
        <w:rPr>
          <w:rFonts w:ascii="Arial" w:cs="Arial" w:eastAsia="Arial" w:hAnsi="Arial"/>
          <w:sz w:val="17"/>
          <w:szCs w:val="17"/>
          <w:color w:val="auto"/>
        </w:rPr>
        <w:t xml:space="preserve"> new investments and two upsizes to existing portfolio companies. For this period, the Company had $211.7 million aggregate principal amount in exits and repayments. For the quarter ended March 31, 2022, the principal amount of new investments funded was $52.8 million in two new and eight upsizes to existing portfolio companies. For that period, the Company had $144.4 million aggregate principal amount in exits and repayments.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2022 and March 31, 2022, the Company had investments in 94</w:t>
      </w:r>
      <w:r>
        <w:rPr>
          <w:rFonts w:ascii="Arial" w:cs="Arial" w:eastAsia="Arial" w:hAnsi="Arial"/>
          <w:sz w:val="15"/>
          <w:szCs w:val="15"/>
          <w:color w:val="auto"/>
        </w:rPr>
        <w:t>2</w:t>
      </w:r>
      <w:r>
        <w:rPr>
          <w:rFonts w:ascii="Arial" w:cs="Arial" w:eastAsia="Arial" w:hAnsi="Arial"/>
          <w:sz w:val="18"/>
          <w:szCs w:val="18"/>
          <w:color w:val="auto"/>
        </w:rPr>
        <w:t xml:space="preserve"> and 69 portfolio companies, respectively, with an aggregate fair value of $2,536.4 million and $2,451.9 million, respectively. As of June 30, 2022, the average investment size in each portfolio company was $27.0</w:t>
      </w:r>
      <w:r>
        <w:rPr>
          <w:rFonts w:ascii="Arial" w:cs="Arial" w:eastAsia="Arial" w:hAnsi="Arial"/>
          <w:sz w:val="15"/>
          <w:szCs w:val="15"/>
          <w:color w:val="auto"/>
        </w:rPr>
        <w:t>2</w:t>
      </w:r>
      <w:r>
        <w:rPr>
          <w:rFonts w:ascii="Arial" w:cs="Arial" w:eastAsia="Arial" w:hAnsi="Arial"/>
          <w:sz w:val="18"/>
          <w:szCs w:val="18"/>
          <w:color w:val="auto"/>
        </w:rPr>
        <w:t xml:space="preserve"> million based on fair value.</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2022, the Company’s portfolio based on fair value consisted of 90.5% first-lien debt investments, 1.6% second-lien debt investments, 0.4% mezzanine investments, and 7.5% equity and other investments. As of March 31, 2022, the Company’s portfolio based on fair value consisted of 91.3% first-lien debt investments, 1.7% second-lien debt investments, 0.6% mezzanine investments, and 6.4% equity and other investments. As of June 30, 2022 and March 31, 2022 approximately 92.1% and 93.1% of the portfolio was invested in secured debt, respectively.</w:t>
      </w:r>
    </w:p>
    <w:p>
      <w:pPr>
        <w:spacing w:after="0" w:line="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2022, 99.2% of debt investments 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spacing w:after="0" w:line="5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of June 30, 2022 and March 31, 2022, the weighted average total yield of debt and income-producing securities at fair value (which includes interest income and amortization of fees and discounts) was 10.9% and 10.1%, respectively, and the weighted average total yield of debt and income-producing securities at amortized cost (which includes interest income and amortization of fees and discounts) was 10.9% and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22 new structured product investments.</w:t>
      </w:r>
    </w:p>
    <w:p>
      <w:pPr>
        <w:ind w:left="260" w:right="20" w:hanging="252"/>
        <w:spacing w:after="0" w:line="238" w:lineRule="auto"/>
        <w:tabs>
          <w:tab w:leader="none" w:pos="260" w:val="left"/>
        </w:tabs>
        <w:numPr>
          <w:ilvl w:val="0"/>
          <w:numId w:val="2"/>
        </w:numPr>
        <w:rPr>
          <w:rFonts w:ascii="Arial" w:cs="Arial" w:eastAsia="Arial" w:hAnsi="Arial"/>
          <w:sz w:val="13"/>
          <w:szCs w:val="13"/>
          <w:color w:val="auto"/>
        </w:rPr>
      </w:pPr>
      <w:r>
        <w:rPr>
          <w:rFonts w:ascii="Arial" w:cs="Arial" w:eastAsia="Arial" w:hAnsi="Arial"/>
          <w:sz w:val="13"/>
          <w:szCs w:val="13"/>
          <w:color w:val="auto"/>
        </w:rPr>
        <w:t>As of June 30, 2022, includes 25 structured product investments with a total fair value of $30.2 million. Excluding structured product investments results in 69 portfolio companies with an average investment size of $36 million.</w:t>
      </w: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Calculation includes income earning debt investments only.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2348865" cy="248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Commitments:</w:t>
            </w:r>
          </w:p>
        </w:tc>
        <w:tc>
          <w:tcPr>
            <w:tcW w:w="1760" w:type="dxa"/>
            <w:vAlign w:val="bottom"/>
          </w:tcPr>
          <w:p>
            <w:pPr>
              <w:ind w:left="700"/>
              <w:spacing w:after="0"/>
              <w:rPr>
                <w:sz w:val="20"/>
                <w:szCs w:val="20"/>
                <w:color w:val="auto"/>
              </w:rPr>
            </w:pPr>
            <w:r>
              <w:rPr>
                <w:rFonts w:ascii="Arial" w:cs="Arial" w:eastAsia="Arial" w:hAnsi="Arial"/>
                <w:sz w:val="18"/>
                <w:szCs w:val="18"/>
                <w:b w:val="1"/>
                <w:bCs w:val="1"/>
                <w:color w:val="auto"/>
              </w:rPr>
              <w:t>$378.9MM</w:t>
            </w:r>
          </w:p>
        </w:tc>
      </w:tr>
      <w:tr>
        <w:trPr>
          <w:trHeight w:val="27"/>
        </w:trPr>
        <w:tc>
          <w:tcPr>
            <w:tcW w:w="1940" w:type="dxa"/>
            <w:vAlign w:val="bottom"/>
            <w:tcBorders>
              <w:bottom w:val="single" w:sz="8" w:color="E7E6E6"/>
            </w:tcBorders>
          </w:tcPr>
          <w:p>
            <w:pPr>
              <w:spacing w:after="0"/>
              <w:rPr>
                <w:sz w:val="2"/>
                <w:szCs w:val="2"/>
                <w:color w:val="auto"/>
              </w:rPr>
            </w:pPr>
          </w:p>
        </w:tc>
        <w:tc>
          <w:tcPr>
            <w:tcW w:w="1760" w:type="dxa"/>
            <w:vAlign w:val="bottom"/>
            <w:tcBorders>
              <w:bottom w:val="single" w:sz="8" w:color="E7E6E6"/>
            </w:tcBorders>
          </w:tcPr>
          <w:p>
            <w:pPr>
              <w:spacing w:after="0"/>
              <w:rPr>
                <w:sz w:val="2"/>
                <w:szCs w:val="2"/>
                <w:color w:val="auto"/>
              </w:rPr>
            </w:pPr>
          </w:p>
        </w:tc>
      </w:tr>
      <w:tr>
        <w:trPr>
          <w:trHeight w:val="237"/>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Fundings:</w:t>
            </w:r>
          </w:p>
        </w:tc>
        <w:tc>
          <w:tcPr>
            <w:tcW w:w="1760" w:type="dxa"/>
            <w:vAlign w:val="bottom"/>
          </w:tcPr>
          <w:p>
            <w:pPr>
              <w:ind w:left="700"/>
              <w:spacing w:after="0"/>
              <w:rPr>
                <w:sz w:val="20"/>
                <w:szCs w:val="20"/>
                <w:color w:val="auto"/>
              </w:rPr>
            </w:pPr>
            <w:r>
              <w:rPr>
                <w:rFonts w:ascii="Arial" w:cs="Arial" w:eastAsia="Arial" w:hAnsi="Arial"/>
                <w:sz w:val="18"/>
                <w:szCs w:val="18"/>
                <w:b w:val="1"/>
                <w:bCs w:val="1"/>
                <w:color w:val="auto"/>
              </w:rPr>
              <w:t>$324.8MM</w:t>
            </w:r>
          </w:p>
        </w:tc>
      </w:tr>
      <w:tr>
        <w:trPr>
          <w:trHeight w:val="27"/>
        </w:trPr>
        <w:tc>
          <w:tcPr>
            <w:tcW w:w="1940" w:type="dxa"/>
            <w:vAlign w:val="bottom"/>
            <w:tcBorders>
              <w:bottom w:val="single" w:sz="8" w:color="E7E6E6"/>
            </w:tcBorders>
          </w:tcPr>
          <w:p>
            <w:pPr>
              <w:spacing w:after="0"/>
              <w:rPr>
                <w:sz w:val="2"/>
                <w:szCs w:val="2"/>
                <w:color w:val="auto"/>
              </w:rPr>
            </w:pPr>
          </w:p>
        </w:tc>
        <w:tc>
          <w:tcPr>
            <w:tcW w:w="1760" w:type="dxa"/>
            <w:vAlign w:val="bottom"/>
            <w:tcBorders>
              <w:bottom w:val="single" w:sz="8" w:color="E7E6E6"/>
            </w:tcBorders>
          </w:tcPr>
          <w:p>
            <w:pPr>
              <w:spacing w:after="0"/>
              <w:rPr>
                <w:sz w:val="2"/>
                <w:szCs w:val="2"/>
                <w:color w:val="auto"/>
              </w:rPr>
            </w:pPr>
          </w:p>
        </w:tc>
      </w:tr>
      <w:tr>
        <w:trPr>
          <w:trHeight w:val="237"/>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Net Fundings:</w:t>
            </w:r>
          </w:p>
        </w:tc>
        <w:tc>
          <w:tcPr>
            <w:tcW w:w="1760" w:type="dxa"/>
            <w:vAlign w:val="bottom"/>
          </w:tcPr>
          <w:p>
            <w:pPr>
              <w:ind w:left="720"/>
              <w:spacing w:after="0"/>
              <w:rPr>
                <w:sz w:val="20"/>
                <w:szCs w:val="20"/>
                <w:color w:val="auto"/>
              </w:rPr>
            </w:pPr>
            <w:r>
              <w:rPr>
                <w:rFonts w:ascii="Arial" w:cs="Arial" w:eastAsia="Arial" w:hAnsi="Arial"/>
                <w:sz w:val="18"/>
                <w:szCs w:val="18"/>
                <w:b w:val="1"/>
                <w:bCs w:val="1"/>
                <w:color w:val="auto"/>
              </w:rPr>
              <w:t>$113.1MM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634365</wp:posOffset>
            </wp:positionV>
            <wp:extent cx="234886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r>
        <w:rPr>
          <w:rFonts w:ascii="Arial" w:cs="Arial" w:eastAsia="Arial" w:hAnsi="Arial"/>
          <w:sz w:val="15"/>
          <w:szCs w:val="15"/>
          <w:b w:val="1"/>
          <w:bCs w:val="1"/>
          <w:color w:val="FFFFFF"/>
        </w:rPr>
        <w:t>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$27.0MM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(1.1%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2348865"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2348865"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Secured Debt Investments (% FV)</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386080</wp:posOffset>
            </wp:positionV>
            <wp:extent cx="234886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Floating Rate Debt Investments</w:t>
      </w:r>
      <w:r>
        <w:rPr>
          <w:rFonts w:ascii="Arial" w:cs="Arial" w:eastAsia="Arial" w:hAnsi="Arial"/>
          <w:sz w:val="15"/>
          <w:szCs w:val="15"/>
          <w:b w:val="1"/>
          <w:bCs w:val="1"/>
          <w:color w:val="FFFFFF"/>
        </w:rPr>
        <w:t>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 FV)</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234886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Incoming-Producing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ind w:left="80"/>
              <w:spacing w:after="0"/>
              <w:rPr>
                <w:sz w:val="20"/>
                <w:szCs w:val="20"/>
                <w:color w:val="auto"/>
              </w:rPr>
            </w:pPr>
            <w:r>
              <w:rPr>
                <w:rFonts w:ascii="Arial" w:cs="Arial" w:eastAsia="Arial" w:hAnsi="Arial"/>
                <w:sz w:val="18"/>
                <w:szCs w:val="18"/>
                <w:b w:val="1"/>
                <w:bCs w:val="1"/>
                <w:color w:val="auto"/>
              </w:rPr>
              <w:t>Yield at Fair Value:</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10.9%</w:t>
            </w:r>
          </w:p>
        </w:tc>
      </w:tr>
      <w:tr>
        <w:trPr>
          <w:trHeight w:val="81"/>
        </w:trPr>
        <w:tc>
          <w:tcPr>
            <w:tcW w:w="2500" w:type="dxa"/>
            <w:vAlign w:val="bottom"/>
            <w:tcBorders>
              <w:bottom w:val="single" w:sz="8" w:color="D9DDE1"/>
            </w:tcBorders>
          </w:tcPr>
          <w:p>
            <w:pPr>
              <w:spacing w:after="0"/>
              <w:rPr>
                <w:sz w:val="7"/>
                <w:szCs w:val="7"/>
                <w:color w:val="auto"/>
              </w:rPr>
            </w:pPr>
          </w:p>
        </w:tc>
        <w:tc>
          <w:tcPr>
            <w:tcW w:w="1200" w:type="dxa"/>
            <w:vAlign w:val="bottom"/>
            <w:tcBorders>
              <w:bottom w:val="single" w:sz="8" w:color="D9DDE1"/>
            </w:tcBorders>
          </w:tcPr>
          <w:p>
            <w:pPr>
              <w:spacing w:after="0"/>
              <w:rPr>
                <w:sz w:val="7"/>
                <w:szCs w:val="7"/>
                <w:color w:val="auto"/>
              </w:rPr>
            </w:pPr>
          </w:p>
        </w:tc>
      </w:tr>
      <w:tr>
        <w:trPr>
          <w:trHeight w:val="290"/>
        </w:trPr>
        <w:tc>
          <w:tcPr>
            <w:tcW w:w="2500" w:type="dxa"/>
            <w:vAlign w:val="bottom"/>
          </w:tcPr>
          <w:p>
            <w:pPr>
              <w:ind w:left="80"/>
              <w:spacing w:after="0"/>
              <w:rPr>
                <w:sz w:val="20"/>
                <w:szCs w:val="20"/>
                <w:color w:val="auto"/>
              </w:rPr>
            </w:pPr>
            <w:r>
              <w:rPr>
                <w:rFonts w:ascii="Arial" w:cs="Arial" w:eastAsia="Arial" w:hAnsi="Arial"/>
                <w:sz w:val="18"/>
                <w:szCs w:val="18"/>
                <w:b w:val="1"/>
                <w:bCs w:val="1"/>
                <w:color w:val="auto"/>
              </w:rPr>
              <w:t>Yield at Amortized Cost:</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10.9%</w:t>
            </w:r>
          </w:p>
        </w:tc>
      </w:tr>
    </w:tbl>
    <w:p>
      <w:pPr>
        <w:spacing w:after="0" w:line="705" w:lineRule="exact"/>
        <w:rPr>
          <w:sz w:val="20"/>
          <w:szCs w:val="20"/>
          <w:color w:val="auto"/>
        </w:rPr>
      </w:pPr>
    </w:p>
    <w:p>
      <w:pPr>
        <w:sectPr>
          <w:pgSz w:w="11900" w:h="16838" w:orient="portrait"/>
          <w:cols w:equalWidth="0" w:num="2">
            <w:col w:w="7200" w:space="320"/>
            <w:col w:w="3720"/>
          </w:cols>
          <w:pgMar w:left="320" w:top="14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THREE MONTHS ENDED JUNE 30, 2022</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Income</w:t>
      </w:r>
    </w:p>
    <w:p>
      <w:pPr>
        <w:spacing w:after="0" w:line="3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June 30, 2022 and 2021, total investment income was $63.9 million and $62.8 million, respectively. The increase was primarily the result of a slight increase in prepayment fees and accelerated amortization of upfront fees related to paydowns.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Expenses</w:t>
      </w:r>
    </w:p>
    <w:p>
      <w:pPr>
        <w:spacing w:after="0" w:line="3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expenses totaled $22.3 million and $35.3 million for the three months ended June 30, 2022 and 2021, respectively. The decrease was predominately driven by the partial reversal or unwind of previously accrued capital gains incentive fees. The partial reversal was the result of unrealized losses during the quarter primarily from the impact of credit spread widening on the valuation of the Company’s portfolio.</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3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June 30, 2022, the Company had $27.2 million in cash and cash equivalents (including $21.4 million of restricted cash), total principal value of debt outstanding of $1,319.2 million, and $1,163.3 million of undrawn capacity on its revolving credit facility, subject to borrowing base and other limitations. The Company’s weighted average interest rate on debt outstanding was 3.1% and 2.3% for the three-month periods ended June 30, 2022 and March 31, 2022, respectively. This increase was driven by the upward movement in reference rates which increases the Company’s weighted average interest rate on average debt outstanding. At June 30, 2022, the Company’s debt to equity ratio was 1.06x, compared to 0.91x at March 31, 2022. Average debt to equity was 0.90x for the three-month period ended June 30, 2022, compared to 0.95x for the three-month period ended March 31, 2022. The decrease in the Company’s average debt-to-equity ratio was driven by a majority of the quarter’s repayment activity occurring at the beginning of the quarter.</w:t>
      </w:r>
    </w:p>
    <w:p>
      <w:pPr>
        <w:spacing w:after="0" w:line="154" w:lineRule="exact"/>
        <w:rPr>
          <w:sz w:val="20"/>
          <w:szCs w:val="20"/>
          <w:color w:val="auto"/>
        </w:rPr>
      </w:pPr>
    </w:p>
    <w:p>
      <w:pPr>
        <w:jc w:val="both"/>
        <w:ind w:left="260" w:right="20" w:hanging="252"/>
        <w:spacing w:after="0" w:line="238"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$63.9MM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874395</wp:posOffset>
            </wp:positionV>
            <wp:extent cx="234886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Net Expenses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$22.3MM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677545</wp:posOffset>
            </wp:positionV>
            <wp:extent cx="2348865"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$1,319.2MM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2348865" cy="248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Debt-to-Equity Ratio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2022 Quarter End:</w:t>
            </w:r>
          </w:p>
        </w:tc>
        <w:tc>
          <w:tcPr>
            <w:tcW w:w="1280" w:type="dxa"/>
            <w:vAlign w:val="bottom"/>
          </w:tcPr>
          <w:p>
            <w:pPr>
              <w:ind w:left="620"/>
              <w:spacing w:after="0"/>
              <w:rPr>
                <w:sz w:val="20"/>
                <w:szCs w:val="20"/>
                <w:color w:val="auto"/>
              </w:rPr>
            </w:pPr>
            <w:r>
              <w:rPr>
                <w:rFonts w:ascii="Arial" w:cs="Arial" w:eastAsia="Arial" w:hAnsi="Arial"/>
                <w:sz w:val="18"/>
                <w:szCs w:val="18"/>
                <w:b w:val="1"/>
                <w:bCs w:val="1"/>
                <w:color w:val="auto"/>
              </w:rPr>
              <w:t>1.06x</w:t>
            </w:r>
          </w:p>
        </w:tc>
      </w:tr>
      <w:tr>
        <w:trPr>
          <w:trHeight w:val="40"/>
        </w:trPr>
        <w:tc>
          <w:tcPr>
            <w:tcW w:w="320" w:type="dxa"/>
            <w:vAlign w:val="bottom"/>
            <w:tcBorders>
              <w:bottom w:val="single" w:sz="8" w:color="D9DDE1"/>
            </w:tcBorders>
          </w:tcPr>
          <w:p>
            <w:pPr>
              <w:spacing w:after="0"/>
              <w:rPr>
                <w:sz w:val="3"/>
                <w:szCs w:val="3"/>
                <w:color w:val="auto"/>
              </w:rPr>
            </w:pPr>
          </w:p>
        </w:tc>
        <w:tc>
          <w:tcPr>
            <w:tcW w:w="2100" w:type="dxa"/>
            <w:vAlign w:val="bottom"/>
            <w:tcBorders>
              <w:bottom w:val="single" w:sz="8" w:color="D9DDE1"/>
            </w:tcBorders>
          </w:tcPr>
          <w:p>
            <w:pPr>
              <w:spacing w:after="0"/>
              <w:rPr>
                <w:sz w:val="3"/>
                <w:szCs w:val="3"/>
                <w:color w:val="auto"/>
              </w:rPr>
            </w:pPr>
          </w:p>
        </w:tc>
        <w:tc>
          <w:tcPr>
            <w:tcW w:w="1280" w:type="dxa"/>
            <w:vAlign w:val="bottom"/>
            <w:tcBorders>
              <w:bottom w:val="single" w:sz="8" w:color="D9DDE1"/>
            </w:tcBorders>
          </w:tcPr>
          <w:p>
            <w:pPr>
              <w:spacing w:after="0"/>
              <w:rPr>
                <w:sz w:val="3"/>
                <w:szCs w:val="3"/>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2022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280" w:type="dxa"/>
            <w:vAlign w:val="bottom"/>
          </w:tcPr>
          <w:p>
            <w:pPr>
              <w:ind w:left="620"/>
              <w:spacing w:after="0"/>
              <w:rPr>
                <w:sz w:val="20"/>
                <w:szCs w:val="20"/>
                <w:color w:val="auto"/>
              </w:rPr>
            </w:pPr>
            <w:r>
              <w:rPr>
                <w:rFonts w:ascii="Arial" w:cs="Arial" w:eastAsia="Arial" w:hAnsi="Arial"/>
                <w:sz w:val="18"/>
                <w:szCs w:val="18"/>
                <w:b w:val="1"/>
                <w:bCs w:val="1"/>
                <w:color w:val="auto"/>
              </w:rPr>
              <w:t>0.90x</w:t>
            </w:r>
          </w:p>
        </w:tc>
      </w:tr>
    </w:tbl>
    <w:p>
      <w:pPr>
        <w:spacing w:after="0" w:line="1092" w:lineRule="exact"/>
        <w:rPr>
          <w:sz w:val="20"/>
          <w:szCs w:val="20"/>
          <w:color w:val="auto"/>
        </w:rPr>
      </w:pPr>
    </w:p>
    <w:p>
      <w:pPr>
        <w:sectPr>
          <w:pgSz w:w="11900" w:h="16838" w:orient="portrait"/>
          <w:cols w:equalWidth="0" w:num="2">
            <w:col w:w="7200" w:space="340"/>
            <w:col w:w="3700"/>
          </w:cols>
          <w:pgMar w:left="320" w:top="14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liquidity at June 30, 2022 and changes to unfunded commitments since March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shd w:val="clear" w:color="auto" w:fill="0F2F50"/>
          </w:tcPr>
          <w:p>
            <w:pPr>
              <w:ind w:left="1820"/>
              <w:spacing w:after="0"/>
              <w:rPr>
                <w:sz w:val="20"/>
                <w:szCs w:val="20"/>
                <w:color w:val="auto"/>
              </w:rPr>
            </w:pPr>
            <w:r>
              <w:rPr>
                <w:rFonts w:ascii="Arial" w:cs="Arial" w:eastAsia="Arial" w:hAnsi="Arial"/>
                <w:sz w:val="18"/>
                <w:szCs w:val="18"/>
                <w:b w:val="1"/>
                <w:bCs w:val="1"/>
                <w:color w:val="FFFFFF"/>
              </w:rPr>
              <w:t>Revolving Credit Facility</w:t>
            </w:r>
          </w:p>
        </w:tc>
        <w:tc>
          <w:tcPr>
            <w:tcW w:w="1120" w:type="dxa"/>
            <w:vAlign w:val="bottom"/>
            <w:shd w:val="clear" w:color="auto" w:fill="0F2F50"/>
          </w:tcPr>
          <w:p>
            <w:pPr>
              <w:spacing w:after="0"/>
              <w:rPr>
                <w:sz w:val="23"/>
                <w:szCs w:val="23"/>
                <w:color w:val="auto"/>
              </w:rPr>
            </w:pPr>
          </w:p>
        </w:tc>
        <w:tc>
          <w:tcPr>
            <w:tcW w:w="220" w:type="dxa"/>
            <w:vAlign w:val="bottom"/>
          </w:tcPr>
          <w:p>
            <w:pPr>
              <w:spacing w:after="0"/>
              <w:rPr>
                <w:sz w:val="23"/>
                <w:szCs w:val="23"/>
                <w:color w:val="auto"/>
              </w:rPr>
            </w:pPr>
          </w:p>
        </w:tc>
        <w:tc>
          <w:tcPr>
            <w:tcW w:w="4560" w:type="dxa"/>
            <w:vAlign w:val="bottom"/>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00" w:type="dxa"/>
            <w:vAlign w:val="bottom"/>
            <w:shd w:val="clear" w:color="auto" w:fill="0F2F50"/>
          </w:tcPr>
          <w:p>
            <w:pPr>
              <w:spacing w:after="0"/>
              <w:rPr>
                <w:sz w:val="23"/>
                <w:szCs w:val="23"/>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$1,585</w:t>
            </w: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3/31/22 10-Q)</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$314</w:t>
            </w:r>
          </w:p>
        </w:tc>
      </w:tr>
    </w:tbl>
    <w:p>
      <w:pPr>
        <w:spacing w:after="0" w:line="1" w:lineRule="exact"/>
        <w:rPr>
          <w:sz w:val="20"/>
          <w:szCs w:val="20"/>
          <w:color w:val="auto"/>
        </w:rPr>
      </w:pPr>
    </w:p>
    <w:p>
      <w:pPr>
        <w:sectPr>
          <w:pgSz w:w="11900" w:h="16838" w:orient="portrait"/>
          <w:cols w:equalWidth="0" w:num="1">
            <w:col w:w="11240"/>
          </w:cols>
          <w:pgMar w:left="320" w:top="143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0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6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($422)</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$1,169</w:t>
            </w:r>
          </w:p>
        </w:tc>
      </w:tr>
      <w:tr>
        <w:trPr>
          <w:trHeight w:val="196"/>
        </w:trPr>
        <w:tc>
          <w:tcPr>
            <w:tcW w:w="4500" w:type="dxa"/>
            <w:vAlign w:val="bottom"/>
            <w:tcBorders>
              <w:bottom w:val="single" w:sz="8" w:color="ECEEF0"/>
            </w:tcBorders>
          </w:tcPr>
          <w:p>
            <w:pPr>
              <w:ind w:left="20"/>
              <w:spacing w:after="0" w:line="195" w:lineRule="exact"/>
              <w:rPr>
                <w:sz w:val="20"/>
                <w:szCs w:val="20"/>
                <w:color w:val="auto"/>
              </w:rPr>
            </w:pPr>
            <w:r>
              <w:rPr>
                <w:rFonts w:ascii="Arial" w:cs="Arial" w:eastAsia="Arial" w:hAnsi="Arial"/>
                <w:sz w:val="14"/>
                <w:szCs w:val="14"/>
                <w:color w:val="auto"/>
              </w:rPr>
              <w:t>Available Unfunded Commitments</w:t>
            </w:r>
            <w:r>
              <w:rPr>
                <w:rFonts w:ascii="Arial" w:cs="Arial" w:eastAsia="Arial" w:hAnsi="Arial"/>
                <w:sz w:val="22"/>
                <w:szCs w:val="22"/>
                <w:color w:val="auto"/>
                <w:vertAlign w:val="superscript"/>
              </w:rPr>
              <w:t>1</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($155)</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$1,014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1560" w:type="dxa"/>
            <w:vAlign w:val="bottom"/>
            <w:tcBorders>
              <w:top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($25)</w:t>
            </w:r>
          </w:p>
        </w:tc>
      </w:tr>
      <w:tr>
        <w:trPr>
          <w:trHeight w:val="196"/>
        </w:trPr>
        <w:tc>
          <w:tcPr>
            <w:tcW w:w="3920" w:type="dxa"/>
            <w:vAlign w:val="bottom"/>
            <w:tcBorders>
              <w:top w:val="single" w:sz="8" w:color="ECEEF0"/>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15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$321</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1</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7"/>
                <w:szCs w:val="17"/>
                <w:color w:val="auto"/>
              </w:rPr>
            </w:pPr>
          </w:p>
        </w:tc>
      </w:tr>
      <w:tr>
        <w:trPr>
          <w:trHeight w:val="205"/>
        </w:trPr>
        <w:tc>
          <w:tcPr>
            <w:tcW w:w="3920" w:type="dxa"/>
            <w:vAlign w:val="bottom"/>
          </w:tcPr>
          <w:p>
            <w:pPr>
              <w:spacing w:after="0" w:line="205" w:lineRule="exact"/>
              <w:rPr>
                <w:sz w:val="20"/>
                <w:szCs w:val="20"/>
                <w:color w:val="auto"/>
              </w:rPr>
            </w:pPr>
            <w:r>
              <w:rPr>
                <w:rFonts w:ascii="Arial" w:cs="Arial" w:eastAsia="Arial" w:hAnsi="Arial"/>
                <w:sz w:val="14"/>
                <w:szCs w:val="14"/>
                <w:b w:val="1"/>
                <w:bCs w:val="1"/>
                <w:color w:val="auto"/>
              </w:rPr>
              <w:t>Available Unfunded Commitments</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3463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20"/>
            <w:col w:w="5460"/>
          </w:cols>
          <w:pgMar w:left="320" w:top="1435" w:right="339" w:bottom="1440" w:gutter="0" w:footer="0" w:header="0"/>
          <w:type w:val="continuous"/>
        </w:sectPr>
      </w:pPr>
    </w:p>
    <w:p>
      <w:pPr>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Note: May not sum due to rounding.</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 forma for the settlement of the Company’s 2022 convertible notes, the Company’s funding mix at June 30, 2022 was comprised of 64% unsecured and 36% secured debt. As illustrated below, the Company’s nearest debt maturity is in January 2023 at $150 million, and the weighted average remaining life of investments funded with debt was ~2.3 years, compared to a weighted average remaining maturity on debt of ~4.0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62865</wp:posOffset>
            </wp:positionV>
            <wp:extent cx="5777865" cy="3103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786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*Pro forma for the settlement of $100 million in principal value of convertible notes that matured on 8/1/2022 ($79M settled via combination settlement of issuance of stock and cash, $21M settled in all cash).</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**Includes $25 million of non-extending commitments with a maturity of January 31, 2025 and a revolving period ending January 31, 2024 and $50 million of non-extending commitments with a maturity of February 4, 2026 and a revolving period ending February 4, 2025.</w:t>
      </w:r>
    </w:p>
    <w:p>
      <w:pPr>
        <w:spacing w:after="0" w:line="124" w:lineRule="exact"/>
        <w:rPr>
          <w:sz w:val="20"/>
          <w:szCs w:val="20"/>
          <w:color w:val="auto"/>
        </w:rPr>
      </w:pPr>
    </w:p>
    <w:p>
      <w:pPr>
        <w:ind w:left="400" w:hanging="392"/>
        <w:spacing w:after="0" w:line="243" w:lineRule="auto"/>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Net of Deferred Financing Costs and Interest Rate Fair Value Hedging. Deferred Financing Costs total $22.3M at 6/30/21, $20.8M at 9/30/21, $19.1M at 12/31/21, $17.8M at 3/31/22 and $20.6M at 6/30/22. Fair value hedge on interest rate swaps related to the 2024 and 2026 notes total $4.5M at 6/30/21, $2.5M at 9/30/21, ($5.9M) at 12/31/21, ($33.0M) at 3/31/22 and ($41.1M) at 6/30/22.</w:t>
      </w:r>
    </w:p>
    <w:p>
      <w:pPr>
        <w:jc w:val="both"/>
        <w:ind w:left="400" w:hanging="392"/>
        <w:spacing w:after="0" w:line="269"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amortized cost of debt investments. Investments are financed by debt and equity capital. This analysis assumes longer-dated investments are currently funded by equity capital (53% of investments) and the remaining (shorter-dated) investments (47% of investments) are currently funded by debt financing. Investments for purposes of this analysis exclude unfunded commitments, and equity capital is defined as 6/30/22 net assets pro forma for the approximately $78 million equity issuance for settlement of the 2022 Convertible Notes.</w:t>
      </w:r>
    </w:p>
    <w:p>
      <w:pPr>
        <w:ind w:left="400" w:hanging="392"/>
        <w:spacing w:after="0" w:line="235"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conference call to discuss the Company’s financial results will be held at 8:30 a.m. Eastern Time on August 3, 2022.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analysts who wish to participate in the conference call must first register at https://register.vevent.com/register/BI30d59efb13b546789e77416992b9ba69. Upon registration, all telephone participants will receive a confirmation email detailing how to join the conference call, including the dial-in number along with a unique passcode and registrant ID that can be used to access the call.</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recorded version will be available under the same webcast link (</w:t>
      </w:r>
      <w:r>
        <w:rPr>
          <w:rFonts w:ascii="Arial" w:cs="Arial" w:eastAsia="Arial" w:hAnsi="Arial"/>
          <w:sz w:val="18"/>
          <w:szCs w:val="18"/>
          <w:u w:val="single" w:color="auto"/>
          <w:color w:val="auto"/>
        </w:rPr>
        <w:t>https://sixthstreetspecialtylending.gcs-web.com/events-and-presentations</w:t>
      </w:r>
      <w:r>
        <w:rPr>
          <w:rFonts w:ascii="Arial" w:cs="Arial" w:eastAsia="Arial" w:hAnsi="Arial"/>
          <w:sz w:val="18"/>
          <w:szCs w:val="18"/>
          <w:color w:val="auto"/>
        </w:rPr>
        <w:t>) following the conclusion of the conference call.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8"/>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June 30, 2022</w:t>
            </w:r>
          </w:p>
        </w:tc>
        <w:tc>
          <w:tcPr>
            <w:tcW w:w="14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March 31, 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June 30, 2021</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2,536.4</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2,451.9</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2,580.4</w:t>
            </w:r>
          </w:p>
        </w:tc>
        <w:tc>
          <w:tcPr>
            <w:tcW w:w="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2,491.2</w:t>
            </w:r>
          </w:p>
        </w:tc>
        <w:tc>
          <w:tcPr>
            <w:tcW w:w="2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2,608.4</w:t>
            </w: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Share</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8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(1)</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FF0FC"/>
          </w:tcPr>
          <w:p>
            <w:pPr>
              <w:spacing w:after="0"/>
              <w:rPr>
                <w:sz w:val="19"/>
                <w:szCs w:val="19"/>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Investment Income </w:t>
            </w:r>
            <w:r>
              <w:rPr>
                <w:rFonts w:ascii="Arial" w:cs="Arial" w:eastAsia="Arial" w:hAnsi="Arial"/>
                <w:sz w:val="15"/>
                <w:szCs w:val="15"/>
                <w:color w:val="auto"/>
              </w:rPr>
              <w:t>(2)</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21"/>
                <w:szCs w:val="21"/>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Income (Loss) </w:t>
            </w:r>
            <w:r>
              <w:rPr>
                <w:rFonts w:ascii="Arial" w:cs="Arial" w:eastAsia="Arial" w:hAnsi="Arial"/>
                <w:sz w:val="15"/>
                <w:szCs w:val="15"/>
                <w:color w:val="auto"/>
              </w:rPr>
              <w:t>(2)</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80" w:type="dxa"/>
            <w:vAlign w:val="bottom"/>
            <w:shd w:val="clear" w:color="auto" w:fill="CFF0FC"/>
          </w:tcPr>
          <w:p>
            <w:pPr>
              <w:spacing w:after="0"/>
              <w:rPr>
                <w:sz w:val="20"/>
                <w:szCs w:val="20"/>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Accrued Capital Gains Incentive Fee Expense</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20"/>
                <w:szCs w:val="20"/>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21"/>
                <w:szCs w:val="21"/>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Investment Income Per Share </w:t>
            </w:r>
            <w:r>
              <w:rPr>
                <w:rFonts w:ascii="Arial" w:cs="Arial" w:eastAsia="Arial" w:hAnsi="Arial"/>
                <w:sz w:val="15"/>
                <w:szCs w:val="15"/>
                <w:color w:val="auto"/>
              </w:rPr>
              <w:t>(2)</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0.42</w:t>
            </w:r>
          </w:p>
        </w:tc>
        <w:tc>
          <w:tcPr>
            <w:tcW w:w="32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Pr>
          <w:p>
            <w:pPr>
              <w:spacing w:after="0"/>
              <w:rPr>
                <w:sz w:val="21"/>
                <w:szCs w:val="21"/>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Income (Loss) Per Share </w:t>
            </w:r>
            <w:r>
              <w:rPr>
                <w:rFonts w:ascii="Arial" w:cs="Arial" w:eastAsia="Arial" w:hAnsi="Arial"/>
                <w:sz w:val="15"/>
                <w:szCs w:val="15"/>
                <w:color w:val="auto"/>
              </w:rPr>
              <w:t>(2)</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FF0FC"/>
          </w:tcPr>
          <w:p>
            <w:pPr>
              <w:spacing w:after="0"/>
              <w:rPr>
                <w:sz w:val="20"/>
                <w:szCs w:val="20"/>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Accrued Capital Gains Incentive Fee Expense Per Share</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1"/>
                <w:szCs w:val="21"/>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FF0FC"/>
          </w:tcPr>
          <w:p>
            <w:pPr>
              <w:spacing w:after="0"/>
              <w:rPr>
                <w:sz w:val="20"/>
                <w:szCs w:val="20"/>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0.80</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15"/>
                <w:szCs w:val="15"/>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(Adjusted Net Income (Loss)) </w:t>
            </w:r>
            <w:r>
              <w:rPr>
                <w:rFonts w:ascii="Arial" w:cs="Arial" w:eastAsia="Arial" w:hAnsi="Arial"/>
                <w:sz w:val="15"/>
                <w:szCs w:val="15"/>
                <w:color w:val="auto"/>
              </w:rPr>
              <w:t>(2)(3)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(Net Investment Income) </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(Net Income (Loss)) </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w:t>
            </w: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w w:val="98"/>
              </w:rPr>
              <w:t>Weighted Average Yield of Debt and Income Producing Securities at Fair Value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w w:val="92"/>
              </w:rPr>
              <w:t>Weighted Average Yield of Debt and Income Producing Securities at Amortized Cost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99.2%</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98.9%</w:t>
            </w:r>
          </w:p>
        </w:tc>
      </w:tr>
    </w:tbl>
    <w:p>
      <w:pPr>
        <w:spacing w:after="0" w:line="211" w:lineRule="exact"/>
        <w:rPr>
          <w:sz w:val="20"/>
          <w:szCs w:val="20"/>
          <w:color w:val="auto"/>
        </w:rPr>
      </w:pPr>
    </w:p>
    <w:p>
      <w:pPr>
        <w:ind w:left="800" w:hanging="401"/>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or special dividend in the applicable period.</w:t>
      </w:r>
    </w:p>
    <w:p>
      <w:pPr>
        <w:spacing w:after="0" w:line="82" w:lineRule="exact"/>
        <w:rPr>
          <w:rFonts w:ascii="Arial" w:cs="Arial" w:eastAsia="Arial" w:hAnsi="Arial"/>
          <w:sz w:val="14"/>
          <w:szCs w:val="14"/>
          <w:color w:val="auto"/>
        </w:rPr>
      </w:pPr>
    </w:p>
    <w:p>
      <w:pPr>
        <w:ind w:left="800" w:hanging="401"/>
        <w:spacing w:after="0" w:line="230"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800" w:hanging="401"/>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70" w:lineRule="exact"/>
        <w:rPr>
          <w:rFonts w:ascii="Arial" w:cs="Arial" w:eastAsia="Arial" w:hAnsi="Arial"/>
          <w:sz w:val="14"/>
          <w:szCs w:val="14"/>
          <w:color w:val="auto"/>
        </w:rPr>
      </w:pPr>
    </w:p>
    <w:p>
      <w:pPr>
        <w:ind w:left="800" w:right="20" w:hanging="401"/>
        <w:spacing w:after="0" w:line="253"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$2,446,041 and $2,354,984,</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2,463,506</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2,434,797</w:t>
            </w:r>
          </w:p>
        </w:tc>
        <w:tc>
          <w:tcPr>
            <w:tcW w:w="100" w:type="dxa"/>
            <w:vAlign w:val="bottom"/>
            <w:shd w:val="clear" w:color="auto" w:fill="CFF0FC"/>
          </w:tcPr>
          <w:p>
            <w:pPr>
              <w:spacing w:after="0"/>
              <w:rPr>
                <w:sz w:val="20"/>
                <w:szCs w:val="20"/>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$0 and $12,666, respectively)</w:t>
            </w:r>
          </w:p>
        </w:tc>
        <w:tc>
          <w:tcPr>
            <w:tcW w:w="3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27,017</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$65,292 and $64,362, respectively)</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72,884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59,779</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$2,511,333 and $2,432,012, respectively)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2,536,390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2,521,593</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$21,447 and $14,399, respectively)</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w:t>
            </w: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2,580,365</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100" w:type="dxa"/>
            <w:vAlign w:val="bottom"/>
            <w:tcBorders>
              <w:bottom w:val="single" w:sz="8" w:color="CFF0FC"/>
            </w:tcBorders>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$20,561 and $19,147, respectively)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1,254,969</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1,185,964</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payable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30,926</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1,338,406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1,276,009</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36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76,635,559</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76,067,586 shares issued, respectively; and 76,339,515 and 75,771,542</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 respectively</w:t>
            </w:r>
          </w:p>
        </w:tc>
        <w:tc>
          <w:tcPr>
            <w:tcW w:w="3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FF0FC"/>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1,201,531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1,189,275</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296,044 and 296,044 shares held, respectively</w:t>
            </w:r>
          </w:p>
        </w:tc>
        <w:tc>
          <w:tcPr>
            <w:tcW w:w="3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r>
      <w:tr>
        <w:trPr>
          <w:trHeight w:val="229"/>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90,103</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1,241,959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1,275,848</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2,580,365</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100" w:type="dxa"/>
            <w:vAlign w:val="bottom"/>
            <w:tcBorders>
              <w:bottom w:val="single" w:sz="8" w:color="CFF0FC"/>
            </w:tcBorders>
          </w:tcPr>
          <w:p>
            <w:pPr>
              <w:spacing w:after="0"/>
              <w:rPr>
                <w:sz w:val="22"/>
                <w:szCs w:val="22"/>
                <w:color w:val="auto"/>
              </w:rPr>
            </w:pPr>
          </w:p>
        </w:tc>
      </w:tr>
      <w:tr>
        <w:trPr>
          <w:trHeight w:val="210"/>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0" w:name="page11"/>
    <w:bookmarkEnd w:id="10"/>
    <w:p>
      <w:pPr>
        <w:ind w:left="4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4"/>
                <w:szCs w:val="14"/>
                <w:color w:val="auto"/>
              </w:rPr>
            </w:pPr>
          </w:p>
        </w:tc>
        <w:tc>
          <w:tcPr>
            <w:tcW w:w="2780" w:type="dxa"/>
            <w:vAlign w:val="bottom"/>
            <w:gridSpan w:val="7"/>
          </w:tcPr>
          <w:p>
            <w:pPr>
              <w:jc w:val="right"/>
              <w:ind w:right="10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June 30, 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9"/>
              </w:rPr>
              <w:t>June 30, 2021</w:t>
            </w:r>
          </w:p>
        </w:tc>
        <w:tc>
          <w:tcPr>
            <w:tcW w:w="16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9"/>
              </w:rPr>
              <w:t>June 30, 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w w:val="99"/>
              </w:rPr>
              <w:t>June 30, 2021</w:t>
            </w:r>
          </w:p>
        </w:tc>
        <w:tc>
          <w:tcPr>
            <w:tcW w:w="0" w:type="dxa"/>
            <w:vAlign w:val="bottom"/>
          </w:tcPr>
          <w:p>
            <w:pPr>
              <w:spacing w:after="0"/>
              <w:rPr>
                <w:sz w:val="1"/>
                <w:szCs w:val="1"/>
                <w:color w:val="auto"/>
              </w:rPr>
            </w:pPr>
          </w:p>
        </w:tc>
      </w:tr>
      <w:tr>
        <w:trPr>
          <w:trHeight w:val="156"/>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Income</w:t>
            </w:r>
          </w:p>
        </w:tc>
        <w:tc>
          <w:tcPr>
            <w:tcW w:w="4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Investment income from non-controlled, non-affiliated investments: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from investments</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56,747</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57,653</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117,907</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117,258</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60"/>
              <w:spacing w:after="0"/>
              <w:rPr>
                <w:sz w:val="20"/>
                <w:szCs w:val="20"/>
                <w:color w:val="auto"/>
              </w:rPr>
            </w:pPr>
            <w:r>
              <w:rPr>
                <w:rFonts w:ascii="Arial" w:cs="Arial" w:eastAsia="Arial" w:hAnsi="Arial"/>
                <w:sz w:val="13"/>
                <w:szCs w:val="13"/>
                <w:color w:val="auto"/>
              </w:rPr>
              <w:t>Paid-in-kind interest income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2,067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6,371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4,226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Dividend income</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1,277</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 income</w:t>
            </w:r>
          </w:p>
        </w:tc>
        <w:tc>
          <w:tcPr>
            <w:tcW w:w="4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1,136</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3,414</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investment income from non-controlled, non-affiliated investments</w:t>
            </w: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62,757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61,626</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128,986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126,175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Investment income from non-controlled, affiliated investments: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from investments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Dividend income</w:t>
            </w:r>
          </w:p>
        </w:tc>
        <w:tc>
          <w:tcPr>
            <w:tcW w:w="4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investment income from non-controlled, affiliated investments</w:t>
            </w: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Investment income from controlled, affiliated investments: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from investments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1,925</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 income</w:t>
            </w:r>
          </w:p>
        </w:tc>
        <w:tc>
          <w:tcPr>
            <w:tcW w:w="4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investment income from controlled, affiliated investments</w:t>
            </w:r>
          </w:p>
        </w:tc>
        <w:tc>
          <w:tcPr>
            <w:tcW w:w="4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1,131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993</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2,197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1,929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tcBorders>
              <w:bottom w:val="single" w:sz="8" w:color="CFF0FC"/>
            </w:tcBorders>
          </w:tcPr>
          <w:p>
            <w:pPr>
              <w:ind w:left="740"/>
              <w:spacing w:after="0"/>
              <w:rPr>
                <w:sz w:val="20"/>
                <w:szCs w:val="20"/>
                <w:color w:val="auto"/>
              </w:rPr>
            </w:pPr>
            <w:r>
              <w:rPr>
                <w:rFonts w:ascii="Arial" w:cs="Arial" w:eastAsia="Arial" w:hAnsi="Arial"/>
                <w:sz w:val="13"/>
                <w:szCs w:val="13"/>
                <w:b w:val="1"/>
                <w:bCs w:val="1"/>
                <w:color w:val="auto"/>
              </w:rPr>
              <w:t>Total Investment Income</w:t>
            </w:r>
          </w:p>
        </w:tc>
        <w:tc>
          <w:tcPr>
            <w:tcW w:w="4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63,888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62,828</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131,316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129,069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Expenses</w:t>
            </w: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Interest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11,963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10,190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21,565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19,143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3"/>
                <w:szCs w:val="13"/>
                <w:color w:val="auto"/>
              </w:rPr>
              <w:t>Management fees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9,488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9,417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18,818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18,156</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Incentive fees on net investment income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6,724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6,996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14,601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14,807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3"/>
                <w:szCs w:val="13"/>
                <w:color w:val="auto"/>
              </w:rPr>
              <w:t>Incentive fees on net capital gains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(9,122)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5,589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(7,699)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10,104</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Professional fees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1,785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3,180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3"/>
                <w:szCs w:val="13"/>
                <w:color w:val="auto"/>
              </w:rPr>
              <w:t>Directors’ fees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general and administrative</w:t>
            </w:r>
          </w:p>
        </w:tc>
        <w:tc>
          <w:tcPr>
            <w:tcW w:w="4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1,254</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expenses</w:t>
            </w:r>
          </w:p>
        </w:tc>
        <w:tc>
          <w:tcPr>
            <w:tcW w:w="4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22,328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35,405</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53,694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68,877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20"/>
                <w:szCs w:val="20"/>
                <w:color w:val="auto"/>
              </w:rPr>
            </w:pPr>
            <w:r>
              <w:rPr>
                <w:rFonts w:ascii="Arial" w:cs="Arial" w:eastAsia="Arial" w:hAnsi="Arial"/>
                <w:sz w:val="13"/>
                <w:szCs w:val="13"/>
                <w:color w:val="auto"/>
              </w:rPr>
              <w:t>Management fees waived (Note 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(130)</w:t>
            </w:r>
          </w:p>
        </w:tc>
        <w:tc>
          <w:tcPr>
            <w:tcW w:w="16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3"/>
                <w:szCs w:val="13"/>
                <w:b w:val="1"/>
                <w:bCs w:val="1"/>
                <w:color w:val="auto"/>
              </w:rPr>
              <w:t>Net Expenses</w:t>
            </w:r>
          </w:p>
        </w:tc>
        <w:tc>
          <w:tcPr>
            <w:tcW w:w="4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22,316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35,275</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53,682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68,747</w:t>
            </w: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20"/>
                <w:szCs w:val="20"/>
                <w:color w:val="auto"/>
              </w:rPr>
            </w:pPr>
            <w:r>
              <w:rPr>
                <w:rFonts w:ascii="Arial" w:cs="Arial" w:eastAsia="Arial" w:hAnsi="Arial"/>
                <w:sz w:val="13"/>
                <w:szCs w:val="13"/>
                <w:b w:val="1"/>
                <w:bCs w:val="1"/>
                <w:color w:val="auto"/>
              </w:rPr>
              <w:t>Net Investment Income Before Income Taxes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41,572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27,553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77,634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60,322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3"/>
                <w:szCs w:val="13"/>
                <w:color w:val="auto"/>
              </w:rPr>
              <w:t>Income taxes, including excise taxes</w:t>
            </w:r>
          </w:p>
        </w:tc>
        <w:tc>
          <w:tcPr>
            <w:tcW w:w="4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165</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625</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20"/>
                <w:szCs w:val="20"/>
                <w:color w:val="auto"/>
              </w:rPr>
            </w:pPr>
            <w:r>
              <w:rPr>
                <w:rFonts w:ascii="Arial" w:cs="Arial" w:eastAsia="Arial" w:hAnsi="Arial"/>
                <w:sz w:val="13"/>
                <w:szCs w:val="13"/>
                <w:b w:val="1"/>
                <w:bCs w:val="1"/>
                <w:color w:val="auto"/>
              </w:rPr>
              <w:t>Net Investment Income</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40,822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27,388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76,534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59,697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Unrealized and Realized Gains (Losses)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3"/>
                <w:szCs w:val="13"/>
                <w:color w:val="auto"/>
              </w:rPr>
              <w:t>Net change in unrealized gains (losses):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Non-controlled, non-affiliated investments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(56,727)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26,075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(62,348)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35,438</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60"/>
              <w:spacing w:after="0"/>
              <w:rPr>
                <w:sz w:val="20"/>
                <w:szCs w:val="20"/>
                <w:color w:val="auto"/>
              </w:rPr>
            </w:pPr>
            <w:r>
              <w:rPr>
                <w:rFonts w:ascii="Arial" w:cs="Arial" w:eastAsia="Arial" w:hAnsi="Arial"/>
                <w:sz w:val="13"/>
                <w:szCs w:val="13"/>
                <w:color w:val="auto"/>
              </w:rPr>
              <w:t>Non-controlled, affiliated investments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4,008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(14,350)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6,090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Controlled, affiliated investments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(4,045)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(132)</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12,174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60"/>
              <w:spacing w:after="0"/>
              <w:rPr>
                <w:sz w:val="20"/>
                <w:szCs w:val="20"/>
                <w:color w:val="auto"/>
              </w:rPr>
            </w:pPr>
            <w:r>
              <w:rPr>
                <w:rFonts w:ascii="Arial" w:cs="Arial" w:eastAsia="Arial" w:hAnsi="Arial"/>
                <w:sz w:val="13"/>
                <w:szCs w:val="13"/>
                <w:color w:val="auto"/>
              </w:rPr>
              <w:t>Translation of other assets and liabilities in foreign currencies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7,671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5,872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578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rate swaps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(1,650)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(1,451)</w:t>
            </w: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(4,594)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(3,273)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740"/>
              <w:spacing w:after="0"/>
              <w:rPr>
                <w:sz w:val="20"/>
                <w:szCs w:val="20"/>
                <w:color w:val="auto"/>
              </w:rPr>
            </w:pPr>
            <w:r>
              <w:rPr>
                <w:rFonts w:ascii="Arial" w:cs="Arial" w:eastAsia="Arial" w:hAnsi="Arial"/>
                <w:sz w:val="13"/>
                <w:szCs w:val="13"/>
                <w:color w:val="auto"/>
              </w:rPr>
              <w:t>Total net change in unrealized gains (losses)</w:t>
            </w: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(54,751)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28,945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(63,246)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38,701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Realized gains (losses):</w:t>
            </w:r>
          </w:p>
        </w:tc>
        <w:tc>
          <w:tcPr>
            <w:tcW w:w="4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60"/>
              <w:spacing w:after="0"/>
              <w:rPr>
                <w:sz w:val="20"/>
                <w:szCs w:val="20"/>
                <w:color w:val="auto"/>
              </w:rPr>
            </w:pPr>
            <w:r>
              <w:rPr>
                <w:rFonts w:ascii="Arial" w:cs="Arial" w:eastAsia="Arial" w:hAnsi="Arial"/>
                <w:sz w:val="13"/>
                <w:szCs w:val="13"/>
                <w:color w:val="auto"/>
              </w:rPr>
              <w:t>Non-controlled, non-affiliated investments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16,641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Non-controlled, affiliated investments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13,673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60"/>
              <w:spacing w:after="0"/>
              <w:rPr>
                <w:sz w:val="20"/>
                <w:szCs w:val="20"/>
                <w:color w:val="auto"/>
              </w:rPr>
            </w:pPr>
            <w:r>
              <w:rPr>
                <w:rFonts w:ascii="Arial" w:cs="Arial" w:eastAsia="Arial" w:hAnsi="Arial"/>
                <w:sz w:val="13"/>
                <w:szCs w:val="13"/>
                <w:color w:val="auto"/>
              </w:rPr>
              <w:t>Foreign currency transactions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49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3"/>
                <w:szCs w:val="13"/>
                <w:color w:val="auto"/>
              </w:rPr>
              <w:t>Total net realized gains (losses)</w:t>
            </w:r>
          </w:p>
        </w:tc>
        <w:tc>
          <w:tcPr>
            <w:tcW w:w="4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2,021</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14,072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16,608</w:t>
            </w: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tcPr>
          <w:p>
            <w:pPr>
              <w:ind w:left="1000"/>
              <w:spacing w:after="0"/>
              <w:rPr>
                <w:sz w:val="20"/>
                <w:szCs w:val="20"/>
                <w:color w:val="auto"/>
              </w:rPr>
            </w:pPr>
            <w:r>
              <w:rPr>
                <w:rFonts w:ascii="Arial" w:cs="Arial" w:eastAsia="Arial" w:hAnsi="Arial"/>
                <w:sz w:val="13"/>
                <w:szCs w:val="13"/>
                <w:b w:val="1"/>
                <w:bCs w:val="1"/>
                <w:color w:val="auto"/>
              </w:rPr>
              <w:t>Total Net Unrealized and Realized Gains (Losses)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(54,347)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30,966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(49,174)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55,309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ind w:left="1000"/>
              <w:spacing w:after="0"/>
              <w:rPr>
                <w:sz w:val="20"/>
                <w:szCs w:val="20"/>
                <w:color w:val="auto"/>
              </w:rPr>
            </w:pPr>
            <w:r>
              <w:rPr>
                <w:rFonts w:ascii="Arial" w:cs="Arial" w:eastAsia="Arial" w:hAnsi="Arial"/>
                <w:sz w:val="13"/>
                <w:szCs w:val="13"/>
                <w:b w:val="1"/>
                <w:bCs w:val="1"/>
                <w:color w:val="auto"/>
              </w:rPr>
              <w:t>Increase (Decrease) in Net Assets Resulting from Operations</w:t>
            </w:r>
          </w:p>
        </w:tc>
        <w:tc>
          <w:tcPr>
            <w:tcW w:w="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00" w:type="dxa"/>
            <w:vAlign w:val="bottom"/>
            <w:vMerge w:val="continue"/>
            <w:shd w:val="clear" w:color="auto" w:fill="CFF0FC"/>
          </w:tcPr>
          <w:p>
            <w:pPr>
              <w:spacing w:after="0"/>
              <w:rPr>
                <w:sz w:val="13"/>
                <w:szCs w:val="13"/>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(13,525)</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58,354</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27,360</w:t>
            </w:r>
          </w:p>
        </w:tc>
        <w:tc>
          <w:tcPr>
            <w:tcW w:w="1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115,006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Earnings (Loss) per common share—basic</w:t>
            </w:r>
          </w:p>
        </w:tc>
        <w:tc>
          <w:tcPr>
            <w:tcW w:w="4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vMerge w:val="continue"/>
          </w:tcPr>
          <w:p>
            <w:pPr>
              <w:spacing w:after="0"/>
              <w:rPr>
                <w:sz w:val="12"/>
                <w:szCs w:val="12"/>
                <w:color w:val="auto"/>
              </w:rPr>
            </w:pPr>
          </w:p>
        </w:tc>
        <w:tc>
          <w:tcPr>
            <w:tcW w:w="56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(0.18)</w:t>
            </w:r>
          </w:p>
        </w:tc>
        <w:tc>
          <w:tcPr>
            <w:tcW w:w="2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43" w:lineRule="exact"/>
              <w:rPr>
                <w:sz w:val="20"/>
                <w:szCs w:val="20"/>
                <w:color w:val="auto"/>
              </w:rPr>
            </w:pPr>
            <w:r>
              <w:rPr>
                <w:rFonts w:ascii="Arial" w:cs="Arial" w:eastAsia="Arial" w:hAnsi="Arial"/>
                <w:sz w:val="13"/>
                <w:szCs w:val="13"/>
                <w:color w:val="auto"/>
              </w:rPr>
              <w:t>0.80</w:t>
            </w:r>
          </w:p>
        </w:tc>
        <w:tc>
          <w:tcPr>
            <w:tcW w:w="260" w:type="dxa"/>
            <w:vAlign w:val="bottom"/>
          </w:tcPr>
          <w:p>
            <w:pPr>
              <w:spacing w:after="0"/>
              <w:rPr>
                <w:sz w:val="12"/>
                <w:szCs w:val="12"/>
                <w:color w:val="auto"/>
              </w:rPr>
            </w:pPr>
          </w:p>
        </w:tc>
        <w:tc>
          <w:tcPr>
            <w:tcW w:w="160" w:type="dxa"/>
            <w:vAlign w:val="bottom"/>
          </w:tcPr>
          <w:p>
            <w:pPr>
              <w:jc w:val="right"/>
              <w:ind w:right="13"/>
              <w:spacing w:after="0" w:line="143" w:lineRule="exact"/>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line="143" w:lineRule="exact"/>
              <w:rPr>
                <w:sz w:val="20"/>
                <w:szCs w:val="20"/>
                <w:color w:val="auto"/>
              </w:rPr>
            </w:pPr>
            <w:r>
              <w:rPr>
                <w:rFonts w:ascii="Arial" w:cs="Arial" w:eastAsia="Arial" w:hAnsi="Arial"/>
                <w:sz w:val="13"/>
                <w:szCs w:val="13"/>
                <w:color w:val="auto"/>
              </w:rPr>
              <w:t>0.36</w:t>
            </w:r>
          </w:p>
        </w:tc>
        <w:tc>
          <w:tcPr>
            <w:tcW w:w="140" w:type="dxa"/>
            <w:vAlign w:val="bottom"/>
          </w:tcPr>
          <w:p>
            <w:pPr>
              <w:spacing w:after="0"/>
              <w:rPr>
                <w:sz w:val="12"/>
                <w:szCs w:val="12"/>
                <w:color w:val="auto"/>
              </w:rPr>
            </w:pPr>
          </w:p>
        </w:tc>
        <w:tc>
          <w:tcPr>
            <w:tcW w:w="26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1120" w:type="dxa"/>
            <w:vAlign w:val="bottom"/>
          </w:tcPr>
          <w:p>
            <w:pPr>
              <w:jc w:val="right"/>
              <w:spacing w:after="0" w:line="143" w:lineRule="exact"/>
              <w:rPr>
                <w:sz w:val="20"/>
                <w:szCs w:val="20"/>
                <w:color w:val="auto"/>
              </w:rPr>
            </w:pPr>
            <w:r>
              <w:rPr>
                <w:rFonts w:ascii="Arial" w:cs="Arial" w:eastAsia="Arial" w:hAnsi="Arial"/>
                <w:sz w:val="13"/>
                <w:szCs w:val="13"/>
                <w:color w:val="auto"/>
              </w:rPr>
              <w:t>1.62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Weighted average shares of common stock outstanding—basic</w:t>
            </w:r>
          </w:p>
        </w:tc>
        <w:tc>
          <w:tcPr>
            <w:tcW w:w="4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76,265,661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72,556,471</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76,119,681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71,131,732</w:t>
            </w: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rPr>
                <w:sz w:val="20"/>
                <w:szCs w:val="20"/>
                <w:color w:val="auto"/>
              </w:rPr>
            </w:pPr>
            <w:r>
              <w:rPr>
                <w:rFonts w:ascii="Arial" w:cs="Arial" w:eastAsia="Arial" w:hAnsi="Arial"/>
                <w:sz w:val="13"/>
                <w:szCs w:val="13"/>
                <w:color w:val="auto"/>
              </w:rPr>
              <w:t>Earnings (Loss) per common share—diluted</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(0.15)</w:t>
            </w: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0.74</w:t>
            </w:r>
          </w:p>
        </w:tc>
        <w:tc>
          <w:tcPr>
            <w:tcW w:w="260" w:type="dxa"/>
            <w:vAlign w:val="bottom"/>
          </w:tcPr>
          <w:p>
            <w:pPr>
              <w:spacing w:after="0"/>
              <w:rPr>
                <w:sz w:val="13"/>
                <w:szCs w:val="13"/>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0.36</w:t>
            </w:r>
          </w:p>
        </w:tc>
        <w:tc>
          <w:tcPr>
            <w:tcW w:w="14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Weighted average shares of common stock outstanding—diluted</w:t>
            </w:r>
          </w:p>
        </w:tc>
        <w:tc>
          <w:tcPr>
            <w:tcW w:w="4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81,846,634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80,249,527</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81,700,654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78,824,788</w:t>
            </w: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4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44"/>
        </w:trPr>
        <w:tc>
          <w:tcPr>
            <w:tcW w:w="4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 w:name="page12"/>
    <w:bookmarkEnd w:id="11"/>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Company’s investment activity for quarter ended June 30, 2022 and 2021 is presented below (information presented herein is at par value unless otherwise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56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June 30, 2022</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June 30, 2021</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1,569.3</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1,190.4</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9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378.9</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267.5</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324.8</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211.6</w:t>
            </w:r>
          </w:p>
        </w:tc>
        <w:tc>
          <w:tcPr>
            <w:tcW w:w="3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reference rate of</w:t>
            </w: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floating rate investment commitments</w:t>
            </w:r>
          </w:p>
        </w:tc>
        <w:tc>
          <w:tcPr>
            <w:tcW w:w="1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5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45"/>
        </w:trPr>
        <w:tc>
          <w:tcPr>
            <w:tcW w:w="56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$60 billion in assets under management and committed capital. For more information, visit the Company’s website at https://sixthstreetspecialtylending.com.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Sixth Street is a global investment firm with over $60 billion in assets under management and committed capital. The firm uses its long-term flexible capital, data-enabled capabilities, and One Team culture to develop themes and offer solutions to companies across all stages of growth. Founded in 2009, Sixth Street has more than 400 team members including over 180 investment professionals around the world. For more information, visit https://sixthstreet.com or follow Sixth Street on LinkedIn.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Cami VanHorn, 260-241-7837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2022-08-02T15:16:47Z</dcterms:created>
  <dcterms:modified xsi:type="dcterms:W3CDTF">2022-08-02T15:16:47Z</dcterms:modified>
</cp:coreProperties>
</file>