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Chief Financial Oficer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06/17/2011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80"/>
              <w:spacing w:after="0"/>
              <w:rPr>
                <w:sz w:val="20"/>
                <w:szCs w:val="20"/>
                <w:color w:val="auto"/>
              </w:rPr>
            </w:pPr>
            <w:r>
              <w:rPr>
                <w:rFonts w:ascii="Arial" w:cs="Arial" w:eastAsia="Arial" w:hAnsi="Arial"/>
                <w:sz w:val="18"/>
                <w:szCs w:val="18"/>
                <w:color w:val="0000FF"/>
              </w:rPr>
              <w:t>5.3</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1,000</w:t>
            </w:r>
          </w:p>
        </w:tc>
        <w:tc>
          <w:tcPr>
            <w:tcW w:w="13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5.3</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2,868 shares of Common Stock of the Issuer (the "TSL Shares"), including 5.3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06/21/2011</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2019-12-17T05:15:17Z</dcterms:created>
  <dcterms:modified xsi:type="dcterms:W3CDTF">2019-12-17T05:15:17Z</dcterms:modified>
</cp:coreProperties>
</file>