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149860</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9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173355</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150495</wp:posOffset>
            </wp:positionV>
            <wp:extent cx="16459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8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64770</wp:posOffset>
            </wp:positionV>
            <wp:extent cx="1645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68" w:lineRule="exact"/>
        <w:rPr>
          <w:sz w:val="24"/>
          <w:szCs w:val="24"/>
          <w:color w:val="auto"/>
        </w:rPr>
      </w:pPr>
    </w:p>
    <w:tbl>
      <w:tblPr>
        <w:tblLayout w:type="fixed"/>
        <w:tblInd w:w="560" w:type="dxa"/>
        <w:tblCellMar>
          <w:top w:w="0" w:type="dxa"/>
          <w:left w:w="0" w:type="dxa"/>
          <w:bottom w:w="0" w:type="dxa"/>
          <w:right w:w="0" w:type="dxa"/>
        </w:tblCellMar>
      </w:tblPr>
      <w:tr>
        <w:trPr>
          <w:trHeight w:val="214"/>
        </w:trPr>
        <w:tc>
          <w:tcPr>
            <w:tcW w:w="3740" w:type="dxa"/>
            <w:vAlign w:val="bottom"/>
          </w:tcPr>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2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25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27-3380000</w:t>
            </w:r>
          </w:p>
        </w:tc>
      </w:tr>
      <w:tr>
        <w:trPr>
          <w:trHeight w:val="148"/>
        </w:trPr>
        <w:tc>
          <w:tcPr>
            <w:tcW w:w="3740" w:type="dxa"/>
            <w:vAlign w:val="bottom"/>
          </w:tcPr>
          <w:p>
            <w:pPr>
              <w:jc w:val="center"/>
              <w:ind w:right="9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500" w:type="dxa"/>
            <w:vAlign w:val="bottom"/>
          </w:tcPr>
          <w:p>
            <w:pPr>
              <w:jc w:val="center"/>
              <w:ind w:left="13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40" w:type="dxa"/>
            <w:vAlign w:val="bottom"/>
          </w:tcPr>
          <w:p>
            <w:pPr>
              <w:jc w:val="center"/>
              <w:ind w:right="9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2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0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71"/>
        </w:trPr>
        <w:tc>
          <w:tcPr>
            <w:tcW w:w="3740" w:type="dxa"/>
            <w:vAlign w:val="bottom"/>
          </w:tcPr>
          <w:p>
            <w:pPr>
              <w:jc w:val="center"/>
              <w:ind w:right="95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322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14"/>
        </w:trPr>
        <w:tc>
          <w:tcPr>
            <w:tcW w:w="3740" w:type="dxa"/>
            <w:vAlign w:val="bottom"/>
          </w:tcPr>
          <w:p>
            <w:pPr>
              <w:jc w:val="center"/>
              <w:ind w:right="95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3220" w:type="dxa"/>
            <w:vAlign w:val="bottom"/>
          </w:tcPr>
          <w:p>
            <w:pPr>
              <w:spacing w:after="0"/>
              <w:rPr>
                <w:sz w:val="18"/>
                <w:szCs w:val="18"/>
                <w:color w:val="auto"/>
              </w:rPr>
            </w:pPr>
          </w:p>
        </w:tc>
        <w:tc>
          <w:tcPr>
            <w:tcW w:w="25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3740" w:type="dxa"/>
            <w:vAlign w:val="bottom"/>
          </w:tcPr>
          <w:p>
            <w:pPr>
              <w:jc w:val="center"/>
              <w:ind w:right="9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20" w:type="dxa"/>
            <w:vAlign w:val="bottom"/>
          </w:tcPr>
          <w:p>
            <w:pPr>
              <w:spacing w:after="0"/>
              <w:rPr>
                <w:sz w:val="16"/>
                <w:szCs w:val="16"/>
                <w:color w:val="auto"/>
              </w:rPr>
            </w:pPr>
          </w:p>
        </w:tc>
        <w:tc>
          <w:tcPr>
            <w:tcW w:w="250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62865</wp:posOffset>
            </wp:positionV>
            <wp:extent cx="1645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1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157" w:lineRule="exact"/>
        <w:rPr>
          <w:sz w:val="24"/>
          <w:szCs w:val="24"/>
          <w:color w:val="auto"/>
        </w:rPr>
      </w:pPr>
    </w:p>
    <w:tbl>
      <w:tblPr>
        <w:tblLayout w:type="fixed"/>
        <w:tblInd w:w="600" w:type="dxa"/>
        <w:tblCellMar>
          <w:top w:w="0" w:type="dxa"/>
          <w:left w:w="0" w:type="dxa"/>
          <w:bottom w:w="0" w:type="dxa"/>
          <w:right w:w="0" w:type="dxa"/>
        </w:tblCellMar>
      </w:tblPr>
      <w:tr>
        <w:trPr>
          <w:trHeight w:val="162"/>
        </w:trPr>
        <w:tc>
          <w:tcPr>
            <w:tcW w:w="3520" w:type="dxa"/>
            <w:vAlign w:val="bottom"/>
          </w:tcPr>
          <w:p>
            <w:pPr>
              <w:jc w:val="center"/>
              <w:ind w:right="84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80" w:type="dxa"/>
            <w:vAlign w:val="bottom"/>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0"/>
        </w:trPr>
        <w:tc>
          <w:tcPr>
            <w:tcW w:w="352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TSLX</w:t>
            </w:r>
          </w:p>
        </w:tc>
        <w:tc>
          <w:tcPr>
            <w:tcW w:w="3580" w:type="dxa"/>
            <w:vAlign w:val="bottom"/>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66" w:lineRule="exact"/>
        <w:rPr>
          <w:sz w:val="24"/>
          <w:szCs w:val="24"/>
          <w:color w:val="auto"/>
        </w:rPr>
      </w:pPr>
    </w:p>
    <w:p>
      <w:pPr>
        <w:jc w:val="both"/>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519430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821"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February 17, 2021, the registrant issued a press release announcing its financial results for the quarter ended December 31, 2020. The text of the press release is included as Exhibit 99.1 to this Form 8-K.</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February 17, 2021, the registrant issued a press release, included herewith as Exhibit 99.1, announcing the declaration of a first quarter 2021 base dividend per share of $0.41 to shareholders of record as of March 15, 2021, payable on April 15, 2021, a fourth quarter 2020 supplemental dividend per share of $0.05 to shareholders of record as of February 26, 2021, payable on March 31, 2021, and a special dividend per share of $1.25 to shareholders of record as of March 25, 2021, payable on April 8, 2021.</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320"/>
        <w:spacing w:after="0"/>
        <w:tabs>
          <w:tab w:leader="none" w:pos="124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7" w:lineRule="exact"/>
        <w:rPr>
          <w:sz w:val="20"/>
          <w:szCs w:val="20"/>
          <w:color w:val="auto"/>
        </w:rPr>
      </w:pPr>
    </w:p>
    <w:p>
      <w:pPr>
        <w:spacing w:after="0"/>
        <w:tabs>
          <w:tab w:leader="none" w:pos="12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dated February 17,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77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SIXTH STREET SPECIALTY LENDING, INC.</w:t>
            </w:r>
          </w:p>
        </w:tc>
      </w:tr>
      <w:tr>
        <w:trPr>
          <w:trHeight w:val="234"/>
        </w:trPr>
        <w:tc>
          <w:tcPr>
            <w:tcW w:w="35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2021</w:t>
            </w:r>
          </w:p>
        </w:tc>
        <w:tc>
          <w:tcPr>
            <w:tcW w:w="77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   /s/ Ian Simmonds</w:t>
            </w:r>
          </w:p>
        </w:tc>
      </w:tr>
      <w:tr>
        <w:trPr>
          <w:trHeight w:val="191"/>
        </w:trPr>
        <w:tc>
          <w:tcPr>
            <w:tcW w:w="35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480" w:type="dxa"/>
            <w:vAlign w:val="bottom"/>
            <w:tcBorders>
              <w:top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5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72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1371600"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FULL YEAR AND FOURTH QUARTER 2020 EARNINGS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Sixth Street Specialty Lending, Inc. Reports Full Year and Fourth Quarter 2020 Earnings Results; Declares a Special Dividend Per Share of $1.25, a First Quarter Base Dividend Per Share of $0.41, and a Fourth Quarter Supplemental Dividend Per Share of $0.05</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NEW YORK—February 17, 2021— Sixth Street Specialty Lending, Inc. (NYSE: TSLX, or the “Company”) today reported net investment income of $147.0 million, or $2.19 per share, and net income of $178.1 million, or $2.65 per share, for the year ended December 31, 2020. For the quarter ended December 31, 2020, net investment income was $32.8 million, or $0.48 per share, and net income was $53.5 million or $0.79 per share. Both these amounts include approximately $0.02 per share of capital gains incentive fee expenses that were accrued, but not paid, related to cumulative unrealized capital gains in excess of cumulative net realized capital gains less any cumulative unrealized losses and capital gains incentive fees paid inception to date. Excluding the impact of the accrued capital gains-related incentive fee expenses, the Company’s net investment income per share and net income per share for the quarter ended December 31, 2020 were $0.50 and $0.81, respectively.</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Return on equity (ROE) for the full year 2020 was 13.0% and 15.8% on a net investment income and a net income basis, respectively. Annualized ROE for the fourth quarter 2020 was 11.5% and 18.7% on a net investment income and a net income basis, respectively.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Reported net asset value (NAV) per share was $17.16 at December 31, 2020 as compared to reported NAV per share of $16.87 at September 30, 2020. The drivers of this quarter’s NAV per share growth were the Company’s continued overearning of its base quarterly dividend, net realized and unrealized gains related to portfolio-company specific events, and unrealized gains from the impact of credit spread tightening on the valuation of the Company’s investments.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announced that its Board of Directors (the “Board”) has declared a special cash dividend per share of $1.25 that will be payable on April 8, 2021 to shareholders of record as of March 25, 2021.The Company’s Board has also declared a first quarter 2021 base dividend of $0.41 per share to shareholders of record as of March 15, 2021, payable on April 15, 2021. In addition, the Board declared a Q4 2020 supplemental dividend of $0.05 per share to shareholders of record as of February 26, 2021, payable on March 31, 2021.</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3, 2021, the Company issued $300.0 million aggregate principal amount of unsecured notes that mature on August 1, 2026 (the “2026 Notes”) at a spread to Treasury of 225 basis points. The Company used the net proceeds of the 2026 Notes to repay outstanding indebtedness under the Revolving Credit Facility. In connection with the issuance of the 2026 Notes, the Company entered into an interest rate swap to continue to align the interest rates of its liabilities with its investment portfolio, which consists of predominantly floating rate loans.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5, 2021, the Company completed an amendment to its Revolving Credit Facility, which increased the aggregate commitments under the facility from $1.335 billion to $1.485 billion, increased the accordion to allow for commitments of up to $2.00 billion from $1.75 billion, and extended the stated maturity date to February 4, 2026 for $1.390 billion of commitments. Other key terms of the Revolving Credit Facility remain unchanged.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FFFFFF"/>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2348865" cy="248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48865" cy="24828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($MM):</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$147.0</w:t>
            </w:r>
          </w:p>
        </w:tc>
      </w:tr>
      <w:tr>
        <w:trPr>
          <w:trHeight w:val="238"/>
        </w:trPr>
        <w:tc>
          <w:tcPr>
            <w:tcW w:w="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Q4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($MM):</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r>
      <w:tr>
        <w:trPr>
          <w:trHeight w:val="54"/>
        </w:trPr>
        <w:tc>
          <w:tcPr>
            <w:tcW w:w="440" w:type="dxa"/>
            <w:vAlign w:val="bottom"/>
            <w:tcBorders>
              <w:bottom w:val="single" w:sz="8" w:color="D9DDE1"/>
            </w:tcBorders>
            <w:gridSpan w:val="2"/>
          </w:tcPr>
          <w:p>
            <w:pPr>
              <w:spacing w:after="0"/>
              <w:rPr>
                <w:sz w:val="4"/>
                <w:szCs w:val="4"/>
                <w:color w:val="auto"/>
              </w:rPr>
            </w:pPr>
          </w:p>
        </w:tc>
        <w:tc>
          <w:tcPr>
            <w:tcW w:w="2200" w:type="dxa"/>
            <w:vAlign w:val="bottom"/>
            <w:tcBorders>
              <w:bottom w:val="single" w:sz="8" w:color="D9DDE1"/>
            </w:tcBorders>
            <w:gridSpan w:val="2"/>
          </w:tcPr>
          <w:p>
            <w:pPr>
              <w:spacing w:after="0"/>
              <w:rPr>
                <w:sz w:val="4"/>
                <w:szCs w:val="4"/>
                <w:color w:val="auto"/>
              </w:rPr>
            </w:pPr>
          </w:p>
        </w:tc>
        <w:tc>
          <w:tcPr>
            <w:tcW w:w="1060" w:type="dxa"/>
            <w:vAlign w:val="bottom"/>
            <w:tcBorders>
              <w:bottom w:val="single" w:sz="8" w:color="D9DDE1"/>
            </w:tcBorders>
          </w:tcPr>
          <w:p>
            <w:pPr>
              <w:spacing w:after="0"/>
              <w:rPr>
                <w:sz w:val="4"/>
                <w:szCs w:val="4"/>
                <w:color w:val="auto"/>
              </w:rPr>
            </w:pPr>
          </w:p>
        </w:tc>
      </w:tr>
      <w:tr>
        <w:trPr>
          <w:trHeight w:val="214"/>
        </w:trPr>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r>
      <w:tr>
        <w:trPr>
          <w:trHeight w:val="238"/>
        </w:trPr>
        <w:tc>
          <w:tcPr>
            <w:tcW w:w="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Q4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$0.48</w:t>
            </w:r>
          </w:p>
        </w:tc>
      </w:tr>
      <w:tr>
        <w:trPr>
          <w:trHeight w:val="270"/>
        </w:trPr>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97"/>
        </w:trPr>
        <w:tc>
          <w:tcPr>
            <w:tcW w:w="320" w:type="dxa"/>
            <w:vAlign w:val="bottom"/>
            <w:shd w:val="clear" w:color="auto" w:fill="0F2F50"/>
          </w:tcPr>
          <w:p>
            <w:pPr>
              <w:spacing w:after="0"/>
              <w:rPr>
                <w:sz w:val="24"/>
                <w:szCs w:val="24"/>
                <w:color w:val="auto"/>
              </w:rPr>
            </w:pPr>
          </w:p>
        </w:tc>
        <w:tc>
          <w:tcPr>
            <w:tcW w:w="120" w:type="dxa"/>
            <w:vAlign w:val="bottom"/>
            <w:shd w:val="clear" w:color="auto" w:fill="0F2F50"/>
          </w:tcPr>
          <w:p>
            <w:pPr>
              <w:spacing w:after="0"/>
              <w:rPr>
                <w:sz w:val="24"/>
                <w:szCs w:val="24"/>
                <w:color w:val="auto"/>
              </w:rPr>
            </w:pPr>
          </w:p>
        </w:tc>
        <w:tc>
          <w:tcPr>
            <w:tcW w:w="280" w:type="dxa"/>
            <w:vAlign w:val="bottom"/>
            <w:shd w:val="clear" w:color="auto" w:fill="0F2F50"/>
          </w:tcPr>
          <w:p>
            <w:pPr>
              <w:spacing w:after="0"/>
              <w:rPr>
                <w:sz w:val="24"/>
                <w:szCs w:val="24"/>
                <w:color w:val="auto"/>
              </w:rPr>
            </w:pPr>
          </w:p>
        </w:tc>
        <w:tc>
          <w:tcPr>
            <w:tcW w:w="1920" w:type="dxa"/>
            <w:vAlign w:val="bottom"/>
            <w:shd w:val="clear" w:color="auto" w:fill="0F2F50"/>
          </w:tcPr>
          <w:p>
            <w:pPr>
              <w:jc w:val="center"/>
              <w:ind w:left="230"/>
              <w:spacing w:after="0"/>
              <w:rPr>
                <w:sz w:val="20"/>
                <w:szCs w:val="20"/>
                <w:color w:val="auto"/>
              </w:rPr>
            </w:pPr>
            <w:r>
              <w:rPr>
                <w:rFonts w:ascii="Times New Roman" w:cs="Times New Roman" w:eastAsia="Times New Roman" w:hAnsi="Times New Roman"/>
                <w:sz w:val="18"/>
                <w:szCs w:val="18"/>
                <w:b w:val="1"/>
                <w:bCs w:val="1"/>
                <w:color w:val="FFFFFF"/>
                <w:w w:val="99"/>
              </w:rPr>
              <w:t>Net Income</w:t>
            </w:r>
          </w:p>
        </w:tc>
        <w:tc>
          <w:tcPr>
            <w:tcW w:w="1060" w:type="dxa"/>
            <w:vAlign w:val="bottom"/>
            <w:shd w:val="clear" w:color="auto" w:fill="0F2F50"/>
          </w:tcPr>
          <w:p>
            <w:pPr>
              <w:spacing w:after="0"/>
              <w:rPr>
                <w:sz w:val="24"/>
                <w:szCs w:val="24"/>
                <w:color w:val="auto"/>
              </w:rPr>
            </w:pPr>
          </w:p>
        </w:tc>
      </w:tr>
      <w:tr>
        <w:trPr>
          <w:trHeight w:val="94"/>
        </w:trPr>
        <w:tc>
          <w:tcPr>
            <w:tcW w:w="440" w:type="dxa"/>
            <w:vAlign w:val="bottom"/>
            <w:gridSpan w:val="2"/>
            <w:shd w:val="clear" w:color="auto" w:fill="0F2F50"/>
          </w:tcPr>
          <w:p>
            <w:pPr>
              <w:spacing w:after="0"/>
              <w:rPr>
                <w:sz w:val="8"/>
                <w:szCs w:val="8"/>
                <w:color w:val="auto"/>
              </w:rPr>
            </w:pPr>
          </w:p>
        </w:tc>
        <w:tc>
          <w:tcPr>
            <w:tcW w:w="2200" w:type="dxa"/>
            <w:vAlign w:val="bottom"/>
            <w:gridSpan w:val="2"/>
            <w:shd w:val="clear" w:color="auto" w:fill="0F2F50"/>
          </w:tcPr>
          <w:p>
            <w:pPr>
              <w:spacing w:after="0"/>
              <w:rPr>
                <w:sz w:val="8"/>
                <w:szCs w:val="8"/>
                <w:color w:val="auto"/>
              </w:rPr>
            </w:pPr>
          </w:p>
        </w:tc>
        <w:tc>
          <w:tcPr>
            <w:tcW w:w="1060" w:type="dxa"/>
            <w:vAlign w:val="bottom"/>
            <w:shd w:val="clear" w:color="auto" w:fill="0F2F50"/>
          </w:tcPr>
          <w:p>
            <w:pPr>
              <w:spacing w:after="0"/>
              <w:rPr>
                <w:sz w:val="8"/>
                <w:szCs w:val="8"/>
                <w:color w:val="auto"/>
              </w:rPr>
            </w:pPr>
          </w:p>
        </w:tc>
      </w:tr>
      <w:tr>
        <w:trPr>
          <w:trHeight w:val="248"/>
        </w:trPr>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($MM):</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$178.1</w:t>
            </w:r>
          </w:p>
        </w:tc>
      </w:tr>
      <w:tr>
        <w:trPr>
          <w:trHeight w:val="238"/>
        </w:trPr>
        <w:tc>
          <w:tcPr>
            <w:tcW w:w="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Q4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($MM):</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r>
      <w:tr>
        <w:trPr>
          <w:trHeight w:val="54"/>
        </w:trPr>
        <w:tc>
          <w:tcPr>
            <w:tcW w:w="440" w:type="dxa"/>
            <w:vAlign w:val="bottom"/>
            <w:tcBorders>
              <w:bottom w:val="single" w:sz="8" w:color="D9DDE1"/>
            </w:tcBorders>
            <w:gridSpan w:val="2"/>
          </w:tcPr>
          <w:p>
            <w:pPr>
              <w:spacing w:after="0"/>
              <w:rPr>
                <w:sz w:val="4"/>
                <w:szCs w:val="4"/>
                <w:color w:val="auto"/>
              </w:rPr>
            </w:pPr>
          </w:p>
        </w:tc>
        <w:tc>
          <w:tcPr>
            <w:tcW w:w="2200" w:type="dxa"/>
            <w:vAlign w:val="bottom"/>
            <w:tcBorders>
              <w:bottom w:val="single" w:sz="8" w:color="D9DDE1"/>
            </w:tcBorders>
            <w:gridSpan w:val="2"/>
          </w:tcPr>
          <w:p>
            <w:pPr>
              <w:spacing w:after="0"/>
              <w:rPr>
                <w:sz w:val="4"/>
                <w:szCs w:val="4"/>
                <w:color w:val="auto"/>
              </w:rPr>
            </w:pPr>
          </w:p>
        </w:tc>
        <w:tc>
          <w:tcPr>
            <w:tcW w:w="1060" w:type="dxa"/>
            <w:vAlign w:val="bottom"/>
            <w:tcBorders>
              <w:bottom w:val="single" w:sz="8" w:color="D9DDE1"/>
            </w:tcBorders>
          </w:tcPr>
          <w:p>
            <w:pPr>
              <w:spacing w:after="0"/>
              <w:rPr>
                <w:sz w:val="4"/>
                <w:szCs w:val="4"/>
                <w:color w:val="auto"/>
              </w:rPr>
            </w:pPr>
          </w:p>
        </w:tc>
      </w:tr>
      <w:tr>
        <w:trPr>
          <w:trHeight w:val="214"/>
        </w:trPr>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r>
      <w:tr>
        <w:trPr>
          <w:trHeight w:val="238"/>
        </w:trPr>
        <w:tc>
          <w:tcPr>
            <w:tcW w:w="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Q4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$0.79</w:t>
            </w:r>
          </w:p>
        </w:tc>
      </w:tr>
      <w:tr>
        <w:trPr>
          <w:trHeight w:val="270"/>
        </w:trPr>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97"/>
        </w:trPr>
        <w:tc>
          <w:tcPr>
            <w:tcW w:w="320" w:type="dxa"/>
            <w:vAlign w:val="bottom"/>
            <w:shd w:val="clear" w:color="auto" w:fill="0F2F50"/>
          </w:tcPr>
          <w:p>
            <w:pPr>
              <w:spacing w:after="0"/>
              <w:rPr>
                <w:sz w:val="24"/>
                <w:szCs w:val="24"/>
                <w:color w:val="auto"/>
              </w:rPr>
            </w:pPr>
          </w:p>
        </w:tc>
        <w:tc>
          <w:tcPr>
            <w:tcW w:w="120" w:type="dxa"/>
            <w:vAlign w:val="bottom"/>
            <w:shd w:val="clear" w:color="auto" w:fill="0F2F50"/>
          </w:tcPr>
          <w:p>
            <w:pPr>
              <w:spacing w:after="0"/>
              <w:rPr>
                <w:sz w:val="24"/>
                <w:szCs w:val="24"/>
                <w:color w:val="auto"/>
              </w:rPr>
            </w:pPr>
          </w:p>
        </w:tc>
        <w:tc>
          <w:tcPr>
            <w:tcW w:w="280" w:type="dxa"/>
            <w:vAlign w:val="bottom"/>
            <w:shd w:val="clear" w:color="auto" w:fill="0F2F50"/>
          </w:tcPr>
          <w:p>
            <w:pPr>
              <w:spacing w:after="0"/>
              <w:rPr>
                <w:sz w:val="24"/>
                <w:szCs w:val="24"/>
                <w:color w:val="auto"/>
              </w:rPr>
            </w:pPr>
          </w:p>
        </w:tc>
        <w:tc>
          <w:tcPr>
            <w:tcW w:w="1920" w:type="dxa"/>
            <w:vAlign w:val="bottom"/>
            <w:shd w:val="clear" w:color="auto" w:fill="0F2F50"/>
          </w:tcPr>
          <w:p>
            <w:pPr>
              <w:jc w:val="center"/>
              <w:ind w:left="250"/>
              <w:spacing w:after="0"/>
              <w:rPr>
                <w:sz w:val="20"/>
                <w:szCs w:val="20"/>
                <w:color w:val="auto"/>
              </w:rPr>
            </w:pPr>
            <w:r>
              <w:rPr>
                <w:rFonts w:ascii="Times New Roman" w:cs="Times New Roman" w:eastAsia="Times New Roman" w:hAnsi="Times New Roman"/>
                <w:sz w:val="18"/>
                <w:szCs w:val="18"/>
                <w:b w:val="1"/>
                <w:bCs w:val="1"/>
                <w:color w:val="FFFFFF"/>
                <w:w w:val="97"/>
              </w:rPr>
              <w:t>ROE</w:t>
            </w:r>
          </w:p>
        </w:tc>
        <w:tc>
          <w:tcPr>
            <w:tcW w:w="1060" w:type="dxa"/>
            <w:vAlign w:val="bottom"/>
            <w:shd w:val="clear" w:color="auto" w:fill="0F2F50"/>
          </w:tcPr>
          <w:p>
            <w:pPr>
              <w:spacing w:after="0"/>
              <w:rPr>
                <w:sz w:val="24"/>
                <w:szCs w:val="24"/>
                <w:color w:val="auto"/>
              </w:rPr>
            </w:pPr>
          </w:p>
        </w:tc>
      </w:tr>
      <w:tr>
        <w:trPr>
          <w:trHeight w:val="95"/>
        </w:trPr>
        <w:tc>
          <w:tcPr>
            <w:tcW w:w="440" w:type="dxa"/>
            <w:vAlign w:val="bottom"/>
            <w:gridSpan w:val="2"/>
            <w:shd w:val="clear" w:color="auto" w:fill="0F2F50"/>
          </w:tcPr>
          <w:p>
            <w:pPr>
              <w:spacing w:after="0"/>
              <w:rPr>
                <w:sz w:val="8"/>
                <w:szCs w:val="8"/>
                <w:color w:val="auto"/>
              </w:rPr>
            </w:pPr>
          </w:p>
        </w:tc>
        <w:tc>
          <w:tcPr>
            <w:tcW w:w="2200" w:type="dxa"/>
            <w:vAlign w:val="bottom"/>
            <w:gridSpan w:val="2"/>
            <w:shd w:val="clear" w:color="auto" w:fill="0F2F50"/>
          </w:tcPr>
          <w:p>
            <w:pPr>
              <w:spacing w:after="0"/>
              <w:rPr>
                <w:sz w:val="8"/>
                <w:szCs w:val="8"/>
                <w:color w:val="auto"/>
              </w:rPr>
            </w:pPr>
          </w:p>
        </w:tc>
        <w:tc>
          <w:tcPr>
            <w:tcW w:w="1060" w:type="dxa"/>
            <w:vAlign w:val="bottom"/>
            <w:shd w:val="clear" w:color="auto" w:fill="0F2F50"/>
          </w:tcPr>
          <w:p>
            <w:pPr>
              <w:spacing w:after="0"/>
              <w:rPr>
                <w:sz w:val="8"/>
                <w:szCs w:val="8"/>
                <w:color w:val="auto"/>
              </w:rPr>
            </w:pPr>
          </w:p>
        </w:tc>
      </w:tr>
      <w:tr>
        <w:trPr>
          <w:trHeight w:val="248"/>
        </w:trPr>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(NII):</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r>
      <w:tr>
        <w:trPr>
          <w:trHeight w:val="238"/>
        </w:trPr>
        <w:tc>
          <w:tcPr>
            <w:tcW w:w="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Q4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(NII, annualized):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r>
      <w:tr>
        <w:trPr>
          <w:trHeight w:val="54"/>
        </w:trPr>
        <w:tc>
          <w:tcPr>
            <w:tcW w:w="440" w:type="dxa"/>
            <w:vAlign w:val="bottom"/>
            <w:tcBorders>
              <w:bottom w:val="single" w:sz="8" w:color="D9DDE1"/>
            </w:tcBorders>
            <w:gridSpan w:val="2"/>
          </w:tcPr>
          <w:p>
            <w:pPr>
              <w:spacing w:after="0"/>
              <w:rPr>
                <w:sz w:val="4"/>
                <w:szCs w:val="4"/>
                <w:color w:val="auto"/>
              </w:rPr>
            </w:pPr>
          </w:p>
        </w:tc>
        <w:tc>
          <w:tcPr>
            <w:tcW w:w="2200" w:type="dxa"/>
            <w:vAlign w:val="bottom"/>
            <w:tcBorders>
              <w:bottom w:val="single" w:sz="8" w:color="D9DDE1"/>
            </w:tcBorders>
            <w:gridSpan w:val="2"/>
          </w:tcPr>
          <w:p>
            <w:pPr>
              <w:spacing w:after="0"/>
              <w:rPr>
                <w:sz w:val="4"/>
                <w:szCs w:val="4"/>
                <w:color w:val="auto"/>
              </w:rPr>
            </w:pPr>
          </w:p>
        </w:tc>
        <w:tc>
          <w:tcPr>
            <w:tcW w:w="1060" w:type="dxa"/>
            <w:vAlign w:val="bottom"/>
            <w:tcBorders>
              <w:bottom w:val="single" w:sz="8" w:color="D9DDE1"/>
            </w:tcBorders>
          </w:tcPr>
          <w:p>
            <w:pPr>
              <w:spacing w:after="0"/>
              <w:rPr>
                <w:sz w:val="4"/>
                <w:szCs w:val="4"/>
                <w:color w:val="auto"/>
              </w:rPr>
            </w:pPr>
          </w:p>
        </w:tc>
      </w:tr>
      <w:tr>
        <w:trPr>
          <w:trHeight w:val="214"/>
        </w:trPr>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r>
      <w:tr>
        <w:trPr>
          <w:trHeight w:val="238"/>
        </w:trPr>
        <w:tc>
          <w:tcPr>
            <w:tcW w:w="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Q4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(NI, annualized):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r>
      <w:tr>
        <w:trPr>
          <w:trHeight w:val="270"/>
        </w:trPr>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97"/>
        </w:trPr>
        <w:tc>
          <w:tcPr>
            <w:tcW w:w="320" w:type="dxa"/>
            <w:vAlign w:val="bottom"/>
            <w:shd w:val="clear" w:color="auto" w:fill="0F2F50"/>
          </w:tcPr>
          <w:p>
            <w:pPr>
              <w:spacing w:after="0"/>
              <w:rPr>
                <w:sz w:val="24"/>
                <w:szCs w:val="24"/>
                <w:color w:val="auto"/>
              </w:rPr>
            </w:pPr>
          </w:p>
        </w:tc>
        <w:tc>
          <w:tcPr>
            <w:tcW w:w="120" w:type="dxa"/>
            <w:vAlign w:val="bottom"/>
            <w:shd w:val="clear" w:color="auto" w:fill="0F2F50"/>
          </w:tcPr>
          <w:p>
            <w:pPr>
              <w:spacing w:after="0"/>
              <w:rPr>
                <w:sz w:val="24"/>
                <w:szCs w:val="24"/>
                <w:color w:val="auto"/>
              </w:rPr>
            </w:pPr>
          </w:p>
        </w:tc>
        <w:tc>
          <w:tcPr>
            <w:tcW w:w="280" w:type="dxa"/>
            <w:vAlign w:val="bottom"/>
            <w:shd w:val="clear" w:color="auto" w:fill="0F2F50"/>
          </w:tcPr>
          <w:p>
            <w:pPr>
              <w:spacing w:after="0"/>
              <w:rPr>
                <w:sz w:val="24"/>
                <w:szCs w:val="24"/>
                <w:color w:val="auto"/>
              </w:rPr>
            </w:pPr>
          </w:p>
        </w:tc>
        <w:tc>
          <w:tcPr>
            <w:tcW w:w="1920" w:type="dxa"/>
            <w:vAlign w:val="bottom"/>
            <w:shd w:val="clear" w:color="auto" w:fill="0F2F50"/>
          </w:tcPr>
          <w:p>
            <w:pPr>
              <w:jc w:val="center"/>
              <w:ind w:left="250"/>
              <w:spacing w:after="0"/>
              <w:rPr>
                <w:sz w:val="20"/>
                <w:szCs w:val="20"/>
                <w:color w:val="auto"/>
              </w:rPr>
            </w:pPr>
            <w:r>
              <w:rPr>
                <w:rFonts w:ascii="Times New Roman" w:cs="Times New Roman" w:eastAsia="Times New Roman" w:hAnsi="Times New Roman"/>
                <w:sz w:val="18"/>
                <w:szCs w:val="18"/>
                <w:b w:val="1"/>
                <w:bCs w:val="1"/>
                <w:color w:val="FFFFFF"/>
                <w:w w:val="97"/>
              </w:rPr>
              <w:t>NAV</w:t>
            </w:r>
          </w:p>
        </w:tc>
        <w:tc>
          <w:tcPr>
            <w:tcW w:w="1060" w:type="dxa"/>
            <w:vAlign w:val="bottom"/>
            <w:shd w:val="clear" w:color="auto" w:fill="0F2F50"/>
          </w:tcPr>
          <w:p>
            <w:pPr>
              <w:spacing w:after="0"/>
              <w:rPr>
                <w:sz w:val="24"/>
                <w:szCs w:val="24"/>
                <w:color w:val="auto"/>
              </w:rPr>
            </w:pPr>
          </w:p>
        </w:tc>
      </w:tr>
      <w:tr>
        <w:trPr>
          <w:trHeight w:val="95"/>
        </w:trPr>
        <w:tc>
          <w:tcPr>
            <w:tcW w:w="320" w:type="dxa"/>
            <w:vAlign w:val="bottom"/>
            <w:shd w:val="clear" w:color="auto" w:fill="0F2F50"/>
          </w:tcPr>
          <w:p>
            <w:pPr>
              <w:spacing w:after="0"/>
              <w:rPr>
                <w:sz w:val="8"/>
                <w:szCs w:val="8"/>
                <w:color w:val="auto"/>
              </w:rPr>
            </w:pPr>
          </w:p>
        </w:tc>
        <w:tc>
          <w:tcPr>
            <w:tcW w:w="400" w:type="dxa"/>
            <w:vAlign w:val="bottom"/>
            <w:gridSpan w:val="2"/>
            <w:shd w:val="clear" w:color="auto" w:fill="0F2F50"/>
          </w:tcPr>
          <w:p>
            <w:pPr>
              <w:spacing w:after="0"/>
              <w:rPr>
                <w:sz w:val="8"/>
                <w:szCs w:val="8"/>
                <w:color w:val="auto"/>
              </w:rPr>
            </w:pPr>
          </w:p>
        </w:tc>
        <w:tc>
          <w:tcPr>
            <w:tcW w:w="1920" w:type="dxa"/>
            <w:vAlign w:val="bottom"/>
            <w:shd w:val="clear" w:color="auto" w:fill="0F2F50"/>
          </w:tcPr>
          <w:p>
            <w:pPr>
              <w:spacing w:after="0"/>
              <w:rPr>
                <w:sz w:val="8"/>
                <w:szCs w:val="8"/>
                <w:color w:val="auto"/>
              </w:rPr>
            </w:pPr>
          </w:p>
        </w:tc>
        <w:tc>
          <w:tcPr>
            <w:tcW w:w="1060" w:type="dxa"/>
            <w:vAlign w:val="bottom"/>
            <w:shd w:val="clear" w:color="auto" w:fill="0F2F50"/>
          </w:tcPr>
          <w:p>
            <w:pPr>
              <w:spacing w:after="0"/>
              <w:rPr>
                <w:sz w:val="8"/>
                <w:szCs w:val="8"/>
                <w:color w:val="auto"/>
              </w:rPr>
            </w:pPr>
          </w:p>
        </w:tc>
      </w:tr>
      <w:tr>
        <w:trPr>
          <w:trHeight w:val="257"/>
        </w:trPr>
        <w:tc>
          <w:tcPr>
            <w:tcW w:w="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Q4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($MM):</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$1,161.3</w:t>
            </w:r>
          </w:p>
        </w:tc>
      </w:tr>
      <w:tr>
        <w:trPr>
          <w:trHeight w:val="40"/>
        </w:trPr>
        <w:tc>
          <w:tcPr>
            <w:tcW w:w="320" w:type="dxa"/>
            <w:vAlign w:val="bottom"/>
            <w:tcBorders>
              <w:bottom w:val="single" w:sz="8" w:color="D9DDE1"/>
            </w:tcBorders>
          </w:tcPr>
          <w:p>
            <w:pPr>
              <w:spacing w:after="0"/>
              <w:rPr>
                <w:sz w:val="3"/>
                <w:szCs w:val="3"/>
                <w:color w:val="auto"/>
              </w:rPr>
            </w:pPr>
          </w:p>
        </w:tc>
        <w:tc>
          <w:tcPr>
            <w:tcW w:w="400" w:type="dxa"/>
            <w:vAlign w:val="bottom"/>
            <w:tcBorders>
              <w:bottom w:val="single" w:sz="8" w:color="D9DDE1"/>
            </w:tcBorders>
            <w:gridSpan w:val="2"/>
          </w:tcPr>
          <w:p>
            <w:pPr>
              <w:spacing w:after="0"/>
              <w:rPr>
                <w:sz w:val="3"/>
                <w:szCs w:val="3"/>
                <w:color w:val="auto"/>
              </w:rPr>
            </w:pPr>
          </w:p>
        </w:tc>
        <w:tc>
          <w:tcPr>
            <w:tcW w:w="1920" w:type="dxa"/>
            <w:vAlign w:val="bottom"/>
            <w:tcBorders>
              <w:bottom w:val="single" w:sz="8" w:color="D9DDE1"/>
            </w:tcBorders>
          </w:tcPr>
          <w:p>
            <w:pPr>
              <w:spacing w:after="0"/>
              <w:rPr>
                <w:sz w:val="3"/>
                <w:szCs w:val="3"/>
                <w:color w:val="auto"/>
              </w:rPr>
            </w:pPr>
          </w:p>
        </w:tc>
        <w:tc>
          <w:tcPr>
            <w:tcW w:w="1060" w:type="dxa"/>
            <w:vAlign w:val="bottom"/>
            <w:tcBorders>
              <w:bottom w:val="single" w:sz="8" w:color="D9DDE1"/>
            </w:tcBorders>
          </w:tcPr>
          <w:p>
            <w:pPr>
              <w:spacing w:after="0"/>
              <w:rPr>
                <w:sz w:val="3"/>
                <w:szCs w:val="3"/>
                <w:color w:val="auto"/>
              </w:rPr>
            </w:pPr>
          </w:p>
        </w:tc>
      </w:tr>
      <w:tr>
        <w:trPr>
          <w:trHeight w:val="250"/>
        </w:trPr>
        <w:tc>
          <w:tcPr>
            <w:tcW w:w="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Q4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$17.16</w:t>
            </w:r>
          </w:p>
        </w:tc>
      </w:tr>
      <w:tr>
        <w:trPr>
          <w:trHeight w:val="40"/>
        </w:trPr>
        <w:tc>
          <w:tcPr>
            <w:tcW w:w="320" w:type="dxa"/>
            <w:vAlign w:val="bottom"/>
            <w:tcBorders>
              <w:bottom w:val="single" w:sz="8" w:color="D9DDE1"/>
            </w:tcBorders>
          </w:tcPr>
          <w:p>
            <w:pPr>
              <w:spacing w:after="0"/>
              <w:rPr>
                <w:sz w:val="3"/>
                <w:szCs w:val="3"/>
                <w:color w:val="auto"/>
              </w:rPr>
            </w:pPr>
          </w:p>
        </w:tc>
        <w:tc>
          <w:tcPr>
            <w:tcW w:w="400" w:type="dxa"/>
            <w:vAlign w:val="bottom"/>
            <w:tcBorders>
              <w:bottom w:val="single" w:sz="8" w:color="D9DDE1"/>
            </w:tcBorders>
            <w:gridSpan w:val="2"/>
          </w:tcPr>
          <w:p>
            <w:pPr>
              <w:spacing w:after="0"/>
              <w:rPr>
                <w:sz w:val="3"/>
                <w:szCs w:val="3"/>
                <w:color w:val="auto"/>
              </w:rPr>
            </w:pPr>
          </w:p>
        </w:tc>
        <w:tc>
          <w:tcPr>
            <w:tcW w:w="1920" w:type="dxa"/>
            <w:vAlign w:val="bottom"/>
            <w:tcBorders>
              <w:bottom w:val="single" w:sz="8" w:color="D9DDE1"/>
            </w:tcBorders>
          </w:tcPr>
          <w:p>
            <w:pPr>
              <w:spacing w:after="0"/>
              <w:rPr>
                <w:sz w:val="3"/>
                <w:szCs w:val="3"/>
                <w:color w:val="auto"/>
              </w:rPr>
            </w:pPr>
          </w:p>
        </w:tc>
        <w:tc>
          <w:tcPr>
            <w:tcW w:w="1060" w:type="dxa"/>
            <w:vAlign w:val="bottom"/>
            <w:tcBorders>
              <w:bottom w:val="single" w:sz="8" w:color="D9DDE1"/>
            </w:tcBorders>
          </w:tcPr>
          <w:p>
            <w:pPr>
              <w:spacing w:after="0"/>
              <w:rPr>
                <w:sz w:val="3"/>
                <w:szCs w:val="3"/>
                <w:color w:val="auto"/>
              </w:rPr>
            </w:pPr>
          </w:p>
        </w:tc>
      </w:tr>
      <w:tr>
        <w:trPr>
          <w:trHeight w:val="237"/>
        </w:trPr>
        <w:tc>
          <w:tcPr>
            <w:tcW w:w="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Q4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PF):</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$15.86</w:t>
            </w:r>
          </w:p>
        </w:tc>
      </w:tr>
      <w:tr>
        <w:trPr>
          <w:trHeight w:val="270"/>
        </w:trPr>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60" w:type="dxa"/>
            <w:vAlign w:val="bottom"/>
            <w:gridSpan w:val="3"/>
          </w:tcPr>
          <w:p>
            <w:pPr>
              <w:spacing w:after="0"/>
              <w:rPr>
                <w:sz w:val="23"/>
                <w:szCs w:val="23"/>
                <w:color w:val="auto"/>
              </w:rPr>
            </w:pPr>
          </w:p>
        </w:tc>
      </w:tr>
      <w:tr>
        <w:trPr>
          <w:trHeight w:val="297"/>
        </w:trPr>
        <w:tc>
          <w:tcPr>
            <w:tcW w:w="320" w:type="dxa"/>
            <w:vAlign w:val="bottom"/>
            <w:shd w:val="clear" w:color="auto" w:fill="0F2F50"/>
          </w:tcPr>
          <w:p>
            <w:pPr>
              <w:spacing w:after="0"/>
              <w:rPr>
                <w:sz w:val="24"/>
                <w:szCs w:val="24"/>
                <w:color w:val="auto"/>
              </w:rPr>
            </w:pPr>
          </w:p>
        </w:tc>
        <w:tc>
          <w:tcPr>
            <w:tcW w:w="120" w:type="dxa"/>
            <w:vAlign w:val="bottom"/>
            <w:shd w:val="clear" w:color="auto" w:fill="0F2F50"/>
          </w:tcPr>
          <w:p>
            <w:pPr>
              <w:spacing w:after="0"/>
              <w:rPr>
                <w:sz w:val="24"/>
                <w:szCs w:val="24"/>
                <w:color w:val="auto"/>
              </w:rPr>
            </w:pPr>
          </w:p>
        </w:tc>
        <w:tc>
          <w:tcPr>
            <w:tcW w:w="3260" w:type="dxa"/>
            <w:vAlign w:val="bottom"/>
            <w:gridSpan w:val="3"/>
            <w:shd w:val="clear" w:color="auto" w:fill="0F2F50"/>
          </w:tcPr>
          <w:p>
            <w:pPr>
              <w:jc w:val="center"/>
              <w:ind w:right="350"/>
              <w:spacing w:after="0"/>
              <w:rPr>
                <w:sz w:val="20"/>
                <w:szCs w:val="20"/>
                <w:color w:val="auto"/>
              </w:rPr>
            </w:pPr>
            <w:r>
              <w:rPr>
                <w:rFonts w:ascii="Times New Roman" w:cs="Times New Roman" w:eastAsia="Times New Roman" w:hAnsi="Times New Roman"/>
                <w:sz w:val="18"/>
                <w:szCs w:val="18"/>
                <w:b w:val="1"/>
                <w:bCs w:val="1"/>
                <w:color w:val="FFFFFF"/>
                <w:w w:val="99"/>
              </w:rPr>
              <w:t>Dividends Declared (per share)</w:t>
            </w:r>
          </w:p>
        </w:tc>
      </w:tr>
      <w:tr>
        <w:trPr>
          <w:trHeight w:val="95"/>
        </w:trPr>
        <w:tc>
          <w:tcPr>
            <w:tcW w:w="320" w:type="dxa"/>
            <w:vAlign w:val="bottom"/>
            <w:shd w:val="clear" w:color="auto" w:fill="0F2F50"/>
          </w:tcPr>
          <w:p>
            <w:pPr>
              <w:spacing w:after="0"/>
              <w:rPr>
                <w:sz w:val="8"/>
                <w:szCs w:val="8"/>
                <w:color w:val="auto"/>
              </w:rPr>
            </w:pPr>
          </w:p>
        </w:tc>
        <w:tc>
          <w:tcPr>
            <w:tcW w:w="400" w:type="dxa"/>
            <w:vAlign w:val="bottom"/>
            <w:gridSpan w:val="2"/>
            <w:shd w:val="clear" w:color="auto" w:fill="0F2F50"/>
          </w:tcPr>
          <w:p>
            <w:pPr>
              <w:spacing w:after="0"/>
              <w:rPr>
                <w:sz w:val="8"/>
                <w:szCs w:val="8"/>
                <w:color w:val="auto"/>
              </w:rPr>
            </w:pPr>
          </w:p>
        </w:tc>
        <w:tc>
          <w:tcPr>
            <w:tcW w:w="1920" w:type="dxa"/>
            <w:vAlign w:val="bottom"/>
            <w:shd w:val="clear" w:color="auto" w:fill="0F2F50"/>
          </w:tcPr>
          <w:p>
            <w:pPr>
              <w:spacing w:after="0"/>
              <w:rPr>
                <w:sz w:val="8"/>
                <w:szCs w:val="8"/>
                <w:color w:val="auto"/>
              </w:rPr>
            </w:pPr>
          </w:p>
        </w:tc>
        <w:tc>
          <w:tcPr>
            <w:tcW w:w="1060" w:type="dxa"/>
            <w:vAlign w:val="bottom"/>
            <w:shd w:val="clear" w:color="auto" w:fill="0F2F50"/>
          </w:tcPr>
          <w:p>
            <w:pPr>
              <w:spacing w:after="0"/>
              <w:rPr>
                <w:sz w:val="8"/>
                <w:szCs w:val="8"/>
                <w:color w:val="auto"/>
              </w:rPr>
            </w:pPr>
          </w:p>
        </w:tc>
      </w:tr>
      <w:tr>
        <w:trPr>
          <w:trHeight w:val="257"/>
        </w:trPr>
        <w:tc>
          <w:tcPr>
            <w:tcW w:w="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Q4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$0.41</w:t>
            </w:r>
          </w:p>
        </w:tc>
      </w:tr>
      <w:tr>
        <w:trPr>
          <w:trHeight w:val="54"/>
        </w:trPr>
        <w:tc>
          <w:tcPr>
            <w:tcW w:w="440" w:type="dxa"/>
            <w:vAlign w:val="bottom"/>
            <w:tcBorders>
              <w:bottom w:val="single" w:sz="8" w:color="D9DDE1"/>
            </w:tcBorders>
            <w:gridSpan w:val="2"/>
          </w:tcPr>
          <w:p>
            <w:pPr>
              <w:spacing w:after="0"/>
              <w:rPr>
                <w:sz w:val="4"/>
                <w:szCs w:val="4"/>
                <w:color w:val="auto"/>
              </w:rPr>
            </w:pPr>
          </w:p>
        </w:tc>
        <w:tc>
          <w:tcPr>
            <w:tcW w:w="2200" w:type="dxa"/>
            <w:vAlign w:val="bottom"/>
            <w:tcBorders>
              <w:bottom w:val="single" w:sz="8" w:color="D9DDE1"/>
            </w:tcBorders>
            <w:gridSpan w:val="2"/>
          </w:tcPr>
          <w:p>
            <w:pPr>
              <w:spacing w:after="0"/>
              <w:rPr>
                <w:sz w:val="4"/>
                <w:szCs w:val="4"/>
                <w:color w:val="auto"/>
              </w:rPr>
            </w:pPr>
          </w:p>
        </w:tc>
        <w:tc>
          <w:tcPr>
            <w:tcW w:w="1060" w:type="dxa"/>
            <w:vAlign w:val="bottom"/>
            <w:tcBorders>
              <w:bottom w:val="single" w:sz="8" w:color="D9DDE1"/>
            </w:tcBorders>
          </w:tcPr>
          <w:p>
            <w:pPr>
              <w:spacing w:after="0"/>
              <w:rPr>
                <w:sz w:val="4"/>
                <w:szCs w:val="4"/>
                <w:color w:val="auto"/>
              </w:rPr>
            </w:pPr>
          </w:p>
        </w:tc>
      </w:tr>
      <w:tr>
        <w:trPr>
          <w:trHeight w:val="250"/>
        </w:trPr>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(Base):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r>
      <w:tr>
        <w:trPr>
          <w:trHeight w:val="54"/>
        </w:trPr>
        <w:tc>
          <w:tcPr>
            <w:tcW w:w="440" w:type="dxa"/>
            <w:vAlign w:val="bottom"/>
            <w:tcBorders>
              <w:bottom w:val="single" w:sz="8" w:color="D9DDE1"/>
            </w:tcBorders>
            <w:gridSpan w:val="2"/>
          </w:tcPr>
          <w:p>
            <w:pPr>
              <w:spacing w:after="0"/>
              <w:rPr>
                <w:sz w:val="4"/>
                <w:szCs w:val="4"/>
                <w:color w:val="auto"/>
              </w:rPr>
            </w:pPr>
          </w:p>
        </w:tc>
        <w:tc>
          <w:tcPr>
            <w:tcW w:w="2200" w:type="dxa"/>
            <w:vAlign w:val="bottom"/>
            <w:tcBorders>
              <w:bottom w:val="single" w:sz="8" w:color="D9DDE1"/>
            </w:tcBorders>
            <w:gridSpan w:val="2"/>
          </w:tcPr>
          <w:p>
            <w:pPr>
              <w:spacing w:after="0"/>
              <w:rPr>
                <w:sz w:val="4"/>
                <w:szCs w:val="4"/>
                <w:color w:val="auto"/>
              </w:rPr>
            </w:pPr>
          </w:p>
        </w:tc>
        <w:tc>
          <w:tcPr>
            <w:tcW w:w="1060" w:type="dxa"/>
            <w:vAlign w:val="bottom"/>
            <w:tcBorders>
              <w:bottom w:val="single" w:sz="8" w:color="D9DDE1"/>
            </w:tcBorders>
          </w:tcPr>
          <w:p>
            <w:pPr>
              <w:spacing w:after="0"/>
              <w:rPr>
                <w:sz w:val="4"/>
                <w:szCs w:val="4"/>
                <w:color w:val="auto"/>
              </w:rPr>
            </w:pPr>
          </w:p>
        </w:tc>
      </w:tr>
      <w:tr>
        <w:trPr>
          <w:trHeight w:val="250"/>
        </w:trPr>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(Supp/Special):</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$0.66</w:t>
            </w:r>
          </w:p>
        </w:tc>
      </w:tr>
      <w:tr>
        <w:trPr>
          <w:trHeight w:val="40"/>
        </w:trPr>
        <w:tc>
          <w:tcPr>
            <w:tcW w:w="440" w:type="dxa"/>
            <w:vAlign w:val="bottom"/>
            <w:tcBorders>
              <w:bottom w:val="single" w:sz="8" w:color="D9DDE1"/>
            </w:tcBorders>
            <w:gridSpan w:val="2"/>
          </w:tcPr>
          <w:p>
            <w:pPr>
              <w:spacing w:after="0"/>
              <w:rPr>
                <w:sz w:val="3"/>
                <w:szCs w:val="3"/>
                <w:color w:val="auto"/>
              </w:rPr>
            </w:pPr>
          </w:p>
        </w:tc>
        <w:tc>
          <w:tcPr>
            <w:tcW w:w="2200" w:type="dxa"/>
            <w:vAlign w:val="bottom"/>
            <w:tcBorders>
              <w:bottom w:val="single" w:sz="8" w:color="D9DDE1"/>
            </w:tcBorders>
            <w:gridSpan w:val="2"/>
          </w:tcPr>
          <w:p>
            <w:pPr>
              <w:spacing w:after="0"/>
              <w:rPr>
                <w:sz w:val="3"/>
                <w:szCs w:val="3"/>
                <w:color w:val="auto"/>
              </w:rPr>
            </w:pPr>
          </w:p>
        </w:tc>
        <w:tc>
          <w:tcPr>
            <w:tcW w:w="1060" w:type="dxa"/>
            <w:vAlign w:val="bottom"/>
            <w:tcBorders>
              <w:bottom w:val="single" w:sz="8" w:color="D9DDE1"/>
            </w:tcBorders>
          </w:tcPr>
          <w:p>
            <w:pPr>
              <w:spacing w:after="0"/>
              <w:rPr>
                <w:sz w:val="3"/>
                <w:szCs w:val="3"/>
                <w:color w:val="auto"/>
              </w:rPr>
            </w:pPr>
          </w:p>
        </w:tc>
      </w:tr>
      <w:tr>
        <w:trPr>
          <w:trHeight w:val="237"/>
        </w:trPr>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r>
    </w:tbl>
    <w:p>
      <w:pPr>
        <w:spacing w:after="0" w:line="200" w:lineRule="exact"/>
        <w:rPr>
          <w:sz w:val="20"/>
          <w:szCs w:val="20"/>
          <w:color w:val="auto"/>
        </w:rPr>
      </w:pPr>
    </w:p>
    <w:p>
      <w:pPr>
        <w:sectPr>
          <w:pgSz w:w="11900" w:h="16838" w:orient="portrait"/>
          <w:cols w:equalWidth="0" w:num="2">
            <w:col w:w="7200" w:space="340"/>
            <w:col w:w="3700"/>
          </w:cols>
          <w:pgMar w:left="320" w:top="117" w:right="339" w:bottom="1440" w:gutter="0" w:footer="0" w:header="0"/>
          <w:type w:val="continuous"/>
        </w:sectPr>
      </w:pPr>
    </w:p>
    <w:p>
      <w:pPr>
        <w:spacing w:after="0" w:line="295"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t>PORTFOLIO AND INVESTMENT ACTIVITY</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2020, new investment commitments totaled $1,184.7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compares to $1,233.5 million for the year ended December 31, 2019.</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the principal amount of new investments funded was $939.0 million in 31 new portfolio companies and 27 existing portfolio companies. For this period, the Company had $941.3 million aggregate principal amount in exits and repayments.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the principal amount of new investments funded was $1,087.6 million in 32 new portfolio companies and 14 existing portfolio companies. For this period, the Company had $575.2 million aggregate principal amount in exits and repayments.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quarter ended December 31, 2020, new investment commitments totaled $526.0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compares to $435.5 million for the quarter ended September 30, 2020.</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quarter ended December 31, 2020, the principal amount of new investments funded was $449.8 million in ten new portfolio companies and ten existing portfolio companies. For this period, the Company had $265.7 million aggregate principal amount in exits and repayments. For the quarter ended September 30, 2020, the principal amount of new investments funded was $332.3 million in twelve new portfolio companies and four existing portfolio companies. For this period, the Company had $253.1 million aggregate principal amount in exits and repayments.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2020 and September 30, 2020, the Company had investments in 70 portfolio companies with an aggregate fair value of $2,298.9 million and $2,100.8 million, respectively. As of December 31, 2020, the average investment size in each portfolio company was $32.8 million based on fair value.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2020, the Company’s portfolio based on fair value consisted of 95.6% first-lien debt investments, 0.2% second-lien debt investments, 0.5% mezzanine investments, and 3.7% equity and other investments. As of September 30, 2020, the Company’s portfolio based on fair value consisted of 95.0% first-lien debt investments, 0.4% second-lien debt investments, 0.5% mezzanine investments, and 4.1% equity and other investments.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2020 and September 30, 2020 approximately 95.8% and 95.4% of the portfolio was invested in secured debt, respectively.</w:t>
      </w:r>
    </w:p>
    <w:p>
      <w:pPr>
        <w:spacing w:after="0" w:line="5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As of December 31, 2020, 99.1% of debt investments based on fair value in the portfolio bore interest at floating rates (when including investment specific hedges), with 99.2% of these subject to LIBOR floors. The Company’s credit facilities also bear interest at floating rates. In connection with the Company’s Convertible Notes and other Notes, which bear interest at fixed rates, the Company entered into fixed-to-floating interest rate swaps in order to align the nature of the interest rates of its liabilities with its investment portfolio.</w:t>
      </w:r>
    </w:p>
    <w:p>
      <w:pPr>
        <w:spacing w:after="0" w:line="7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1.</w:t>
        <w:tab/>
        <w:t>Calculation includes income earning debt investments only.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7"/>
        </w:trPr>
        <w:tc>
          <w:tcPr>
            <w:tcW w:w="1440" w:type="dxa"/>
            <w:vAlign w:val="bottom"/>
            <w:shd w:val="clear" w:color="auto" w:fill="0F2F50"/>
          </w:tcPr>
          <w:p>
            <w:pPr>
              <w:spacing w:after="0"/>
              <w:rPr>
                <w:sz w:val="24"/>
                <w:szCs w:val="24"/>
                <w:color w:val="auto"/>
              </w:rPr>
            </w:pPr>
          </w:p>
        </w:tc>
        <w:tc>
          <w:tcPr>
            <w:tcW w:w="2260" w:type="dxa"/>
            <w:vAlign w:val="bottom"/>
            <w:shd w:val="clear" w:color="auto" w:fill="0F2F50"/>
          </w:tcPr>
          <w:p>
            <w:pPr>
              <w:jc w:val="right"/>
              <w:ind w:right="1590"/>
              <w:spacing w:after="0"/>
              <w:rPr>
                <w:sz w:val="20"/>
                <w:szCs w:val="20"/>
                <w:color w:val="auto"/>
              </w:rPr>
            </w:pPr>
            <w:r>
              <w:rPr>
                <w:rFonts w:ascii="Times New Roman" w:cs="Times New Roman" w:eastAsia="Times New Roman" w:hAnsi="Times New Roman"/>
                <w:sz w:val="18"/>
                <w:szCs w:val="18"/>
                <w:b w:val="1"/>
                <w:bCs w:val="1"/>
                <w:color w:val="FFFFFF"/>
              </w:rPr>
              <w:t>2020</w:t>
            </w:r>
          </w:p>
        </w:tc>
      </w:tr>
      <w:tr>
        <w:trPr>
          <w:trHeight w:val="94"/>
        </w:trPr>
        <w:tc>
          <w:tcPr>
            <w:tcW w:w="1440" w:type="dxa"/>
            <w:vAlign w:val="bottom"/>
            <w:shd w:val="clear" w:color="auto" w:fill="0F2F50"/>
          </w:tcPr>
          <w:p>
            <w:pPr>
              <w:spacing w:after="0"/>
              <w:rPr>
                <w:sz w:val="8"/>
                <w:szCs w:val="8"/>
                <w:color w:val="auto"/>
              </w:rPr>
            </w:pPr>
          </w:p>
        </w:tc>
        <w:tc>
          <w:tcPr>
            <w:tcW w:w="2260" w:type="dxa"/>
            <w:vAlign w:val="bottom"/>
            <w:shd w:val="clear" w:color="auto" w:fill="0F2F50"/>
          </w:tcPr>
          <w:p>
            <w:pPr>
              <w:spacing w:after="0"/>
              <w:rPr>
                <w:sz w:val="8"/>
                <w:szCs w:val="8"/>
                <w:color w:val="auto"/>
              </w:rPr>
            </w:pPr>
          </w:p>
        </w:tc>
      </w:tr>
      <w:tr>
        <w:trPr>
          <w:trHeight w:val="243"/>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226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$1,184.7MM</w:t>
            </w:r>
          </w:p>
        </w:tc>
      </w:tr>
      <w:tr>
        <w:trPr>
          <w:trHeight w:val="40"/>
        </w:trPr>
        <w:tc>
          <w:tcPr>
            <w:tcW w:w="1440" w:type="dxa"/>
            <w:vAlign w:val="bottom"/>
            <w:tcBorders>
              <w:bottom w:val="single" w:sz="8" w:color="E7E6E6"/>
            </w:tcBorders>
          </w:tcPr>
          <w:p>
            <w:pPr>
              <w:spacing w:after="0"/>
              <w:rPr>
                <w:sz w:val="3"/>
                <w:szCs w:val="3"/>
                <w:color w:val="auto"/>
              </w:rPr>
            </w:pPr>
          </w:p>
        </w:tc>
        <w:tc>
          <w:tcPr>
            <w:tcW w:w="2260" w:type="dxa"/>
            <w:vAlign w:val="bottom"/>
            <w:tcBorders>
              <w:bottom w:val="single" w:sz="8" w:color="E7E6E6"/>
            </w:tcBorders>
          </w:tcPr>
          <w:p>
            <w:pPr>
              <w:spacing w:after="0"/>
              <w:rPr>
                <w:sz w:val="3"/>
                <w:szCs w:val="3"/>
                <w:color w:val="auto"/>
              </w:rPr>
            </w:pPr>
          </w:p>
        </w:tc>
      </w:tr>
      <w:tr>
        <w:trPr>
          <w:trHeight w:val="263"/>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Fundings:</w:t>
            </w:r>
          </w:p>
        </w:tc>
        <w:tc>
          <w:tcPr>
            <w:tcW w:w="226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$939.0MM</w:t>
            </w:r>
          </w:p>
        </w:tc>
      </w:tr>
      <w:tr>
        <w:trPr>
          <w:trHeight w:val="54"/>
        </w:trPr>
        <w:tc>
          <w:tcPr>
            <w:tcW w:w="1440" w:type="dxa"/>
            <w:vAlign w:val="bottom"/>
            <w:tcBorders>
              <w:bottom w:val="single" w:sz="8" w:color="E7E6E6"/>
            </w:tcBorders>
          </w:tcPr>
          <w:p>
            <w:pPr>
              <w:spacing w:after="0"/>
              <w:rPr>
                <w:sz w:val="4"/>
                <w:szCs w:val="4"/>
                <w:color w:val="auto"/>
              </w:rPr>
            </w:pPr>
          </w:p>
        </w:tc>
        <w:tc>
          <w:tcPr>
            <w:tcW w:w="2260" w:type="dxa"/>
            <w:vAlign w:val="bottom"/>
            <w:tcBorders>
              <w:bottom w:val="single" w:sz="8" w:color="E7E6E6"/>
            </w:tcBorders>
          </w:tcPr>
          <w:p>
            <w:pPr>
              <w:spacing w:after="0"/>
              <w:rPr>
                <w:sz w:val="4"/>
                <w:szCs w:val="4"/>
                <w:color w:val="auto"/>
              </w:rPr>
            </w:pPr>
          </w:p>
        </w:tc>
      </w:tr>
      <w:tr>
        <w:trPr>
          <w:trHeight w:val="237"/>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Net Fundings:</w:t>
            </w:r>
          </w:p>
        </w:tc>
        <w:tc>
          <w:tcPr>
            <w:tcW w:w="226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$(2.3)MM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380" w:type="dxa"/>
            <w:vAlign w:val="bottom"/>
            <w:shd w:val="clear" w:color="auto" w:fill="0F2F50"/>
          </w:tcPr>
          <w:p>
            <w:pPr>
              <w:spacing w:after="0"/>
              <w:rPr>
                <w:sz w:val="24"/>
                <w:szCs w:val="24"/>
                <w:color w:val="auto"/>
              </w:rPr>
            </w:pPr>
          </w:p>
        </w:tc>
        <w:tc>
          <w:tcPr>
            <w:tcW w:w="2320" w:type="dxa"/>
            <w:vAlign w:val="bottom"/>
            <w:shd w:val="clear" w:color="auto" w:fill="0F2F50"/>
          </w:tcPr>
          <w:p>
            <w:pPr>
              <w:ind w:left="140"/>
              <w:spacing w:after="0"/>
              <w:rPr>
                <w:sz w:val="20"/>
                <w:szCs w:val="20"/>
                <w:color w:val="auto"/>
              </w:rPr>
            </w:pPr>
            <w:r>
              <w:rPr>
                <w:rFonts w:ascii="Times New Roman" w:cs="Times New Roman" w:eastAsia="Times New Roman" w:hAnsi="Times New Roman"/>
                <w:sz w:val="18"/>
                <w:szCs w:val="18"/>
                <w:b w:val="1"/>
                <w:bCs w:val="1"/>
                <w:color w:val="FFFFFF"/>
              </w:rPr>
              <w:t>Q4 2020</w:t>
            </w:r>
          </w:p>
        </w:tc>
      </w:tr>
      <w:tr>
        <w:trPr>
          <w:trHeight w:val="94"/>
        </w:trPr>
        <w:tc>
          <w:tcPr>
            <w:tcW w:w="1380" w:type="dxa"/>
            <w:vAlign w:val="bottom"/>
            <w:shd w:val="clear" w:color="auto" w:fill="0F2F50"/>
          </w:tcPr>
          <w:p>
            <w:pPr>
              <w:spacing w:after="0"/>
              <w:rPr>
                <w:sz w:val="8"/>
                <w:szCs w:val="8"/>
                <w:color w:val="auto"/>
              </w:rPr>
            </w:pPr>
          </w:p>
        </w:tc>
        <w:tc>
          <w:tcPr>
            <w:tcW w:w="2320" w:type="dxa"/>
            <w:vAlign w:val="bottom"/>
            <w:shd w:val="clear" w:color="auto" w:fill="0F2F50"/>
          </w:tcPr>
          <w:p>
            <w:pPr>
              <w:spacing w:after="0"/>
              <w:rPr>
                <w:sz w:val="8"/>
                <w:szCs w:val="8"/>
                <w:color w:val="auto"/>
              </w:rPr>
            </w:pPr>
          </w:p>
        </w:tc>
      </w:tr>
      <w:tr>
        <w:trPr>
          <w:trHeight w:val="243"/>
        </w:trPr>
        <w:tc>
          <w:tcPr>
            <w:tcW w:w="1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232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$526.0MM</w:t>
            </w:r>
          </w:p>
        </w:tc>
      </w:tr>
      <w:tr>
        <w:trPr>
          <w:trHeight w:val="27"/>
        </w:trPr>
        <w:tc>
          <w:tcPr>
            <w:tcW w:w="1380" w:type="dxa"/>
            <w:vAlign w:val="bottom"/>
            <w:tcBorders>
              <w:bottom w:val="single" w:sz="8" w:color="E7E6E6"/>
            </w:tcBorders>
          </w:tcPr>
          <w:p>
            <w:pPr>
              <w:spacing w:after="0"/>
              <w:rPr>
                <w:sz w:val="2"/>
                <w:szCs w:val="2"/>
                <w:color w:val="auto"/>
              </w:rPr>
            </w:pPr>
          </w:p>
        </w:tc>
        <w:tc>
          <w:tcPr>
            <w:tcW w:w="2320" w:type="dxa"/>
            <w:vAlign w:val="bottom"/>
            <w:tcBorders>
              <w:bottom w:val="single" w:sz="8" w:color="E7E6E6"/>
            </w:tcBorders>
          </w:tcPr>
          <w:p>
            <w:pPr>
              <w:spacing w:after="0"/>
              <w:rPr>
                <w:sz w:val="2"/>
                <w:szCs w:val="2"/>
                <w:color w:val="auto"/>
              </w:rPr>
            </w:pPr>
          </w:p>
        </w:tc>
      </w:tr>
      <w:tr>
        <w:trPr>
          <w:trHeight w:val="237"/>
        </w:trPr>
        <w:tc>
          <w:tcPr>
            <w:tcW w:w="1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Fundings:</w:t>
            </w:r>
          </w:p>
        </w:tc>
        <w:tc>
          <w:tcPr>
            <w:tcW w:w="232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$449.8MM</w:t>
            </w:r>
          </w:p>
        </w:tc>
      </w:tr>
      <w:tr>
        <w:trPr>
          <w:trHeight w:val="27"/>
        </w:trPr>
        <w:tc>
          <w:tcPr>
            <w:tcW w:w="1380" w:type="dxa"/>
            <w:vAlign w:val="bottom"/>
            <w:tcBorders>
              <w:bottom w:val="single" w:sz="8" w:color="E7E6E6"/>
            </w:tcBorders>
          </w:tcPr>
          <w:p>
            <w:pPr>
              <w:spacing w:after="0"/>
              <w:rPr>
                <w:sz w:val="2"/>
                <w:szCs w:val="2"/>
                <w:color w:val="auto"/>
              </w:rPr>
            </w:pPr>
          </w:p>
        </w:tc>
        <w:tc>
          <w:tcPr>
            <w:tcW w:w="2320" w:type="dxa"/>
            <w:vAlign w:val="bottom"/>
            <w:tcBorders>
              <w:bottom w:val="single" w:sz="8" w:color="E7E6E6"/>
            </w:tcBorders>
          </w:tcPr>
          <w:p>
            <w:pPr>
              <w:spacing w:after="0"/>
              <w:rPr>
                <w:sz w:val="2"/>
                <w:szCs w:val="2"/>
                <w:color w:val="auto"/>
              </w:rPr>
            </w:pPr>
          </w:p>
        </w:tc>
      </w:tr>
      <w:tr>
        <w:trPr>
          <w:trHeight w:val="237"/>
        </w:trPr>
        <w:tc>
          <w:tcPr>
            <w:tcW w:w="1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Net Fundings:</w:t>
            </w:r>
          </w:p>
        </w:tc>
        <w:tc>
          <w:tcPr>
            <w:tcW w:w="232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$184.1MM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634365</wp:posOffset>
            </wp:positionV>
            <wp:extent cx="2348865" cy="2489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Average Investment Size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$32.8MM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(1.4% of the portfolio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177165</wp:posOffset>
            </wp:positionV>
            <wp:extent cx="2348865" cy="248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First Lien Debt Investments (% FV)</w:t>
      </w:r>
    </w:p>
    <w:p>
      <w:pPr>
        <w:spacing w:after="0" w:line="18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95.6%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234315</wp:posOffset>
            </wp:positionV>
            <wp:extent cx="2348865" cy="248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Secured Debt Investments (% FV)</w:t>
      </w:r>
    </w:p>
    <w:p>
      <w:pPr>
        <w:spacing w:after="0" w:line="18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95.8%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234315</wp:posOffset>
            </wp:positionV>
            <wp:extent cx="2348865"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48865" cy="30861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Floating Rate Debt Investments</w:t>
      </w:r>
      <w:r>
        <w:rPr>
          <w:rFonts w:ascii="Times New Roman" w:cs="Times New Roman" w:eastAsia="Times New Roman" w:hAnsi="Times New Roman"/>
          <w:sz w:val="15"/>
          <w:szCs w:val="15"/>
          <w:b w:val="1"/>
          <w:bCs w:val="1"/>
          <w:color w:val="FFFFFF"/>
        </w:rPr>
        <w:t>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 FV)</w:t>
      </w:r>
    </w:p>
    <w:p>
      <w:pPr>
        <w:spacing w:after="0" w:line="9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99.1%</w:t>
      </w:r>
    </w:p>
    <w:p>
      <w:pPr>
        <w:spacing w:after="0" w:line="200" w:lineRule="exact"/>
        <w:rPr>
          <w:sz w:val="20"/>
          <w:szCs w:val="20"/>
          <w:color w:val="auto"/>
        </w:rPr>
      </w:pPr>
    </w:p>
    <w:p>
      <w:pPr>
        <w:sectPr>
          <w:pgSz w:w="11900" w:h="16838" w:orient="portrait"/>
          <w:cols w:equalWidth="0" w:num="2">
            <w:col w:w="7200" w:space="340"/>
            <w:col w:w="3700"/>
          </w:cols>
          <w:pgMar w:left="320" w:top="12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t xml:space="preserve">PORTFOLIO AND INVESTMENT ACTIVITY </w:t>
      </w:r>
      <w:r>
        <w:rPr>
          <w:rFonts w:ascii="Times New Roman" w:cs="Times New Roman" w:eastAsia="Times New Roman" w:hAnsi="Times New Roman"/>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2020 and September 30, 2020, the weighted average total yield of debt and income-producing securities at fair value (which includes interest income and amortization of fees and discounts) was 10.0% and 10.1%, respectively, and the weighted average total yield of debt and income-producing securities at amortized cost (which includes interest income and amortization of fees and discounts) was 10.2% for both periods.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2020, 99.1% of the portfolio at fair value was meeting all payment and covenant requirements, flat from the prior quarter. This quarter’s non-accruals were driven by the addition of the Company’s first lien loan in American Achievement, a company that manufactures and supplies yearbooks, class rings and graduation products. This addition was offset by the removal of the MD America first lien term loan and J.C. Penney prepetition securities due to each company’s emergence from Chapter 11 bankruptcy.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Weighted Average Yield of Debt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-133985</wp:posOffset>
            </wp:positionV>
            <wp:extent cx="2348865"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48865" cy="30861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Incoming-Producing Securities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Yield at Fair Value:</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81"/>
        </w:trPr>
        <w:tc>
          <w:tcPr>
            <w:tcW w:w="2480" w:type="dxa"/>
            <w:vAlign w:val="bottom"/>
            <w:tcBorders>
              <w:bottom w:val="single" w:sz="8" w:color="D9DDE1"/>
            </w:tcBorders>
          </w:tcPr>
          <w:p>
            <w:pPr>
              <w:spacing w:after="0"/>
              <w:rPr>
                <w:sz w:val="7"/>
                <w:szCs w:val="7"/>
                <w:color w:val="auto"/>
              </w:rPr>
            </w:pPr>
          </w:p>
        </w:tc>
        <w:tc>
          <w:tcPr>
            <w:tcW w:w="1220" w:type="dxa"/>
            <w:vAlign w:val="bottom"/>
            <w:tcBorders>
              <w:bottom w:val="single" w:sz="8" w:color="D9DDE1"/>
            </w:tcBorders>
          </w:tcPr>
          <w:p>
            <w:pPr>
              <w:spacing w:after="0"/>
              <w:rPr>
                <w:sz w:val="7"/>
                <w:szCs w:val="7"/>
                <w:color w:val="auto"/>
              </w:rPr>
            </w:pPr>
          </w:p>
        </w:tc>
      </w:tr>
      <w:tr>
        <w:trPr>
          <w:trHeight w:val="290"/>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Yield at Amortized Cost: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10.2%</w:t>
            </w:r>
          </w:p>
        </w:tc>
      </w:tr>
    </w:tbl>
    <w:p>
      <w:pPr>
        <w:spacing w:after="0" w:line="1614" w:lineRule="exact"/>
        <w:rPr>
          <w:sz w:val="20"/>
          <w:szCs w:val="20"/>
          <w:color w:val="auto"/>
        </w:rPr>
      </w:pPr>
    </w:p>
    <w:p>
      <w:pPr>
        <w:sectPr>
          <w:pgSz w:w="11900" w:h="16838" w:orient="portrait"/>
          <w:cols w:equalWidth="0" w:num="2">
            <w:col w:w="7200" w:space="340"/>
            <w:col w:w="3700"/>
          </w:cols>
          <w:pgMar w:left="320" w:top="12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6" w:name="page7"/>
    <w:bookmarkEnd w:id="6"/>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b w:val="1"/>
          <w:bCs w:val="1"/>
          <w:color w:val="auto"/>
        </w:rPr>
        <w:t>RESULTS OF OPERATIONS FOR THE FULL YEAR AND THE THREE MONTHS ENDED DECEMBER 31, 2020</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2020 and 2019, investment income totaled $270.0 million and $251.5 million, respectively. The increase in investment income was primarily driven by an increase in accelerated amortization of upfront fees and prepayment fees due to a higher number of paydowns, coupled with robust other fee income.</w:t>
      </w:r>
    </w:p>
    <w:p>
      <w:pPr>
        <w:spacing w:after="0" w:line="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expenses totaled $117.3 million and $119.4 million for the years ended December 31, 2020 and 2019, respectively. This decrease in net expenses was primarily driven by lower interest expense resulting from the impact of a decrease in LIBOR on the Company’s 100% floating rate liability structure.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w:t>
      </w:r>
    </w:p>
    <w:p>
      <w:pPr>
        <w:spacing w:after="0" w:line="6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2020 and 2019, investment income totaled $62.2 million and $66.5 million, respectively. The decrease in total investment income resulted from a decrease in total interest from investments and other income.</w:t>
      </w:r>
    </w:p>
    <w:p>
      <w:pPr>
        <w:spacing w:after="0" w:line="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expenses totaled $27.7 million and $31.9 million for the three months ended December 31, 2020 and 2019, respectively. The decrease in expenses was primarily driven by lower interest expense resulting from a decrease in the average interest rate on debt outstanding.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Capital Resources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2020, the Company had $13.3 million in cash and cash equivalents (including $10.8 million of restricted cash), total principal value of debt outstanding of $1,112.6 million, and $862.7 million of undrawn capacity on its revolving credit facility, subject to borrowing base and other limitations. The Company’s weighted average interest rate on debt outstanding was 2.3% and 2.4% for the three months ended December 31, 2020 and September 30, 2020, respectively. At December 31, 2020, the Company’s debt to equity ratio was 0.95x, compared to 0.81x at September 30, 2020. Average debt to equity was 0.87x and 0.93x during the three months ended December 31, 2020 and September 30, 2020, respectively.</w:t>
      </w:r>
    </w:p>
    <w:p>
      <w:pPr>
        <w:spacing w:after="0" w:line="174"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Pro-forma for unsettled trade receivables of $11.8 million at December 31, 2020.</w:t>
      </w:r>
    </w:p>
    <w:p>
      <w:pPr>
        <w:spacing w:after="0" w:line="3" w:lineRule="exact"/>
        <w:rPr>
          <w:rFonts w:ascii="Times New Roman" w:cs="Times New Roman" w:eastAsia="Times New Roman" w:hAnsi="Times New Roman"/>
          <w:sz w:val="14"/>
          <w:szCs w:val="14"/>
          <w:color w:val="auto"/>
        </w:rPr>
      </w:pPr>
    </w:p>
    <w:p>
      <w:pPr>
        <w:jc w:val="both"/>
        <w:ind w:left="260" w:right="20" w:hanging="252"/>
        <w:spacing w:after="0" w:line="233" w:lineRule="auto"/>
        <w:tabs>
          <w:tab w:leader="none" w:pos="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Daily average debt outstanding during the quarter divided by the daily average net assets during the quarter. Daily average net assets is calculated by starting with the prior quarter end net asset value and adjusting for capital activity during the quarter (adding common stock offerings / DRIP contributions).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7"/>
        </w:trPr>
        <w:tc>
          <w:tcPr>
            <w:tcW w:w="2400" w:type="dxa"/>
            <w:vAlign w:val="bottom"/>
            <w:shd w:val="clear" w:color="auto" w:fill="0F2F50"/>
          </w:tcPr>
          <w:p>
            <w:pPr>
              <w:jc w:val="right"/>
              <w:ind w:right="290"/>
              <w:spacing w:after="0"/>
              <w:rPr>
                <w:sz w:val="20"/>
                <w:szCs w:val="20"/>
                <w:color w:val="auto"/>
              </w:rPr>
            </w:pPr>
            <w:r>
              <w:rPr>
                <w:rFonts w:ascii="Times New Roman" w:cs="Times New Roman" w:eastAsia="Times New Roman" w:hAnsi="Times New Roman"/>
                <w:sz w:val="18"/>
                <w:szCs w:val="18"/>
                <w:b w:val="1"/>
                <w:bCs w:val="1"/>
                <w:color w:val="FFFFFF"/>
              </w:rPr>
              <w:t>2020</w:t>
            </w:r>
          </w:p>
        </w:tc>
        <w:tc>
          <w:tcPr>
            <w:tcW w:w="1300" w:type="dxa"/>
            <w:vAlign w:val="bottom"/>
            <w:shd w:val="clear" w:color="auto" w:fill="0F2F50"/>
          </w:tcPr>
          <w:p>
            <w:pPr>
              <w:spacing w:after="0"/>
              <w:rPr>
                <w:sz w:val="24"/>
                <w:szCs w:val="24"/>
                <w:color w:val="auto"/>
              </w:rPr>
            </w:pPr>
          </w:p>
        </w:tc>
      </w:tr>
      <w:tr>
        <w:trPr>
          <w:trHeight w:val="94"/>
        </w:trPr>
        <w:tc>
          <w:tcPr>
            <w:tcW w:w="2400" w:type="dxa"/>
            <w:vAlign w:val="bottom"/>
            <w:shd w:val="clear" w:color="auto" w:fill="0F2F50"/>
          </w:tcPr>
          <w:p>
            <w:pPr>
              <w:spacing w:after="0"/>
              <w:rPr>
                <w:sz w:val="8"/>
                <w:szCs w:val="8"/>
                <w:color w:val="auto"/>
              </w:rPr>
            </w:pPr>
          </w:p>
        </w:tc>
        <w:tc>
          <w:tcPr>
            <w:tcW w:w="1300" w:type="dxa"/>
            <w:vAlign w:val="bottom"/>
            <w:shd w:val="clear" w:color="auto" w:fill="0F2F50"/>
          </w:tcPr>
          <w:p>
            <w:pPr>
              <w:spacing w:after="0"/>
              <w:rPr>
                <w:sz w:val="8"/>
                <w:szCs w:val="8"/>
                <w:color w:val="auto"/>
              </w:rPr>
            </w:pPr>
          </w:p>
        </w:tc>
      </w:tr>
      <w:tr>
        <w:trPr>
          <w:trHeight w:val="338"/>
        </w:trPr>
        <w:tc>
          <w:tcPr>
            <w:tcW w:w="2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$270.0MM</w:t>
            </w:r>
          </w:p>
        </w:tc>
      </w:tr>
      <w:tr>
        <w:trPr>
          <w:trHeight w:val="135"/>
        </w:trPr>
        <w:tc>
          <w:tcPr>
            <w:tcW w:w="2400" w:type="dxa"/>
            <w:vAlign w:val="bottom"/>
            <w:tcBorders>
              <w:bottom w:val="single" w:sz="8" w:color="E7E6E6"/>
            </w:tcBorders>
          </w:tcPr>
          <w:p>
            <w:pPr>
              <w:spacing w:after="0"/>
              <w:rPr>
                <w:sz w:val="11"/>
                <w:szCs w:val="11"/>
                <w:color w:val="auto"/>
              </w:rPr>
            </w:pPr>
          </w:p>
        </w:tc>
        <w:tc>
          <w:tcPr>
            <w:tcW w:w="1300" w:type="dxa"/>
            <w:vAlign w:val="bottom"/>
            <w:tcBorders>
              <w:bottom w:val="single" w:sz="8" w:color="E7E6E6"/>
            </w:tcBorders>
          </w:tcPr>
          <w:p>
            <w:pPr>
              <w:spacing w:after="0"/>
              <w:rPr>
                <w:sz w:val="11"/>
                <w:szCs w:val="11"/>
                <w:color w:val="auto"/>
              </w:rPr>
            </w:pPr>
          </w:p>
        </w:tc>
      </w:tr>
      <w:tr>
        <w:trPr>
          <w:trHeight w:val="237"/>
        </w:trPr>
        <w:tc>
          <w:tcPr>
            <w:tcW w:w="2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$117.3MM</w:t>
            </w:r>
          </w:p>
        </w:tc>
      </w:tr>
      <w:tr>
        <w:trPr>
          <w:trHeight w:val="270"/>
        </w:trPr>
        <w:tc>
          <w:tcPr>
            <w:tcW w:w="2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97"/>
        </w:trPr>
        <w:tc>
          <w:tcPr>
            <w:tcW w:w="2400" w:type="dxa"/>
            <w:vAlign w:val="bottom"/>
            <w:shd w:val="clear" w:color="auto" w:fill="0F2F50"/>
          </w:tcPr>
          <w:p>
            <w:pPr>
              <w:jc w:val="center"/>
              <w:ind w:left="1190"/>
              <w:spacing w:after="0"/>
              <w:rPr>
                <w:sz w:val="20"/>
                <w:szCs w:val="20"/>
                <w:color w:val="auto"/>
              </w:rPr>
            </w:pPr>
            <w:r>
              <w:rPr>
                <w:rFonts w:ascii="Times New Roman" w:cs="Times New Roman" w:eastAsia="Times New Roman" w:hAnsi="Times New Roman"/>
                <w:sz w:val="18"/>
                <w:szCs w:val="18"/>
                <w:b w:val="1"/>
                <w:bCs w:val="1"/>
                <w:color w:val="FFFFFF"/>
              </w:rPr>
              <w:t>Q4 2020</w:t>
            </w:r>
          </w:p>
        </w:tc>
        <w:tc>
          <w:tcPr>
            <w:tcW w:w="1300" w:type="dxa"/>
            <w:vAlign w:val="bottom"/>
            <w:shd w:val="clear" w:color="auto" w:fill="0F2F50"/>
          </w:tcPr>
          <w:p>
            <w:pPr>
              <w:spacing w:after="0"/>
              <w:rPr>
                <w:sz w:val="24"/>
                <w:szCs w:val="24"/>
                <w:color w:val="auto"/>
              </w:rPr>
            </w:pPr>
          </w:p>
        </w:tc>
      </w:tr>
      <w:tr>
        <w:trPr>
          <w:trHeight w:val="94"/>
        </w:trPr>
        <w:tc>
          <w:tcPr>
            <w:tcW w:w="2400" w:type="dxa"/>
            <w:vAlign w:val="bottom"/>
            <w:shd w:val="clear" w:color="auto" w:fill="0F2F50"/>
          </w:tcPr>
          <w:p>
            <w:pPr>
              <w:spacing w:after="0"/>
              <w:rPr>
                <w:sz w:val="8"/>
                <w:szCs w:val="8"/>
                <w:color w:val="auto"/>
              </w:rPr>
            </w:pPr>
          </w:p>
        </w:tc>
        <w:tc>
          <w:tcPr>
            <w:tcW w:w="1300" w:type="dxa"/>
            <w:vAlign w:val="bottom"/>
            <w:shd w:val="clear" w:color="auto" w:fill="0F2F50"/>
          </w:tcPr>
          <w:p>
            <w:pPr>
              <w:spacing w:after="0"/>
              <w:rPr>
                <w:sz w:val="8"/>
                <w:szCs w:val="8"/>
                <w:color w:val="auto"/>
              </w:rPr>
            </w:pPr>
          </w:p>
        </w:tc>
      </w:tr>
      <w:tr>
        <w:trPr>
          <w:trHeight w:val="257"/>
        </w:trPr>
        <w:tc>
          <w:tcPr>
            <w:tcW w:w="2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$62.2MM</w:t>
            </w:r>
          </w:p>
        </w:tc>
      </w:tr>
      <w:tr>
        <w:trPr>
          <w:trHeight w:val="40"/>
        </w:trPr>
        <w:tc>
          <w:tcPr>
            <w:tcW w:w="2400" w:type="dxa"/>
            <w:vAlign w:val="bottom"/>
            <w:tcBorders>
              <w:bottom w:val="single" w:sz="8" w:color="E7E6E6"/>
            </w:tcBorders>
          </w:tcPr>
          <w:p>
            <w:pPr>
              <w:spacing w:after="0"/>
              <w:rPr>
                <w:sz w:val="3"/>
                <w:szCs w:val="3"/>
                <w:color w:val="auto"/>
              </w:rPr>
            </w:pPr>
          </w:p>
        </w:tc>
        <w:tc>
          <w:tcPr>
            <w:tcW w:w="1300" w:type="dxa"/>
            <w:vAlign w:val="bottom"/>
            <w:tcBorders>
              <w:bottom w:val="single" w:sz="8" w:color="E7E6E6"/>
            </w:tcBorders>
          </w:tcPr>
          <w:p>
            <w:pPr>
              <w:spacing w:after="0"/>
              <w:rPr>
                <w:sz w:val="3"/>
                <w:szCs w:val="3"/>
                <w:color w:val="auto"/>
              </w:rPr>
            </w:pPr>
          </w:p>
        </w:tc>
      </w:tr>
      <w:tr>
        <w:trPr>
          <w:trHeight w:val="237"/>
        </w:trPr>
        <w:tc>
          <w:tcPr>
            <w:tcW w:w="2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$27.7MM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325755</wp:posOffset>
            </wp:positionV>
            <wp:extent cx="2348865" cy="248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Total Principal Debt Outstanding</w:t>
      </w:r>
    </w:p>
    <w:p>
      <w:pPr>
        <w:spacing w:after="0" w:line="18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$1,112.6MM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234315</wp:posOffset>
            </wp:positionV>
            <wp:extent cx="2348865" cy="2482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48865" cy="24828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FFFFFF"/>
        </w:rPr>
        <w:t>Debt-to-Equity Ratio</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Q4</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2020 Quarter End</w:t>
            </w:r>
            <w:r>
              <w:rPr>
                <w:rFonts w:ascii="Times New Roman" w:cs="Times New Roman" w:eastAsia="Times New Roman" w:hAnsi="Times New Roman"/>
                <w:sz w:val="15"/>
                <w:szCs w:val="15"/>
                <w:b w:val="1"/>
                <w:bCs w:val="1"/>
                <w:color w:val="auto"/>
              </w:rPr>
              <w:t>1</w:t>
            </w:r>
            <w:r>
              <w:rPr>
                <w:rFonts w:ascii="Times New Roman" w:cs="Times New Roman" w:eastAsia="Times New Roman" w:hAnsi="Times New Roman"/>
                <w:sz w:val="18"/>
                <w:szCs w:val="18"/>
                <w:b w:val="1"/>
                <w:bCs w:val="1"/>
                <w:color w:val="auto"/>
              </w:rPr>
              <w:t>:</w:t>
            </w:r>
          </w:p>
        </w:tc>
        <w:tc>
          <w:tcPr>
            <w:tcW w:w="12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0.95x</w:t>
            </w:r>
          </w:p>
        </w:tc>
      </w:tr>
      <w:tr>
        <w:trPr>
          <w:trHeight w:val="40"/>
        </w:trPr>
        <w:tc>
          <w:tcPr>
            <w:tcW w:w="2460" w:type="dxa"/>
            <w:vAlign w:val="bottom"/>
            <w:tcBorders>
              <w:bottom w:val="single" w:sz="8" w:color="D9DDE1"/>
            </w:tcBorders>
            <w:gridSpan w:val="2"/>
          </w:tcPr>
          <w:p>
            <w:pPr>
              <w:spacing w:after="0"/>
              <w:rPr>
                <w:sz w:val="3"/>
                <w:szCs w:val="3"/>
                <w:color w:val="auto"/>
              </w:rPr>
            </w:pPr>
          </w:p>
        </w:tc>
        <w:tc>
          <w:tcPr>
            <w:tcW w:w="1240" w:type="dxa"/>
            <w:vAlign w:val="bottom"/>
            <w:tcBorders>
              <w:bottom w:val="single" w:sz="8" w:color="D9DDE1"/>
            </w:tcBorders>
          </w:tcPr>
          <w:p>
            <w:pPr>
              <w:spacing w:after="0"/>
              <w:rPr>
                <w:sz w:val="3"/>
                <w:szCs w:val="3"/>
                <w:color w:val="auto"/>
              </w:rPr>
            </w:pPr>
          </w:p>
        </w:tc>
      </w:tr>
      <w:tr>
        <w:trPr>
          <w:trHeight w:val="250"/>
        </w:trPr>
        <w:tc>
          <w:tcPr>
            <w:tcW w:w="2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2020 Average</w:t>
            </w:r>
            <w:r>
              <w:rPr>
                <w:rFonts w:ascii="Times New Roman" w:cs="Times New Roman" w:eastAsia="Times New Roman" w:hAnsi="Times New Roman"/>
                <w:sz w:val="15"/>
                <w:szCs w:val="15"/>
                <w:b w:val="1"/>
                <w:bCs w:val="1"/>
                <w:color w:val="auto"/>
              </w:rPr>
              <w:t>2</w:t>
            </w:r>
            <w:r>
              <w:rPr>
                <w:rFonts w:ascii="Times New Roman" w:cs="Times New Roman" w:eastAsia="Times New Roman" w:hAnsi="Times New Roman"/>
                <w:sz w:val="18"/>
                <w:szCs w:val="18"/>
                <w:b w:val="1"/>
                <w:bCs w:val="1"/>
                <w:color w:val="auto"/>
              </w:rPr>
              <w:t>:</w:t>
            </w:r>
          </w:p>
        </w:tc>
        <w:tc>
          <w:tcPr>
            <w:tcW w:w="12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0.91x</w:t>
            </w:r>
          </w:p>
        </w:tc>
      </w:tr>
      <w:tr>
        <w:trPr>
          <w:trHeight w:val="40"/>
        </w:trPr>
        <w:tc>
          <w:tcPr>
            <w:tcW w:w="320" w:type="dxa"/>
            <w:vAlign w:val="bottom"/>
            <w:tcBorders>
              <w:bottom w:val="single" w:sz="8" w:color="D9DDE1"/>
            </w:tcBorders>
          </w:tcPr>
          <w:p>
            <w:pPr>
              <w:spacing w:after="0"/>
              <w:rPr>
                <w:sz w:val="3"/>
                <w:szCs w:val="3"/>
                <w:color w:val="auto"/>
              </w:rPr>
            </w:pPr>
          </w:p>
        </w:tc>
        <w:tc>
          <w:tcPr>
            <w:tcW w:w="2140" w:type="dxa"/>
            <w:vAlign w:val="bottom"/>
            <w:tcBorders>
              <w:bottom w:val="single" w:sz="8" w:color="D9DDE1"/>
            </w:tcBorders>
          </w:tcPr>
          <w:p>
            <w:pPr>
              <w:spacing w:after="0"/>
              <w:rPr>
                <w:sz w:val="3"/>
                <w:szCs w:val="3"/>
                <w:color w:val="auto"/>
              </w:rPr>
            </w:pPr>
          </w:p>
        </w:tc>
        <w:tc>
          <w:tcPr>
            <w:tcW w:w="1240" w:type="dxa"/>
            <w:vAlign w:val="bottom"/>
            <w:tcBorders>
              <w:bottom w:val="single" w:sz="8" w:color="D9DDE1"/>
            </w:tcBorders>
          </w:tcPr>
          <w:p>
            <w:pPr>
              <w:spacing w:after="0"/>
              <w:rPr>
                <w:sz w:val="3"/>
                <w:szCs w:val="3"/>
                <w:color w:val="auto"/>
              </w:rPr>
            </w:pPr>
          </w:p>
        </w:tc>
      </w:tr>
      <w:tr>
        <w:trPr>
          <w:trHeight w:val="291"/>
        </w:trPr>
        <w:tc>
          <w:tcPr>
            <w:tcW w:w="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Q4</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2020 Average</w:t>
            </w:r>
            <w:r>
              <w:rPr>
                <w:rFonts w:ascii="Times New Roman" w:cs="Times New Roman" w:eastAsia="Times New Roman" w:hAnsi="Times New Roman"/>
                <w:sz w:val="15"/>
                <w:szCs w:val="15"/>
                <w:b w:val="1"/>
                <w:bCs w:val="1"/>
                <w:color w:val="auto"/>
              </w:rPr>
              <w:t>2</w:t>
            </w:r>
            <w:r>
              <w:rPr>
                <w:rFonts w:ascii="Times New Roman" w:cs="Times New Roman" w:eastAsia="Times New Roman" w:hAnsi="Times New Roman"/>
                <w:sz w:val="18"/>
                <w:szCs w:val="18"/>
                <w:b w:val="1"/>
                <w:bCs w:val="1"/>
                <w:color w:val="auto"/>
              </w:rPr>
              <w:t>:</w:t>
            </w:r>
          </w:p>
        </w:tc>
        <w:tc>
          <w:tcPr>
            <w:tcW w:w="12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0.87x</w:t>
            </w:r>
          </w:p>
        </w:tc>
      </w:tr>
    </w:tbl>
    <w:p>
      <w:pPr>
        <w:spacing w:after="0" w:line="1944" w:lineRule="exact"/>
        <w:rPr>
          <w:sz w:val="20"/>
          <w:szCs w:val="20"/>
          <w:color w:val="auto"/>
        </w:rPr>
      </w:pPr>
    </w:p>
    <w:p>
      <w:pPr>
        <w:sectPr>
          <w:pgSz w:w="11900" w:h="16838" w:orient="portrait"/>
          <w:cols w:equalWidth="0" w:num="2">
            <w:col w:w="7200" w:space="340"/>
            <w:col w:w="370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11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LIQUIDITY AND FUNDING PROFILE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liquidity at December 31, 2020 and changes to unfunded commitments since September 30,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60" w:type="dxa"/>
            <w:vAlign w:val="bottom"/>
            <w:shd w:val="clear" w:color="auto" w:fill="0F2F50"/>
          </w:tcPr>
          <w:p>
            <w:pPr>
              <w:ind w:left="1780"/>
              <w:spacing w:after="0"/>
              <w:rPr>
                <w:sz w:val="20"/>
                <w:szCs w:val="20"/>
                <w:color w:val="auto"/>
              </w:rPr>
            </w:pPr>
            <w:r>
              <w:rPr>
                <w:rFonts w:ascii="Times New Roman" w:cs="Times New Roman" w:eastAsia="Times New Roman" w:hAnsi="Times New Roman"/>
                <w:sz w:val="18"/>
                <w:szCs w:val="18"/>
                <w:b w:val="1"/>
                <w:bCs w:val="1"/>
                <w:color w:val="FFFFFF"/>
              </w:rPr>
              <w:t>Revolving Credit Facility</w:t>
            </w:r>
            <w:r>
              <w:rPr>
                <w:rFonts w:ascii="Times New Roman" w:cs="Times New Roman" w:eastAsia="Times New Roman" w:hAnsi="Times New Roman"/>
                <w:sz w:val="15"/>
                <w:szCs w:val="15"/>
                <w:b w:val="1"/>
                <w:bCs w:val="1"/>
                <w:color w:val="FFFFFF"/>
              </w:rPr>
              <w:t>1</w:t>
            </w:r>
          </w:p>
        </w:tc>
        <w:tc>
          <w:tcPr>
            <w:tcW w:w="1100" w:type="dxa"/>
            <w:vAlign w:val="bottom"/>
            <w:shd w:val="clear" w:color="auto" w:fill="0F2F50"/>
          </w:tcPr>
          <w:p>
            <w:pPr>
              <w:spacing w:after="0"/>
              <w:rPr>
                <w:sz w:val="23"/>
                <w:szCs w:val="23"/>
                <w:color w:val="auto"/>
              </w:rPr>
            </w:pPr>
          </w:p>
        </w:tc>
        <w:tc>
          <w:tcPr>
            <w:tcW w:w="220" w:type="dxa"/>
            <w:vAlign w:val="bottom"/>
          </w:tcPr>
          <w:p>
            <w:pPr>
              <w:spacing w:after="0"/>
              <w:rPr>
                <w:sz w:val="23"/>
                <w:szCs w:val="23"/>
                <w:color w:val="auto"/>
              </w:rPr>
            </w:pPr>
          </w:p>
        </w:tc>
        <w:tc>
          <w:tcPr>
            <w:tcW w:w="4560" w:type="dxa"/>
            <w:vAlign w:val="bottom"/>
            <w:shd w:val="clear" w:color="auto" w:fill="0F2F50"/>
          </w:tcPr>
          <w:p>
            <w:pPr>
              <w:ind w:left="1480"/>
              <w:spacing w:after="0"/>
              <w:rPr>
                <w:sz w:val="20"/>
                <w:szCs w:val="20"/>
                <w:color w:val="auto"/>
              </w:rPr>
            </w:pPr>
            <w:r>
              <w:rPr>
                <w:rFonts w:ascii="Times New Roman" w:cs="Times New Roman" w:eastAsia="Times New Roman" w:hAnsi="Times New Roman"/>
                <w:sz w:val="18"/>
                <w:szCs w:val="18"/>
                <w:b w:val="1"/>
                <w:bCs w:val="1"/>
                <w:color w:val="FFFFFF"/>
              </w:rPr>
              <w:t>Unfunded Commitment Activity</w:t>
            </w:r>
          </w:p>
        </w:tc>
        <w:tc>
          <w:tcPr>
            <w:tcW w:w="900" w:type="dxa"/>
            <w:vAlign w:val="bottom"/>
            <w:shd w:val="clear" w:color="auto" w:fill="0F2F50"/>
          </w:tcPr>
          <w:p>
            <w:pPr>
              <w:spacing w:after="0"/>
              <w:rPr>
                <w:sz w:val="23"/>
                <w:szCs w:val="23"/>
                <w:color w:val="auto"/>
              </w:rPr>
            </w:pPr>
          </w:p>
        </w:tc>
      </w:tr>
      <w:tr>
        <w:trPr>
          <w:trHeight w:val="20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Revolver Capacity</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$1,485</w:t>
            </w:r>
          </w:p>
        </w:tc>
        <w:tc>
          <w:tcPr>
            <w:tcW w:w="2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Unfunded Commitments (See Note 8 in 9/30/20 10-Q)</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w:t>
            </w: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4500" w:type="dxa"/>
            <w:vAlign w:val="bottom"/>
            <w:tcBorders>
              <w:top w:val="single" w:sz="8" w:color="ECEEF0"/>
              <w:bottom w:val="single" w:sz="8" w:color="ECEEF0"/>
            </w:tcBorders>
          </w:tcPr>
          <w:p>
            <w:pPr>
              <w:ind w:left="20"/>
              <w:spacing w:after="0"/>
              <w:rPr>
                <w:sz w:val="20"/>
                <w:szCs w:val="20"/>
                <w:color w:val="auto"/>
              </w:rPr>
            </w:pPr>
            <w:r>
              <w:rPr>
                <w:rFonts w:ascii="Times New Roman" w:cs="Times New Roman" w:eastAsia="Times New Roman" w:hAnsi="Times New Roman"/>
                <w:sz w:val="16"/>
                <w:szCs w:val="16"/>
                <w:color w:val="auto"/>
              </w:rPr>
              <w:t>Drawn on Revolver</w:t>
            </w:r>
          </w:p>
        </w:tc>
        <w:tc>
          <w:tcPr>
            <w:tcW w:w="1060" w:type="dxa"/>
            <w:vAlign w:val="bottom"/>
            <w:tcBorders>
              <w:top w:val="single" w:sz="8" w:color="ECEEF0"/>
              <w:bottom w:val="single" w:sz="8" w:color="ECEEF0"/>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196"/>
        </w:trPr>
        <w:tc>
          <w:tcPr>
            <w:tcW w:w="4500" w:type="dxa"/>
            <w:vAlign w:val="bottom"/>
            <w:tcBorders>
              <w:bottom w:val="single" w:sz="8" w:color="ECEEF0"/>
            </w:tcBorders>
          </w:tcPr>
          <w:p>
            <w:pPr>
              <w:ind w:left="20"/>
              <w:spacing w:after="0"/>
              <w:rPr>
                <w:sz w:val="20"/>
                <w:szCs w:val="20"/>
                <w:color w:val="auto"/>
              </w:rPr>
            </w:pPr>
            <w:r>
              <w:rPr>
                <w:rFonts w:ascii="Times New Roman" w:cs="Times New Roman" w:eastAsia="Times New Roman" w:hAnsi="Times New Roman"/>
                <w:sz w:val="16"/>
                <w:szCs w:val="16"/>
                <w:color w:val="auto"/>
              </w:rPr>
              <w:t>Unrestricted Cash Balance</w:t>
            </w:r>
          </w:p>
        </w:tc>
        <w:tc>
          <w:tcPr>
            <w:tcW w:w="1060" w:type="dxa"/>
            <w:vAlign w:val="bottom"/>
            <w:tcBorders>
              <w:bottom w:val="single" w:sz="8" w:color="ECEEF0"/>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196"/>
        </w:trPr>
        <w:tc>
          <w:tcPr>
            <w:tcW w:w="4500" w:type="dxa"/>
            <w:vAlign w:val="bottom"/>
            <w:tcBorders>
              <w:bottom w:val="single" w:sz="8" w:color="ECEEF0"/>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Liquidity (Pre-Unfunded Commitments)</w:t>
            </w:r>
          </w:p>
        </w:tc>
        <w:tc>
          <w:tcPr>
            <w:tcW w:w="1060" w:type="dxa"/>
            <w:vAlign w:val="bottom"/>
            <w:tcBorders>
              <w:bottom w:val="single" w:sz="8" w:color="ECEEF0"/>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$1,308</w:t>
            </w:r>
          </w:p>
        </w:tc>
      </w:tr>
      <w:tr>
        <w:trPr>
          <w:trHeight w:val="196"/>
        </w:trPr>
        <w:tc>
          <w:tcPr>
            <w:tcW w:w="4500" w:type="dxa"/>
            <w:vAlign w:val="bottom"/>
            <w:tcBorders>
              <w:bottom w:val="single" w:sz="8" w:color="ECEEF0"/>
            </w:tcBorders>
          </w:tcPr>
          <w:p>
            <w:pPr>
              <w:ind w:left="20"/>
              <w:spacing w:after="0"/>
              <w:rPr>
                <w:sz w:val="20"/>
                <w:szCs w:val="20"/>
                <w:color w:val="auto"/>
              </w:rPr>
            </w:pPr>
            <w:r>
              <w:rPr>
                <w:rFonts w:ascii="Times New Roman" w:cs="Times New Roman" w:eastAsia="Times New Roman" w:hAnsi="Times New Roman"/>
                <w:sz w:val="16"/>
                <w:szCs w:val="16"/>
                <w:color w:val="auto"/>
              </w:rPr>
              <w:t>Available Unfunded Commitments</w:t>
            </w:r>
          </w:p>
        </w:tc>
        <w:tc>
          <w:tcPr>
            <w:tcW w:w="1060" w:type="dxa"/>
            <w:vAlign w:val="bottom"/>
            <w:tcBorders>
              <w:bottom w:val="single" w:sz="8" w:color="ECEEF0"/>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196"/>
        </w:trPr>
        <w:tc>
          <w:tcPr>
            <w:tcW w:w="4500" w:type="dxa"/>
            <w:vAlign w:val="bottom"/>
            <w:tcBorders>
              <w:bottom w:val="single" w:sz="8" w:color="ECEEF0"/>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Liquidity (Burdened for Unfunded Commitments)</w:t>
            </w:r>
          </w:p>
        </w:tc>
        <w:tc>
          <w:tcPr>
            <w:tcW w:w="1060" w:type="dxa"/>
            <w:vAlign w:val="bottom"/>
            <w:tcBorders>
              <w:bottom w:val="single" w:sz="8" w:color="ECEEF0"/>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$1,217</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920" w:type="dxa"/>
            <w:vAlign w:val="bottom"/>
            <w:tcBorders>
              <w:top w:val="single" w:sz="8" w:color="ECEEF0"/>
            </w:tcBorders>
          </w:tcPr>
          <w:p>
            <w:pPr>
              <w:spacing w:after="0"/>
              <w:rPr>
                <w:sz w:val="20"/>
                <w:szCs w:val="20"/>
                <w:color w:val="auto"/>
              </w:rPr>
            </w:pPr>
            <w:r>
              <w:rPr>
                <w:rFonts w:ascii="Times New Roman" w:cs="Times New Roman" w:eastAsia="Times New Roman" w:hAnsi="Times New Roman"/>
                <w:sz w:val="16"/>
                <w:szCs w:val="16"/>
                <w:color w:val="auto"/>
              </w:rPr>
              <w:t>Extinguished Unfunded Commitments</w:t>
            </w:r>
          </w:p>
        </w:tc>
        <w:tc>
          <w:tcPr>
            <w:tcW w:w="1560" w:type="dxa"/>
            <w:vAlign w:val="bottom"/>
            <w:tcBorders>
              <w:top w:val="single" w:sz="8" w:color="ECEEF0"/>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($105)</w:t>
            </w:r>
          </w:p>
        </w:tc>
      </w:tr>
      <w:tr>
        <w:trPr>
          <w:trHeight w:val="196"/>
        </w:trPr>
        <w:tc>
          <w:tcPr>
            <w:tcW w:w="3920" w:type="dxa"/>
            <w:vAlign w:val="bottom"/>
            <w:tcBorders>
              <w:top w:val="single" w:sz="8" w:color="ECEEF0"/>
              <w:bottom w:val="single" w:sz="8" w:color="ECEEF0"/>
            </w:tcBorders>
          </w:tcPr>
          <w:p>
            <w:pPr>
              <w:spacing w:after="0"/>
              <w:rPr>
                <w:sz w:val="20"/>
                <w:szCs w:val="20"/>
                <w:color w:val="auto"/>
              </w:rPr>
            </w:pPr>
            <w:r>
              <w:rPr>
                <w:rFonts w:ascii="Times New Roman" w:cs="Times New Roman" w:eastAsia="Times New Roman" w:hAnsi="Times New Roman"/>
                <w:sz w:val="16"/>
                <w:szCs w:val="16"/>
                <w:color w:val="auto"/>
              </w:rPr>
              <w:t>New Unfunded Commitments</w:t>
            </w:r>
          </w:p>
        </w:tc>
        <w:tc>
          <w:tcPr>
            <w:tcW w:w="1540" w:type="dxa"/>
            <w:vAlign w:val="bottom"/>
            <w:tcBorders>
              <w:top w:val="single" w:sz="8" w:color="ECEEF0"/>
              <w:bottom w:val="single" w:sz="8" w:color="ECEEF0"/>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rPr>
                <w:sz w:val="20"/>
                <w:szCs w:val="20"/>
                <w:color w:val="auto"/>
              </w:rPr>
            </w:pPr>
            <w:r>
              <w:rPr>
                <w:rFonts w:ascii="Times New Roman" w:cs="Times New Roman" w:eastAsia="Times New Roman" w:hAnsi="Times New Roman"/>
                <w:sz w:val="16"/>
                <w:szCs w:val="16"/>
                <w:color w:val="auto"/>
              </w:rPr>
              <w:t>Net Drawdown of Unfunded Commitments</w:t>
            </w:r>
          </w:p>
        </w:tc>
        <w:tc>
          <w:tcPr>
            <w:tcW w:w="1540" w:type="dxa"/>
            <w:vAlign w:val="bottom"/>
            <w:tcBorders>
              <w:bottom w:val="single" w:sz="8" w:color="ECEEF0"/>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rPr>
                <w:sz w:val="20"/>
                <w:szCs w:val="20"/>
                <w:color w:val="auto"/>
              </w:rPr>
            </w:pPr>
            <w:r>
              <w:rPr>
                <w:rFonts w:ascii="Times New Roman" w:cs="Times New Roman" w:eastAsia="Times New Roman" w:hAnsi="Times New Roman"/>
                <w:sz w:val="16"/>
                <w:szCs w:val="16"/>
                <w:b w:val="1"/>
                <w:bCs w:val="1"/>
                <w:color w:val="auto"/>
              </w:rPr>
              <w:t>Total Unfunded Commitments</w:t>
            </w:r>
          </w:p>
        </w:tc>
        <w:tc>
          <w:tcPr>
            <w:tcW w:w="1540" w:type="dxa"/>
            <w:vAlign w:val="bottom"/>
            <w:tcBorders>
              <w:bottom w:val="single" w:sz="8" w:color="ECEEF0"/>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$193</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line="196" w:lineRule="exact"/>
              <w:rPr>
                <w:sz w:val="20"/>
                <w:szCs w:val="20"/>
                <w:color w:val="auto"/>
              </w:rPr>
            </w:pPr>
            <w:r>
              <w:rPr>
                <w:rFonts w:ascii="Times New Roman" w:cs="Times New Roman" w:eastAsia="Times New Roman" w:hAnsi="Times New Roman"/>
                <w:sz w:val="14"/>
                <w:szCs w:val="14"/>
                <w:color w:val="auto"/>
              </w:rPr>
              <w:t>Unavailable Unfunded Commitments</w:t>
            </w:r>
            <w:r>
              <w:rPr>
                <w:rFonts w:ascii="Times New Roman" w:cs="Times New Roman" w:eastAsia="Times New Roman" w:hAnsi="Times New Roman"/>
                <w:sz w:val="22"/>
                <w:szCs w:val="22"/>
                <w:color w:val="auto"/>
                <w:vertAlign w:val="superscript"/>
              </w:rPr>
              <w:t>2</w:t>
            </w:r>
          </w:p>
        </w:tc>
        <w:tc>
          <w:tcPr>
            <w:tcW w:w="1540" w:type="dxa"/>
            <w:vAlign w:val="bottom"/>
            <w:tcBorders>
              <w:bottom w:val="single" w:sz="8" w:color="ECEEF0"/>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0" w:type="dxa"/>
            <w:vAlign w:val="bottom"/>
          </w:tcPr>
          <w:p>
            <w:pPr>
              <w:spacing w:after="0"/>
              <w:rPr>
                <w:sz w:val="17"/>
                <w:szCs w:val="17"/>
                <w:color w:val="auto"/>
              </w:rPr>
            </w:pPr>
          </w:p>
        </w:tc>
      </w:tr>
      <w:tr>
        <w:trPr>
          <w:trHeight w:val="205"/>
        </w:trPr>
        <w:tc>
          <w:tcPr>
            <w:tcW w:w="3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Available Unfunded Commitments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34632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60" w:space="220"/>
            <w:col w:w="5460"/>
          </w:cols>
          <w:pgMar w:left="320" w:top="1440" w:right="339" w:bottom="1440" w:gutter="0" w:footer="0" w:header="0"/>
          <w:type w:val="continuous"/>
        </w:sectPr>
      </w:pPr>
    </w:p>
    <w:p>
      <w:pPr>
        <w:ind w:left="400" w:right="120" w:hanging="392"/>
        <w:spacing w:after="0" w:line="216" w:lineRule="auto"/>
        <w:tabs>
          <w:tab w:leader="none" w:pos="40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to reflect the $300 million of 2026 unsecured notes that closed in February 2021, the net proceeds of which were used to pay down a portion of the outstanding revolver borrowings and the February 2021 upsizing of the revolving credit facility by $150 million to $1.485 billion and extension of the maturity date to February 2026 for $1.390 billion of commitments.</w:t>
      </w:r>
    </w:p>
    <w:p>
      <w:pPr>
        <w:ind w:left="400" w:right="60" w:hanging="392"/>
        <w:spacing w:after="0" w:line="216" w:lineRule="auto"/>
        <w:tabs>
          <w:tab w:leader="none" w:pos="40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 May not sum due to rounding.</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Profile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2020, the Company’s funding mix was comprised of 84% unsecured and 16% secured debt*. As illustrated below, the Company’s nearest debt maturity is in August 2022 at $143 million, and the weighted average remaining life of investments funded with debt was ~2.5 years, compared to a weighted average remaining maturity on debt of ~4.5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71755</wp:posOffset>
            </wp:positionV>
            <wp:extent cx="5760720" cy="28803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6072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400" w:firstLine="8"/>
        <w:spacing w:after="0" w:line="246" w:lineRule="auto"/>
        <w:tabs>
          <w:tab w:leader="none" w:pos="94"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to reflect the $300 million of 2026 unsecured notes that closed in February 2021, the net proceeds of which were used to pay down a portion of the outstanding revolver borrowings and the February 2021 upsizing of the revolving credit facility by $150 million to $1.485 billion and extension of the maturity date to February 2026 for $1.390 billion of commitments . Numbers may not sum to 100% due to rounding</w:t>
      </w:r>
    </w:p>
    <w:p>
      <w:pPr>
        <w:spacing w:after="0" w:line="1" w:lineRule="exact"/>
        <w:rPr>
          <w:sz w:val="20"/>
          <w:szCs w:val="20"/>
          <w:color w:val="auto"/>
        </w:rPr>
      </w:pPr>
    </w:p>
    <w:p>
      <w:pPr>
        <w:ind w:left="400" w:right="160" w:hanging="392"/>
        <w:spacing w:after="0" w:line="216" w:lineRule="auto"/>
        <w:tabs>
          <w:tab w:leader="none" w:pos="4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of Deferred Financing Costs and Interest Rate Fair Value Hedging. Deferred Financing Costs total $18.5M at 12/31/19, $21.4M at 3/31/20, $19.7M at 6/30/20, $18.4M at 9/30/20 and $17.2M at 12/31/20. Fair value hedge on interest rate swaps related to the 2024 notes total ($1.7) M at 12/31/19, $17.0M at 3/31/20, $19.3M at 6/30/20, $18.1M at 9/30/20 and $16.8M at 12/31/20.</w:t>
      </w:r>
    </w:p>
    <w:p>
      <w:pPr>
        <w:ind w:left="400" w:right="220" w:hanging="392"/>
        <w:spacing w:after="0" w:line="216" w:lineRule="auto"/>
        <w:tabs>
          <w:tab w:leader="none" w:pos="4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Weighted by amortized cost of debt investments. Investments are financed by debt and permanent equity capital. This analysis assumes longer-dated investments are currently funded by permanent equity capital (51% of investments) and the remaining (shorter-dated) investments (49% of investments) are currently funded by debt financing. Investments for purposes of this analysis exclude unfunded commitments, and permanent equity capital is defined as 12/31/20 net assets.</w:t>
      </w:r>
    </w:p>
    <w:p>
      <w:pPr>
        <w:spacing w:after="0" w:line="1" w:lineRule="exact"/>
        <w:rPr>
          <w:rFonts w:ascii="Times New Roman" w:cs="Times New Roman" w:eastAsia="Times New Roman" w:hAnsi="Times New Roman"/>
          <w:sz w:val="13"/>
          <w:szCs w:val="13"/>
          <w:color w:val="auto"/>
        </w:rPr>
      </w:pPr>
    </w:p>
    <w:p>
      <w:pPr>
        <w:ind w:left="400" w:right="260" w:hanging="392"/>
        <w:spacing w:after="0" w:line="396" w:lineRule="auto"/>
        <w:tabs>
          <w:tab w:leader="none" w:pos="40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Weighted by gross commitment amount. Adjusted to reflect the $300 million of 2026 unsecured notes that closed in February 2021, the net proceeds of which were used to pay down a portion of the outstanding revolver borrowings and the February 2021 upsizing of the revolving credit facility by $150 million to $1.485 billion and extension of the maturity date to February 2026 for $1.390 billion of commitments.</w:t>
      </w:r>
    </w:p>
    <w:p>
      <w:pPr>
        <w:spacing w:after="0" w:line="1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11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t>CONFERENCE CALL AND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3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conference call to discuss the Company’s financial results will be held live at 8:30 a.m. Eastern Time on February 18, 2021. Please visit TSLX’s webcast link located on the Events &amp; Presentations page of the Investor Resources section of TSLX’s website http://www.sixthstreetspecialtylending.com for a slide presentation that complements the Earnings Conference Call. Please visit the website to test your connection before the webcast.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are also invited to access the conference call by dialing one of the following numbers: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(877) 359-9508</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+1 (253) 237-1122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5466092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callers will need to enter the Conference ID followed by the # sign and reference “Sixth Street Specialty Lending” once connected with the operator.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callers are asked to dial in 10-15 minutes prior to the call so that name and company information can be collected.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Replay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archived replay will be available from approximately 12:00 p.m. Eastern Time on February 18 through February 25 via a webcast link located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Resources section of TSLX’s website, and via the dial-in numbers listed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(855) 859-2056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+1 (404) 537-3406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5466092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11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in millions, except per share amounts)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74"/>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3"/>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60" w:type="dxa"/>
            <w:vAlign w:val="bottom"/>
          </w:tcPr>
          <w:p>
            <w:pPr>
              <w:spacing w:after="0"/>
              <w:rPr>
                <w:sz w:val="15"/>
                <w:szCs w:val="15"/>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56"/>
        </w:trPr>
        <w:tc>
          <w:tcPr>
            <w:tcW w:w="47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r>
      <w:tr>
        <w:trPr>
          <w:trHeight w:val="22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2,298.9</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2,100.8</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2,245.9</w:t>
            </w:r>
          </w:p>
        </w:tc>
        <w:tc>
          <w:tcPr>
            <w:tcW w:w="360" w:type="dxa"/>
            <w:vAlign w:val="bottom"/>
            <w:shd w:val="clear" w:color="auto" w:fill="CCEEFF"/>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2,338.6</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2,136.6</w:t>
            </w:r>
          </w:p>
        </w:tc>
        <w:tc>
          <w:tcPr>
            <w:tcW w:w="6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2,280.9</w:t>
            </w:r>
          </w:p>
        </w:tc>
        <w:tc>
          <w:tcPr>
            <w:tcW w:w="360" w:type="dxa"/>
            <w:vAlign w:val="bottom"/>
          </w:tcPr>
          <w:p>
            <w:pPr>
              <w:spacing w:after="0"/>
              <w:rPr>
                <w:sz w:val="19"/>
                <w:szCs w:val="19"/>
                <w:color w:val="auto"/>
              </w:rPr>
            </w:pPr>
          </w:p>
        </w:tc>
      </w:tr>
      <w:tr>
        <w:trPr>
          <w:trHeight w:val="22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360" w:type="dxa"/>
            <w:vAlign w:val="bottom"/>
            <w:shd w:val="clear" w:color="auto" w:fill="CCEEFF"/>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Dividend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60" w:type="dxa"/>
            <w:vAlign w:val="bottom"/>
          </w:tcPr>
          <w:p>
            <w:pPr>
              <w:spacing w:after="0"/>
              <w:rPr>
                <w:sz w:val="19"/>
                <w:szCs w:val="19"/>
                <w:color w:val="auto"/>
              </w:rPr>
            </w:pPr>
          </w:p>
        </w:tc>
      </w:tr>
      <w:tr>
        <w:trPr>
          <w:trHeight w:val="257"/>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Special Dividend Per Share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60" w:type="dxa"/>
            <w:vAlign w:val="bottom"/>
            <w:shd w:val="clear" w:color="auto" w:fill="CFF0FC"/>
          </w:tcPr>
          <w:p>
            <w:pPr>
              <w:spacing w:after="0"/>
              <w:rPr>
                <w:sz w:val="22"/>
                <w:szCs w:val="22"/>
                <w:color w:val="auto"/>
              </w:rPr>
            </w:pPr>
          </w:p>
        </w:tc>
      </w:tr>
      <w:tr>
        <w:trPr>
          <w:trHeight w:val="25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Pro Forma Net Asset Value Per Share </w:t>
            </w:r>
            <w:r>
              <w:rPr>
                <w:rFonts w:ascii="Times New Roman" w:cs="Times New Roman" w:eastAsia="Times New Roman" w:hAnsi="Times New Roman"/>
                <w:sz w:val="15"/>
                <w:szCs w:val="15"/>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6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360" w:type="dxa"/>
            <w:vAlign w:val="bottom"/>
          </w:tcPr>
          <w:p>
            <w:pPr>
              <w:spacing w:after="0"/>
              <w:rPr>
                <w:sz w:val="21"/>
                <w:szCs w:val="21"/>
                <w:color w:val="auto"/>
              </w:rPr>
            </w:pPr>
          </w:p>
        </w:tc>
      </w:tr>
      <w:tr>
        <w:trPr>
          <w:trHeight w:val="263"/>
        </w:trPr>
        <w:tc>
          <w:tcPr>
            <w:tcW w:w="47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5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6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360" w:type="dxa"/>
            <w:vAlign w:val="bottom"/>
          </w:tcPr>
          <w:p>
            <w:pPr>
              <w:spacing w:after="0"/>
              <w:rPr>
                <w:sz w:val="19"/>
                <w:szCs w:val="19"/>
                <w:color w:val="auto"/>
              </w:rPr>
            </w:pPr>
          </w:p>
        </w:tc>
      </w:tr>
      <w:tr>
        <w:trPr>
          <w:trHeight w:val="23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360" w:type="dxa"/>
            <w:vAlign w:val="bottom"/>
            <w:shd w:val="clear" w:color="auto" w:fill="CFF0FC"/>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6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60" w:type="dxa"/>
            <w:vAlign w:val="bottom"/>
          </w:tcPr>
          <w:p>
            <w:pPr>
              <w:spacing w:after="0"/>
              <w:rPr>
                <w:sz w:val="19"/>
                <w:szCs w:val="19"/>
                <w:color w:val="auto"/>
              </w:rPr>
            </w:pPr>
          </w:p>
        </w:tc>
      </w:tr>
      <w:tr>
        <w:trPr>
          <w:trHeight w:val="257"/>
        </w:trPr>
        <w:tc>
          <w:tcPr>
            <w:tcW w:w="47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5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6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360" w:type="dxa"/>
            <w:vAlign w:val="bottom"/>
          </w:tcPr>
          <w:p>
            <w:pPr>
              <w:spacing w:after="0"/>
              <w:rPr>
                <w:sz w:val="19"/>
                <w:szCs w:val="19"/>
                <w:color w:val="auto"/>
              </w:rPr>
            </w:pPr>
          </w:p>
        </w:tc>
      </w:tr>
      <w:tr>
        <w:trPr>
          <w:trHeight w:val="22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360" w:type="dxa"/>
            <w:vAlign w:val="bottom"/>
            <w:shd w:val="clear" w:color="auto" w:fill="CFF0FC"/>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Gains Incentive Fee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60" w:type="dxa"/>
            <w:vAlign w:val="bottom"/>
          </w:tcPr>
          <w:p>
            <w:pPr>
              <w:spacing w:after="0"/>
              <w:rPr>
                <w:sz w:val="19"/>
                <w:szCs w:val="19"/>
                <w:color w:val="auto"/>
              </w:rPr>
            </w:pPr>
          </w:p>
        </w:tc>
      </w:tr>
      <w:tr>
        <w:trPr>
          <w:trHeight w:val="25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Investment Income Per Share</w:t>
            </w:r>
            <w:r>
              <w:rPr>
                <w:rFonts w:ascii="Times New Roman" w:cs="Times New Roman" w:eastAsia="Times New Roman" w:hAnsi="Times New Roman"/>
                <w:sz w:val="15"/>
                <w:szCs w:val="15"/>
                <w:color w:val="auto"/>
              </w:rPr>
              <w:t>(2)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6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360" w:type="dxa"/>
            <w:vAlign w:val="bottom"/>
            <w:shd w:val="clear" w:color="auto" w:fill="CFF0FC"/>
          </w:tcPr>
          <w:p>
            <w:pPr>
              <w:spacing w:after="0"/>
              <w:rPr>
                <w:sz w:val="22"/>
                <w:szCs w:val="22"/>
                <w:color w:val="auto"/>
              </w:rPr>
            </w:pPr>
          </w:p>
        </w:tc>
      </w:tr>
      <w:tr>
        <w:trPr>
          <w:trHeight w:val="25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Per Share</w:t>
            </w:r>
            <w:r>
              <w:rPr>
                <w:rFonts w:ascii="Times New Roman" w:cs="Times New Roman" w:eastAsia="Times New Roman" w:hAnsi="Times New Roman"/>
                <w:sz w:val="15"/>
                <w:szCs w:val="15"/>
                <w:color w:val="auto"/>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6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360" w:type="dxa"/>
            <w:vAlign w:val="bottom"/>
          </w:tcPr>
          <w:p>
            <w:pPr>
              <w:spacing w:after="0"/>
              <w:rPr>
                <w:sz w:val="21"/>
                <w:szCs w:val="21"/>
                <w:color w:val="auto"/>
              </w:rPr>
            </w:pPr>
          </w:p>
        </w:tc>
      </w:tr>
      <w:tr>
        <w:trPr>
          <w:trHeight w:val="263"/>
        </w:trPr>
        <w:tc>
          <w:tcPr>
            <w:tcW w:w="47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5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240"/>
          </w:cols>
          <w:pgMar w:left="320" w:top="1199"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Annualized Return on Equity (Net Investment Income)</w:t>
      </w:r>
      <w:r>
        <w:rPr>
          <w:rFonts w:ascii="Times New Roman" w:cs="Times New Roman" w:eastAsia="Times New Roman" w:hAnsi="Times New Roman"/>
          <w:sz w:val="15"/>
          <w:szCs w:val="15"/>
          <w:color w:val="auto"/>
        </w:rPr>
        <w:t>(3)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Annualized Return on Equity (Net Income)</w:t>
      </w:r>
      <w:r>
        <w:rPr>
          <w:rFonts w:ascii="Times New Roman" w:cs="Times New Roman" w:eastAsia="Times New Roman" w:hAnsi="Times New Roman"/>
          <w:sz w:val="15"/>
          <w:szCs w:val="15"/>
          <w:color w:val="auto"/>
        </w:rPr>
        <w:t>(3)</w:t>
      </w:r>
    </w:p>
    <w:p>
      <w:pPr>
        <w:spacing w:after="0" w:line="274" w:lineRule="exact"/>
        <w:rPr>
          <w:sz w:val="20"/>
          <w:szCs w:val="20"/>
          <w:color w:val="auto"/>
        </w:rPr>
      </w:pPr>
    </w:p>
    <w:p>
      <w:pPr>
        <w:ind w:right="1220"/>
        <w:spacing w:after="0" w:line="261" w:lineRule="auto"/>
        <w:rPr>
          <w:sz w:val="20"/>
          <w:szCs w:val="20"/>
          <w:color w:val="auto"/>
        </w:rPr>
      </w:pPr>
      <w:r>
        <w:rPr>
          <w:rFonts w:ascii="Times New Roman" w:cs="Times New Roman" w:eastAsia="Times New Roman" w:hAnsi="Times New Roman"/>
          <w:sz w:val="18"/>
          <w:szCs w:val="18"/>
          <w:color w:val="auto"/>
        </w:rPr>
        <w:t>Weighted Average Yield of Debt and Income Producing Securities at Fair Value</w:t>
      </w:r>
    </w:p>
    <w:p>
      <w:pPr>
        <w:ind w:right="1220"/>
        <w:spacing w:after="0" w:line="258" w:lineRule="auto"/>
        <w:rPr>
          <w:sz w:val="20"/>
          <w:szCs w:val="20"/>
          <w:color w:val="auto"/>
        </w:rPr>
      </w:pPr>
      <w:r>
        <w:rPr>
          <w:rFonts w:ascii="Times New Roman" w:cs="Times New Roman" w:eastAsia="Times New Roman" w:hAnsi="Times New Roman"/>
          <w:sz w:val="18"/>
          <w:szCs w:val="18"/>
          <w:color w:val="auto"/>
        </w:rPr>
        <w:t>Weighted Average Yield of Debt and Income Producing Securities at Amortized Cost</w:t>
      </w:r>
    </w:p>
    <w:p>
      <w:pPr>
        <w:ind w:right="1140"/>
        <w:spacing w:after="0" w:line="276" w:lineRule="auto"/>
        <w:rPr>
          <w:sz w:val="20"/>
          <w:szCs w:val="20"/>
          <w:color w:val="auto"/>
        </w:rPr>
      </w:pPr>
      <w:r>
        <w:rPr>
          <w:rFonts w:ascii="Times New Roman" w:cs="Times New Roman" w:eastAsia="Times New Roman" w:hAnsi="Times New Roman"/>
          <w:sz w:val="18"/>
          <w:szCs w:val="18"/>
          <w:color w:val="auto"/>
        </w:rPr>
        <w:t xml:space="preserve">Percentage of Debt Investment Commitments at Floating Rates </w:t>
      </w: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11.5</w:t>
            </w:r>
          </w:p>
        </w:tc>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18.7</w:t>
            </w:r>
          </w:p>
        </w:tc>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94"/>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10.0</w:t>
            </w:r>
          </w:p>
        </w:tc>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45"/>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10.2</w:t>
            </w:r>
          </w:p>
        </w:tc>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45"/>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99.1</w:t>
            </w:r>
          </w:p>
        </w:tc>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-1088390</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-779780</wp:posOffset>
            </wp:positionV>
            <wp:extent cx="7132320" cy="2825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-213995</wp:posOffset>
            </wp:positionV>
            <wp:extent cx="7132320" cy="2825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314" w:lineRule="exact"/>
        <w:rPr>
          <w:sz w:val="20"/>
          <w:szCs w:val="20"/>
          <w:color w:val="auto"/>
        </w:rPr>
      </w:pPr>
    </w:p>
    <w:p>
      <w:pPr>
        <w:sectPr>
          <w:pgSz w:w="11900" w:h="16838" w:orient="portrait"/>
          <w:cols w:equalWidth="0" w:num="2">
            <w:col w:w="5260" w:space="720"/>
            <w:col w:w="5260"/>
          </w:cols>
          <w:pgMar w:left="320" w:top="1199" w:right="339" w:bottom="1440" w:gutter="0" w:footer="0" w:header="0"/>
          <w:type w:val="continuous"/>
        </w:sectPr>
      </w:pPr>
    </w:p>
    <w:p>
      <w:pPr>
        <w:ind w:left="800" w:hanging="401"/>
        <w:spacing w:after="0"/>
        <w:tabs>
          <w:tab w:leader="none" w:pos="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net asset value per share gives effect to the supplemental dividend declared related to earnings or special dividend in the applicable period.</w:t>
      </w:r>
    </w:p>
    <w:p>
      <w:pPr>
        <w:spacing w:after="0" w:line="82" w:lineRule="exact"/>
        <w:rPr>
          <w:rFonts w:ascii="Times New Roman" w:cs="Times New Roman" w:eastAsia="Times New Roman" w:hAnsi="Times New Roman"/>
          <w:sz w:val="14"/>
          <w:szCs w:val="14"/>
          <w:color w:val="auto"/>
        </w:rPr>
      </w:pPr>
    </w:p>
    <w:p>
      <w:pPr>
        <w:ind w:left="800" w:right="20" w:hanging="401"/>
        <w:spacing w:after="0" w:line="233" w:lineRule="auto"/>
        <w:tabs>
          <w:tab w:leader="none" w:pos="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to exclude the capital gains incentive fee that was accrued, but not paid, related to cumulative unrealized capital gains in excess of cumulative net realized capital gains less any cumulative unrealized losses and capital gains incentive fees paid inception to date.</w:t>
      </w:r>
    </w:p>
    <w:p>
      <w:pPr>
        <w:ind w:left="800" w:hanging="401"/>
        <w:spacing w:after="0"/>
        <w:tabs>
          <w:tab w:leader="none" w:pos="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on equity is calculated using prior period’s ending net asset value per share.</w:t>
      </w:r>
    </w:p>
    <w:p>
      <w:pPr>
        <w:spacing w:after="0" w:line="66" w:lineRule="exact"/>
        <w:rPr>
          <w:rFonts w:ascii="Times New Roman" w:cs="Times New Roman" w:eastAsia="Times New Roman" w:hAnsi="Times New Roman"/>
          <w:sz w:val="14"/>
          <w:szCs w:val="14"/>
          <w:color w:val="auto"/>
        </w:rPr>
      </w:pPr>
    </w:p>
    <w:p>
      <w:pPr>
        <w:ind w:left="800" w:right="140" w:hanging="401"/>
        <w:spacing w:after="0" w:line="261" w:lineRule="auto"/>
        <w:tabs>
          <w:tab w:leader="none" w:pos="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one or more fixed rate investments for which the Company entered into an interest rate swap agreement to swap to floating rate. Calculation includes income earning debt investments only.</w:t>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11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t>FINANCIAL STATEMENTS AND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Sixth Street Specialty Lending, Inc.</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Consolidated Balance Sheets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(Amounts in thousands, except share and per share amounts)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4"/>
                <w:szCs w:val="14"/>
                <w:color w:val="auto"/>
              </w:rPr>
            </w:pPr>
          </w:p>
        </w:tc>
        <w:tc>
          <w:tcPr>
            <w:tcW w:w="146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320" w:type="dxa"/>
            <w:vAlign w:val="bottom"/>
            <w:tcBorders>
              <w:bottom w:val="single" w:sz="8" w:color="CFF0FC"/>
            </w:tcBorders>
          </w:tcPr>
          <w:p>
            <w:pPr>
              <w:spacing w:after="0"/>
              <w:rPr>
                <w:sz w:val="15"/>
                <w:szCs w:val="15"/>
                <w:color w:val="auto"/>
              </w:rPr>
            </w:pPr>
          </w:p>
        </w:tc>
        <w:tc>
          <w:tcPr>
            <w:tcW w:w="4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Non-controlled, non-affiliated investments (amortized cost of $2,187,427 and $2,099,781,</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respectively)</w:t>
            </w:r>
          </w:p>
        </w:tc>
        <w:tc>
          <w:tcPr>
            <w:tcW w:w="62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2,249,302</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2,147,876</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Non-controlled, affiliated investments (amortized cost of $12,892 and $49,445, respectively)</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Controlled, affiliated investments (amortized cost of $58,709 and $88,811, respectively)</w:t>
            </w:r>
          </w:p>
        </w:tc>
        <w:tc>
          <w:tcPr>
            <w:tcW w:w="4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36,676</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at fair value (amortized cost of $2,259,028 and $2,238,037, respectively)</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2,298,870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2,245,928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(restricted cash of $10,815 and $9,315, respectively)</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17,866</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2,338,593</w:t>
            </w:r>
          </w:p>
        </w:tc>
        <w:tc>
          <w:tcPr>
            <w:tcW w:w="3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2,280,931</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Debt (net of deferred financing costs of $17,246 and $18,471, respectively)</w:t>
            </w:r>
          </w:p>
        </w:tc>
        <w:tc>
          <w:tcPr>
            <w:tcW w:w="6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1,110,363</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1,094,467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fees payable to affiliate</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 payable to affiliate</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27,728</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to affiliate</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19,447</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1,177,278</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1,161,634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 shares</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issued and outstanding</w:t>
            </w: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$0.01 par value; 400,000,000 shares authorized, 67,980,253</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66,613,671 shares issued, respectively; and 67,684,209 and 66,524,591</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outstanding, respectively</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1,025,676</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296,044 and 89,080 shares held, respectively</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(4,291)</w:t>
            </w:r>
          </w:p>
        </w:tc>
        <w:tc>
          <w:tcPr>
            <w:tcW w:w="2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Distributable earnings</w:t>
            </w:r>
          </w:p>
        </w:tc>
        <w:tc>
          <w:tcPr>
            <w:tcW w:w="4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139,250</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110,720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4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1,161,315</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1,119,297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tc>
        <w:tc>
          <w:tcPr>
            <w:tcW w:w="4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2,338,593</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2,280,931</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6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44"/>
        </w:trPr>
        <w:tc>
          <w:tcPr>
            <w:tcW w:w="7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11" w:name="page12"/>
    <w:bookmarkEnd w:id="11"/>
    <w:p>
      <w:pPr>
        <w:ind w:left="414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11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t>Sixth Street Specialty Lending, Inc.</w:t>
      </w:r>
    </w:p>
    <w:p>
      <w:pPr>
        <w:spacing w:after="0" w:line="2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Consolidated Statements of Operations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(Amounts in thousands, except share and per share amounts)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4"/>
                <w:szCs w:val="14"/>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60" w:type="dxa"/>
            <w:vAlign w:val="bottom"/>
          </w:tcPr>
          <w:p>
            <w:pPr>
              <w:spacing w:after="0"/>
              <w:rPr>
                <w:sz w:val="15"/>
                <w:szCs w:val="15"/>
                <w:color w:val="auto"/>
              </w:rPr>
            </w:pPr>
          </w:p>
        </w:tc>
        <w:tc>
          <w:tcPr>
            <w:tcW w:w="16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169"/>
        </w:trPr>
        <w:tc>
          <w:tcPr>
            <w:tcW w:w="5080" w:type="dxa"/>
            <w:vAlign w:val="bottom"/>
            <w:tcBorders>
              <w:top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Income</w:t>
            </w:r>
          </w:p>
        </w:tc>
        <w:tc>
          <w:tcPr>
            <w:tcW w:w="70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46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4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Investment income from non-controlled, non-affiliated investments: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Interest from investments</w:t>
            </w:r>
          </w:p>
        </w:tc>
        <w:tc>
          <w:tcPr>
            <w:tcW w:w="84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237,260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224,810</w:t>
            </w:r>
          </w:p>
        </w:tc>
        <w:tc>
          <w:tcPr>
            <w:tcW w:w="16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232,517</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50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Dividend income</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Other income</w:t>
            </w:r>
          </w:p>
        </w:tc>
        <w:tc>
          <w:tcPr>
            <w:tcW w:w="70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22,174</w:t>
            </w:r>
          </w:p>
        </w:tc>
        <w:tc>
          <w:tcPr>
            <w:tcW w:w="26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13,838</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11,298</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52"/>
        </w:trPr>
        <w:tc>
          <w:tcPr>
            <w:tcW w:w="5080" w:type="dxa"/>
            <w:vAlign w:val="bottom"/>
          </w:tcPr>
          <w:p>
            <w:pPr>
              <w:ind w:left="500"/>
              <w:spacing w:after="0" w:line="152" w:lineRule="exact"/>
              <w:rPr>
                <w:sz w:val="20"/>
                <w:szCs w:val="20"/>
                <w:color w:val="auto"/>
              </w:rPr>
            </w:pPr>
            <w:r>
              <w:rPr>
                <w:rFonts w:ascii="Times New Roman" w:cs="Times New Roman" w:eastAsia="Times New Roman" w:hAnsi="Times New Roman"/>
                <w:sz w:val="15"/>
                <w:szCs w:val="15"/>
                <w:color w:val="auto"/>
              </w:rPr>
              <w:t>Total investment income from non-controlled, non-affiliated</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9"/>
        </w:trPr>
        <w:tc>
          <w:tcPr>
            <w:tcW w:w="50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investments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261,250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239,068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244,011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Investment income from non-controlled, affiliated investments:</w:t>
            </w: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50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Interest from investments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6,370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3,652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Other income</w:t>
            </w:r>
          </w:p>
        </w:tc>
        <w:tc>
          <w:tcPr>
            <w:tcW w:w="70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368</w:t>
            </w:r>
          </w:p>
        </w:tc>
        <w:tc>
          <w:tcPr>
            <w:tcW w:w="26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398</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52"/>
        </w:trPr>
        <w:tc>
          <w:tcPr>
            <w:tcW w:w="5080" w:type="dxa"/>
            <w:vAlign w:val="bottom"/>
          </w:tcPr>
          <w:p>
            <w:pPr>
              <w:ind w:left="500"/>
              <w:spacing w:after="0" w:line="152" w:lineRule="exact"/>
              <w:rPr>
                <w:sz w:val="20"/>
                <w:szCs w:val="20"/>
                <w:color w:val="auto"/>
              </w:rPr>
            </w:pPr>
            <w:r>
              <w:rPr>
                <w:rFonts w:ascii="Times New Roman" w:cs="Times New Roman" w:eastAsia="Times New Roman" w:hAnsi="Times New Roman"/>
                <w:sz w:val="15"/>
                <w:szCs w:val="15"/>
                <w:color w:val="auto"/>
              </w:rPr>
              <w:t>Total investment income from non-controlled, affiliated</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9"/>
        </w:trPr>
        <w:tc>
          <w:tcPr>
            <w:tcW w:w="50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investments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4,974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6,458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Investment income from controlled, affiliated investments:</w:t>
            </w: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50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Interest from investments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3,809</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5,958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13,763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Other income</w:t>
            </w:r>
          </w:p>
        </w:tc>
        <w:tc>
          <w:tcPr>
            <w:tcW w:w="70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6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5080" w:type="dxa"/>
            <w:vAlign w:val="bottom"/>
            <w:tcBorders>
              <w:bottom w:val="single" w:sz="8" w:color="CFF0FC"/>
            </w:tcBorders>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investment income from controlled, affiliated investments</w:t>
            </w:r>
          </w:p>
        </w:tc>
        <w:tc>
          <w:tcPr>
            <w:tcW w:w="7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3,813</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5,969</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13,853</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080" w:type="dxa"/>
            <w:vAlign w:val="bottom"/>
            <w:shd w:val="clear" w:color="auto" w:fill="CFF0FC"/>
          </w:tcPr>
          <w:p>
            <w:pPr>
              <w:ind w:left="740"/>
              <w:spacing w:after="0" w:line="169" w:lineRule="exact"/>
              <w:rPr>
                <w:sz w:val="20"/>
                <w:szCs w:val="20"/>
                <w:color w:val="auto"/>
              </w:rPr>
            </w:pPr>
            <w:r>
              <w:rPr>
                <w:rFonts w:ascii="Times New Roman" w:cs="Times New Roman" w:eastAsia="Times New Roman" w:hAnsi="Times New Roman"/>
                <w:sz w:val="15"/>
                <w:szCs w:val="15"/>
                <w:b w:val="1"/>
                <w:bCs w:val="1"/>
                <w:color w:val="auto"/>
              </w:rPr>
              <w:t>Total Investment Income</w:t>
            </w:r>
          </w:p>
        </w:tc>
        <w:tc>
          <w:tcPr>
            <w:tcW w:w="7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270,037</w:t>
            </w: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251,495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261,914</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08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Expenses</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Interest</w:t>
            </w: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39,402</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49,110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42,761</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Management fees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32,105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30,104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28,589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Incentive fees</w:t>
            </w: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32,904</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27,211</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30,515</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Professional fees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6,775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7,208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Directors’ fees</w:t>
            </w: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825</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595</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414</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5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Other general and administrative</w:t>
            </w:r>
          </w:p>
        </w:tc>
        <w:tc>
          <w:tcPr>
            <w:tcW w:w="7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5,262</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5,912</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5,226</w:t>
            </w:r>
          </w:p>
        </w:tc>
        <w:tc>
          <w:tcPr>
            <w:tcW w:w="10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5080" w:type="dxa"/>
            <w:vAlign w:val="bottom"/>
            <w:shd w:val="clear" w:color="auto" w:fill="CFF0FC"/>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expenses</w:t>
            </w:r>
          </w:p>
        </w:tc>
        <w:tc>
          <w:tcPr>
            <w:tcW w:w="7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117,273</w:t>
            </w: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119,462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114,713</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080" w:type="dxa"/>
            <w:vAlign w:val="bottom"/>
            <w:tcBorders>
              <w:bottom w:val="single" w:sz="8" w:color="CFF0FC"/>
            </w:tcBorders>
          </w:tcPr>
          <w:p>
            <w:pPr>
              <w:spacing w:after="0" w:line="169" w:lineRule="exact"/>
              <w:rPr>
                <w:sz w:val="20"/>
                <w:szCs w:val="20"/>
                <w:color w:val="auto"/>
              </w:rPr>
            </w:pPr>
            <w:r>
              <w:rPr>
                <w:rFonts w:ascii="Times New Roman" w:cs="Times New Roman" w:eastAsia="Times New Roman" w:hAnsi="Times New Roman"/>
                <w:sz w:val="15"/>
                <w:szCs w:val="15"/>
                <w:color w:val="auto"/>
              </w:rPr>
              <w:t>Management and incentive fees waived</w:t>
            </w:r>
          </w:p>
        </w:tc>
        <w:tc>
          <w:tcPr>
            <w:tcW w:w="7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(63)</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080" w:type="dxa"/>
            <w:vAlign w:val="bottom"/>
            <w:shd w:val="clear" w:color="auto" w:fill="CFF0FC"/>
          </w:tcPr>
          <w:p>
            <w:pPr>
              <w:ind w:left="740"/>
              <w:spacing w:after="0" w:line="169" w:lineRule="exact"/>
              <w:rPr>
                <w:sz w:val="20"/>
                <w:szCs w:val="20"/>
                <w:color w:val="auto"/>
              </w:rPr>
            </w:pPr>
            <w:r>
              <w:rPr>
                <w:rFonts w:ascii="Times New Roman" w:cs="Times New Roman" w:eastAsia="Times New Roman" w:hAnsi="Times New Roman"/>
                <w:sz w:val="15"/>
                <w:szCs w:val="15"/>
                <w:b w:val="1"/>
                <w:bCs w:val="1"/>
                <w:color w:val="auto"/>
              </w:rPr>
              <w:t>Net Expenses</w:t>
            </w:r>
          </w:p>
        </w:tc>
        <w:tc>
          <w:tcPr>
            <w:tcW w:w="7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117,273</w:t>
            </w: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119,462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114,650</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08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Net Investment Income Before Income Taxes</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152,764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132,033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147,264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Income taxes, including excise taxes</w:t>
            </w:r>
          </w:p>
        </w:tc>
        <w:tc>
          <w:tcPr>
            <w:tcW w:w="70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5,760</w:t>
            </w:r>
          </w:p>
        </w:tc>
        <w:tc>
          <w:tcPr>
            <w:tcW w:w="26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3,750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3,375</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508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Net Investment Income</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147,004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128,283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143,889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Unrealized and Realized Gains (Losses)</w:t>
            </w: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Net change in unrealized gains (losses):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Non-controlled, non-affiliated investments</w:t>
            </w: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10,304</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29,432</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(15,207)</w:t>
            </w:r>
          </w:p>
        </w:tc>
        <w:tc>
          <w:tcPr>
            <w:tcW w:w="20" w:type="dxa"/>
            <w:vAlign w:val="bottom"/>
          </w:tcPr>
          <w:p>
            <w:pPr>
              <w:spacing w:after="0"/>
              <w:rPr>
                <w:sz w:val="15"/>
                <w:szCs w:val="15"/>
                <w:color w:val="auto"/>
              </w:rPr>
            </w:pPr>
          </w:p>
        </w:tc>
      </w:tr>
      <w:tr>
        <w:trPr>
          <w:trHeight w:val="175"/>
        </w:trPr>
        <w:tc>
          <w:tcPr>
            <w:tcW w:w="50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Non-controlled, affiliated investments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(670)</w:t>
            </w:r>
          </w:p>
        </w:tc>
        <w:tc>
          <w:tcPr>
            <w:tcW w:w="20" w:type="dxa"/>
            <w:vAlign w:val="bottom"/>
          </w:tcPr>
          <w:p>
            <w:pPr>
              <w:spacing w:after="0"/>
              <w:rPr>
                <w:sz w:val="15"/>
                <w:szCs w:val="15"/>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Controlled, affiliated investments</w:t>
            </w: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18,862</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(12,381)</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(2,028)</w:t>
            </w:r>
          </w:p>
        </w:tc>
        <w:tc>
          <w:tcPr>
            <w:tcW w:w="20" w:type="dxa"/>
            <w:vAlign w:val="bottom"/>
          </w:tcPr>
          <w:p>
            <w:pPr>
              <w:spacing w:after="0"/>
              <w:rPr>
                <w:sz w:val="15"/>
                <w:szCs w:val="15"/>
                <w:color w:val="auto"/>
              </w:rPr>
            </w:pPr>
          </w:p>
        </w:tc>
      </w:tr>
      <w:tr>
        <w:trPr>
          <w:trHeight w:val="175"/>
        </w:trPr>
        <w:tc>
          <w:tcPr>
            <w:tcW w:w="50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Translation of other assets and liabilities in foreign currencies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(5,068)</w:t>
            </w:r>
          </w:p>
        </w:tc>
        <w:tc>
          <w:tcPr>
            <w:tcW w:w="160" w:type="dxa"/>
            <w:vAlign w:val="bottom"/>
          </w:tcPr>
          <w:p>
            <w:pPr>
              <w:spacing w:after="0"/>
              <w:rPr>
                <w:sz w:val="15"/>
                <w:szCs w:val="15"/>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(3,255)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5,455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Interest rate swaps</w:t>
            </w: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6,812</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9,194</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(1,701)</w:t>
            </w:r>
          </w:p>
        </w:tc>
        <w:tc>
          <w:tcPr>
            <w:tcW w:w="20" w:type="dxa"/>
            <w:vAlign w:val="bottom"/>
          </w:tcPr>
          <w:p>
            <w:pPr>
              <w:spacing w:after="0"/>
              <w:rPr>
                <w:sz w:val="15"/>
                <w:szCs w:val="15"/>
                <w:color w:val="auto"/>
              </w:rPr>
            </w:pPr>
          </w:p>
        </w:tc>
      </w:tr>
      <w:tr>
        <w:trPr>
          <w:trHeight w:val="169"/>
        </w:trPr>
        <w:tc>
          <w:tcPr>
            <w:tcW w:w="5080" w:type="dxa"/>
            <w:vAlign w:val="bottom"/>
            <w:tcBorders>
              <w:bottom w:val="single" w:sz="8" w:color="CFF0FC"/>
            </w:tcBorders>
          </w:tcPr>
          <w:p>
            <w:pPr>
              <w:ind w:left="740"/>
              <w:spacing w:after="0" w:line="169" w:lineRule="exact"/>
              <w:rPr>
                <w:sz w:val="20"/>
                <w:szCs w:val="20"/>
                <w:color w:val="auto"/>
              </w:rPr>
            </w:pPr>
            <w:r>
              <w:rPr>
                <w:rFonts w:ascii="Times New Roman" w:cs="Times New Roman" w:eastAsia="Times New Roman" w:hAnsi="Times New Roman"/>
                <w:sz w:val="15"/>
                <w:szCs w:val="15"/>
                <w:color w:val="auto"/>
              </w:rPr>
              <w:t>Total net change in unrealized gains (losses)</w:t>
            </w:r>
          </w:p>
        </w:tc>
        <w:tc>
          <w:tcPr>
            <w:tcW w:w="70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33,695</w:t>
            </w:r>
          </w:p>
        </w:tc>
        <w:tc>
          <w:tcPr>
            <w:tcW w:w="26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24,262</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(14,151)</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08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Realized gains (losses):</w:t>
            </w: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50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Non-controlled, non-affiliated investments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25,382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5,482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3,457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Non-controlled, affiliated investments</w:t>
            </w: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7,854</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r>
      <w:tr>
        <w:trPr>
          <w:trHeight w:val="176"/>
        </w:trPr>
        <w:tc>
          <w:tcPr>
            <w:tcW w:w="50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Controlled, affiliated investments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(36,352)</w:t>
            </w:r>
          </w:p>
        </w:tc>
        <w:tc>
          <w:tcPr>
            <w:tcW w:w="160" w:type="dxa"/>
            <w:vAlign w:val="bottom"/>
          </w:tcPr>
          <w:p>
            <w:pPr>
              <w:spacing w:after="0"/>
              <w:rPr>
                <w:sz w:val="15"/>
                <w:szCs w:val="15"/>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(3,594)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(14,890)</w:t>
            </w:r>
          </w:p>
        </w:tc>
        <w:tc>
          <w:tcPr>
            <w:tcW w:w="20" w:type="dxa"/>
            <w:vAlign w:val="bottom"/>
          </w:tcPr>
          <w:p>
            <w:pPr>
              <w:spacing w:after="0"/>
              <w:rPr>
                <w:sz w:val="15"/>
                <w:szCs w:val="15"/>
                <w:color w:val="auto"/>
              </w:rPr>
            </w:pPr>
          </w:p>
        </w:tc>
      </w:tr>
      <w:tr>
        <w:trPr>
          <w:trHeight w:val="175"/>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Extinguishment of debt</w:t>
            </w: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739</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r>
      <w:tr>
        <w:trPr>
          <w:trHeight w:val="175"/>
        </w:trPr>
        <w:tc>
          <w:tcPr>
            <w:tcW w:w="50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Interest rate swaps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(62)</w:t>
            </w: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r>
      <w:tr>
        <w:trPr>
          <w:trHeight w:val="175"/>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Foreign currency transactions</w:t>
            </w: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(152)</w:t>
            </w:r>
          </w:p>
        </w:tc>
        <w:tc>
          <w:tcPr>
            <w:tcW w:w="16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712</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5080" w:type="dxa"/>
            <w:vAlign w:val="bottom"/>
            <w:tcBorders>
              <w:bottom w:val="single" w:sz="8" w:color="CFF0FC"/>
            </w:tcBorders>
          </w:tcPr>
          <w:p>
            <w:pPr>
              <w:ind w:left="740"/>
              <w:spacing w:after="0" w:line="169" w:lineRule="exact"/>
              <w:rPr>
                <w:sz w:val="20"/>
                <w:szCs w:val="20"/>
                <w:color w:val="auto"/>
              </w:rPr>
            </w:pPr>
            <w:r>
              <w:rPr>
                <w:rFonts w:ascii="Times New Roman" w:cs="Times New Roman" w:eastAsia="Times New Roman" w:hAnsi="Times New Roman"/>
                <w:sz w:val="15"/>
                <w:szCs w:val="15"/>
                <w:color w:val="auto"/>
              </w:rPr>
              <w:t>Total net realized gains (losses)</w:t>
            </w:r>
          </w:p>
        </w:tc>
        <w:tc>
          <w:tcPr>
            <w:tcW w:w="70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(2,591)</w:t>
            </w:r>
          </w:p>
        </w:tc>
        <w:tc>
          <w:tcPr>
            <w:tcW w:w="26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2,038</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(10,721)</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080" w:type="dxa"/>
            <w:vAlign w:val="bottom"/>
            <w:shd w:val="clear" w:color="auto" w:fill="CFF0FC"/>
          </w:tcPr>
          <w:p>
            <w:pPr>
              <w:ind w:left="1000"/>
              <w:spacing w:after="0" w:line="169" w:lineRule="exact"/>
              <w:rPr>
                <w:sz w:val="20"/>
                <w:szCs w:val="20"/>
                <w:color w:val="auto"/>
              </w:rPr>
            </w:pPr>
            <w:r>
              <w:rPr>
                <w:rFonts w:ascii="Times New Roman" w:cs="Times New Roman" w:eastAsia="Times New Roman" w:hAnsi="Times New Roman"/>
                <w:sz w:val="15"/>
                <w:szCs w:val="15"/>
                <w:b w:val="1"/>
                <w:bCs w:val="1"/>
                <w:color w:val="auto"/>
              </w:rPr>
              <w:t>Total Unrealized and Realized Gains (Losses)</w:t>
            </w:r>
          </w:p>
        </w:tc>
        <w:tc>
          <w:tcPr>
            <w:tcW w:w="7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31,104</w:t>
            </w: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26,300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(24,872)</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5080" w:type="dxa"/>
            <w:vAlign w:val="bottom"/>
            <w:tcBorders>
              <w:bottom w:val="single" w:sz="8" w:color="CFF0FC"/>
            </w:tcBorders>
          </w:tcPr>
          <w:p>
            <w:pPr>
              <w:ind w:left="1000"/>
              <w:spacing w:after="0" w:line="169" w:lineRule="exact"/>
              <w:rPr>
                <w:sz w:val="20"/>
                <w:szCs w:val="20"/>
                <w:color w:val="auto"/>
              </w:rPr>
            </w:pPr>
            <w:r>
              <w:rPr>
                <w:rFonts w:ascii="Times New Roman" w:cs="Times New Roman" w:eastAsia="Times New Roman" w:hAnsi="Times New Roman"/>
                <w:sz w:val="15"/>
                <w:szCs w:val="15"/>
                <w:b w:val="1"/>
                <w:bCs w:val="1"/>
                <w:color w:val="auto"/>
              </w:rPr>
              <w:t>Increase in Net Assets Resulting from Operations</w:t>
            </w:r>
          </w:p>
        </w:tc>
        <w:tc>
          <w:tcPr>
            <w:tcW w:w="7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178,108</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154,583</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119,017</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50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Earnings per common share—basic and diluted</w:t>
            </w:r>
          </w:p>
        </w:tc>
        <w:tc>
          <w:tcPr>
            <w:tcW w:w="7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2.65</w:t>
            </w:r>
          </w:p>
        </w:tc>
        <w:tc>
          <w:tcPr>
            <w:tcW w:w="2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2.34</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1.86</w:t>
            </w: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5080" w:type="dxa"/>
            <w:vAlign w:val="bottom"/>
          </w:tcPr>
          <w:p>
            <w:pPr>
              <w:spacing w:after="0" w:line="152" w:lineRule="exact"/>
              <w:rPr>
                <w:sz w:val="20"/>
                <w:szCs w:val="20"/>
                <w:color w:val="auto"/>
              </w:rPr>
            </w:pPr>
            <w:r>
              <w:rPr>
                <w:rFonts w:ascii="Times New Roman" w:cs="Times New Roman" w:eastAsia="Times New Roman" w:hAnsi="Times New Roman"/>
                <w:sz w:val="15"/>
                <w:szCs w:val="15"/>
                <w:color w:val="auto"/>
              </w:rPr>
              <w:t>Weighted average shares of common stock outstanding—basic and</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9"/>
        </w:trPr>
        <w:tc>
          <w:tcPr>
            <w:tcW w:w="50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diluted</w:t>
            </w:r>
          </w:p>
        </w:tc>
        <w:tc>
          <w:tcPr>
            <w:tcW w:w="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67,209,078</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66,069,305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64,028,137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26"/>
        </w:trPr>
        <w:tc>
          <w:tcPr>
            <w:tcW w:w="5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345"/>
        </w:trPr>
        <w:tc>
          <w:tcPr>
            <w:tcW w:w="50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20" w:right="319" w:bottom="1440" w:gutter="0" w:footer="0" w:header="0"/>
        </w:sectPr>
      </w:pPr>
    </w:p>
    <w:bookmarkStart w:id="12" w:name="page13"/>
    <w:bookmarkEnd w:id="12"/>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11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Company’s investment activity for year ended December 31, 2020, 2019 and 2018 is presented below (information presented herein is at par value unless otherwise indicated).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7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7"/>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740" w:type="dxa"/>
            <w:vAlign w:val="bottom"/>
            <w:tcBorders>
              <w:bottom w:val="single" w:sz="8" w:color="CFF0FC"/>
            </w:tcBorders>
            <w:vMerge w:val="continue"/>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Gross originations</w:t>
            </w: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3,296.8</w:t>
            </w:r>
          </w:p>
        </w:tc>
        <w:tc>
          <w:tcPr>
            <w:tcW w:w="2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3,007.0</w:t>
            </w:r>
          </w:p>
        </w:tc>
        <w:tc>
          <w:tcPr>
            <w:tcW w:w="32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Less: Syndications/sell downs</w:t>
            </w:r>
          </w:p>
        </w:tc>
        <w:tc>
          <w:tcPr>
            <w:tcW w:w="7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1,773.5</w:t>
            </w: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7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1,233.5</w:t>
            </w:r>
          </w:p>
        </w:tc>
        <w:tc>
          <w:tcPr>
            <w:tcW w:w="32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First-lien</w:t>
            </w: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909.6</w:t>
            </w:r>
          </w:p>
        </w:tc>
        <w:tc>
          <w:tcPr>
            <w:tcW w:w="2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32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Second-lien</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Mezzanine</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Equity and other</w:t>
            </w:r>
          </w:p>
        </w:tc>
        <w:tc>
          <w:tcPr>
            <w:tcW w:w="7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1,087.6</w:t>
            </w:r>
          </w:p>
        </w:tc>
        <w:tc>
          <w:tcPr>
            <w:tcW w:w="32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First-lien</w:t>
            </w: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2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32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Second-lien</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Mezzanine</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Equity and other</w:t>
            </w:r>
          </w:p>
        </w:tc>
        <w:tc>
          <w:tcPr>
            <w:tcW w:w="7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941.3</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740" w:type="dxa"/>
            <w:vAlign w:val="bottom"/>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 of new investment commitments in new portfolio</w:t>
            </w:r>
          </w:p>
        </w:tc>
        <w:tc>
          <w:tcPr>
            <w:tcW w:w="7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7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new investment commitment amount in new portfolio</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tcPr>
          <w:p>
            <w:pPr>
              <w:spacing w:after="0"/>
              <w:rPr>
                <w:sz w:val="20"/>
                <w:szCs w:val="20"/>
                <w:color w:val="auto"/>
              </w:rPr>
            </w:pP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20" w:type="dxa"/>
            <w:vAlign w:val="bottom"/>
          </w:tcPr>
          <w:p>
            <w:pPr>
              <w:spacing w:after="0"/>
              <w:rPr>
                <w:sz w:val="20"/>
                <w:szCs w:val="20"/>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term for new investment commitments in new</w:t>
            </w: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portfolio companies (in years)</w:t>
            </w:r>
          </w:p>
        </w:tc>
        <w:tc>
          <w:tcPr>
            <w:tcW w:w="7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Percentage of new debt investment commitments at floating</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rates </w:t>
            </w:r>
            <w:r>
              <w:rPr>
                <w:rFonts w:ascii="Times New Roman" w:cs="Times New Roman" w:eastAsia="Times New Roman" w:hAnsi="Times New Roman"/>
                <w:sz w:val="15"/>
                <w:szCs w:val="15"/>
                <w:b w:val="1"/>
                <w:bCs w:val="1"/>
                <w:color w:val="auto"/>
              </w:rPr>
              <w:t>(1)</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98.7%</w:t>
            </w: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new debt investment commitments at fixed rates</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 of new investment commitments</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7"/>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spread over LIBOR of new floating rate</w:t>
            </w: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 commitments</w:t>
            </w:r>
          </w:p>
        </w:tc>
        <w:tc>
          <w:tcPr>
            <w:tcW w:w="7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 on investments sold or paid down</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w:t>
            </w: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00" w:firstLine="8"/>
        <w:spacing w:after="0" w:line="261" w:lineRule="auto"/>
        <w:tabs>
          <w:tab w:leader="none" w:pos="14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one or more fixed rate investments for the years ended December 31, 2020, 2019, and 2018, for which the Company entered into interest rate swap agreements to swap to floating rates.</w:t>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11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t>About Sixth Street Specialty Lending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Sixth Street Specialty Lending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The Company is externally managed by Sixth Street Specialty Lending Advisers, LLC, an affiliate of Sixth Street and a Securities and Exchange Commission (“SEC”) registered investment adviser. The Company leverages the deep investment, sector, and operating resources of Sixth Street, a global investment firm with over $50 billion of assets under management. For more information, visit the Company’s website at www.sixthstreetspecialtylending.com.</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Sixth Street</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Sixth Street is a global investment firm with over $50 billion in assets under management and committed capital. We operate nine diversified, collaborative investment platforms: TAO, Growth, Specialty Lending, Fundamental Strategies, Infrastructure, Opportunities, Insurance, Agriculture, and Credit Market Strategies. Our long-term oriented, highly flexible capital base and "One Team" cultural philosophy allow us to invest thematically across sectors, geographies, and asset classes. Founded in 2009, Sixth Street has more than 320 team members including over 145 investment professionals in nine locations around the world. For more information about Sixth Street, visit www.sixthstreet.com.</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Statements included herein may constitute “forward-looking statements,” which relate to future events or the Company’s future performance or financial condition, including expectations with respect to the Company’s portfolio companies.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Lucy Lu, 212–601-4753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Specialty Lending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IRTSLX@sixthstreet.com</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Clifford, 617-793-2004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PClifford@sixthstreet.com</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sectPr>
      <w:pgSz w:w="11900" w:h="16838" w:orient="portrait"/>
      <w:cols w:equalWidth="0" w:num="1">
        <w:col w:w="11240"/>
      </w:cols>
      <w:pgMar w:left="320" w:top="12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2021-02-17T15:08:00Z</dcterms:created>
  <dcterms:modified xsi:type="dcterms:W3CDTF">2021-02-17T15:08:00Z</dcterms:modified>
</cp:coreProperties>
</file>