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color w:val="auto"/>
        </w:rPr>
        <w:t>[Letterhead of TPG Specialty Lending, Inc.]</w:t>
      </w:r>
    </w:p>
    <w:p>
      <w:pPr>
        <w:spacing w:after="0" w:line="17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April 2, 2012</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5" w:lineRule="exact"/>
        <w:rPr>
          <w:sz w:val="24"/>
          <w:szCs w:val="24"/>
          <w:color w:val="auto"/>
        </w:rPr>
      </w:pPr>
    </w:p>
    <w:p>
      <w:pPr>
        <w:ind w:left="460"/>
        <w:spacing w:after="0"/>
        <w:tabs>
          <w:tab w:leader="none" w:pos="900" w:val="left"/>
        </w:tabs>
        <w:rPr>
          <w:sz w:val="20"/>
          <w:szCs w:val="20"/>
          <w:color w:val="auto"/>
        </w:rPr>
      </w:pPr>
      <w:r>
        <w:rPr>
          <w:rFonts w:ascii="Arial" w:cs="Arial" w:eastAsia="Arial" w:hAnsi="Arial"/>
          <w:sz w:val="18"/>
          <w:szCs w:val="18"/>
          <w:color w:val="auto"/>
        </w:rPr>
        <w:t>Re:</w:t>
        <w:tab/>
        <w:t>TPG Specialty Lending, Inc.</w:t>
      </w:r>
    </w:p>
    <w:p>
      <w:pPr>
        <w:spacing w:after="0" w:line="15" w:lineRule="exact"/>
        <w:rPr>
          <w:sz w:val="24"/>
          <w:szCs w:val="24"/>
          <w:color w:val="auto"/>
        </w:rPr>
      </w:pPr>
    </w:p>
    <w:p>
      <w:pPr>
        <w:ind w:left="920"/>
        <w:spacing w:after="0"/>
        <w:rPr>
          <w:sz w:val="20"/>
          <w:szCs w:val="20"/>
          <w:color w:val="auto"/>
        </w:rPr>
      </w:pPr>
      <w:r>
        <w:rPr>
          <w:rFonts w:ascii="Arial" w:cs="Arial" w:eastAsia="Arial" w:hAnsi="Arial"/>
          <w:sz w:val="18"/>
          <w:szCs w:val="18"/>
          <w:color w:val="auto"/>
        </w:rPr>
        <w:t>Rule 17g-1(g) Fidelity Bond Filing</w:t>
      </w:r>
    </w:p>
    <w:p>
      <w:pPr>
        <w:spacing w:after="0" w:line="178"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On behalf of TPG Specialty Lending,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enclosed herewith for filing, pursuant to Rule 17g-1(g) under the Investment Company Act of 1940, are the following:</w:t>
      </w:r>
    </w:p>
    <w:p>
      <w:pPr>
        <w:spacing w:after="0" w:line="51" w:lineRule="exact"/>
        <w:rPr>
          <w:sz w:val="24"/>
          <w:szCs w:val="24"/>
          <w:color w:val="auto"/>
        </w:rPr>
      </w:pPr>
    </w:p>
    <w:p>
      <w:pPr>
        <w:ind w:left="1820" w:hanging="678"/>
        <w:spacing w:after="0"/>
        <w:tabs>
          <w:tab w:leader="none" w:pos="182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copy of the fidelity bond covering the Company, which includes a statement as to the period for which premiums have been paid; and</w:t>
      </w:r>
    </w:p>
    <w:p>
      <w:pPr>
        <w:spacing w:after="0" w:line="113" w:lineRule="exact"/>
        <w:rPr>
          <w:rFonts w:ascii="Arial" w:cs="Arial" w:eastAsia="Arial" w:hAnsi="Arial"/>
          <w:sz w:val="16"/>
          <w:szCs w:val="16"/>
          <w:color w:val="auto"/>
        </w:rPr>
      </w:pPr>
    </w:p>
    <w:p>
      <w:pPr>
        <w:ind w:left="1820" w:hanging="678"/>
        <w:spacing w:after="0" w:line="268" w:lineRule="auto"/>
        <w:tabs>
          <w:tab w:leader="none" w:pos="1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Certificate of the Secretary of the Company containing the resolutions of the Board of Directors approving the amount, type, form and coverage of the Fidelity Bond and a statement as to the period for which premiums have been paid.</w:t>
      </w:r>
    </w:p>
    <w:p>
      <w:pPr>
        <w:spacing w:after="0" w:line="132"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If you have any questions regarding this submission, please do not hesitate to call me at (817) 871-4095.</w:t>
      </w:r>
    </w:p>
    <w:p>
      <w:pPr>
        <w:spacing w:after="0" w:line="212"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/s/ David Reintjes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David Reintjes</w:t>
      </w:r>
    </w:p>
    <w:p>
      <w:pPr>
        <w:spacing w:after="0" w:line="15"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Secretary and Chief Compliance Officer</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Enclosures</w:t>
      </w:r>
    </w:p>
    <w:p>
      <w:pPr>
        <w:sectPr>
          <w:pgSz w:w="11900" w:h="16838" w:orient="portrait"/>
          <w:cols w:equalWidth="0" w:num="1">
            <w:col w:w="11380"/>
          </w:cols>
          <w:pgMar w:left="240" w:top="239" w:right="27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CERTIFICATE OF SECRETARY</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The undersigned, David Reintjes, Secretary and Chief Compliance Officer of TPG Specialty Lending,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does hereby certify that:</w:t>
      </w:r>
    </w:p>
    <w:p>
      <w:pPr>
        <w:spacing w:after="0" w:line="51" w:lineRule="exact"/>
        <w:rPr>
          <w:sz w:val="20"/>
          <w:szCs w:val="20"/>
          <w:color w:val="auto"/>
        </w:rPr>
      </w:pPr>
    </w:p>
    <w:p>
      <w:pPr>
        <w:ind w:left="1820" w:right="260" w:hanging="678"/>
        <w:spacing w:after="0" w:line="259" w:lineRule="auto"/>
        <w:tabs>
          <w:tab w:leader="none" w:pos="1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This certificate is being delivered to the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xml:space="preserve">) in connection with the filing of the Company’s fidelity bond (the </w:t>
      </w:r>
      <w:r>
        <w:rPr>
          <w:rFonts w:ascii="Arial" w:cs="Arial" w:eastAsia="Arial" w:hAnsi="Arial"/>
          <w:sz w:val="18"/>
          <w:szCs w:val="18"/>
          <w:b w:val="1"/>
          <w:bCs w:val="1"/>
          <w:i w:val="1"/>
          <w:iCs w:val="1"/>
          <w:color w:val="auto"/>
        </w:rPr>
        <w:t>“Bond”</w:t>
      </w:r>
      <w:r>
        <w:rPr>
          <w:rFonts w:ascii="Arial" w:cs="Arial" w:eastAsia="Arial" w:hAnsi="Arial"/>
          <w:sz w:val="18"/>
          <w:szCs w:val="18"/>
          <w:color w:val="auto"/>
        </w:rPr>
        <w:t>) pursuant to Rule 17g-1 of the Investment Company Act of 1940, as amended, and the SEC is entitled to rely on this certificate for purposes of the filing.</w:t>
      </w:r>
    </w:p>
    <w:p>
      <w:pPr>
        <w:spacing w:after="0" w:line="59" w:lineRule="exact"/>
        <w:rPr>
          <w:rFonts w:ascii="Arial" w:cs="Arial" w:eastAsia="Arial" w:hAnsi="Arial"/>
          <w:sz w:val="18"/>
          <w:szCs w:val="18"/>
          <w:color w:val="auto"/>
        </w:rPr>
      </w:pPr>
    </w:p>
    <w:p>
      <w:pPr>
        <w:ind w:left="1820" w:right="340" w:hanging="678"/>
        <w:spacing w:after="0" w:line="268" w:lineRule="auto"/>
        <w:tabs>
          <w:tab w:leader="none" w:pos="1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undersigned is the duly elected, qualified and acting Secretary of the Company, and has custody of the corporate records of the Company and is a proper officer to make this certification.</w:t>
      </w:r>
    </w:p>
    <w:p>
      <w:pPr>
        <w:spacing w:after="0" w:line="50" w:lineRule="exact"/>
        <w:rPr>
          <w:rFonts w:ascii="Arial" w:cs="Arial" w:eastAsia="Arial" w:hAnsi="Arial"/>
          <w:sz w:val="18"/>
          <w:szCs w:val="18"/>
          <w:color w:val="auto"/>
        </w:rPr>
      </w:pPr>
    </w:p>
    <w:p>
      <w:pPr>
        <w:ind w:left="1820" w:right="200" w:hanging="678"/>
        <w:spacing w:after="0" w:line="259" w:lineRule="auto"/>
        <w:tabs>
          <w:tab w:leader="none" w:pos="1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is a copy of the resolutions approved by the Board of Directors of the Company, including a majority of the Board of the Directors who are not “interested persons” of the Company, approving the amount, type, form and coverage of the Bond.</w:t>
      </w:r>
    </w:p>
    <w:p>
      <w:pPr>
        <w:spacing w:after="0" w:line="59" w:lineRule="exact"/>
        <w:rPr>
          <w:rFonts w:ascii="Arial" w:cs="Arial" w:eastAsia="Arial" w:hAnsi="Arial"/>
          <w:sz w:val="18"/>
          <w:szCs w:val="18"/>
          <w:color w:val="auto"/>
        </w:rPr>
      </w:pPr>
    </w:p>
    <w:p>
      <w:pPr>
        <w:ind w:left="1820" w:hanging="678"/>
        <w:spacing w:after="0"/>
        <w:tabs>
          <w:tab w:leader="none" w:pos="1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Premiums have been paid for the period March 8, 2012 to March 8, 2013.</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certificate to be executed this 2</w:t>
      </w:r>
      <w:r>
        <w:rPr>
          <w:rFonts w:ascii="Arial" w:cs="Arial" w:eastAsia="Arial" w:hAnsi="Arial"/>
          <w:sz w:val="11"/>
          <w:szCs w:val="11"/>
          <w:color w:val="auto"/>
        </w:rPr>
        <w:t>nd</w:t>
      </w:r>
      <w:r>
        <w:rPr>
          <w:rFonts w:ascii="Arial" w:cs="Arial" w:eastAsia="Arial" w:hAnsi="Arial"/>
          <w:sz w:val="18"/>
          <w:szCs w:val="18"/>
          <w:color w:val="auto"/>
        </w:rPr>
        <w:t xml:space="preserve"> day of April,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Reintjes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Reintjes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 and Chief Compliance Officer</w:t>
      </w:r>
    </w:p>
    <w:p>
      <w:pPr>
        <w:sectPr>
          <w:pgSz w:w="11900" w:h="16838" w:orient="portrait"/>
          <w:cols w:equalWidth="0" w:num="1">
            <w:col w:w="11380"/>
          </w:cols>
          <w:pgMar w:left="240" w:top="274" w:right="27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Excerpt from the minutes of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of the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 TPG Specialty Lending, Inc. held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 March 20, 2012</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Approval of Current Year’s Fidelity Bond</w:t>
      </w:r>
    </w:p>
    <w:p>
      <w:pPr>
        <w:spacing w:after="0" w:line="90" w:lineRule="exact"/>
        <w:rPr>
          <w:sz w:val="20"/>
          <w:szCs w:val="20"/>
          <w:color w:val="auto"/>
        </w:rPr>
      </w:pPr>
    </w:p>
    <w:p>
      <w:pPr>
        <w:ind w:left="700" w:right="60" w:firstLine="429"/>
        <w:spacing w:after="0" w:line="25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Section 17(g) of the Investment Company Act of 1940 (the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“1940 Act”</w:t>
      </w:r>
      <w:r>
        <w:rPr>
          <w:rFonts w:ascii="Arial" w:cs="Arial" w:eastAsia="Arial" w:hAnsi="Arial"/>
          <w:sz w:val="18"/>
          <w:szCs w:val="18"/>
          <w:color w:val="auto"/>
        </w:rPr>
        <w:t>) and Rule 17g-1(a) thereunder require a BDC, such as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Company, to provide and maintain a bond which shall be issued by a reputable fidelity insurance company, authorized to do business in the place where the bond is issued, to protect the Company against larceny and embezzlement, covering each officer and employee of the BDC who may singly, or jointly with others, have access to the securities or funds of the BDC, either directly or through authority to draw upon such funds of, or to direct generally, the disposition of such securities, unless the officer or employee has such access solely through his position as an officer or employee of a bank (each, a </w:t>
      </w:r>
      <w:r>
        <w:rPr>
          <w:rFonts w:ascii="Arial" w:cs="Arial" w:eastAsia="Arial" w:hAnsi="Arial"/>
          <w:sz w:val="18"/>
          <w:szCs w:val="18"/>
          <w:b w:val="1"/>
          <w:bCs w:val="1"/>
          <w:i w:val="1"/>
          <w:iCs w:val="1"/>
          <w:color w:val="auto"/>
        </w:rPr>
        <w:t>“covered person”</w:t>
      </w:r>
      <w:r>
        <w:rPr>
          <w:rFonts w:ascii="Arial" w:cs="Arial" w:eastAsia="Arial" w:hAnsi="Arial"/>
          <w:sz w:val="18"/>
          <w:szCs w:val="18"/>
          <w:color w:val="auto"/>
        </w:rPr>
        <w:t xml:space="preserve">); </w:t>
      </w:r>
      <w:r>
        <w:rPr>
          <w:rFonts w:ascii="Arial" w:cs="Arial" w:eastAsia="Arial" w:hAnsi="Arial"/>
          <w:sz w:val="18"/>
          <w:szCs w:val="18"/>
          <w:u w:val="single" w:color="auto"/>
          <w:color w:val="auto"/>
        </w:rPr>
        <w:t>and</w:t>
      </w:r>
    </w:p>
    <w:p>
      <w:pPr>
        <w:spacing w:after="0" w:line="58" w:lineRule="exact"/>
        <w:rPr>
          <w:sz w:val="20"/>
          <w:szCs w:val="20"/>
          <w:color w:val="auto"/>
        </w:rPr>
      </w:pPr>
    </w:p>
    <w:p>
      <w:pPr>
        <w:ind w:left="700" w:right="180" w:firstLine="429"/>
        <w:spacing w:after="0" w:line="310"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Rule 17g-1 specifies that the bond may be in the form of (i) an individual bond for each covered person, or a schedule or blanket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bond covering such persons, (ii) a blanket bond which names the Company as the only insured (a </w:t>
      </w:r>
      <w:r>
        <w:rPr>
          <w:rFonts w:ascii="Arial" w:cs="Arial" w:eastAsia="Arial" w:hAnsi="Arial"/>
          <w:sz w:val="16"/>
          <w:szCs w:val="16"/>
          <w:b w:val="1"/>
          <w:bCs w:val="1"/>
          <w:i w:val="1"/>
          <w:iCs w:val="1"/>
          <w:color w:val="auto"/>
        </w:rPr>
        <w:t>“single insured bond”</w:t>
      </w:r>
      <w:r>
        <w:rPr>
          <w:rFonts w:ascii="Arial" w:cs="Arial" w:eastAsia="Arial" w:hAnsi="Arial"/>
          <w:sz w:val="16"/>
          <w:szCs w:val="16"/>
          <w:color w:val="auto"/>
        </w:rPr>
        <w:t xml:space="preserve">), </w:t>
      </w:r>
      <w:r>
        <w:rPr>
          <w:rFonts w:ascii="Arial" w:cs="Arial" w:eastAsia="Arial" w:hAnsi="Arial"/>
          <w:sz w:val="16"/>
          <w:szCs w:val="16"/>
          <w:u w:val="single" w:color="auto"/>
          <w:color w:val="auto"/>
        </w:rPr>
        <w:t>or</w:t>
      </w:r>
      <w:r>
        <w:rPr>
          <w:rFonts w:ascii="Arial" w:cs="Arial" w:eastAsia="Arial" w:hAnsi="Arial"/>
          <w:sz w:val="16"/>
          <w:szCs w:val="16"/>
          <w:color w:val="auto"/>
        </w:rPr>
        <w:t xml:space="preserve"> (iii) a bond which names the Company and one or more other parties as insureds (a </w:t>
      </w:r>
      <w:r>
        <w:rPr>
          <w:rFonts w:ascii="Arial" w:cs="Arial" w:eastAsia="Arial" w:hAnsi="Arial"/>
          <w:sz w:val="16"/>
          <w:szCs w:val="16"/>
          <w:b w:val="1"/>
          <w:bCs w:val="1"/>
          <w:i w:val="1"/>
          <w:iCs w:val="1"/>
          <w:color w:val="auto"/>
        </w:rPr>
        <w:t>“joint insured bond”</w:t>
      </w:r>
      <w:r>
        <w:rPr>
          <w:rFonts w:ascii="Arial" w:cs="Arial" w:eastAsia="Arial" w:hAnsi="Arial"/>
          <w:sz w:val="16"/>
          <w:szCs w:val="16"/>
          <w:color w:val="auto"/>
        </w:rPr>
        <w:t xml:space="preserve">), as permitted by Rule 17g-1; </w:t>
      </w:r>
      <w:r>
        <w:rPr>
          <w:rFonts w:ascii="Arial" w:cs="Arial" w:eastAsia="Arial" w:hAnsi="Arial"/>
          <w:sz w:val="16"/>
          <w:szCs w:val="16"/>
          <w:u w:val="single" w:color="auto"/>
          <w:color w:val="auto"/>
        </w:rPr>
        <w:t>and</w:t>
      </w:r>
    </w:p>
    <w:p>
      <w:pPr>
        <w:spacing w:after="0" w:line="16" w:lineRule="exact"/>
        <w:rPr>
          <w:sz w:val="20"/>
          <w:szCs w:val="20"/>
          <w:color w:val="auto"/>
        </w:rPr>
      </w:pPr>
    </w:p>
    <w:p>
      <w:pPr>
        <w:ind w:left="700" w:right="100" w:firstLine="429"/>
        <w:spacing w:after="0" w:line="296"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Rule 17g-1 requires that a majority of the Board of Directors who are not “interested persons” of the Company as defined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Section 2(a)(19) of the 1940 Act approve periodically (but not less than once every 12 months) the reasonableness of the form and amount of the bond, with due consideration to the value of the aggregate assets of the Company to which any covered person may have access, the type and terms of the arrangements made for the custody and safekeeping of such assets, and the nature of securities and other investments to be held by the Company, and pursuant to factors contained in the Rule which are described in the accompanying memorandum attached hereto; </w:t>
      </w:r>
      <w:r>
        <w:rPr>
          <w:rFonts w:ascii="Arial" w:cs="Arial" w:eastAsia="Arial" w:hAnsi="Arial"/>
          <w:sz w:val="16"/>
          <w:szCs w:val="16"/>
          <w:u w:val="single" w:color="auto"/>
          <w:color w:val="auto"/>
        </w:rPr>
        <w:t>and</w:t>
      </w:r>
    </w:p>
    <w:p>
      <w:pPr>
        <w:spacing w:after="0" w:line="27" w:lineRule="exact"/>
        <w:rPr>
          <w:sz w:val="20"/>
          <w:szCs w:val="20"/>
          <w:color w:val="auto"/>
        </w:rPr>
      </w:pPr>
    </w:p>
    <w:p>
      <w:pPr>
        <w:ind w:left="700" w:right="340" w:firstLine="429"/>
        <w:spacing w:after="0" w:line="334"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under Rule 17g-1, the Company is required to make certain filings with the SEC and give certain notices to each member of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of Directors in connection with the bond, and designate an Officer who shall make such filings and give such notices;</w:t>
      </w:r>
    </w:p>
    <w:p>
      <w:pPr>
        <w:spacing w:after="0" w:line="1" w:lineRule="exact"/>
        <w:rPr>
          <w:sz w:val="20"/>
          <w:szCs w:val="20"/>
          <w:color w:val="auto"/>
        </w:rPr>
      </w:pPr>
    </w:p>
    <w:p>
      <w:pPr>
        <w:ind w:left="700" w:right="220" w:firstLine="429"/>
        <w:spacing w:after="0" w:line="256" w:lineRule="auto"/>
        <w:rPr>
          <w:sz w:val="20"/>
          <w:szCs w:val="20"/>
          <w:color w:val="auto"/>
        </w:rPr>
      </w:pPr>
      <w:r>
        <w:rPr>
          <w:rFonts w:ascii="Arial" w:cs="Arial" w:eastAsia="Arial" w:hAnsi="Arial"/>
          <w:sz w:val="18"/>
          <w:szCs w:val="18"/>
          <w:b w:val="1"/>
          <w:bCs w:val="1"/>
          <w:color w:val="auto"/>
        </w:rPr>
        <w:t>NOW THEREFORE BE IT RESOLVED</w:t>
      </w:r>
      <w:r>
        <w:rPr>
          <w:rFonts w:ascii="Arial" w:cs="Arial" w:eastAsia="Arial" w:hAnsi="Arial"/>
          <w:sz w:val="18"/>
          <w:szCs w:val="18"/>
          <w:color w:val="auto"/>
        </w:rPr>
        <w:t>, that having considered the expected aggregate value of the securities and funds of the Company to</w:t>
      </w:r>
      <w:r>
        <w:rPr>
          <w:rFonts w:ascii="Arial" w:cs="Arial" w:eastAsia="Arial" w:hAnsi="Arial"/>
          <w:sz w:val="18"/>
          <w:szCs w:val="18"/>
          <w:b w:val="1"/>
          <w:bCs w:val="1"/>
          <w:color w:val="auto"/>
        </w:rPr>
        <w:t xml:space="preserve"> </w:t>
      </w:r>
      <w:r>
        <w:rPr>
          <w:rFonts w:ascii="Arial" w:cs="Arial" w:eastAsia="Arial" w:hAnsi="Arial"/>
          <w:sz w:val="18"/>
          <w:szCs w:val="18"/>
          <w:color w:val="auto"/>
        </w:rPr>
        <w:t>which Officers or employees of the Company may have access (either directly or through authority to draw upon such funds or to direct generally the disposition of such securities), the type and terms of the arrangements made for the custody of such securities and funds, the nature of securities and other investments to be held by the Company, the accounting procedures and controls of the Company, the nature and method of conducting the operations of the</w:t>
      </w:r>
    </w:p>
    <w:p>
      <w:pPr>
        <w:sectPr>
          <w:pgSz w:w="11900" w:h="16838" w:orient="portrait"/>
          <w:cols w:equalWidth="0" w:num="1">
            <w:col w:w="11420"/>
          </w:cols>
          <w:pgMar w:left="240" w:top="274" w:right="239" w:bottom="1440" w:gutter="0" w:footer="0" w:header="0"/>
        </w:sectPr>
      </w:pPr>
    </w:p>
    <w:bookmarkStart w:id="3" w:name="page4"/>
    <w:bookmarkEnd w:id="3"/>
    <w:p>
      <w:pPr>
        <w:ind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Company, and the requirements of Section 17(g) of the 1940 Act and Rule 17g-1 thereunder, it is determined that the amount, type, form, premium and coverage, covering the Officers and employees of the Company and insuring the Company against loss from fraudulent or dishonest acts, including larceny and embezzlement, issued by Chartis, having an aggregate coverage of $10,000,000 (the </w:t>
      </w:r>
      <w:r>
        <w:rPr>
          <w:rFonts w:ascii="Arial" w:cs="Arial" w:eastAsia="Arial" w:hAnsi="Arial"/>
          <w:sz w:val="16"/>
          <w:szCs w:val="16"/>
          <w:b w:val="1"/>
          <w:bCs w:val="1"/>
          <w:i w:val="1"/>
          <w:iCs w:val="1"/>
          <w:color w:val="auto"/>
        </w:rPr>
        <w:t>“Fidelity Bond”</w:t>
      </w:r>
      <w:r>
        <w:rPr>
          <w:rFonts w:ascii="Arial" w:cs="Arial" w:eastAsia="Arial" w:hAnsi="Arial"/>
          <w:sz w:val="16"/>
          <w:szCs w:val="16"/>
          <w:color w:val="auto"/>
        </w:rPr>
        <w:t xml:space="preserve">), is reasonable, and the Fidelity Bond be, and hereby is, approved by the Board of Directors of the Company; </w:t>
      </w:r>
      <w:r>
        <w:rPr>
          <w:rFonts w:ascii="Arial" w:cs="Arial" w:eastAsia="Arial" w:hAnsi="Arial"/>
          <w:sz w:val="16"/>
          <w:szCs w:val="16"/>
          <w:u w:val="single" w:color="auto"/>
          <w:color w:val="auto"/>
        </w:rPr>
        <w:t>and</w:t>
      </w:r>
    </w:p>
    <w:p>
      <w:pPr>
        <w:spacing w:after="0" w:line="26" w:lineRule="exact"/>
        <w:rPr>
          <w:sz w:val="20"/>
          <w:szCs w:val="20"/>
          <w:color w:val="auto"/>
        </w:rPr>
      </w:pPr>
    </w:p>
    <w:p>
      <w:pPr>
        <w:ind w:firstLine="429"/>
        <w:spacing w:after="0" w:line="290" w:lineRule="auto"/>
        <w:rPr>
          <w:sz w:val="20"/>
          <w:szCs w:val="20"/>
          <w:color w:val="auto"/>
        </w:rPr>
      </w:pPr>
      <w:r>
        <w:rPr>
          <w:rFonts w:ascii="Arial" w:cs="Arial" w:eastAsia="Arial" w:hAnsi="Arial"/>
          <w:sz w:val="16"/>
          <w:szCs w:val="16"/>
          <w:b w:val="1"/>
          <w:bCs w:val="1"/>
          <w:color w:val="auto"/>
        </w:rPr>
        <w:t xml:space="preserve">FURTHER RESOLVED, </w:t>
      </w:r>
      <w:r>
        <w:rPr>
          <w:rFonts w:ascii="Arial" w:cs="Arial" w:eastAsia="Arial" w:hAnsi="Arial"/>
          <w:sz w:val="16"/>
          <w:szCs w:val="16"/>
          <w:color w:val="auto"/>
        </w:rPr>
        <w:t>that having considered the expected aggregate value of the securities and funds of the Company to which Officers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employees of the Company may have access (either directly or through authority to draw upon such funds or to direct generally the disposition of such securities), the type and terms of the arrangements made for the custody of such securities and funds, the nature of securities and other investments to be held by the Company, the accounting procedures and controls of the Company, the nature and method of conducting the operations of the Company, and the requirements of Section 17(g) of the 1940 Act and Rule 17g-1 thereunder, it is determined that the amount, type, form, premium and coverage, covering the Officers and employees of the Company and insuring the Company against loss from fraudulent or dishonest acts, including larceny and embezzlement, issued by Chartis, having an aggregate coverage of $10,000,000 is reasonable, and the Fidelity Bond be, and hereby is, approved by a majority of the Independent Directors; </w:t>
      </w:r>
      <w:r>
        <w:rPr>
          <w:rFonts w:ascii="Arial" w:cs="Arial" w:eastAsia="Arial" w:hAnsi="Arial"/>
          <w:sz w:val="16"/>
          <w:szCs w:val="16"/>
          <w:u w:val="single" w:color="auto"/>
          <w:color w:val="auto"/>
        </w:rPr>
        <w:t>and</w:t>
      </w:r>
    </w:p>
    <w:p>
      <w:pPr>
        <w:spacing w:after="0" w:line="31" w:lineRule="exact"/>
        <w:rPr>
          <w:sz w:val="20"/>
          <w:szCs w:val="20"/>
          <w:color w:val="auto"/>
        </w:rPr>
      </w:pPr>
    </w:p>
    <w:p>
      <w:pPr>
        <w:ind w:right="60" w:firstLine="429"/>
        <w:spacing w:after="0" w:line="275"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the Officers of the Company be, and they hereby are, authorized to take all appropriate actions, with the advice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legal counsel to the Company, to provide and maintain the Fidelity Bond on behalf of the Company; </w:t>
      </w:r>
      <w:r>
        <w:rPr>
          <w:rFonts w:ascii="Arial" w:cs="Arial" w:eastAsia="Arial" w:hAnsi="Arial"/>
          <w:sz w:val="18"/>
          <w:szCs w:val="18"/>
          <w:u w:val="single" w:color="auto"/>
          <w:color w:val="auto"/>
        </w:rPr>
        <w:t>and</w:t>
      </w:r>
    </w:p>
    <w:p>
      <w:pPr>
        <w:spacing w:after="0" w:line="39" w:lineRule="exact"/>
        <w:rPr>
          <w:sz w:val="20"/>
          <w:szCs w:val="20"/>
          <w:color w:val="auto"/>
        </w:rPr>
      </w:pPr>
    </w:p>
    <w:p>
      <w:pPr>
        <w:ind w:right="180" w:firstLine="429"/>
        <w:spacing w:after="0" w:line="339" w:lineRule="auto"/>
        <w:rPr>
          <w:sz w:val="20"/>
          <w:szCs w:val="20"/>
          <w:color w:val="auto"/>
        </w:rPr>
      </w:pPr>
      <w:r>
        <w:rPr>
          <w:rFonts w:ascii="Arial" w:cs="Arial" w:eastAsia="Arial" w:hAnsi="Arial"/>
          <w:sz w:val="16"/>
          <w:szCs w:val="16"/>
          <w:b w:val="1"/>
          <w:bCs w:val="1"/>
          <w:color w:val="auto"/>
        </w:rPr>
        <w:t>FURTHER RESOLVED</w:t>
      </w:r>
      <w:r>
        <w:rPr>
          <w:rFonts w:ascii="Arial" w:cs="Arial" w:eastAsia="Arial" w:hAnsi="Arial"/>
          <w:sz w:val="16"/>
          <w:szCs w:val="16"/>
          <w:color w:val="auto"/>
        </w:rPr>
        <w:t>, that the Chief Compliance Officer of the Company be, and hereby is, designated as the party responsible for making</w:t>
      </w:r>
      <w:r>
        <w:rPr>
          <w:rFonts w:ascii="Arial" w:cs="Arial" w:eastAsia="Arial" w:hAnsi="Arial"/>
          <w:sz w:val="16"/>
          <w:szCs w:val="16"/>
          <w:b w:val="1"/>
          <w:bCs w:val="1"/>
          <w:color w:val="auto"/>
        </w:rPr>
        <w:t xml:space="preserve"> </w:t>
      </w:r>
      <w:r>
        <w:rPr>
          <w:rFonts w:ascii="Arial" w:cs="Arial" w:eastAsia="Arial" w:hAnsi="Arial"/>
          <w:sz w:val="16"/>
          <w:szCs w:val="16"/>
          <w:color w:val="auto"/>
        </w:rPr>
        <w:t>the necessary filings and giving the notices with respect to such bond required by paragraph (g) of Rule 17g-1 under the 1940 Act.</w:t>
      </w:r>
    </w:p>
    <w:p>
      <w:pPr>
        <w:sectPr>
          <w:pgSz w:w="11900" w:h="16838" w:orient="portrait"/>
          <w:cols w:equalWidth="0" w:num="1">
            <w:col w:w="10700"/>
          </w:cols>
          <w:pgMar w:left="940" w:top="280" w:right="259" w:bottom="1440" w:gutter="0" w:footer="0" w:header="0"/>
        </w:sectPr>
      </w:pPr>
    </w:p>
    <w:bookmarkStart w:id="4" w:name="page5"/>
    <w:bookmarkEnd w:id="4"/>
    <w:p>
      <w:pPr>
        <w:spacing w:after="0" w:line="3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543560</wp:posOffset>
            </wp:positionV>
            <wp:extent cx="1672590" cy="4800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672590" cy="48006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b w:val="1"/>
          <w:bCs w:val="1"/>
          <w:color w:val="auto"/>
        </w:rPr>
        <w:t>National Union Fire Insurance Company of Pittsburgh, Pa.</w:t>
      </w:r>
    </w:p>
    <w:p>
      <w:pPr>
        <w:spacing w:after="0" w:line="21" w:lineRule="exact"/>
        <w:rPr>
          <w:sz w:val="20"/>
          <w:szCs w:val="20"/>
          <w:color w:val="auto"/>
        </w:rPr>
      </w:pPr>
    </w:p>
    <w:p>
      <w:pPr>
        <w:ind w:left="9240"/>
        <w:spacing w:after="0"/>
        <w:rPr>
          <w:sz w:val="20"/>
          <w:szCs w:val="20"/>
          <w:color w:val="auto"/>
        </w:rPr>
      </w:pPr>
      <w:r>
        <w:rPr>
          <w:rFonts w:ascii="Arial" w:cs="Arial" w:eastAsia="Arial" w:hAnsi="Arial"/>
          <w:sz w:val="18"/>
          <w:szCs w:val="18"/>
          <w:color w:val="auto"/>
        </w:rPr>
        <w:t>A capital stock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9" w:lineRule="exact"/>
        <w:rPr>
          <w:sz w:val="20"/>
          <w:szCs w:val="20"/>
          <w:color w:val="auto"/>
        </w:rPr>
      </w:pPr>
    </w:p>
    <w:p>
      <w:pPr>
        <w:spacing w:after="0"/>
        <w:tabs>
          <w:tab w:leader="none" w:pos="7060" w:val="left"/>
        </w:tabs>
        <w:rPr>
          <w:sz w:val="20"/>
          <w:szCs w:val="20"/>
          <w:color w:val="auto"/>
        </w:rPr>
      </w:pPr>
      <w:r>
        <w:rPr>
          <w:rFonts w:ascii="Arial" w:cs="Arial" w:eastAsia="Arial" w:hAnsi="Arial"/>
          <w:sz w:val="18"/>
          <w:szCs w:val="18"/>
          <w:color w:val="auto"/>
        </w:rPr>
        <w:t>POLICY NUMBER: 01-615-75-34</w:t>
      </w:r>
      <w:r>
        <w:rPr>
          <w:sz w:val="20"/>
          <w:szCs w:val="20"/>
          <w:color w:val="auto"/>
        </w:rPr>
        <w:tab/>
      </w:r>
      <w:r>
        <w:rPr>
          <w:rFonts w:ascii="Arial" w:cs="Arial" w:eastAsia="Arial" w:hAnsi="Arial"/>
          <w:sz w:val="16"/>
          <w:szCs w:val="16"/>
          <w:color w:val="auto"/>
        </w:rPr>
        <w:t>REPLACEMENT OF POLICY NUMBER: 01-590-79-76</w:t>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FINANCIAL INSTITUTION BOND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Standard Form No. 14 Revised to October, 1987</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0" w:type="dxa"/>
            <w:vAlign w:val="bottom"/>
          </w:tcPr>
          <w:p>
            <w:pPr>
              <w:jc w:val="right"/>
              <w:ind w:right="712"/>
              <w:spacing w:after="0"/>
              <w:rPr>
                <w:sz w:val="20"/>
                <w:szCs w:val="20"/>
                <w:color w:val="auto"/>
              </w:rPr>
            </w:pPr>
            <w:r>
              <w:rPr>
                <w:rFonts w:ascii="Arial" w:cs="Arial" w:eastAsia="Arial" w:hAnsi="Arial"/>
                <w:sz w:val="18"/>
                <w:szCs w:val="18"/>
                <w:b w:val="1"/>
                <w:bCs w:val="1"/>
                <w:color w:val="auto"/>
              </w:rPr>
              <w:t>DECLARATIONS</w:t>
            </w:r>
          </w:p>
        </w:tc>
        <w:tc>
          <w:tcPr>
            <w:tcW w:w="0" w:type="dxa"/>
            <w:vAlign w:val="bottom"/>
          </w:tcPr>
          <w:p>
            <w:pPr>
              <w:spacing w:after="0"/>
              <w:rPr>
                <w:sz w:val="1"/>
                <w:szCs w:val="1"/>
                <w:color w:val="auto"/>
              </w:rPr>
            </w:pPr>
          </w:p>
        </w:tc>
      </w:tr>
      <w:tr>
        <w:trPr>
          <w:trHeight w:val="406"/>
        </w:trPr>
        <w:tc>
          <w:tcPr>
            <w:tcW w:w="7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3280" w:type="dxa"/>
            <w:vAlign w:val="bottom"/>
          </w:tcPr>
          <w:p>
            <w:pPr>
              <w:ind w:left="200"/>
              <w:spacing w:after="0"/>
              <w:rPr>
                <w:sz w:val="20"/>
                <w:szCs w:val="20"/>
                <w:color w:val="auto"/>
              </w:rPr>
            </w:pPr>
            <w:r>
              <w:rPr>
                <w:rFonts w:ascii="Arial" w:cs="Arial" w:eastAsia="Arial" w:hAnsi="Arial"/>
                <w:sz w:val="18"/>
                <w:szCs w:val="18"/>
                <w:color w:val="auto"/>
                <w:w w:val="94"/>
              </w:rPr>
              <w:t>Name of Insured (herein called Insured):</w:t>
            </w:r>
          </w:p>
        </w:tc>
        <w:tc>
          <w:tcPr>
            <w:tcW w:w="4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40" w:type="dxa"/>
            <w:vAlign w:val="bottom"/>
          </w:tcPr>
          <w:p>
            <w:pPr>
              <w:spacing w:after="0"/>
              <w:rPr>
                <w:sz w:val="19"/>
                <w:szCs w:val="19"/>
                <w:color w:val="auto"/>
              </w:rPr>
            </w:pPr>
          </w:p>
        </w:tc>
        <w:tc>
          <w:tcPr>
            <w:tcW w:w="3280" w:type="dxa"/>
            <w:vAlign w:val="bottom"/>
          </w:tcPr>
          <w:p>
            <w:pPr>
              <w:ind w:left="200"/>
              <w:spacing w:after="0"/>
              <w:rPr>
                <w:sz w:val="20"/>
                <w:szCs w:val="20"/>
                <w:color w:val="auto"/>
              </w:rPr>
            </w:pPr>
            <w:r>
              <w:rPr>
                <w:rFonts w:ascii="Arial" w:cs="Arial" w:eastAsia="Arial" w:hAnsi="Arial"/>
                <w:sz w:val="18"/>
                <w:szCs w:val="18"/>
                <w:b w:val="1"/>
                <w:bCs w:val="1"/>
                <w:color w:val="auto"/>
              </w:rPr>
              <w:t>TPG SPECIALTY LENDING, INC.</w:t>
            </w:r>
          </w:p>
        </w:tc>
        <w:tc>
          <w:tcPr>
            <w:tcW w:w="4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740" w:type="dxa"/>
            <w:vAlign w:val="bottom"/>
          </w:tcPr>
          <w:p>
            <w:pPr>
              <w:spacing w:after="0"/>
              <w:rPr>
                <w:sz w:val="24"/>
                <w:szCs w:val="24"/>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rPr>
              <w:t>Principal Address:</w:t>
            </w:r>
          </w:p>
        </w:tc>
        <w:tc>
          <w:tcPr>
            <w:tcW w:w="4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3280" w:type="dxa"/>
            <w:vAlign w:val="bottom"/>
          </w:tcPr>
          <w:p>
            <w:pPr>
              <w:ind w:left="200"/>
              <w:spacing w:after="0"/>
              <w:rPr>
                <w:sz w:val="20"/>
                <w:szCs w:val="20"/>
                <w:color w:val="auto"/>
              </w:rPr>
            </w:pPr>
            <w:r>
              <w:rPr>
                <w:rFonts w:ascii="Arial" w:cs="Arial" w:eastAsia="Arial" w:hAnsi="Arial"/>
                <w:sz w:val="18"/>
                <w:szCs w:val="18"/>
                <w:b w:val="1"/>
                <w:bCs w:val="1"/>
                <w:color w:val="auto"/>
              </w:rPr>
              <w:t>301 COMMERCE STREET</w:t>
            </w:r>
          </w:p>
        </w:tc>
        <w:tc>
          <w:tcPr>
            <w:tcW w:w="4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3280" w:type="dxa"/>
            <w:vAlign w:val="bottom"/>
          </w:tcPr>
          <w:p>
            <w:pPr>
              <w:ind w:left="200"/>
              <w:spacing w:after="0"/>
              <w:rPr>
                <w:sz w:val="20"/>
                <w:szCs w:val="20"/>
                <w:color w:val="auto"/>
              </w:rPr>
            </w:pPr>
            <w:r>
              <w:rPr>
                <w:rFonts w:ascii="Arial" w:cs="Arial" w:eastAsia="Arial" w:hAnsi="Arial"/>
                <w:sz w:val="18"/>
                <w:szCs w:val="18"/>
                <w:b w:val="1"/>
                <w:bCs w:val="1"/>
                <w:color w:val="auto"/>
              </w:rPr>
              <w:t>SUITE 3300</w:t>
            </w:r>
          </w:p>
        </w:tc>
        <w:tc>
          <w:tcPr>
            <w:tcW w:w="4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40" w:type="dxa"/>
            <w:vAlign w:val="bottom"/>
          </w:tcPr>
          <w:p>
            <w:pPr>
              <w:spacing w:after="0"/>
              <w:rPr>
                <w:sz w:val="19"/>
                <w:szCs w:val="19"/>
                <w:color w:val="auto"/>
              </w:rPr>
            </w:pPr>
          </w:p>
        </w:tc>
        <w:tc>
          <w:tcPr>
            <w:tcW w:w="3280" w:type="dxa"/>
            <w:vAlign w:val="bottom"/>
          </w:tcPr>
          <w:p>
            <w:pPr>
              <w:ind w:left="200"/>
              <w:spacing w:after="0"/>
              <w:rPr>
                <w:sz w:val="20"/>
                <w:szCs w:val="20"/>
                <w:color w:val="auto"/>
              </w:rPr>
            </w:pPr>
            <w:r>
              <w:rPr>
                <w:rFonts w:ascii="Arial" w:cs="Arial" w:eastAsia="Arial" w:hAnsi="Arial"/>
                <w:sz w:val="18"/>
                <w:szCs w:val="18"/>
                <w:b w:val="1"/>
                <w:bCs w:val="1"/>
                <w:color w:val="auto"/>
              </w:rPr>
              <w:t>FORT WORTH, TX 76102</w:t>
            </w:r>
          </w:p>
        </w:tc>
        <w:tc>
          <w:tcPr>
            <w:tcW w:w="4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7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3680" w:type="dxa"/>
            <w:vAlign w:val="bottom"/>
            <w:gridSpan w:val="2"/>
          </w:tcPr>
          <w:p>
            <w:pPr>
              <w:ind w:left="200"/>
              <w:spacing w:after="0"/>
              <w:rPr>
                <w:sz w:val="20"/>
                <w:szCs w:val="20"/>
                <w:color w:val="auto"/>
              </w:rPr>
            </w:pPr>
            <w:r>
              <w:rPr>
                <w:rFonts w:ascii="Arial" w:cs="Arial" w:eastAsia="Arial" w:hAnsi="Arial"/>
                <w:sz w:val="18"/>
                <w:szCs w:val="18"/>
                <w:color w:val="auto"/>
                <w:w w:val="90"/>
              </w:rPr>
              <w:t xml:space="preserve">Bond Period: from 12:01 a.m. on </w:t>
            </w:r>
            <w:r>
              <w:rPr>
                <w:rFonts w:ascii="Arial" w:cs="Arial" w:eastAsia="Arial" w:hAnsi="Arial"/>
                <w:sz w:val="18"/>
                <w:szCs w:val="18"/>
                <w:b w:val="1"/>
                <w:bCs w:val="1"/>
                <w:color w:val="auto"/>
                <w:w w:val="90"/>
              </w:rPr>
              <w:t>March 8, 2012</w:t>
            </w:r>
          </w:p>
        </w:tc>
        <w:tc>
          <w:tcPr>
            <w:tcW w:w="2800" w:type="dxa"/>
            <w:vAlign w:val="bottom"/>
          </w:tcPr>
          <w:p>
            <w:pPr>
              <w:jc w:val="right"/>
              <w:ind w:right="1392"/>
              <w:spacing w:after="0"/>
              <w:rPr>
                <w:sz w:val="20"/>
                <w:szCs w:val="20"/>
                <w:color w:val="auto"/>
              </w:rPr>
            </w:pPr>
            <w:r>
              <w:rPr>
                <w:rFonts w:ascii="Arial" w:cs="Arial" w:eastAsia="Arial" w:hAnsi="Arial"/>
                <w:sz w:val="18"/>
                <w:szCs w:val="18"/>
                <w:color w:val="auto"/>
              </w:rPr>
              <w:t>to 12:01 a.m.</w:t>
            </w:r>
          </w:p>
        </w:tc>
        <w:tc>
          <w:tcPr>
            <w:tcW w:w="0" w:type="dxa"/>
            <w:vAlign w:val="bottom"/>
          </w:tcPr>
          <w:p>
            <w:pPr>
              <w:spacing w:after="0"/>
              <w:rPr>
                <w:sz w:val="1"/>
                <w:szCs w:val="1"/>
                <w:color w:val="auto"/>
              </w:rPr>
            </w:pPr>
          </w:p>
        </w:tc>
      </w:tr>
      <w:tr>
        <w:trPr>
          <w:trHeight w:val="228"/>
        </w:trPr>
        <w:tc>
          <w:tcPr>
            <w:tcW w:w="740" w:type="dxa"/>
            <w:vAlign w:val="bottom"/>
          </w:tcPr>
          <w:p>
            <w:pPr>
              <w:spacing w:after="0"/>
              <w:rPr>
                <w:sz w:val="19"/>
                <w:szCs w:val="19"/>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rPr>
              <w:t xml:space="preserve">to </w:t>
            </w:r>
            <w:r>
              <w:rPr>
                <w:rFonts w:ascii="Arial" w:cs="Arial" w:eastAsia="Arial" w:hAnsi="Arial"/>
                <w:sz w:val="18"/>
                <w:szCs w:val="18"/>
                <w:b w:val="1"/>
                <w:bCs w:val="1"/>
                <w:color w:val="auto"/>
              </w:rPr>
              <w:t>March 8, 2013</w:t>
            </w:r>
          </w:p>
        </w:tc>
        <w:tc>
          <w:tcPr>
            <w:tcW w:w="4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7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6480" w:type="dxa"/>
            <w:vAlign w:val="bottom"/>
            <w:gridSpan w:val="3"/>
          </w:tcPr>
          <w:p>
            <w:pPr>
              <w:ind w:left="200"/>
              <w:spacing w:after="0"/>
              <w:rPr>
                <w:sz w:val="20"/>
                <w:szCs w:val="20"/>
                <w:color w:val="auto"/>
              </w:rPr>
            </w:pPr>
            <w:r>
              <w:rPr>
                <w:rFonts w:ascii="Arial" w:cs="Arial" w:eastAsia="Arial" w:hAnsi="Arial"/>
                <w:sz w:val="18"/>
                <w:szCs w:val="18"/>
                <w:color w:val="auto"/>
                <w:w w:val="89"/>
              </w:rPr>
              <w:t xml:space="preserve">The Aggregate Liability of the Underwriter during the Bond Period shall be: </w:t>
            </w:r>
            <w:r>
              <w:rPr>
                <w:rFonts w:ascii="Arial" w:cs="Arial" w:eastAsia="Arial" w:hAnsi="Arial"/>
                <w:sz w:val="18"/>
                <w:szCs w:val="18"/>
                <w:b w:val="1"/>
                <w:bCs w:val="1"/>
                <w:color w:val="auto"/>
                <w:w w:val="89"/>
              </w:rPr>
              <w:t>$10,000,000</w:t>
            </w:r>
          </w:p>
        </w:tc>
        <w:tc>
          <w:tcPr>
            <w:tcW w:w="0" w:type="dxa"/>
            <w:vAlign w:val="bottom"/>
          </w:tcPr>
          <w:p>
            <w:pPr>
              <w:spacing w:after="0"/>
              <w:rPr>
                <w:sz w:val="1"/>
                <w:szCs w:val="1"/>
                <w:color w:val="auto"/>
              </w:rPr>
            </w:pPr>
          </w:p>
        </w:tc>
      </w:tr>
      <w:tr>
        <w:trPr>
          <w:trHeight w:val="426"/>
        </w:trPr>
        <w:tc>
          <w:tcPr>
            <w:tcW w:w="7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3280" w:type="dxa"/>
            <w:vAlign w:val="bottom"/>
          </w:tcPr>
          <w:p>
            <w:pPr>
              <w:ind w:left="200"/>
              <w:spacing w:after="0"/>
              <w:rPr>
                <w:sz w:val="20"/>
                <w:szCs w:val="20"/>
                <w:color w:val="auto"/>
              </w:rPr>
            </w:pPr>
            <w:r>
              <w:rPr>
                <w:rFonts w:ascii="Arial" w:cs="Arial" w:eastAsia="Arial" w:hAnsi="Arial"/>
                <w:sz w:val="18"/>
                <w:szCs w:val="18"/>
                <w:color w:val="auto"/>
              </w:rPr>
              <w:t>Subject to Sections 4 and 11 hereof,</w:t>
            </w:r>
          </w:p>
        </w:tc>
        <w:tc>
          <w:tcPr>
            <w:tcW w:w="3200" w:type="dxa"/>
            <w:vAlign w:val="bottom"/>
            <w:gridSpan w:val="2"/>
            <w:vMerge w:val="restart"/>
          </w:tcPr>
          <w:p>
            <w:pPr>
              <w:jc w:val="right"/>
              <w:ind w:right="2112"/>
              <w:spacing w:after="0"/>
              <w:rPr>
                <w:sz w:val="20"/>
                <w:szCs w:val="20"/>
                <w:color w:val="auto"/>
              </w:rPr>
            </w:pPr>
            <w:r>
              <w:rPr>
                <w:rFonts w:ascii="Arial" w:cs="Arial" w:eastAsia="Arial" w:hAnsi="Arial"/>
                <w:sz w:val="18"/>
                <w:szCs w:val="18"/>
                <w:b w:val="1"/>
                <w:bCs w:val="1"/>
                <w:color w:val="auto"/>
              </w:rPr>
              <w:t>$5,000,000</w:t>
            </w: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rPr>
              <w:t>the Single Loss Limit of Liability is</w:t>
            </w:r>
          </w:p>
        </w:tc>
        <w:tc>
          <w:tcPr>
            <w:tcW w:w="32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40" w:type="dxa"/>
            <w:vAlign w:val="bottom"/>
          </w:tcPr>
          <w:p>
            <w:pPr>
              <w:spacing w:after="0"/>
              <w:rPr>
                <w:sz w:val="19"/>
                <w:szCs w:val="19"/>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rPr>
              <w:t>and the Single Loss Deductible is</w:t>
            </w:r>
          </w:p>
        </w:tc>
        <w:tc>
          <w:tcPr>
            <w:tcW w:w="40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2800" w:type="dxa"/>
            <w:vAlign w:val="bottom"/>
          </w:tcPr>
          <w:p>
            <w:pPr>
              <w:jc w:val="right"/>
              <w:ind w:right="2112"/>
              <w:spacing w:after="0"/>
              <w:rPr>
                <w:sz w:val="20"/>
                <w:szCs w:val="20"/>
                <w:color w:val="auto"/>
              </w:rPr>
            </w:pPr>
            <w:r>
              <w:rPr>
                <w:rFonts w:ascii="Arial" w:cs="Arial" w:eastAsia="Arial" w:hAnsi="Arial"/>
                <w:sz w:val="18"/>
                <w:szCs w:val="18"/>
                <w:b w:val="1"/>
                <w:bCs w:val="1"/>
                <w:color w:val="auto"/>
                <w:w w:val="89"/>
              </w:rPr>
              <w:t>100,000</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left="940"/>
        <w:spacing w:after="0" w:line="259" w:lineRule="auto"/>
        <w:rPr>
          <w:sz w:val="20"/>
          <w:szCs w:val="20"/>
          <w:color w:val="auto"/>
        </w:rPr>
      </w:pPr>
      <w:r>
        <w:rPr>
          <w:rFonts w:ascii="Arial" w:cs="Arial" w:eastAsia="Arial" w:hAnsi="Arial"/>
          <w:sz w:val="18"/>
          <w:szCs w:val="18"/>
          <w:color w:val="auto"/>
        </w:rPr>
        <w:t>Provided, however, that is any amounts are inserted below opposite specified Insuring Agreements or Coverage, those amounts shall be controlling. Any amount set forth below shall be part of and not in addition to amounts set forth above. (If an Insuring Agreement or Coverage is to be deleted, insert “Not Covered.”)</w:t>
      </w:r>
    </w:p>
    <w:p>
      <w:pPr>
        <w:sectPr>
          <w:pgSz w:w="11900" w:h="16838" w:orient="portrait"/>
          <w:cols w:equalWidth="0" w:num="1">
            <w:col w:w="11320"/>
          </w:cols>
          <w:pgMar w:left="240" w:top="1440" w:right="339" w:bottom="1440" w:gutter="0" w:footer="0" w:header="0"/>
        </w:sectPr>
      </w:pPr>
    </w:p>
    <w:bookmarkStart w:id="5" w:name="page6"/>
    <w:bookmarkEnd w:id="5"/>
    <w:tbl>
      <w:tblPr>
        <w:tblLayout w:type="fixed"/>
        <w:tblInd w:w="138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75"/>
              <w:spacing w:after="0"/>
              <w:rPr>
                <w:sz w:val="20"/>
                <w:szCs w:val="20"/>
                <w:color w:val="auto"/>
              </w:rPr>
            </w:pPr>
            <w:r>
              <w:rPr>
                <w:rFonts w:ascii="Arial" w:cs="Arial" w:eastAsia="Arial" w:hAnsi="Arial"/>
                <w:sz w:val="14"/>
                <w:szCs w:val="14"/>
                <w:color w:val="auto"/>
                <w:w w:val="88"/>
              </w:rPr>
              <w:t>Single Loss</w:t>
            </w:r>
          </w:p>
        </w:tc>
        <w:tc>
          <w:tcPr>
            <w:tcW w:w="58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color w:val="auto"/>
              </w:rPr>
              <w:t>Single Loss</w:t>
            </w:r>
          </w:p>
        </w:tc>
      </w:tr>
      <w:tr>
        <w:trPr>
          <w:trHeight w:val="159"/>
        </w:trPr>
        <w:tc>
          <w:tcPr>
            <w:tcW w:w="5180" w:type="dxa"/>
            <w:vAlign w:val="bottom"/>
          </w:tcPr>
          <w:p>
            <w:pPr>
              <w:spacing w:after="0" w:line="159" w:lineRule="exact"/>
              <w:rPr>
                <w:sz w:val="20"/>
                <w:szCs w:val="20"/>
                <w:color w:val="auto"/>
              </w:rPr>
            </w:pPr>
            <w:r>
              <w:rPr>
                <w:rFonts w:ascii="Arial" w:cs="Arial" w:eastAsia="Arial" w:hAnsi="Arial"/>
                <w:sz w:val="14"/>
                <w:szCs w:val="14"/>
                <w:color w:val="auto"/>
              </w:rPr>
              <w:t>Amount applicable to:</w:t>
            </w:r>
          </w:p>
        </w:tc>
        <w:tc>
          <w:tcPr>
            <w:tcW w:w="2140" w:type="dxa"/>
            <w:vAlign w:val="bottom"/>
            <w:gridSpan w:val="3"/>
          </w:tcPr>
          <w:p>
            <w:pPr>
              <w:ind w:left="1200"/>
              <w:spacing w:after="0" w:line="159" w:lineRule="exact"/>
              <w:rPr>
                <w:sz w:val="20"/>
                <w:szCs w:val="20"/>
                <w:color w:val="auto"/>
              </w:rPr>
            </w:pPr>
            <w:r>
              <w:rPr>
                <w:rFonts w:ascii="Arial" w:cs="Arial" w:eastAsia="Arial" w:hAnsi="Arial"/>
                <w:sz w:val="14"/>
                <w:szCs w:val="14"/>
                <w:color w:val="auto"/>
                <w:w w:val="96"/>
              </w:rPr>
              <w:t>Limit of Liability</w:t>
            </w:r>
          </w:p>
        </w:tc>
        <w:tc>
          <w:tcPr>
            <w:tcW w:w="580" w:type="dxa"/>
            <w:vAlign w:val="bottom"/>
          </w:tcPr>
          <w:p>
            <w:pPr>
              <w:spacing w:after="0"/>
              <w:rPr>
                <w:sz w:val="13"/>
                <w:szCs w:val="13"/>
                <w:color w:val="auto"/>
              </w:rPr>
            </w:pPr>
          </w:p>
        </w:tc>
        <w:tc>
          <w:tcPr>
            <w:tcW w:w="780" w:type="dxa"/>
            <w:vAlign w:val="bottom"/>
            <w:gridSpan w:val="3"/>
          </w:tcPr>
          <w:p>
            <w:pPr>
              <w:ind w:left="40"/>
              <w:spacing w:after="0" w:line="159" w:lineRule="exact"/>
              <w:rPr>
                <w:sz w:val="20"/>
                <w:szCs w:val="20"/>
                <w:color w:val="auto"/>
              </w:rPr>
            </w:pPr>
            <w:r>
              <w:rPr>
                <w:rFonts w:ascii="Arial" w:cs="Arial" w:eastAsia="Arial" w:hAnsi="Arial"/>
                <w:sz w:val="14"/>
                <w:szCs w:val="14"/>
                <w:color w:val="auto"/>
              </w:rPr>
              <w:t>Deductible</w:t>
            </w:r>
          </w:p>
        </w:tc>
      </w:tr>
      <w:tr>
        <w:trPr>
          <w:trHeight w:val="210"/>
        </w:trPr>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Bond Coverage</w:t>
            </w:r>
          </w:p>
        </w:tc>
        <w:tc>
          <w:tcPr>
            <w:tcW w:w="1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5,000,000</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Insuring Agreement (A)-FIDELITY</w:t>
            </w:r>
          </w:p>
        </w:tc>
        <w:tc>
          <w:tcPr>
            <w:tcW w:w="1320" w:type="dxa"/>
            <w:vAlign w:val="bottom"/>
            <w:gridSpan w:val="2"/>
          </w:tcPr>
          <w:p>
            <w:pPr>
              <w:ind w:left="120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5,000,000</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100,000</w:t>
            </w:r>
          </w:p>
        </w:tc>
        <w:tc>
          <w:tcPr>
            <w:tcW w:w="10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Insuring Agreement (D)-FORGERY OR ALTERATION</w:t>
            </w:r>
          </w:p>
        </w:tc>
        <w:tc>
          <w:tcPr>
            <w:tcW w:w="132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5,000,000</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100,000</w:t>
            </w:r>
          </w:p>
        </w:tc>
        <w:tc>
          <w:tcPr>
            <w:tcW w:w="10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Insuring Agreement (E)-SECURITIES</w:t>
            </w:r>
          </w:p>
        </w:tc>
        <w:tc>
          <w:tcPr>
            <w:tcW w:w="1320" w:type="dxa"/>
            <w:vAlign w:val="bottom"/>
            <w:gridSpan w:val="2"/>
          </w:tcPr>
          <w:p>
            <w:pPr>
              <w:ind w:left="120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5,000,000</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100,000</w:t>
            </w:r>
          </w:p>
        </w:tc>
        <w:tc>
          <w:tcPr>
            <w:tcW w:w="10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Optional Insuring Agreements and Coverages:</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Computer Systems</w:t>
            </w:r>
          </w:p>
        </w:tc>
        <w:tc>
          <w:tcPr>
            <w:tcW w:w="1320" w:type="dxa"/>
            <w:vAlign w:val="bottom"/>
            <w:gridSpan w:val="2"/>
          </w:tcPr>
          <w:p>
            <w:pPr>
              <w:ind w:left="120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5,000,000</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100,000</w:t>
            </w:r>
          </w:p>
        </w:tc>
        <w:tc>
          <w:tcPr>
            <w:tcW w:w="10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Audit Expense</w:t>
            </w:r>
          </w:p>
        </w:tc>
        <w:tc>
          <w:tcPr>
            <w:tcW w:w="132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68" w:lineRule="auto"/>
        <w:rPr>
          <w:sz w:val="20"/>
          <w:szCs w:val="20"/>
          <w:color w:val="auto"/>
        </w:rPr>
      </w:pPr>
      <w:r>
        <w:rPr>
          <w:rFonts w:ascii="Arial" w:cs="Arial" w:eastAsia="Arial" w:hAnsi="Arial"/>
          <w:sz w:val="18"/>
          <w:szCs w:val="18"/>
          <w:color w:val="auto"/>
        </w:rPr>
        <w:t>If “Not Covered” is inserted above opposite any specified Insuring Agreement or Coverage, such Insuring Agreement or Coverage and any other reference thereto in this bond shall be deemed to be deleted.</w:t>
      </w:r>
    </w:p>
    <w:p>
      <w:pPr>
        <w:spacing w:after="0" w:line="166" w:lineRule="exact"/>
        <w:rPr>
          <w:sz w:val="20"/>
          <w:szCs w:val="20"/>
          <w:color w:val="auto"/>
        </w:rPr>
      </w:pPr>
    </w:p>
    <w:p>
      <w:pPr>
        <w:ind w:left="1260" w:right="80" w:hanging="1255"/>
        <w:spacing w:after="0" w:line="268" w:lineRule="auto"/>
        <w:tabs>
          <w:tab w:leader="none" w:pos="12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color w:val="auto"/>
        </w:rPr>
        <w:t>The liability of the Underwriter is subject to the terms of the following riders attached hereto: Rider #1, #2, #3, #4, #5, #6, #7, #8, #9, #10, #11, #12, #13, #14, #15, #16, #17, #18, #19</w:t>
      </w:r>
    </w:p>
    <w:p>
      <w:pPr>
        <w:spacing w:after="0" w:line="186" w:lineRule="exact"/>
        <w:rPr>
          <w:sz w:val="20"/>
          <w:szCs w:val="20"/>
          <w:color w:val="auto"/>
        </w:rPr>
      </w:pPr>
    </w:p>
    <w:p>
      <w:pPr>
        <w:ind w:left="1260" w:right="180" w:hanging="1255"/>
        <w:spacing w:after="0" w:line="268" w:lineRule="auto"/>
        <w:tabs>
          <w:tab w:leader="none" w:pos="12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color w:val="auto"/>
        </w:rPr>
        <w:t>The Insured by the acceptance of this bond gives to the Underwriter terminating or canceling prior bond(s) or policy(ies) No.(s) 01-590-79-76 such termination or cancellation to be effective as of the time this bond becomes effective.</w:t>
      </w:r>
    </w:p>
    <w:p>
      <w:pPr>
        <w:spacing w:after="0" w:line="192"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PREMIUM:</w:t>
      </w:r>
      <w:r>
        <w:rPr>
          <w:sz w:val="20"/>
          <w:szCs w:val="20"/>
          <w:color w:val="auto"/>
        </w:rPr>
        <w:tab/>
      </w:r>
      <w:r>
        <w:rPr>
          <w:rFonts w:ascii="Arial" w:cs="Arial" w:eastAsia="Arial" w:hAnsi="Arial"/>
          <w:sz w:val="18"/>
          <w:szCs w:val="18"/>
          <w:color w:val="auto"/>
        </w:rPr>
        <w:t>16,581</w:t>
      </w:r>
    </w:p>
    <w:p>
      <w:pPr>
        <w:spacing w:after="0" w:line="165" w:lineRule="exact"/>
        <w:rPr>
          <w:sz w:val="20"/>
          <w:szCs w:val="20"/>
          <w:color w:val="auto"/>
        </w:rPr>
      </w:pPr>
    </w:p>
    <w:p>
      <w:pPr>
        <w:ind w:right="740"/>
        <w:spacing w:after="0" w:line="275"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Insurer has caused this policy to be signed on the Declarations Page by its President, a Secretary and a duly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 of the Insurer.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46620" cy="6000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940"/>
        <w:spacing w:after="0"/>
        <w:tabs>
          <w:tab w:leader="none" w:pos="8560" w:val="left"/>
        </w:tabs>
        <w:rPr>
          <w:sz w:val="20"/>
          <w:szCs w:val="20"/>
          <w:color w:val="auto"/>
        </w:rPr>
      </w:pPr>
      <w:r>
        <w:rPr>
          <w:rFonts w:ascii="Arial" w:cs="Arial" w:eastAsia="Arial" w:hAnsi="Arial"/>
          <w:sz w:val="18"/>
          <w:szCs w:val="18"/>
          <w:b w:val="1"/>
          <w:bCs w:val="1"/>
          <w:color w:val="auto"/>
        </w:rPr>
        <w:t>SECRETARY</w:t>
      </w:r>
      <w:r>
        <w:rPr>
          <w:sz w:val="20"/>
          <w:szCs w:val="20"/>
          <w:color w:val="auto"/>
        </w:rPr>
        <w:tab/>
      </w:r>
      <w:r>
        <w:rPr>
          <w:rFonts w:ascii="Arial" w:cs="Arial" w:eastAsia="Arial" w:hAnsi="Arial"/>
          <w:sz w:val="18"/>
          <w:szCs w:val="18"/>
          <w:b w:val="1"/>
          <w:bCs w:val="1"/>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143510</wp:posOffset>
            </wp:positionV>
            <wp:extent cx="2349500" cy="6343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4950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320"/>
        <w:spacing w:after="0"/>
        <w:tabs>
          <w:tab w:leader="none" w:pos="8200" w:val="left"/>
        </w:tabs>
        <w:rPr>
          <w:sz w:val="20"/>
          <w:szCs w:val="20"/>
          <w:color w:val="auto"/>
        </w:rPr>
      </w:pPr>
      <w:r>
        <w:rPr>
          <w:rFonts w:ascii="Arial" w:cs="Arial" w:eastAsia="Arial" w:hAnsi="Arial"/>
          <w:sz w:val="18"/>
          <w:szCs w:val="18"/>
          <w:color w:val="auto"/>
        </w:rPr>
        <w:t>COUNTERSIGNATURE DATE</w:t>
      </w:r>
      <w:r>
        <w:rPr>
          <w:sz w:val="20"/>
          <w:szCs w:val="20"/>
          <w:color w:val="auto"/>
        </w:rPr>
        <w:tab/>
      </w:r>
      <w:r>
        <w:rPr>
          <w:rFonts w:ascii="Arial" w:cs="Arial" w:eastAsia="Arial" w:hAnsi="Arial"/>
          <w:sz w:val="16"/>
          <w:szCs w:val="16"/>
          <w:color w:val="auto"/>
        </w:rPr>
        <w:t>COUNTERSIGNED AT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AON RISK SERVICES NORTHEAST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199 WATER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10038-3526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46726 (12/87)</w:t>
      </w:r>
    </w:p>
    <w:p>
      <w:pPr>
        <w:sectPr>
          <w:pgSz w:w="11900" w:h="16838" w:orient="portrait"/>
          <w:cols w:equalWidth="0" w:num="1">
            <w:col w:w="11420"/>
          </w:cols>
          <w:pgMar w:left="240" w:top="265" w:right="239" w:bottom="1440" w:gutter="0" w:footer="0" w:header="0"/>
        </w:sectPr>
      </w:pPr>
    </w:p>
    <w:bookmarkStart w:id="6" w:name="page7"/>
    <w:bookmarkEnd w:id="6"/>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Underwriter, in consideration of an agreed premium, and in reliance upon all statements made and information furnished to the Underwriter by the Insured in applying for this bond, and subject to the Declarations, Insuring Agreements, General Agreements, Conditions and Limitations and other terms hereof, agrees to indemnify the Insured for:</w:t>
      </w: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INSURING AGREEMENTS</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FIDELITY</w:t>
      </w:r>
    </w:p>
    <w:p>
      <w:pPr>
        <w:spacing w:after="0" w:line="212" w:lineRule="exact"/>
        <w:rPr>
          <w:sz w:val="20"/>
          <w:szCs w:val="20"/>
          <w:color w:val="auto"/>
        </w:rPr>
      </w:pPr>
    </w:p>
    <w:p>
      <w:pPr>
        <w:ind w:left="580" w:right="2060" w:hanging="572"/>
        <w:spacing w:after="0" w:line="387" w:lineRule="auto"/>
        <w:tabs>
          <w:tab w:leader="none" w:pos="577" w:val="left"/>
        </w:tabs>
        <w:numPr>
          <w:ilvl w:val="0"/>
          <w:numId w:val="3"/>
        </w:numPr>
        <w:rPr>
          <w:rFonts w:ascii="Arial" w:cs="Arial" w:eastAsia="Arial" w:hAnsi="Arial"/>
          <w:sz w:val="16"/>
          <w:szCs w:val="16"/>
          <w:color w:val="auto"/>
        </w:rPr>
      </w:pPr>
      <w:r>
        <w:rPr>
          <w:rFonts w:ascii="Arial" w:cs="Arial" w:eastAsia="Arial" w:hAnsi="Arial"/>
          <w:sz w:val="16"/>
          <w:szCs w:val="16"/>
          <w:color w:val="auto"/>
        </w:rPr>
        <w:t>Loss resulting directly from dishonest or fraudulent acts committed by an Employee acting alone or in collusion with others. Such dishonest or fraudulent acts must be committed by the Employee with the manifest intent:</w:t>
      </w:r>
    </w:p>
    <w:p>
      <w:pPr>
        <w:ind w:left="1140" w:hanging="565"/>
        <w:spacing w:after="0"/>
        <w:tabs>
          <w:tab w:leader="none" w:pos="11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cause the Insured to sustain such loss; and</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obtain financial benefit for the Employee and which, in fact, result in obtaining such benefit.</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As used in this Insuring Agreement, financial benefit does not include any employee benefits earned in the normal course of employment, including:</w:t>
      </w:r>
    </w:p>
    <w:p>
      <w:pPr>
        <w:spacing w:after="0" w:line="3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salaries, commissions, fees, bonuses, promotions, awards, profit sharing or pensions.</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ON PREMISES</w:t>
      </w:r>
    </w:p>
    <w:p>
      <w:pPr>
        <w:spacing w:after="0" w:line="212"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(1)   Loss of Property resulting directly from</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2"/>
          <w:numId w:val="4"/>
        </w:numPr>
        <w:rPr>
          <w:rFonts w:ascii="Arial" w:cs="Arial" w:eastAsia="Arial" w:hAnsi="Arial"/>
          <w:sz w:val="16"/>
          <w:szCs w:val="16"/>
          <w:color w:val="auto"/>
        </w:rPr>
      </w:pPr>
      <w:r>
        <w:rPr>
          <w:rFonts w:ascii="Arial" w:cs="Arial" w:eastAsia="Arial" w:hAnsi="Arial"/>
          <w:sz w:val="16"/>
          <w:szCs w:val="16"/>
          <w:color w:val="auto"/>
        </w:rPr>
        <w:t>robbery, burglary, misplacement, mysterious unexplainable disappearance and damage thereto or destruction thereof, or</w:t>
      </w:r>
    </w:p>
    <w:p>
      <w:pPr>
        <w:spacing w:after="0" w:line="113" w:lineRule="exact"/>
        <w:rPr>
          <w:rFonts w:ascii="Arial" w:cs="Arial" w:eastAsia="Arial" w:hAnsi="Arial"/>
          <w:sz w:val="16"/>
          <w:szCs w:val="16"/>
          <w:color w:val="auto"/>
        </w:rPr>
      </w:pPr>
    </w:p>
    <w:p>
      <w:pPr>
        <w:ind w:left="1820" w:hanging="678"/>
        <w:spacing w:after="0"/>
        <w:tabs>
          <w:tab w:leader="none" w:pos="1820" w:val="left"/>
        </w:tabs>
        <w:numPr>
          <w:ilvl w:val="2"/>
          <w:numId w:val="4"/>
        </w:numPr>
        <w:rPr>
          <w:rFonts w:ascii="Arial" w:cs="Arial" w:eastAsia="Arial" w:hAnsi="Arial"/>
          <w:sz w:val="16"/>
          <w:szCs w:val="16"/>
          <w:color w:val="auto"/>
        </w:rPr>
      </w:pPr>
      <w:r>
        <w:rPr>
          <w:rFonts w:ascii="Arial" w:cs="Arial" w:eastAsia="Arial" w:hAnsi="Arial"/>
          <w:sz w:val="16"/>
          <w:szCs w:val="16"/>
          <w:color w:val="auto"/>
        </w:rPr>
        <w:t>theft, false pretenses, common-law or statutory larceny, committed by a person present in an office or on the premises of the Insured.</w:t>
      </w:r>
    </w:p>
    <w:p>
      <w:pPr>
        <w:spacing w:after="0" w:line="113" w:lineRule="exact"/>
        <w:rPr>
          <w:rFonts w:ascii="Arial" w:cs="Arial" w:eastAsia="Arial" w:hAnsi="Arial"/>
          <w:sz w:val="16"/>
          <w:szCs w:val="16"/>
          <w:color w:val="auto"/>
        </w:rPr>
      </w:pPr>
    </w:p>
    <w:p>
      <w:pPr>
        <w:ind w:left="1140" w:hanging="565"/>
        <w:spacing w:after="0"/>
        <w:tabs>
          <w:tab w:leader="none" w:pos="1140" w:val="left"/>
        </w:tabs>
        <w:numPr>
          <w:ilvl w:val="1"/>
          <w:numId w:val="4"/>
        </w:numPr>
        <w:rPr>
          <w:rFonts w:ascii="Arial" w:cs="Arial" w:eastAsia="Arial" w:hAnsi="Arial"/>
          <w:sz w:val="18"/>
          <w:szCs w:val="18"/>
          <w:color w:val="auto"/>
        </w:rPr>
      </w:pPr>
      <w:r>
        <w:rPr>
          <w:rFonts w:ascii="Arial" w:cs="Arial" w:eastAsia="Arial" w:hAnsi="Arial"/>
          <w:sz w:val="18"/>
          <w:szCs w:val="18"/>
          <w:color w:val="auto"/>
        </w:rPr>
        <w:t>Loss of or damage to</w:t>
      </w:r>
    </w:p>
    <w:p>
      <w:pPr>
        <w:spacing w:after="0" w:line="90" w:lineRule="exact"/>
        <w:rPr>
          <w:rFonts w:ascii="Arial" w:cs="Arial" w:eastAsia="Arial" w:hAnsi="Arial"/>
          <w:sz w:val="18"/>
          <w:szCs w:val="18"/>
          <w:color w:val="auto"/>
        </w:rPr>
      </w:pPr>
    </w:p>
    <w:p>
      <w:pPr>
        <w:ind w:left="1820" w:right="220" w:hanging="678"/>
        <w:spacing w:after="0" w:line="332" w:lineRule="auto"/>
        <w:tabs>
          <w:tab w:leader="none" w:pos="1820" w:val="left"/>
        </w:tabs>
        <w:numPr>
          <w:ilvl w:val="2"/>
          <w:numId w:val="4"/>
        </w:numPr>
        <w:rPr>
          <w:rFonts w:ascii="Arial" w:cs="Arial" w:eastAsia="Arial" w:hAnsi="Arial"/>
          <w:sz w:val="16"/>
          <w:szCs w:val="16"/>
          <w:color w:val="auto"/>
        </w:rPr>
      </w:pPr>
      <w:r>
        <w:rPr>
          <w:rFonts w:ascii="Arial" w:cs="Arial" w:eastAsia="Arial" w:hAnsi="Arial"/>
          <w:sz w:val="16"/>
          <w:szCs w:val="16"/>
          <w:color w:val="auto"/>
        </w:rPr>
        <w:t>furnishings, fixtures, supplies or equipment within an office of the Insured covered under this bond resulting directly from larceny or theft in, or by burglary or robbery of, such office, or attempt thereat, or by vandalism or malicious mischief, or</w:t>
      </w:r>
    </w:p>
    <w:p>
      <w:pPr>
        <w:spacing w:after="0" w:line="4" w:lineRule="exact"/>
        <w:rPr>
          <w:rFonts w:ascii="Arial" w:cs="Arial" w:eastAsia="Arial" w:hAnsi="Arial"/>
          <w:sz w:val="16"/>
          <w:szCs w:val="16"/>
          <w:color w:val="auto"/>
        </w:rPr>
      </w:pPr>
    </w:p>
    <w:p>
      <w:pPr>
        <w:ind w:left="1820" w:right="60" w:hanging="678"/>
        <w:spacing w:after="0" w:line="268" w:lineRule="auto"/>
        <w:tabs>
          <w:tab w:leader="none" w:pos="1820" w:val="left"/>
        </w:tabs>
        <w:numPr>
          <w:ilvl w:val="2"/>
          <w:numId w:val="4"/>
        </w:numPr>
        <w:rPr>
          <w:rFonts w:ascii="Arial" w:cs="Arial" w:eastAsia="Arial" w:hAnsi="Arial"/>
          <w:sz w:val="18"/>
          <w:szCs w:val="18"/>
          <w:color w:val="auto"/>
        </w:rPr>
      </w:pPr>
      <w:r>
        <w:rPr>
          <w:rFonts w:ascii="Arial" w:cs="Arial" w:eastAsia="Arial" w:hAnsi="Arial"/>
          <w:sz w:val="18"/>
          <w:szCs w:val="18"/>
          <w:color w:val="auto"/>
        </w:rPr>
        <w:t>such office resulting from larceny or theft in, or by burglary or robbery of such office or attempt thereat, or to the interior of such office by vandalism or malicious mischief,</w:t>
      </w:r>
    </w:p>
    <w:p>
      <w:pPr>
        <w:spacing w:after="0" w:line="5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provided that</w:t>
      </w:r>
    </w:p>
    <w:p>
      <w:pPr>
        <w:spacing w:after="0" w:line="90" w:lineRule="exact"/>
        <w:rPr>
          <w:sz w:val="20"/>
          <w:szCs w:val="20"/>
          <w:color w:val="auto"/>
        </w:rPr>
      </w:pPr>
    </w:p>
    <w:p>
      <w:pPr>
        <w:ind w:left="1140" w:hanging="565"/>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Insured is the owner of such furnishings, fixtures, supplies, equipment, or office or is liable for such loss of damage, and</w:t>
      </w:r>
    </w:p>
    <w:p>
      <w:pPr>
        <w:sectPr>
          <w:pgSz w:w="11900" w:h="16838" w:orient="portrait"/>
          <w:cols w:equalWidth="0" w:num="1">
            <w:col w:w="11380"/>
          </w:cols>
          <w:pgMar w:left="240" w:top="280" w:right="279" w:bottom="1440" w:gutter="0" w:footer="0" w:header="0"/>
        </w:sectPr>
      </w:pPr>
    </w:p>
    <w:bookmarkStart w:id="7" w:name="page8"/>
    <w:bookmarkEnd w:id="7"/>
    <w:p>
      <w:pPr>
        <w:ind w:left="1140" w:hanging="565"/>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loss is not caused by fire.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TRANSIT</w:t>
      </w:r>
    </w:p>
    <w:p>
      <w:pPr>
        <w:spacing w:after="0" w:line="212" w:lineRule="exact"/>
        <w:rPr>
          <w:sz w:val="20"/>
          <w:szCs w:val="20"/>
          <w:color w:val="auto"/>
        </w:rPr>
      </w:pPr>
    </w:p>
    <w:p>
      <w:pPr>
        <w:ind w:left="580" w:right="180" w:hanging="572"/>
        <w:spacing w:after="0" w:line="332" w:lineRule="auto"/>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Loss of Property resulting directly from robbery, common-law or statutory larceny, theft, misplacement, mysterious unexplainable disappearance, being lost or made away with, and damage thereto or destruction thereof, while the Property is in transit anywhere in the custody of</w:t>
      </w:r>
    </w:p>
    <w:p>
      <w:pPr>
        <w:spacing w:after="0" w:line="4" w:lineRule="exact"/>
        <w:rPr>
          <w:rFonts w:ascii="Arial" w:cs="Arial" w:eastAsia="Arial" w:hAnsi="Arial"/>
          <w:sz w:val="16"/>
          <w:szCs w:val="16"/>
          <w:color w:val="auto"/>
        </w:rPr>
      </w:pPr>
    </w:p>
    <w:p>
      <w:pPr>
        <w:ind w:left="1140" w:right="300" w:hanging="565"/>
        <w:spacing w:after="0" w:line="268" w:lineRule="auto"/>
        <w:tabs>
          <w:tab w:leader="none" w:pos="1140" w:val="left"/>
        </w:tabs>
        <w:numPr>
          <w:ilvl w:val="1"/>
          <w:numId w:val="7"/>
        </w:numPr>
        <w:rPr>
          <w:rFonts w:ascii="Arial" w:cs="Arial" w:eastAsia="Arial" w:hAnsi="Arial"/>
          <w:sz w:val="18"/>
          <w:szCs w:val="18"/>
          <w:color w:val="auto"/>
        </w:rPr>
      </w:pPr>
      <w:r>
        <w:rPr>
          <w:rFonts w:ascii="Arial" w:cs="Arial" w:eastAsia="Arial" w:hAnsi="Arial"/>
          <w:sz w:val="18"/>
          <w:szCs w:val="18"/>
          <w:color w:val="auto"/>
        </w:rPr>
        <w:t>a natural person acting as a messenger of the Insured (or another natural person acting as messenger or custodian during an emergency arising from the incapacity of the original messenger), or</w:t>
      </w:r>
    </w:p>
    <w:p>
      <w:pPr>
        <w:spacing w:after="0" w:line="50" w:lineRule="exact"/>
        <w:rPr>
          <w:rFonts w:ascii="Arial" w:cs="Arial" w:eastAsia="Arial" w:hAnsi="Arial"/>
          <w:sz w:val="18"/>
          <w:szCs w:val="18"/>
          <w:color w:val="auto"/>
        </w:rPr>
      </w:pPr>
    </w:p>
    <w:p>
      <w:pPr>
        <w:ind w:left="1140" w:hanging="565"/>
        <w:spacing w:after="0"/>
        <w:tabs>
          <w:tab w:leader="none" w:pos="1140" w:val="left"/>
        </w:tabs>
        <w:numPr>
          <w:ilvl w:val="1"/>
          <w:numId w:val="7"/>
        </w:numPr>
        <w:rPr>
          <w:rFonts w:ascii="Arial" w:cs="Arial" w:eastAsia="Arial" w:hAnsi="Arial"/>
          <w:sz w:val="18"/>
          <w:szCs w:val="18"/>
          <w:color w:val="auto"/>
        </w:rPr>
      </w:pPr>
      <w:r>
        <w:rPr>
          <w:rFonts w:ascii="Arial" w:cs="Arial" w:eastAsia="Arial" w:hAnsi="Arial"/>
          <w:sz w:val="18"/>
          <w:szCs w:val="18"/>
          <w:color w:val="auto"/>
        </w:rPr>
        <w:t>a Transportation Company and being transported in an armored motor vehicle, or</w:t>
      </w:r>
    </w:p>
    <w:p>
      <w:pPr>
        <w:spacing w:after="0" w:line="90" w:lineRule="exact"/>
        <w:rPr>
          <w:rFonts w:ascii="Arial" w:cs="Arial" w:eastAsia="Arial" w:hAnsi="Arial"/>
          <w:sz w:val="18"/>
          <w:szCs w:val="18"/>
          <w:color w:val="auto"/>
        </w:rPr>
      </w:pPr>
    </w:p>
    <w:p>
      <w:pPr>
        <w:ind w:left="1140" w:hanging="565"/>
        <w:spacing w:after="0" w:line="268" w:lineRule="auto"/>
        <w:tabs>
          <w:tab w:leader="none" w:pos="1140" w:val="left"/>
        </w:tabs>
        <w:numPr>
          <w:ilvl w:val="1"/>
          <w:numId w:val="7"/>
        </w:numPr>
        <w:rPr>
          <w:rFonts w:ascii="Arial" w:cs="Arial" w:eastAsia="Arial" w:hAnsi="Arial"/>
          <w:sz w:val="18"/>
          <w:szCs w:val="18"/>
          <w:color w:val="auto"/>
        </w:rPr>
      </w:pPr>
      <w:r>
        <w:rPr>
          <w:rFonts w:ascii="Arial" w:cs="Arial" w:eastAsia="Arial" w:hAnsi="Arial"/>
          <w:sz w:val="18"/>
          <w:szCs w:val="18"/>
          <w:color w:val="auto"/>
        </w:rPr>
        <w:t>a Transportation Company and being transported in a conveyance other than an armored motor vehicle provided that covered Property transported in such manner is limited to the following:</w:t>
      </w:r>
    </w:p>
    <w:p>
      <w:pPr>
        <w:spacing w:after="0" w:line="50" w:lineRule="exact"/>
        <w:rPr>
          <w:rFonts w:ascii="Arial" w:cs="Arial" w:eastAsia="Arial" w:hAnsi="Arial"/>
          <w:sz w:val="18"/>
          <w:szCs w:val="18"/>
          <w:color w:val="auto"/>
        </w:rPr>
      </w:pPr>
    </w:p>
    <w:p>
      <w:pPr>
        <w:ind w:left="1820" w:hanging="678"/>
        <w:spacing w:after="0"/>
        <w:tabs>
          <w:tab w:leader="none" w:pos="1820" w:val="left"/>
        </w:tabs>
        <w:numPr>
          <w:ilvl w:val="2"/>
          <w:numId w:val="7"/>
        </w:numPr>
        <w:rPr>
          <w:rFonts w:ascii="Arial" w:cs="Arial" w:eastAsia="Arial" w:hAnsi="Arial"/>
          <w:sz w:val="18"/>
          <w:szCs w:val="18"/>
          <w:color w:val="auto"/>
        </w:rPr>
      </w:pPr>
      <w:r>
        <w:rPr>
          <w:rFonts w:ascii="Arial" w:cs="Arial" w:eastAsia="Arial" w:hAnsi="Arial"/>
          <w:sz w:val="18"/>
          <w:szCs w:val="18"/>
          <w:color w:val="auto"/>
        </w:rPr>
        <w:t>records, whether recorded in writing or electronically, and</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2"/>
          <w:numId w:val="7"/>
        </w:numPr>
        <w:rPr>
          <w:rFonts w:ascii="Arial" w:cs="Arial" w:eastAsia="Arial" w:hAnsi="Arial"/>
          <w:sz w:val="18"/>
          <w:szCs w:val="18"/>
          <w:color w:val="auto"/>
        </w:rPr>
      </w:pPr>
      <w:r>
        <w:rPr>
          <w:rFonts w:ascii="Arial" w:cs="Arial" w:eastAsia="Arial" w:hAnsi="Arial"/>
          <w:sz w:val="18"/>
          <w:szCs w:val="18"/>
          <w:color w:val="auto"/>
        </w:rPr>
        <w:t>Certificated Securities issued in registered form and not endorsed, or with restrictive endorsements, and</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2"/>
          <w:numId w:val="7"/>
        </w:numPr>
        <w:rPr>
          <w:rFonts w:ascii="Arial" w:cs="Arial" w:eastAsia="Arial" w:hAnsi="Arial"/>
          <w:sz w:val="18"/>
          <w:szCs w:val="18"/>
          <w:color w:val="auto"/>
        </w:rPr>
      </w:pPr>
      <w:r>
        <w:rPr>
          <w:rFonts w:ascii="Arial" w:cs="Arial" w:eastAsia="Arial" w:hAnsi="Arial"/>
          <w:sz w:val="18"/>
          <w:szCs w:val="18"/>
          <w:color w:val="auto"/>
        </w:rPr>
        <w:t>Negotiable instruments not payable to bearer, or not endorsed, or with restrictive endorsements.</w:t>
      </w:r>
    </w:p>
    <w:p>
      <w:pPr>
        <w:spacing w:after="0" w:line="90" w:lineRule="exact"/>
        <w:rPr>
          <w:sz w:val="20"/>
          <w:szCs w:val="20"/>
          <w:color w:val="auto"/>
        </w:rPr>
      </w:pPr>
    </w:p>
    <w:p>
      <w:pPr>
        <w:ind w:left="580" w:right="360"/>
        <w:spacing w:after="0" w:line="268" w:lineRule="auto"/>
        <w:rPr>
          <w:sz w:val="20"/>
          <w:szCs w:val="20"/>
          <w:color w:val="auto"/>
        </w:rPr>
      </w:pPr>
      <w:r>
        <w:rPr>
          <w:rFonts w:ascii="Arial" w:cs="Arial" w:eastAsia="Arial" w:hAnsi="Arial"/>
          <w:sz w:val="18"/>
          <w:szCs w:val="18"/>
          <w:color w:val="auto"/>
        </w:rPr>
        <w:t>Coverage under this Insuring Agreement begins immediately upon the receipt of such Property by the natural person or Transportation Company and ends immediately upon delivery to the designated recipient or its agent.</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FORGERY OR ALTERATION</w:t>
      </w:r>
    </w:p>
    <w:p>
      <w:pPr>
        <w:spacing w:after="0" w:line="212" w:lineRule="exact"/>
        <w:rPr>
          <w:sz w:val="20"/>
          <w:szCs w:val="20"/>
          <w:color w:val="auto"/>
        </w:rPr>
      </w:pPr>
    </w:p>
    <w:p>
      <w:pPr>
        <w:ind w:left="580" w:hanging="572"/>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Loss resulting directly from</w:t>
      </w:r>
    </w:p>
    <w:p>
      <w:pPr>
        <w:spacing w:after="0" w:line="90" w:lineRule="exact"/>
        <w:rPr>
          <w:rFonts w:ascii="Arial" w:cs="Arial" w:eastAsia="Arial" w:hAnsi="Arial"/>
          <w:sz w:val="18"/>
          <w:szCs w:val="18"/>
          <w:color w:val="auto"/>
        </w:rPr>
      </w:pPr>
    </w:p>
    <w:p>
      <w:pPr>
        <w:ind w:left="1140" w:right="660" w:hanging="565"/>
        <w:spacing w:after="0" w:line="268" w:lineRule="auto"/>
        <w:tabs>
          <w:tab w:leader="none" w:pos="1140" w:val="left"/>
        </w:tabs>
        <w:numPr>
          <w:ilvl w:val="1"/>
          <w:numId w:val="8"/>
        </w:numPr>
        <w:rPr>
          <w:rFonts w:ascii="Arial" w:cs="Arial" w:eastAsia="Arial" w:hAnsi="Arial"/>
          <w:sz w:val="18"/>
          <w:szCs w:val="18"/>
          <w:color w:val="auto"/>
        </w:rPr>
      </w:pPr>
      <w:r>
        <w:rPr>
          <w:rFonts w:ascii="Arial" w:cs="Arial" w:eastAsia="Arial" w:hAnsi="Arial"/>
          <w:sz w:val="18"/>
          <w:szCs w:val="18"/>
          <w:color w:val="auto"/>
        </w:rPr>
        <w:t>Forgery or alteration of, on or in any Negotiable Instrument (except an Evidence of Debt), Acceptance, Withdrawal Order, receipt for the withdrawal of Property, Certificate of Deposit or Letter of Credit.</w:t>
      </w:r>
    </w:p>
    <w:p>
      <w:pPr>
        <w:spacing w:after="0" w:line="50" w:lineRule="exact"/>
        <w:rPr>
          <w:rFonts w:ascii="Arial" w:cs="Arial" w:eastAsia="Arial" w:hAnsi="Arial"/>
          <w:sz w:val="18"/>
          <w:szCs w:val="18"/>
          <w:color w:val="auto"/>
        </w:rPr>
      </w:pPr>
    </w:p>
    <w:p>
      <w:pPr>
        <w:ind w:left="1140" w:right="240" w:hanging="565"/>
        <w:spacing w:after="0" w:line="255" w:lineRule="auto"/>
        <w:tabs>
          <w:tab w:leader="none" w:pos="1140" w:val="left"/>
        </w:tabs>
        <w:numPr>
          <w:ilvl w:val="1"/>
          <w:numId w:val="8"/>
        </w:numPr>
        <w:rPr>
          <w:rFonts w:ascii="Arial" w:cs="Arial" w:eastAsia="Arial" w:hAnsi="Arial"/>
          <w:sz w:val="18"/>
          <w:szCs w:val="18"/>
          <w:color w:val="auto"/>
        </w:rPr>
      </w:pPr>
      <w:r>
        <w:rPr>
          <w:rFonts w:ascii="Arial" w:cs="Arial" w:eastAsia="Arial" w:hAnsi="Arial"/>
          <w:sz w:val="18"/>
          <w:szCs w:val="18"/>
          <w:color w:val="auto"/>
        </w:rPr>
        <w:t>transferring, paying or delivering any funds or Property or establishing any credit or giving any value on the faith of any written instructions or advices directed to the Insured and authorizing or acknowledging the transfer, payment, delivery or receipt of funds or Property, which instructions or advices purport to have been signed or endorsed by any customer of the Insured or by any financial institution but which instructions or advices either bear a signature which is a Forgery or have been altered without the knowledge and consent of such customer or financial institution.</w:t>
      </w:r>
    </w:p>
    <w:p>
      <w:pPr>
        <w:sectPr>
          <w:pgSz w:w="11900" w:h="16838" w:orient="portrait"/>
          <w:cols w:equalWidth="0" w:num="1">
            <w:col w:w="11420"/>
          </w:cols>
          <w:pgMar w:left="240" w:top="280" w:right="239" w:bottom="1440" w:gutter="0" w:footer="0" w:header="0"/>
        </w:sectPr>
      </w:pPr>
    </w:p>
    <w:bookmarkStart w:id="8" w:name="page9"/>
    <w:bookmarkEnd w:id="8"/>
    <w:p>
      <w:pPr>
        <w:ind w:left="57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mechanically reproduced facsimile signature is treated the same as a handwritten signature.</w:t>
      </w:r>
    </w:p>
    <w:p>
      <w:pPr>
        <w:spacing w:after="0" w:line="333"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SECURITIES</w:t>
      </w:r>
    </w:p>
    <w:p>
      <w:pPr>
        <w:spacing w:after="0" w:line="212" w:lineRule="exact"/>
        <w:rPr>
          <w:sz w:val="20"/>
          <w:szCs w:val="20"/>
          <w:color w:val="auto"/>
        </w:rPr>
      </w:pPr>
    </w:p>
    <w:p>
      <w:pPr>
        <w:ind w:left="572" w:hanging="572"/>
        <w:spacing w:after="0"/>
        <w:tabs>
          <w:tab w:leader="none" w:pos="572" w:val="left"/>
        </w:tabs>
        <w:numPr>
          <w:ilvl w:val="0"/>
          <w:numId w:val="9"/>
        </w:numPr>
        <w:rPr>
          <w:rFonts w:ascii="Arial" w:cs="Arial" w:eastAsia="Arial" w:hAnsi="Arial"/>
          <w:sz w:val="18"/>
          <w:szCs w:val="18"/>
          <w:color w:val="auto"/>
        </w:rPr>
      </w:pPr>
      <w:r>
        <w:rPr>
          <w:rFonts w:ascii="Arial" w:cs="Arial" w:eastAsia="Arial" w:hAnsi="Arial"/>
          <w:sz w:val="18"/>
          <w:szCs w:val="18"/>
          <w:color w:val="auto"/>
        </w:rPr>
        <w:t>Loss resulting directly from the Insured having, in good faith, for its own account or for the account of others.</w:t>
      </w:r>
    </w:p>
    <w:p>
      <w:pPr>
        <w:spacing w:after="0" w:line="90" w:lineRule="exact"/>
        <w:rPr>
          <w:rFonts w:ascii="Arial" w:cs="Arial" w:eastAsia="Arial" w:hAnsi="Arial"/>
          <w:sz w:val="18"/>
          <w:szCs w:val="18"/>
          <w:color w:val="auto"/>
        </w:rPr>
      </w:pPr>
    </w:p>
    <w:p>
      <w:pPr>
        <w:ind w:left="1132" w:hanging="565"/>
        <w:spacing w:after="0"/>
        <w:tabs>
          <w:tab w:leader="none" w:pos="1132" w:val="left"/>
        </w:tabs>
        <w:numPr>
          <w:ilvl w:val="1"/>
          <w:numId w:val="9"/>
        </w:numPr>
        <w:rPr>
          <w:rFonts w:ascii="Arial" w:cs="Arial" w:eastAsia="Arial" w:hAnsi="Arial"/>
          <w:sz w:val="18"/>
          <w:szCs w:val="18"/>
          <w:color w:val="auto"/>
        </w:rPr>
      </w:pPr>
      <w:r>
        <w:rPr>
          <w:rFonts w:ascii="Arial" w:cs="Arial" w:eastAsia="Arial" w:hAnsi="Arial"/>
          <w:sz w:val="18"/>
          <w:szCs w:val="18"/>
          <w:color w:val="auto"/>
        </w:rPr>
        <w:t>acquired, sold or delivered, or given value, extended credit or assumed liability, on the faith of, any original</w:t>
      </w:r>
    </w:p>
    <w:p>
      <w:pPr>
        <w:spacing w:after="0" w:line="90" w:lineRule="exact"/>
        <w:rPr>
          <w:rFonts w:ascii="Arial" w:cs="Arial" w:eastAsia="Arial" w:hAnsi="Arial"/>
          <w:sz w:val="18"/>
          <w:szCs w:val="18"/>
          <w:color w:val="auto"/>
        </w:rPr>
      </w:pPr>
    </w:p>
    <w:p>
      <w:pPr>
        <w:ind w:left="1812" w:hanging="678"/>
        <w:spacing w:after="0"/>
        <w:tabs>
          <w:tab w:leader="none" w:pos="1812" w:val="left"/>
        </w:tabs>
        <w:numPr>
          <w:ilvl w:val="2"/>
          <w:numId w:val="9"/>
        </w:numPr>
        <w:rPr>
          <w:rFonts w:ascii="Arial" w:cs="Arial" w:eastAsia="Arial" w:hAnsi="Arial"/>
          <w:sz w:val="18"/>
          <w:szCs w:val="18"/>
          <w:color w:val="auto"/>
        </w:rPr>
      </w:pPr>
      <w:r>
        <w:rPr>
          <w:rFonts w:ascii="Arial" w:cs="Arial" w:eastAsia="Arial" w:hAnsi="Arial"/>
          <w:sz w:val="18"/>
          <w:szCs w:val="18"/>
          <w:color w:val="auto"/>
        </w:rPr>
        <w:t>Certificated Security,</w:t>
      </w:r>
    </w:p>
    <w:p>
      <w:pPr>
        <w:spacing w:after="0" w:line="90" w:lineRule="exact"/>
        <w:rPr>
          <w:rFonts w:ascii="Arial" w:cs="Arial" w:eastAsia="Arial" w:hAnsi="Arial"/>
          <w:sz w:val="18"/>
          <w:szCs w:val="18"/>
          <w:color w:val="auto"/>
        </w:rPr>
      </w:pPr>
    </w:p>
    <w:p>
      <w:pPr>
        <w:ind w:left="1812" w:hanging="678"/>
        <w:spacing w:after="0"/>
        <w:tabs>
          <w:tab w:leader="none" w:pos="1812" w:val="left"/>
        </w:tabs>
        <w:numPr>
          <w:ilvl w:val="2"/>
          <w:numId w:val="9"/>
        </w:numPr>
        <w:rPr>
          <w:rFonts w:ascii="Arial" w:cs="Arial" w:eastAsia="Arial" w:hAnsi="Arial"/>
          <w:sz w:val="18"/>
          <w:szCs w:val="18"/>
          <w:color w:val="auto"/>
        </w:rPr>
      </w:pPr>
      <w:r>
        <w:rPr>
          <w:rFonts w:ascii="Arial" w:cs="Arial" w:eastAsia="Arial" w:hAnsi="Arial"/>
          <w:sz w:val="18"/>
          <w:szCs w:val="18"/>
          <w:color w:val="auto"/>
        </w:rPr>
        <w:t>deed, mortgage or other instrument conveying title to, or creating or discharging a lien upon, real property,</w:t>
      </w:r>
    </w:p>
    <w:p>
      <w:pPr>
        <w:spacing w:after="0" w:line="90" w:lineRule="exact"/>
        <w:rPr>
          <w:rFonts w:ascii="Arial" w:cs="Arial" w:eastAsia="Arial" w:hAnsi="Arial"/>
          <w:sz w:val="18"/>
          <w:szCs w:val="18"/>
          <w:color w:val="auto"/>
        </w:rPr>
      </w:pPr>
    </w:p>
    <w:p>
      <w:pPr>
        <w:ind w:left="1812" w:hanging="678"/>
        <w:spacing w:after="0"/>
        <w:tabs>
          <w:tab w:leader="none" w:pos="1812" w:val="left"/>
        </w:tabs>
        <w:numPr>
          <w:ilvl w:val="2"/>
          <w:numId w:val="9"/>
        </w:numPr>
        <w:rPr>
          <w:rFonts w:ascii="Arial" w:cs="Arial" w:eastAsia="Arial" w:hAnsi="Arial"/>
          <w:sz w:val="18"/>
          <w:szCs w:val="18"/>
          <w:color w:val="auto"/>
        </w:rPr>
      </w:pPr>
      <w:r>
        <w:rPr>
          <w:rFonts w:ascii="Arial" w:cs="Arial" w:eastAsia="Arial" w:hAnsi="Arial"/>
          <w:sz w:val="18"/>
          <w:szCs w:val="18"/>
          <w:color w:val="auto"/>
        </w:rPr>
        <w:t>Evidence of Debt,</w:t>
      </w:r>
    </w:p>
    <w:p>
      <w:pPr>
        <w:spacing w:after="0" w:line="90" w:lineRule="exact"/>
        <w:rPr>
          <w:rFonts w:ascii="Arial" w:cs="Arial" w:eastAsia="Arial" w:hAnsi="Arial"/>
          <w:sz w:val="18"/>
          <w:szCs w:val="18"/>
          <w:color w:val="auto"/>
        </w:rPr>
      </w:pPr>
    </w:p>
    <w:p>
      <w:pPr>
        <w:ind w:left="1812" w:hanging="678"/>
        <w:spacing w:after="0"/>
        <w:tabs>
          <w:tab w:leader="none" w:pos="1812" w:val="left"/>
        </w:tabs>
        <w:numPr>
          <w:ilvl w:val="2"/>
          <w:numId w:val="9"/>
        </w:numPr>
        <w:rPr>
          <w:rFonts w:ascii="Arial" w:cs="Arial" w:eastAsia="Arial" w:hAnsi="Arial"/>
          <w:sz w:val="18"/>
          <w:szCs w:val="18"/>
          <w:color w:val="auto"/>
        </w:rPr>
      </w:pPr>
      <w:r>
        <w:rPr>
          <w:rFonts w:ascii="Arial" w:cs="Arial" w:eastAsia="Arial" w:hAnsi="Arial"/>
          <w:sz w:val="18"/>
          <w:szCs w:val="18"/>
          <w:color w:val="auto"/>
        </w:rPr>
        <w:t>Instruction to a Federal Reserve Bank of the United States, or</w:t>
      </w:r>
    </w:p>
    <w:p>
      <w:pPr>
        <w:spacing w:after="0" w:line="90" w:lineRule="exact"/>
        <w:rPr>
          <w:rFonts w:ascii="Arial" w:cs="Arial" w:eastAsia="Arial" w:hAnsi="Arial"/>
          <w:sz w:val="18"/>
          <w:szCs w:val="18"/>
          <w:color w:val="auto"/>
        </w:rPr>
      </w:pPr>
    </w:p>
    <w:p>
      <w:pPr>
        <w:ind w:left="1812" w:hanging="678"/>
        <w:spacing w:after="0"/>
        <w:tabs>
          <w:tab w:leader="none" w:pos="1812" w:val="left"/>
        </w:tabs>
        <w:numPr>
          <w:ilvl w:val="2"/>
          <w:numId w:val="9"/>
        </w:numPr>
        <w:rPr>
          <w:rFonts w:ascii="Arial" w:cs="Arial" w:eastAsia="Arial" w:hAnsi="Arial"/>
          <w:sz w:val="18"/>
          <w:szCs w:val="18"/>
          <w:color w:val="auto"/>
        </w:rPr>
      </w:pPr>
      <w:r>
        <w:rPr>
          <w:rFonts w:ascii="Arial" w:cs="Arial" w:eastAsia="Arial" w:hAnsi="Arial"/>
          <w:sz w:val="18"/>
          <w:szCs w:val="18"/>
          <w:color w:val="auto"/>
        </w:rPr>
        <w:t>Statement of Uncertificated Security of any Federal Reserve Bank of the United States</w:t>
      </w:r>
    </w:p>
    <w:p>
      <w:pPr>
        <w:spacing w:after="0" w:line="90" w:lineRule="exact"/>
        <w:rPr>
          <w:sz w:val="20"/>
          <w:szCs w:val="20"/>
          <w:color w:val="auto"/>
        </w:rPr>
      </w:pPr>
    </w:p>
    <w:p>
      <w:pPr>
        <w:ind w:left="1132"/>
        <w:spacing w:after="0"/>
        <w:rPr>
          <w:sz w:val="20"/>
          <w:szCs w:val="20"/>
          <w:color w:val="auto"/>
        </w:rPr>
      </w:pPr>
      <w:r>
        <w:rPr>
          <w:rFonts w:ascii="Arial" w:cs="Arial" w:eastAsia="Arial" w:hAnsi="Arial"/>
          <w:sz w:val="18"/>
          <w:szCs w:val="18"/>
          <w:color w:val="auto"/>
        </w:rPr>
        <w:t>which</w:t>
      </w:r>
    </w:p>
    <w:p>
      <w:pPr>
        <w:spacing w:after="0" w:line="90" w:lineRule="exact"/>
        <w:rPr>
          <w:sz w:val="20"/>
          <w:szCs w:val="20"/>
          <w:color w:val="auto"/>
        </w:rPr>
      </w:pPr>
    </w:p>
    <w:p>
      <w:pPr>
        <w:ind w:left="2392" w:hanging="569"/>
        <w:spacing w:after="0" w:line="268" w:lineRule="auto"/>
        <w:tabs>
          <w:tab w:leader="none" w:pos="2392" w:val="left"/>
        </w:tabs>
        <w:numPr>
          <w:ilvl w:val="2"/>
          <w:numId w:val="10"/>
        </w:numPr>
        <w:rPr>
          <w:rFonts w:ascii="Arial" w:cs="Arial" w:eastAsia="Arial" w:hAnsi="Arial"/>
          <w:sz w:val="18"/>
          <w:szCs w:val="18"/>
          <w:color w:val="auto"/>
        </w:rPr>
      </w:pPr>
      <w:r>
        <w:rPr>
          <w:rFonts w:ascii="Arial" w:cs="Arial" w:eastAsia="Arial" w:hAnsi="Arial"/>
          <w:sz w:val="18"/>
          <w:szCs w:val="18"/>
          <w:color w:val="auto"/>
        </w:rPr>
        <w:t>bears a signature of any maker, drawer, issuer, endorser, assignor, lessee, transfer agent, registrar, acceptor surety, guarantor, or of any person signing in any other capacity which is a Forgery, or</w:t>
      </w:r>
    </w:p>
    <w:p>
      <w:pPr>
        <w:spacing w:after="0" w:line="50" w:lineRule="exact"/>
        <w:rPr>
          <w:rFonts w:ascii="Arial" w:cs="Arial" w:eastAsia="Arial" w:hAnsi="Arial"/>
          <w:sz w:val="18"/>
          <w:szCs w:val="18"/>
          <w:color w:val="auto"/>
        </w:rPr>
      </w:pPr>
    </w:p>
    <w:p>
      <w:pPr>
        <w:ind w:left="2392" w:hanging="569"/>
        <w:spacing w:after="0"/>
        <w:tabs>
          <w:tab w:leader="none" w:pos="2392" w:val="left"/>
        </w:tabs>
        <w:numPr>
          <w:ilvl w:val="2"/>
          <w:numId w:val="10"/>
        </w:numPr>
        <w:rPr>
          <w:rFonts w:ascii="Arial" w:cs="Arial" w:eastAsia="Arial" w:hAnsi="Arial"/>
          <w:sz w:val="18"/>
          <w:szCs w:val="18"/>
          <w:color w:val="auto"/>
        </w:rPr>
      </w:pPr>
      <w:r>
        <w:rPr>
          <w:rFonts w:ascii="Arial" w:cs="Arial" w:eastAsia="Arial" w:hAnsi="Arial"/>
          <w:sz w:val="18"/>
          <w:szCs w:val="18"/>
          <w:color w:val="auto"/>
        </w:rPr>
        <w:t>is altered, or</w:t>
      </w:r>
    </w:p>
    <w:p>
      <w:pPr>
        <w:spacing w:after="0" w:line="90" w:lineRule="exact"/>
        <w:rPr>
          <w:rFonts w:ascii="Arial" w:cs="Arial" w:eastAsia="Arial" w:hAnsi="Arial"/>
          <w:sz w:val="18"/>
          <w:szCs w:val="18"/>
          <w:color w:val="auto"/>
        </w:rPr>
      </w:pPr>
    </w:p>
    <w:p>
      <w:pPr>
        <w:ind w:left="2392" w:hanging="569"/>
        <w:spacing w:after="0"/>
        <w:tabs>
          <w:tab w:leader="none" w:pos="2392" w:val="left"/>
        </w:tabs>
        <w:numPr>
          <w:ilvl w:val="2"/>
          <w:numId w:val="10"/>
        </w:numPr>
        <w:rPr>
          <w:rFonts w:ascii="Arial" w:cs="Arial" w:eastAsia="Arial" w:hAnsi="Arial"/>
          <w:sz w:val="18"/>
          <w:szCs w:val="18"/>
          <w:color w:val="auto"/>
        </w:rPr>
      </w:pPr>
      <w:r>
        <w:rPr>
          <w:rFonts w:ascii="Arial" w:cs="Arial" w:eastAsia="Arial" w:hAnsi="Arial"/>
          <w:sz w:val="18"/>
          <w:szCs w:val="18"/>
          <w:color w:val="auto"/>
        </w:rPr>
        <w:t>is lost or stolen;</w:t>
      </w:r>
    </w:p>
    <w:p>
      <w:pPr>
        <w:spacing w:after="0" w:line="90" w:lineRule="exact"/>
        <w:rPr>
          <w:rFonts w:ascii="Arial" w:cs="Arial" w:eastAsia="Arial" w:hAnsi="Arial"/>
          <w:sz w:val="18"/>
          <w:szCs w:val="18"/>
          <w:color w:val="auto"/>
        </w:rPr>
      </w:pPr>
    </w:p>
    <w:p>
      <w:pPr>
        <w:ind w:left="1132" w:hanging="565"/>
        <w:spacing w:after="0"/>
        <w:tabs>
          <w:tab w:leader="none" w:pos="1132" w:val="left"/>
        </w:tabs>
        <w:numPr>
          <w:ilvl w:val="0"/>
          <w:numId w:val="11"/>
        </w:numPr>
        <w:rPr>
          <w:rFonts w:ascii="Arial" w:cs="Arial" w:eastAsia="Arial" w:hAnsi="Arial"/>
          <w:sz w:val="16"/>
          <w:szCs w:val="16"/>
          <w:color w:val="auto"/>
        </w:rPr>
      </w:pPr>
      <w:r>
        <w:rPr>
          <w:rFonts w:ascii="Arial" w:cs="Arial" w:eastAsia="Arial" w:hAnsi="Arial"/>
          <w:sz w:val="16"/>
          <w:szCs w:val="16"/>
          <w:color w:val="auto"/>
        </w:rPr>
        <w:t>guaranteed in writing or witnessed any signature upon any transfer, assignment, bill of sale, power of attorney. Guarantee, or any items listed in</w:t>
      </w:r>
    </w:p>
    <w:p>
      <w:pPr>
        <w:spacing w:after="0" w:line="38" w:lineRule="exact"/>
        <w:rPr>
          <w:rFonts w:ascii="Arial" w:cs="Arial" w:eastAsia="Arial" w:hAnsi="Arial"/>
          <w:sz w:val="16"/>
          <w:szCs w:val="16"/>
          <w:color w:val="auto"/>
        </w:rPr>
      </w:pPr>
    </w:p>
    <w:p>
      <w:pPr>
        <w:ind w:left="1372" w:hanging="238"/>
        <w:spacing w:after="0"/>
        <w:tabs>
          <w:tab w:leader="none" w:pos="1372"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through (c) above;</w:t>
      </w:r>
    </w:p>
    <w:p>
      <w:pPr>
        <w:spacing w:after="0" w:line="83" w:lineRule="exact"/>
        <w:rPr>
          <w:rFonts w:ascii="Arial" w:cs="Arial" w:eastAsia="Arial" w:hAnsi="Arial"/>
          <w:sz w:val="18"/>
          <w:szCs w:val="18"/>
          <w:color w:val="auto"/>
        </w:rPr>
      </w:pPr>
    </w:p>
    <w:p>
      <w:pPr>
        <w:ind w:left="1132" w:right="280" w:hanging="565"/>
        <w:spacing w:after="0" w:line="268" w:lineRule="auto"/>
        <w:tabs>
          <w:tab w:leader="none" w:pos="1132"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acquired, sold or delivered, or given value, extended credit or assumed liability, on the faith of any item listed in (a) and (b) above which is a Counterfeit.</w:t>
      </w:r>
    </w:p>
    <w:p>
      <w:pPr>
        <w:spacing w:after="0" w:line="51" w:lineRule="exact"/>
        <w:rPr>
          <w:sz w:val="20"/>
          <w:szCs w:val="20"/>
          <w:color w:val="auto"/>
        </w:rPr>
      </w:pPr>
    </w:p>
    <w:p>
      <w:pPr>
        <w:ind w:left="572"/>
        <w:spacing w:after="0"/>
        <w:rPr>
          <w:sz w:val="20"/>
          <w:szCs w:val="20"/>
          <w:color w:val="auto"/>
        </w:rPr>
      </w:pPr>
      <w:r>
        <w:rPr>
          <w:rFonts w:ascii="Arial" w:cs="Arial" w:eastAsia="Arial" w:hAnsi="Arial"/>
          <w:sz w:val="18"/>
          <w:szCs w:val="18"/>
          <w:color w:val="auto"/>
        </w:rPr>
        <w:t>A mechanically reproduced facsimile signature is treated the same as a handwritten signature.</w:t>
      </w:r>
    </w:p>
    <w:p>
      <w:pPr>
        <w:sectPr>
          <w:pgSz w:w="11900" w:h="16838" w:orient="portrait"/>
          <w:cols w:equalWidth="0" w:num="1">
            <w:col w:w="11292"/>
          </w:cols>
          <w:pgMar w:left="248" w:top="280" w:right="359" w:bottom="1440" w:gutter="0" w:footer="0" w:header="0"/>
        </w:sectPr>
      </w:pPr>
    </w:p>
    <w:bookmarkStart w:id="9" w:name="page10"/>
    <w:bookmarkEnd w:id="9"/>
    <w:p>
      <w:pPr>
        <w:jc w:val="center"/>
        <w:ind w:right="-11"/>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COUNTERFEIT CURRENCY</w:t>
      </w:r>
    </w:p>
    <w:p>
      <w:pPr>
        <w:spacing w:after="0" w:line="212" w:lineRule="exact"/>
        <w:rPr>
          <w:sz w:val="20"/>
          <w:szCs w:val="20"/>
          <w:color w:val="auto"/>
        </w:rPr>
      </w:pPr>
    </w:p>
    <w:p>
      <w:pPr>
        <w:ind w:left="572" w:right="180" w:hanging="572"/>
        <w:spacing w:after="0" w:line="268" w:lineRule="auto"/>
        <w:tabs>
          <w:tab w:leader="none" w:pos="572"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resulting directly from the receipt by the Insured, in good faith, of any Counterfeit Money of the United States of America, Canada or of any other country in which the Insured maintains a branch office.</w:t>
      </w:r>
    </w:p>
    <w:p>
      <w:pPr>
        <w:spacing w:after="0" w:line="288"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GENERAL AGREEMENTS</w:t>
      </w:r>
    </w:p>
    <w:p>
      <w:pPr>
        <w:spacing w:after="0" w:line="17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NOMINEES</w:t>
      </w:r>
    </w:p>
    <w:p>
      <w:pPr>
        <w:spacing w:after="0" w:line="212" w:lineRule="exact"/>
        <w:rPr>
          <w:sz w:val="20"/>
          <w:szCs w:val="20"/>
          <w:color w:val="auto"/>
        </w:rPr>
      </w:pPr>
    </w:p>
    <w:p>
      <w:pPr>
        <w:ind w:left="572" w:right="160" w:hanging="572"/>
        <w:spacing w:after="0" w:line="259" w:lineRule="auto"/>
        <w:tabs>
          <w:tab w:leader="none" w:pos="572"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Loss sustained by any nominee organized by the Insured for the purpose of handling certain of its business transactions and composed exclusively of its Employees shall, for all the purposes of this bond and whether or not any partner of such nominee is implicated in such loss, be deemed to be loss sustained by the Insured.</w:t>
      </w:r>
    </w:p>
    <w:p>
      <w:pPr>
        <w:spacing w:after="0" w:line="30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ADDITIONAL OFFICES OR EMPLOYEES-CONSOLIDATION,</w:t>
      </w:r>
    </w:p>
    <w:p>
      <w:pPr>
        <w:spacing w:after="0" w:line="1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MERGER OR PURCHASE OF ASSETS-NOTICE</w:t>
      </w:r>
    </w:p>
    <w:p>
      <w:pPr>
        <w:spacing w:after="0" w:line="205" w:lineRule="exact"/>
        <w:rPr>
          <w:sz w:val="20"/>
          <w:szCs w:val="20"/>
          <w:color w:val="auto"/>
        </w:rPr>
      </w:pPr>
    </w:p>
    <w:p>
      <w:pPr>
        <w:ind w:left="572" w:right="140" w:hanging="572"/>
        <w:spacing w:after="0" w:line="306" w:lineRule="auto"/>
        <w:tabs>
          <w:tab w:leader="none" w:pos="572" w:val="left"/>
        </w:tabs>
        <w:numPr>
          <w:ilvl w:val="0"/>
          <w:numId w:val="14"/>
        </w:numPr>
        <w:rPr>
          <w:rFonts w:ascii="Arial" w:cs="Arial" w:eastAsia="Arial" w:hAnsi="Arial"/>
          <w:sz w:val="16"/>
          <w:szCs w:val="16"/>
          <w:color w:val="auto"/>
        </w:rPr>
      </w:pPr>
      <w:r>
        <w:rPr>
          <w:rFonts w:ascii="Arial" w:cs="Arial" w:eastAsia="Arial" w:hAnsi="Arial"/>
          <w:sz w:val="16"/>
          <w:szCs w:val="16"/>
          <w:color w:val="auto"/>
        </w:rPr>
        <w:t>If the Insured shall, while this bond is in force, establish any additional offices, other than by consolidation or merger with, or purchase or acquisition of assets or liabilities of, another institution, such offices shall be automatically covered hereunder from the date of such establishment without the requirement of notice to the Underwriter or the payment of additional premium for the remainder of the premium period.</w:t>
      </w:r>
    </w:p>
    <w:p>
      <w:pPr>
        <w:spacing w:after="0" w:line="25" w:lineRule="exact"/>
        <w:rPr>
          <w:rFonts w:ascii="Arial" w:cs="Arial" w:eastAsia="Arial" w:hAnsi="Arial"/>
          <w:sz w:val="16"/>
          <w:szCs w:val="16"/>
          <w:color w:val="auto"/>
        </w:rPr>
      </w:pPr>
    </w:p>
    <w:p>
      <w:pPr>
        <w:ind w:left="572" w:right="280"/>
        <w:spacing w:after="0" w:line="268" w:lineRule="auto"/>
        <w:rPr>
          <w:rFonts w:ascii="Arial" w:cs="Arial" w:eastAsia="Arial" w:hAnsi="Arial"/>
          <w:sz w:val="16"/>
          <w:szCs w:val="16"/>
          <w:color w:val="auto"/>
        </w:rPr>
      </w:pPr>
      <w:r>
        <w:rPr>
          <w:rFonts w:ascii="Arial" w:cs="Arial" w:eastAsia="Arial" w:hAnsi="Arial"/>
          <w:sz w:val="18"/>
          <w:szCs w:val="18"/>
          <w:color w:val="auto"/>
        </w:rPr>
        <w:t>If the Insured shall, while this bond is in force, consolidate or merge with or purchase or acquire assets or liabilities of, another institution, the Insured shall not have such coverage as is afforded under this bond for loss which</w:t>
      </w:r>
    </w:p>
    <w:p>
      <w:pPr>
        <w:spacing w:after="0" w:line="50" w:lineRule="exact"/>
        <w:rPr>
          <w:rFonts w:ascii="Arial" w:cs="Arial" w:eastAsia="Arial" w:hAnsi="Arial"/>
          <w:sz w:val="16"/>
          <w:szCs w:val="16"/>
          <w:color w:val="auto"/>
        </w:rPr>
      </w:pPr>
    </w:p>
    <w:p>
      <w:pPr>
        <w:ind w:left="1132" w:hanging="565"/>
        <w:spacing w:after="0"/>
        <w:tabs>
          <w:tab w:leader="none" w:pos="1132" w:val="left"/>
        </w:tabs>
        <w:numPr>
          <w:ilvl w:val="1"/>
          <w:numId w:val="14"/>
        </w:numPr>
        <w:rPr>
          <w:rFonts w:ascii="Arial" w:cs="Arial" w:eastAsia="Arial" w:hAnsi="Arial"/>
          <w:sz w:val="18"/>
          <w:szCs w:val="18"/>
          <w:color w:val="auto"/>
        </w:rPr>
      </w:pPr>
      <w:r>
        <w:rPr>
          <w:rFonts w:ascii="Arial" w:cs="Arial" w:eastAsia="Arial" w:hAnsi="Arial"/>
          <w:sz w:val="18"/>
          <w:szCs w:val="18"/>
          <w:color w:val="auto"/>
        </w:rPr>
        <w:t>has occurred or will occur in offices or premises, or</w:t>
      </w:r>
    </w:p>
    <w:p>
      <w:pPr>
        <w:spacing w:after="0" w:line="90" w:lineRule="exact"/>
        <w:rPr>
          <w:rFonts w:ascii="Arial" w:cs="Arial" w:eastAsia="Arial" w:hAnsi="Arial"/>
          <w:sz w:val="18"/>
          <w:szCs w:val="18"/>
          <w:color w:val="auto"/>
        </w:rPr>
      </w:pPr>
    </w:p>
    <w:p>
      <w:pPr>
        <w:ind w:left="1132" w:hanging="565"/>
        <w:spacing w:after="0"/>
        <w:tabs>
          <w:tab w:leader="none" w:pos="1132" w:val="left"/>
        </w:tabs>
        <w:numPr>
          <w:ilvl w:val="1"/>
          <w:numId w:val="14"/>
        </w:numPr>
        <w:rPr>
          <w:rFonts w:ascii="Arial" w:cs="Arial" w:eastAsia="Arial" w:hAnsi="Arial"/>
          <w:sz w:val="18"/>
          <w:szCs w:val="18"/>
          <w:color w:val="auto"/>
        </w:rPr>
      </w:pPr>
      <w:r>
        <w:rPr>
          <w:rFonts w:ascii="Arial" w:cs="Arial" w:eastAsia="Arial" w:hAnsi="Arial"/>
          <w:sz w:val="18"/>
          <w:szCs w:val="18"/>
          <w:color w:val="auto"/>
        </w:rPr>
        <w:t>has been caused or will be caused by an employee or employees of such institution, or</w:t>
      </w:r>
    </w:p>
    <w:p>
      <w:pPr>
        <w:spacing w:after="0" w:line="90" w:lineRule="exact"/>
        <w:rPr>
          <w:rFonts w:ascii="Arial" w:cs="Arial" w:eastAsia="Arial" w:hAnsi="Arial"/>
          <w:sz w:val="18"/>
          <w:szCs w:val="18"/>
          <w:color w:val="auto"/>
        </w:rPr>
      </w:pPr>
    </w:p>
    <w:p>
      <w:pPr>
        <w:ind w:left="1132" w:hanging="565"/>
        <w:spacing w:after="0" w:line="268" w:lineRule="auto"/>
        <w:tabs>
          <w:tab w:leader="none" w:pos="1132" w:val="left"/>
        </w:tabs>
        <w:numPr>
          <w:ilvl w:val="1"/>
          <w:numId w:val="14"/>
        </w:numPr>
        <w:rPr>
          <w:rFonts w:ascii="Arial" w:cs="Arial" w:eastAsia="Arial" w:hAnsi="Arial"/>
          <w:sz w:val="18"/>
          <w:szCs w:val="18"/>
          <w:color w:val="auto"/>
        </w:rPr>
      </w:pPr>
      <w:r>
        <w:rPr>
          <w:rFonts w:ascii="Arial" w:cs="Arial" w:eastAsia="Arial" w:hAnsi="Arial"/>
          <w:sz w:val="18"/>
          <w:szCs w:val="18"/>
          <w:color w:val="auto"/>
        </w:rPr>
        <w:t>has arisen or will arise out of the assets or liabilities acquired by the Insured as a result of such consolidation, merger or purchase or acquisition of assets or liabilities unless the Insured shall</w:t>
      </w:r>
    </w:p>
    <w:p>
      <w:pPr>
        <w:spacing w:after="0" w:line="50" w:lineRule="exact"/>
        <w:rPr>
          <w:rFonts w:ascii="Arial" w:cs="Arial" w:eastAsia="Arial" w:hAnsi="Arial"/>
          <w:sz w:val="18"/>
          <w:szCs w:val="18"/>
          <w:color w:val="auto"/>
        </w:rPr>
      </w:pPr>
    </w:p>
    <w:p>
      <w:pPr>
        <w:ind w:left="1812" w:right="180" w:hanging="678"/>
        <w:spacing w:after="0" w:line="268" w:lineRule="auto"/>
        <w:tabs>
          <w:tab w:leader="none" w:pos="1812" w:val="left"/>
        </w:tabs>
        <w:numPr>
          <w:ilvl w:val="2"/>
          <w:numId w:val="14"/>
        </w:numPr>
        <w:rPr>
          <w:rFonts w:ascii="Arial" w:cs="Arial" w:eastAsia="Arial" w:hAnsi="Arial"/>
          <w:sz w:val="18"/>
          <w:szCs w:val="18"/>
          <w:color w:val="auto"/>
        </w:rPr>
      </w:pPr>
      <w:r>
        <w:rPr>
          <w:rFonts w:ascii="Arial" w:cs="Arial" w:eastAsia="Arial" w:hAnsi="Arial"/>
          <w:sz w:val="18"/>
          <w:szCs w:val="18"/>
          <w:color w:val="auto"/>
        </w:rPr>
        <w:t>give the Underwriter written notice of the proposed consolidation, merger or purchase or acquisition of assets or liabilities prior to the proposed effective date of such action and</w:t>
      </w:r>
    </w:p>
    <w:p>
      <w:pPr>
        <w:spacing w:after="0" w:line="50" w:lineRule="exact"/>
        <w:rPr>
          <w:rFonts w:ascii="Arial" w:cs="Arial" w:eastAsia="Arial" w:hAnsi="Arial"/>
          <w:sz w:val="18"/>
          <w:szCs w:val="18"/>
          <w:color w:val="auto"/>
        </w:rPr>
      </w:pPr>
    </w:p>
    <w:p>
      <w:pPr>
        <w:ind w:left="1812" w:right="500" w:hanging="678"/>
        <w:spacing w:after="0" w:line="268" w:lineRule="auto"/>
        <w:tabs>
          <w:tab w:leader="none" w:pos="1812" w:val="left"/>
        </w:tabs>
        <w:numPr>
          <w:ilvl w:val="2"/>
          <w:numId w:val="14"/>
        </w:numPr>
        <w:rPr>
          <w:rFonts w:ascii="Arial" w:cs="Arial" w:eastAsia="Arial" w:hAnsi="Arial"/>
          <w:sz w:val="18"/>
          <w:szCs w:val="18"/>
          <w:color w:val="auto"/>
        </w:rPr>
      </w:pPr>
      <w:r>
        <w:rPr>
          <w:rFonts w:ascii="Arial" w:cs="Arial" w:eastAsia="Arial" w:hAnsi="Arial"/>
          <w:sz w:val="18"/>
          <w:szCs w:val="18"/>
          <w:color w:val="auto"/>
        </w:rPr>
        <w:t>obtain the written consent of the Underwriter to extend the coverage provided by this bond to such additional offices or premises, Employees and other exposures, and</w:t>
      </w:r>
    </w:p>
    <w:p>
      <w:pPr>
        <w:sectPr>
          <w:pgSz w:w="11900" w:h="16838" w:orient="portrait"/>
          <w:cols w:equalWidth="0" w:num="1">
            <w:col w:w="11392"/>
          </w:cols>
          <w:pgMar w:left="248" w:top="280" w:right="259" w:bottom="1440" w:gutter="0" w:footer="0" w:header="0"/>
        </w:sectPr>
      </w:pPr>
    </w:p>
    <w:bookmarkStart w:id="10" w:name="page11"/>
    <w:bookmarkEnd w:id="10"/>
    <w:p>
      <w:pPr>
        <w:ind w:left="1812" w:hanging="678"/>
        <w:spacing w:after="0"/>
        <w:tabs>
          <w:tab w:leader="none" w:pos="1812"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upon obtaining such consent, pay to the Underwriter an additional premium.</w:t>
      </w:r>
    </w:p>
    <w:p>
      <w:pPr>
        <w:spacing w:after="0" w:line="33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CHANGE OF CONTROL-NOTICE</w:t>
      </w:r>
    </w:p>
    <w:p>
      <w:pPr>
        <w:spacing w:after="0" w:line="212" w:lineRule="exact"/>
        <w:rPr>
          <w:sz w:val="20"/>
          <w:szCs w:val="20"/>
          <w:color w:val="auto"/>
        </w:rPr>
      </w:pPr>
    </w:p>
    <w:p>
      <w:pPr>
        <w:ind w:left="572" w:hanging="572"/>
        <w:spacing w:after="0"/>
        <w:tabs>
          <w:tab w:leader="none" w:pos="572"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When the Insured learns of a change in control, it shall give written notice to the Underwriter.</w:t>
      </w:r>
    </w:p>
    <w:p>
      <w:pPr>
        <w:spacing w:after="0" w:line="90" w:lineRule="exact"/>
        <w:rPr>
          <w:rFonts w:ascii="Arial" w:cs="Arial" w:eastAsia="Arial" w:hAnsi="Arial"/>
          <w:sz w:val="18"/>
          <w:szCs w:val="18"/>
          <w:color w:val="auto"/>
        </w:rPr>
      </w:pPr>
    </w:p>
    <w:p>
      <w:pPr>
        <w:ind w:left="572" w:right="20"/>
        <w:spacing w:after="0" w:line="335" w:lineRule="auto"/>
        <w:rPr>
          <w:rFonts w:ascii="Arial" w:cs="Arial" w:eastAsia="Arial" w:hAnsi="Arial"/>
          <w:sz w:val="18"/>
          <w:szCs w:val="18"/>
          <w:color w:val="auto"/>
        </w:rPr>
      </w:pPr>
      <w:r>
        <w:rPr>
          <w:rFonts w:ascii="Arial" w:cs="Arial" w:eastAsia="Arial" w:hAnsi="Arial"/>
          <w:sz w:val="15"/>
          <w:szCs w:val="15"/>
          <w:color w:val="auto"/>
        </w:rPr>
        <w:t>As used in this General Agreement, control means the power to determine the management or policy of a controlling holding company or the Insured by virtue of voting stock ownership. A change in ownership of voting stock which results in direct or indirect ownership by a stockholder or an affiliated group of stockholders of ten percent (10%) or more of such stock shall be presumed to result in a change of control for the purpose of the required notice.</w:t>
      </w:r>
    </w:p>
    <w:p>
      <w:pPr>
        <w:spacing w:after="0" w:line="7" w:lineRule="exact"/>
        <w:rPr>
          <w:rFonts w:ascii="Arial" w:cs="Arial" w:eastAsia="Arial" w:hAnsi="Arial"/>
          <w:sz w:val="18"/>
          <w:szCs w:val="18"/>
          <w:color w:val="auto"/>
        </w:rPr>
      </w:pPr>
    </w:p>
    <w:p>
      <w:pPr>
        <w:ind w:left="572" w:right="320"/>
        <w:spacing w:after="0" w:line="268" w:lineRule="auto"/>
        <w:rPr>
          <w:rFonts w:ascii="Arial" w:cs="Arial" w:eastAsia="Arial" w:hAnsi="Arial"/>
          <w:sz w:val="18"/>
          <w:szCs w:val="18"/>
          <w:color w:val="auto"/>
        </w:rPr>
      </w:pPr>
      <w:r>
        <w:rPr>
          <w:rFonts w:ascii="Arial" w:cs="Arial" w:eastAsia="Arial" w:hAnsi="Arial"/>
          <w:sz w:val="18"/>
          <w:szCs w:val="18"/>
          <w:color w:val="auto"/>
        </w:rPr>
        <w:t>Failure to give the required notice shall result in termination of coverage for any loss involving a transferee, to be effective upon the date of the stock transfer.</w:t>
      </w:r>
    </w:p>
    <w:p>
      <w:pPr>
        <w:spacing w:after="0" w:line="29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REPRESENTATION OF INSURED</w:t>
      </w:r>
    </w:p>
    <w:p>
      <w:pPr>
        <w:spacing w:after="0" w:line="212" w:lineRule="exact"/>
        <w:rPr>
          <w:sz w:val="20"/>
          <w:szCs w:val="20"/>
          <w:color w:val="auto"/>
        </w:rPr>
      </w:pPr>
    </w:p>
    <w:p>
      <w:pPr>
        <w:ind w:left="572" w:right="260" w:hanging="572"/>
        <w:spacing w:after="0" w:line="268" w:lineRule="auto"/>
        <w:tabs>
          <w:tab w:leader="none" w:pos="57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Insured represents that the information furnished in the application for this bond is complete, true and correct. Such application constitutes part of this bond.</w:t>
      </w:r>
    </w:p>
    <w:p>
      <w:pPr>
        <w:spacing w:after="0" w:line="50" w:lineRule="exact"/>
        <w:rPr>
          <w:rFonts w:ascii="Arial" w:cs="Arial" w:eastAsia="Arial" w:hAnsi="Arial"/>
          <w:sz w:val="18"/>
          <w:szCs w:val="18"/>
          <w:color w:val="auto"/>
        </w:rPr>
      </w:pPr>
    </w:p>
    <w:p>
      <w:pPr>
        <w:ind w:left="572" w:right="40"/>
        <w:spacing w:after="0" w:line="268" w:lineRule="auto"/>
        <w:rPr>
          <w:rFonts w:ascii="Arial" w:cs="Arial" w:eastAsia="Arial" w:hAnsi="Arial"/>
          <w:sz w:val="18"/>
          <w:szCs w:val="18"/>
          <w:color w:val="auto"/>
        </w:rPr>
      </w:pPr>
      <w:r>
        <w:rPr>
          <w:rFonts w:ascii="Arial" w:cs="Arial" w:eastAsia="Arial" w:hAnsi="Arial"/>
          <w:sz w:val="18"/>
          <w:szCs w:val="18"/>
          <w:color w:val="auto"/>
        </w:rPr>
        <w:t>Any misrepresentation omission, concealment or incorrect statement of a material fact, in the application or otherwise, shall be grounds for the rescission of this bond.</w:t>
      </w:r>
    </w:p>
    <w:p>
      <w:pPr>
        <w:spacing w:after="0" w:line="29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JOINT INSURED</w:t>
      </w:r>
    </w:p>
    <w:p>
      <w:pPr>
        <w:spacing w:after="0" w:line="212" w:lineRule="exact"/>
        <w:rPr>
          <w:sz w:val="20"/>
          <w:szCs w:val="20"/>
          <w:color w:val="auto"/>
        </w:rPr>
      </w:pPr>
    </w:p>
    <w:p>
      <w:pPr>
        <w:ind w:left="572" w:hanging="572"/>
        <w:spacing w:after="0" w:line="294" w:lineRule="auto"/>
        <w:tabs>
          <w:tab w:leader="none" w:pos="572" w:val="left"/>
        </w:tabs>
        <w:numPr>
          <w:ilvl w:val="0"/>
          <w:numId w:val="18"/>
        </w:numPr>
        <w:rPr>
          <w:rFonts w:ascii="Arial" w:cs="Arial" w:eastAsia="Arial" w:hAnsi="Arial"/>
          <w:sz w:val="16"/>
          <w:szCs w:val="16"/>
          <w:color w:val="auto"/>
        </w:rPr>
      </w:pPr>
      <w:r>
        <w:rPr>
          <w:rFonts w:ascii="Arial" w:cs="Arial" w:eastAsia="Arial" w:hAnsi="Arial"/>
          <w:sz w:val="16"/>
          <w:szCs w:val="16"/>
          <w:color w:val="auto"/>
        </w:rPr>
        <w:t>If two or more Insureds are covered under this bond, the first named Insured shall act for all Insureds. Payment by the Underwriter to the first named Insured of loss sustained by any Insured shall fully release the Underwriter on account of such loss. If the first named Insured ceases to be covered under this bond, the Insured next named shall thereafter be considered as the first named Insured. Knowledge possessed or discovery made by any Insured shall constitute knowledge or discovery by all Insureds for all purposes of this bond. The liability of the Underwriter for loss or losses sustained by all Insureds shall not exceed the amount for which the Underwriter would have been liable had all such loss or losses been sustained by one Insured.</w:t>
      </w:r>
    </w:p>
    <w:p>
      <w:pPr>
        <w:spacing w:after="0" w:line="27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NOTICE OF LEGAL PROCEEDINGS</w:t>
      </w:r>
    </w:p>
    <w:p>
      <w:pPr>
        <w:spacing w:after="0" w:line="1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AGAINST INSURED-ELECTION TO DEFEND</w:t>
      </w:r>
    </w:p>
    <w:p>
      <w:pPr>
        <w:spacing w:after="0" w:line="205" w:lineRule="exact"/>
        <w:rPr>
          <w:sz w:val="20"/>
          <w:szCs w:val="20"/>
          <w:color w:val="auto"/>
        </w:rPr>
      </w:pPr>
    </w:p>
    <w:p>
      <w:pPr>
        <w:jc w:val="both"/>
        <w:ind w:left="572" w:hanging="572"/>
        <w:spacing w:after="0" w:line="259" w:lineRule="auto"/>
        <w:tabs>
          <w:tab w:leader="none" w:pos="57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Insured shall notify the Underwriter at the earliest practicable moment, not to exceed 30 days after notice thereof, of any legal proceeding brought to determine the Insured’s liability for any loss, claim or damage, which, if established, would constitute a collectible loss under this bond. Concurrently, the Insured shall furnish copies of all pleadings and pertinent papers to the Underwriter.</w:t>
      </w:r>
    </w:p>
    <w:p>
      <w:pPr>
        <w:sectPr>
          <w:pgSz w:w="11900" w:h="16838" w:orient="portrait"/>
          <w:cols w:equalWidth="0" w:num="1">
            <w:col w:w="11372"/>
          </w:cols>
          <w:pgMar w:left="248" w:top="280" w:right="279" w:bottom="1440" w:gutter="0" w:footer="0" w:header="0"/>
        </w:sectPr>
      </w:pPr>
    </w:p>
    <w:bookmarkStart w:id="11" w:name="page12"/>
    <w:bookmarkEnd w:id="11"/>
    <w:p>
      <w:pPr>
        <w:jc w:val="both"/>
        <w:ind w:left="580"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Underwriter, at its sole option, may elect to conduct the defense of such legal proceeding, in whole or in part. The defense by the Underwriter shall be in the Insured’s name through attorneys selected by the Underwriter. The Insured shall provide all reasonable information and assistance required by the Underwriter for such defense.</w:t>
      </w:r>
    </w:p>
    <w:p>
      <w:pPr>
        <w:spacing w:after="0" w:line="59" w:lineRule="exact"/>
        <w:rPr>
          <w:sz w:val="20"/>
          <w:szCs w:val="20"/>
          <w:color w:val="auto"/>
        </w:rPr>
      </w:pPr>
    </w:p>
    <w:p>
      <w:pPr>
        <w:ind w:left="580"/>
        <w:spacing w:after="0" w:line="259" w:lineRule="auto"/>
        <w:rPr>
          <w:sz w:val="20"/>
          <w:szCs w:val="20"/>
          <w:color w:val="auto"/>
        </w:rPr>
      </w:pPr>
      <w:r>
        <w:rPr>
          <w:rFonts w:ascii="Arial" w:cs="Arial" w:eastAsia="Arial" w:hAnsi="Arial"/>
          <w:sz w:val="18"/>
          <w:szCs w:val="18"/>
          <w:color w:val="auto"/>
        </w:rPr>
        <w:t>If the Underwriter elects to defend the Insured, in whole or in part, any judgment against the Insured on those counts or causes of action which the Underwriter defended on behalf of the Insured or any settlement in which the Underwriter participates and all attorneys’ fees, costs and expenses incurred by the Underwriter in the defense of the litigation shall be a loss covered by this bond.</w:t>
      </w:r>
    </w:p>
    <w:p>
      <w:pPr>
        <w:spacing w:after="0" w:line="59" w:lineRule="exact"/>
        <w:rPr>
          <w:sz w:val="20"/>
          <w:szCs w:val="20"/>
          <w:color w:val="auto"/>
        </w:rPr>
      </w:pPr>
    </w:p>
    <w:p>
      <w:pPr>
        <w:ind w:left="580" w:right="120"/>
        <w:spacing w:after="0" w:line="256" w:lineRule="auto"/>
        <w:rPr>
          <w:sz w:val="20"/>
          <w:szCs w:val="20"/>
          <w:color w:val="auto"/>
        </w:rPr>
      </w:pPr>
      <w:r>
        <w:rPr>
          <w:rFonts w:ascii="Arial" w:cs="Arial" w:eastAsia="Arial" w:hAnsi="Arial"/>
          <w:sz w:val="18"/>
          <w:szCs w:val="18"/>
          <w:color w:val="auto"/>
        </w:rPr>
        <w:t>If the Insured does not give the notices required in subsection (a) of Section 5 of this bond and in the first paragraph of this General Agreement, or if the Underwriter elects not to defend any clauses of action, neither a judgment against the Insured, nor a settlement of any legal proceeding by the Insured, shall determine the existence, extent or amount of coverage under this bond for loss sustained by the Insured, and the Underwriter shall not be liable for any attorneys’ fees, costs and expenses incurred by the Insured.</w:t>
      </w:r>
    </w:p>
    <w:p>
      <w:pPr>
        <w:spacing w:after="0" w:line="62" w:lineRule="exact"/>
        <w:rPr>
          <w:sz w:val="20"/>
          <w:szCs w:val="20"/>
          <w:color w:val="auto"/>
        </w:rPr>
      </w:pPr>
    </w:p>
    <w:p>
      <w:pPr>
        <w:ind w:left="580"/>
        <w:spacing w:after="0" w:line="298" w:lineRule="auto"/>
        <w:rPr>
          <w:sz w:val="20"/>
          <w:szCs w:val="20"/>
          <w:color w:val="auto"/>
        </w:rPr>
      </w:pPr>
      <w:r>
        <w:rPr>
          <w:rFonts w:ascii="Arial" w:cs="Arial" w:eastAsia="Arial" w:hAnsi="Arial"/>
          <w:sz w:val="16"/>
          <w:szCs w:val="16"/>
          <w:color w:val="auto"/>
        </w:rPr>
        <w:t>With respect to this General Agreement, subsections (b) and (d) of Section 5 of this bond apply upon the entry of such judgment or the occurrence of such settlement instead of upon discovery of loss. In addition, the Insured must notify the Underwriter within 30 days after such judgment is entered against it or after the Insured settles such legal proceeding, and subject to subsection (e) of Section 5, the Insured may not bring legal proceedings for the recovery of such loss after the expiration of 24 months from the date of such final judgment or settlement.</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CONDITIONS AND LIMITATIONS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DEFINITIONS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Section 1. As used in this bond:</w:t>
      </w:r>
    </w:p>
    <w:p>
      <w:pPr>
        <w:spacing w:after="0" w:line="90" w:lineRule="exact"/>
        <w:rPr>
          <w:sz w:val="20"/>
          <w:szCs w:val="20"/>
          <w:color w:val="auto"/>
        </w:rPr>
      </w:pPr>
    </w:p>
    <w:p>
      <w:pPr>
        <w:ind w:left="580" w:hanging="572"/>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Acceptance means a draft which the drawee has, by signature written thereon, engaged to honor as presented.</w:t>
      </w:r>
    </w:p>
    <w:p>
      <w:pPr>
        <w:spacing w:after="0" w:line="90" w:lineRule="exact"/>
        <w:rPr>
          <w:rFonts w:ascii="Arial" w:cs="Arial" w:eastAsia="Arial" w:hAnsi="Arial"/>
          <w:sz w:val="18"/>
          <w:szCs w:val="18"/>
          <w:color w:val="auto"/>
        </w:rPr>
      </w:pPr>
    </w:p>
    <w:p>
      <w:pPr>
        <w:ind w:left="580" w:hanging="572"/>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Certificate of Deposit means an acknowledgment in writing by a financial institution of receipt of Money with an engagement to repay it.</w:t>
      </w:r>
    </w:p>
    <w:p>
      <w:pPr>
        <w:spacing w:after="0" w:line="90" w:lineRule="exact"/>
        <w:rPr>
          <w:rFonts w:ascii="Arial" w:cs="Arial" w:eastAsia="Arial" w:hAnsi="Arial"/>
          <w:sz w:val="18"/>
          <w:szCs w:val="18"/>
          <w:color w:val="auto"/>
        </w:rPr>
      </w:pPr>
    </w:p>
    <w:p>
      <w:pPr>
        <w:ind w:left="580" w:hanging="572"/>
        <w:spacing w:after="0"/>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Certificated Security means a share, participation or other interest in property of or an enterprise of the issuer or an obligation of the issuer, which is:</w:t>
      </w:r>
    </w:p>
    <w:p>
      <w:pPr>
        <w:spacing w:after="0" w:line="113" w:lineRule="exact"/>
        <w:rPr>
          <w:rFonts w:ascii="Arial" w:cs="Arial" w:eastAsia="Arial" w:hAnsi="Arial"/>
          <w:sz w:val="16"/>
          <w:szCs w:val="16"/>
          <w:color w:val="auto"/>
        </w:rPr>
      </w:pPr>
    </w:p>
    <w:p>
      <w:pPr>
        <w:ind w:left="1140" w:hanging="565"/>
        <w:spacing w:after="0"/>
        <w:tabs>
          <w:tab w:leader="none" w:pos="11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represented by an instrument issued in bearer or registered form;</w:t>
      </w:r>
    </w:p>
    <w:p>
      <w:pPr>
        <w:spacing w:after="0" w:line="90" w:lineRule="exact"/>
        <w:rPr>
          <w:rFonts w:ascii="Arial" w:cs="Arial" w:eastAsia="Arial" w:hAnsi="Arial"/>
          <w:sz w:val="18"/>
          <w:szCs w:val="18"/>
          <w:color w:val="auto"/>
        </w:rPr>
      </w:pPr>
    </w:p>
    <w:p>
      <w:pPr>
        <w:ind w:left="1140" w:right="60" w:hanging="565"/>
        <w:spacing w:after="0" w:line="268" w:lineRule="auto"/>
        <w:tabs>
          <w:tab w:leader="none" w:pos="11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of a type commonly dealt in on securities exchanges or markets or commonly recognized in any area in which it is issued or dealt in as a medium for investment; and</w:t>
      </w:r>
    </w:p>
    <w:p>
      <w:pPr>
        <w:sectPr>
          <w:pgSz w:w="11900" w:h="16838" w:orient="portrait"/>
          <w:cols w:equalWidth="0" w:num="1">
            <w:col w:w="11400"/>
          </w:cols>
          <w:pgMar w:left="240" w:top="280" w:right="259" w:bottom="1440" w:gutter="0" w:footer="0" w:header="0"/>
        </w:sectPr>
      </w:pPr>
    </w:p>
    <w:bookmarkStart w:id="12" w:name="page13"/>
    <w:bookmarkEnd w:id="12"/>
    <w:p>
      <w:pPr>
        <w:ind w:left="1132" w:hanging="565"/>
        <w:spacing w:after="0"/>
        <w:tabs>
          <w:tab w:leader="none" w:pos="1132" w:val="left"/>
        </w:tabs>
        <w:numPr>
          <w:ilvl w:val="1"/>
          <w:numId w:val="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either one of a class or series or by its terms divisible into a class or series of shares, participations, interests or obligations.</w:t>
      </w:r>
    </w:p>
    <w:p>
      <w:pPr>
        <w:spacing w:after="0" w:line="90" w:lineRule="exact"/>
        <w:rPr>
          <w:rFonts w:ascii="Arial" w:cs="Arial" w:eastAsia="Arial" w:hAnsi="Arial"/>
          <w:sz w:val="18"/>
          <w:szCs w:val="18"/>
          <w:color w:val="auto"/>
        </w:rPr>
      </w:pPr>
    </w:p>
    <w:p>
      <w:pPr>
        <w:ind w:left="572" w:hanging="572"/>
        <w:spacing w:after="0"/>
        <w:tabs>
          <w:tab w:leader="none" w:pos="572"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Counterfeit means an imitation of an actual valid original which is intended to deceive and to be taken as the original.</w:t>
      </w:r>
    </w:p>
    <w:p>
      <w:pPr>
        <w:spacing w:after="0" w:line="90" w:lineRule="exact"/>
        <w:rPr>
          <w:rFonts w:ascii="Arial" w:cs="Arial" w:eastAsia="Arial" w:hAnsi="Arial"/>
          <w:sz w:val="18"/>
          <w:szCs w:val="18"/>
          <w:color w:val="auto"/>
        </w:rPr>
      </w:pPr>
    </w:p>
    <w:p>
      <w:pPr>
        <w:ind w:left="572" w:hanging="572"/>
        <w:spacing w:after="0"/>
        <w:tabs>
          <w:tab w:leader="none" w:pos="572" w:val="left"/>
        </w:tabs>
        <w:numPr>
          <w:ilvl w:val="0"/>
          <w:numId w:val="22"/>
        </w:numPr>
        <w:rPr>
          <w:rFonts w:ascii="Arial" w:cs="Arial" w:eastAsia="Arial" w:hAnsi="Arial"/>
          <w:sz w:val="18"/>
          <w:szCs w:val="18"/>
          <w:color w:val="auto"/>
        </w:rPr>
      </w:pPr>
      <w:r>
        <w:rPr>
          <w:rFonts w:ascii="Arial" w:cs="Arial" w:eastAsia="Arial" w:hAnsi="Arial"/>
          <w:sz w:val="18"/>
          <w:szCs w:val="18"/>
          <w:color w:val="auto"/>
        </w:rPr>
        <w:t>Employee means:</w:t>
      </w:r>
    </w:p>
    <w:p>
      <w:pPr>
        <w:spacing w:after="0" w:line="90" w:lineRule="exact"/>
        <w:rPr>
          <w:rFonts w:ascii="Arial" w:cs="Arial" w:eastAsia="Arial" w:hAnsi="Arial"/>
          <w:sz w:val="18"/>
          <w:szCs w:val="18"/>
          <w:color w:val="auto"/>
        </w:rPr>
      </w:pPr>
    </w:p>
    <w:p>
      <w:pPr>
        <w:ind w:left="1132" w:right="580" w:hanging="565"/>
        <w:spacing w:after="0" w:line="357" w:lineRule="auto"/>
        <w:tabs>
          <w:tab w:leader="none" w:pos="1132" w:val="left"/>
        </w:tabs>
        <w:numPr>
          <w:ilvl w:val="1"/>
          <w:numId w:val="22"/>
        </w:numPr>
        <w:rPr>
          <w:rFonts w:ascii="Arial" w:cs="Arial" w:eastAsia="Arial" w:hAnsi="Arial"/>
          <w:sz w:val="15"/>
          <w:szCs w:val="15"/>
          <w:color w:val="auto"/>
        </w:rPr>
      </w:pPr>
      <w:r>
        <w:rPr>
          <w:rFonts w:ascii="Arial" w:cs="Arial" w:eastAsia="Arial" w:hAnsi="Arial"/>
          <w:sz w:val="15"/>
          <w:szCs w:val="15"/>
          <w:color w:val="auto"/>
        </w:rPr>
        <w:t>a natural person in the service of the Insured at any of the Insured’s offices or premises covered hereunder whom the Insured compensates directly by salary or commissions and whom the Insured has the right to direct and control while performing services for the Insured;</w:t>
      </w:r>
    </w:p>
    <w:p>
      <w:pPr>
        <w:ind w:left="1132" w:hanging="565"/>
        <w:spacing w:after="0"/>
        <w:tabs>
          <w:tab w:leader="none" w:pos="1132"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 attorney retained by the Insured and an employee of such attorney while either is performing legal services for the Insured;</w:t>
      </w:r>
    </w:p>
    <w:p>
      <w:pPr>
        <w:spacing w:after="0" w:line="90" w:lineRule="exact"/>
        <w:rPr>
          <w:rFonts w:ascii="Arial" w:cs="Arial" w:eastAsia="Arial" w:hAnsi="Arial"/>
          <w:sz w:val="18"/>
          <w:szCs w:val="18"/>
          <w:color w:val="auto"/>
        </w:rPr>
      </w:pPr>
    </w:p>
    <w:p>
      <w:pPr>
        <w:ind w:left="1132" w:hanging="565"/>
        <w:spacing w:after="0" w:line="332" w:lineRule="auto"/>
        <w:tabs>
          <w:tab w:leader="none" w:pos="1132" w:val="left"/>
        </w:tabs>
        <w:numPr>
          <w:ilvl w:val="1"/>
          <w:numId w:val="22"/>
        </w:numPr>
        <w:rPr>
          <w:rFonts w:ascii="Arial" w:cs="Arial" w:eastAsia="Arial" w:hAnsi="Arial"/>
          <w:sz w:val="16"/>
          <w:szCs w:val="16"/>
          <w:color w:val="auto"/>
        </w:rPr>
      </w:pPr>
      <w:r>
        <w:rPr>
          <w:rFonts w:ascii="Arial" w:cs="Arial" w:eastAsia="Arial" w:hAnsi="Arial"/>
          <w:sz w:val="16"/>
          <w:szCs w:val="16"/>
          <w:color w:val="auto"/>
        </w:rPr>
        <w:t>a person provided by an employment contractor to perform employee duties for the Insured under the Insured’s supervision at any of the Insured’s offices or premises covered hereunder; and a guest student pursuing studies or duties in any of said offices or premises;</w:t>
      </w:r>
    </w:p>
    <w:p>
      <w:pPr>
        <w:spacing w:after="0" w:line="4" w:lineRule="exact"/>
        <w:rPr>
          <w:rFonts w:ascii="Arial" w:cs="Arial" w:eastAsia="Arial" w:hAnsi="Arial"/>
          <w:sz w:val="16"/>
          <w:szCs w:val="16"/>
          <w:color w:val="auto"/>
        </w:rPr>
      </w:pPr>
    </w:p>
    <w:p>
      <w:pPr>
        <w:ind w:left="1132" w:hanging="565"/>
        <w:spacing w:after="0"/>
        <w:tabs>
          <w:tab w:leader="none" w:pos="1132"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 employee of an institution merged or consolidated with the Insured prior to the effective date to this bond;</w:t>
      </w:r>
    </w:p>
    <w:p>
      <w:pPr>
        <w:spacing w:after="0" w:line="90" w:lineRule="exact"/>
        <w:rPr>
          <w:rFonts w:ascii="Arial" w:cs="Arial" w:eastAsia="Arial" w:hAnsi="Arial"/>
          <w:sz w:val="18"/>
          <w:szCs w:val="18"/>
          <w:color w:val="auto"/>
        </w:rPr>
      </w:pPr>
    </w:p>
    <w:p>
      <w:pPr>
        <w:ind w:left="1132" w:right="260" w:hanging="565"/>
        <w:spacing w:after="0" w:line="255" w:lineRule="auto"/>
        <w:tabs>
          <w:tab w:leader="none" w:pos="1132" w:val="left"/>
        </w:tabs>
        <w:numPr>
          <w:ilvl w:val="1"/>
          <w:numId w:val="22"/>
        </w:numPr>
        <w:rPr>
          <w:rFonts w:ascii="Arial" w:cs="Arial" w:eastAsia="Arial" w:hAnsi="Arial"/>
          <w:sz w:val="18"/>
          <w:szCs w:val="18"/>
          <w:color w:val="auto"/>
        </w:rPr>
      </w:pPr>
      <w:r>
        <w:rPr>
          <w:rFonts w:ascii="Arial" w:cs="Arial" w:eastAsia="Arial" w:hAnsi="Arial"/>
          <w:sz w:val="18"/>
          <w:szCs w:val="18"/>
          <w:color w:val="auto"/>
        </w:rPr>
        <w:t>each natural person, partnership or corporation authorized by the Insured to perform services as data processor of checks or other accounting records of the Insured (not including preparation or modification of computer software or programs), herein called Processor. (Each such Processor, and the partners, officers and employees of such Processor shall, collectively, be deemed to be one Employee for all the purposes of this bond, excepting, however, the second paragraph of Section 12. A Federal Reserve Bank or clearing house shall not be construed to be a processor) and</w:t>
      </w:r>
    </w:p>
    <w:p>
      <w:pPr>
        <w:spacing w:after="0" w:line="61" w:lineRule="exact"/>
        <w:rPr>
          <w:rFonts w:ascii="Arial" w:cs="Arial" w:eastAsia="Arial" w:hAnsi="Arial"/>
          <w:sz w:val="18"/>
          <w:szCs w:val="18"/>
          <w:color w:val="auto"/>
        </w:rPr>
      </w:pPr>
    </w:p>
    <w:p>
      <w:pPr>
        <w:ind w:left="1132" w:hanging="565"/>
        <w:spacing w:after="0"/>
        <w:tabs>
          <w:tab w:leader="none" w:pos="1132" w:val="left"/>
        </w:tabs>
        <w:numPr>
          <w:ilvl w:val="1"/>
          <w:numId w:val="22"/>
        </w:numPr>
        <w:rPr>
          <w:rFonts w:ascii="Arial" w:cs="Arial" w:eastAsia="Arial" w:hAnsi="Arial"/>
          <w:sz w:val="18"/>
          <w:szCs w:val="18"/>
          <w:color w:val="auto"/>
        </w:rPr>
      </w:pPr>
      <w:r>
        <w:rPr>
          <w:rFonts w:ascii="Arial" w:cs="Arial" w:eastAsia="Arial" w:hAnsi="Arial"/>
          <w:sz w:val="18"/>
          <w:szCs w:val="18"/>
          <w:color w:val="auto"/>
        </w:rPr>
        <w:t>a Partner of the Insured, unless not covered as stated in Item 4 of the Declarations.</w:t>
      </w:r>
    </w:p>
    <w:p>
      <w:pPr>
        <w:spacing w:after="0" w:line="90" w:lineRule="exact"/>
        <w:rPr>
          <w:rFonts w:ascii="Arial" w:cs="Arial" w:eastAsia="Arial" w:hAnsi="Arial"/>
          <w:sz w:val="18"/>
          <w:szCs w:val="18"/>
          <w:color w:val="auto"/>
        </w:rPr>
      </w:pPr>
    </w:p>
    <w:p>
      <w:pPr>
        <w:ind w:left="572" w:right="260" w:hanging="572"/>
        <w:spacing w:after="0" w:line="268" w:lineRule="auto"/>
        <w:tabs>
          <w:tab w:leader="none" w:pos="572" w:val="left"/>
        </w:tabs>
        <w:numPr>
          <w:ilvl w:val="0"/>
          <w:numId w:val="22"/>
        </w:numPr>
        <w:rPr>
          <w:rFonts w:ascii="Arial" w:cs="Arial" w:eastAsia="Arial" w:hAnsi="Arial"/>
          <w:sz w:val="18"/>
          <w:szCs w:val="18"/>
          <w:color w:val="auto"/>
        </w:rPr>
      </w:pPr>
      <w:r>
        <w:rPr>
          <w:rFonts w:ascii="Arial" w:cs="Arial" w:eastAsia="Arial" w:hAnsi="Arial"/>
          <w:sz w:val="18"/>
          <w:szCs w:val="18"/>
          <w:color w:val="auto"/>
        </w:rPr>
        <w:t>Evidence of Debt means an instrument, including a Negotiable Instrument, executed by a customer of the Insured and held by the Insured which in the regular course of business is treated as evidencing the customer’s debt to the Insured.</w:t>
      </w:r>
    </w:p>
    <w:p>
      <w:pPr>
        <w:spacing w:after="0" w:line="50" w:lineRule="exact"/>
        <w:rPr>
          <w:rFonts w:ascii="Arial" w:cs="Arial" w:eastAsia="Arial" w:hAnsi="Arial"/>
          <w:sz w:val="18"/>
          <w:szCs w:val="18"/>
          <w:color w:val="auto"/>
        </w:rPr>
      </w:pPr>
    </w:p>
    <w:p>
      <w:pPr>
        <w:ind w:left="572" w:right="100" w:hanging="572"/>
        <w:spacing w:after="0" w:line="268" w:lineRule="auto"/>
        <w:tabs>
          <w:tab w:leader="none" w:pos="572"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Financial Interest in the Insured of the Insured’s general partner(s), or limited partner(s), committing dishonest or fraudulent acts covered by this bond or concerned or implicated therein means:</w:t>
      </w:r>
    </w:p>
    <w:p>
      <w:pPr>
        <w:spacing w:after="0" w:line="50" w:lineRule="exact"/>
        <w:rPr>
          <w:rFonts w:ascii="Arial" w:cs="Arial" w:eastAsia="Arial" w:hAnsi="Arial"/>
          <w:sz w:val="18"/>
          <w:szCs w:val="18"/>
          <w:color w:val="auto"/>
        </w:rPr>
      </w:pPr>
    </w:p>
    <w:p>
      <w:pPr>
        <w:ind w:left="1132" w:right="100" w:hanging="565"/>
        <w:spacing w:after="0" w:line="268" w:lineRule="auto"/>
        <w:tabs>
          <w:tab w:leader="none" w:pos="1132" w:val="left"/>
        </w:tabs>
        <w:numPr>
          <w:ilvl w:val="1"/>
          <w:numId w:val="22"/>
        </w:numPr>
        <w:rPr>
          <w:rFonts w:ascii="Arial" w:cs="Arial" w:eastAsia="Arial" w:hAnsi="Arial"/>
          <w:sz w:val="18"/>
          <w:szCs w:val="18"/>
          <w:color w:val="auto"/>
        </w:rPr>
      </w:pPr>
      <w:r>
        <w:rPr>
          <w:rFonts w:ascii="Arial" w:cs="Arial" w:eastAsia="Arial" w:hAnsi="Arial"/>
          <w:sz w:val="18"/>
          <w:szCs w:val="18"/>
          <w:color w:val="auto"/>
        </w:rPr>
        <w:t>as respects general partners the value of all right, title and interest of such general partner(s), determined as of the close of business of the date of discovery of loss covered by this bond, in the aggregate of:</w:t>
      </w:r>
    </w:p>
    <w:p>
      <w:pPr>
        <w:spacing w:after="0" w:line="50" w:lineRule="exact"/>
        <w:rPr>
          <w:rFonts w:ascii="Arial" w:cs="Arial" w:eastAsia="Arial" w:hAnsi="Arial"/>
          <w:sz w:val="18"/>
          <w:szCs w:val="18"/>
          <w:color w:val="auto"/>
        </w:rPr>
      </w:pPr>
    </w:p>
    <w:p>
      <w:pPr>
        <w:ind w:left="1812" w:right="80" w:hanging="678"/>
        <w:spacing w:after="0" w:line="290" w:lineRule="auto"/>
        <w:tabs>
          <w:tab w:leader="none" w:pos="1812" w:val="left"/>
        </w:tabs>
        <w:numPr>
          <w:ilvl w:val="2"/>
          <w:numId w:val="22"/>
        </w:numPr>
        <w:rPr>
          <w:rFonts w:ascii="Arial" w:cs="Arial" w:eastAsia="Arial" w:hAnsi="Arial"/>
          <w:sz w:val="16"/>
          <w:szCs w:val="16"/>
          <w:color w:val="auto"/>
        </w:rPr>
      </w:pPr>
      <w:r>
        <w:rPr>
          <w:rFonts w:ascii="Arial" w:cs="Arial" w:eastAsia="Arial" w:hAnsi="Arial"/>
          <w:sz w:val="16"/>
          <w:szCs w:val="16"/>
          <w:color w:val="auto"/>
        </w:rPr>
        <w:t>the “net worth” of the Insured, which for the purposes of this bond, shall be deemed to be the excess of its total assets over its total liabilities, without adjustment to give effect to loss covered by this bond, (except that credit balances and equities in proprietary accounts of the Insured, which shall include capital accounts of partners, investment and trading accounts of the Insured, participants of the Insured in joint accounts, and accounts of partners which are covered by agreements providing for the inclusion of equities therein as partnership property, shall not be considered as liabilities) with securities, spot commodities, commodity future contracts in such proprietary accounts and all other assets marked to market or fair value and with adjustment for profits and losses at the market of contractual commitments for such proprietary accounts of the Insured; and</w:t>
      </w:r>
    </w:p>
    <w:p>
      <w:pPr>
        <w:sectPr>
          <w:pgSz w:w="11900" w:h="16838" w:orient="portrait"/>
          <w:cols w:equalWidth="0" w:num="1">
            <w:col w:w="11412"/>
          </w:cols>
          <w:pgMar w:left="248" w:top="280" w:right="239" w:bottom="1440" w:gutter="0" w:footer="0" w:header="0"/>
        </w:sectPr>
      </w:pPr>
    </w:p>
    <w:bookmarkStart w:id="13" w:name="page14"/>
    <w:bookmarkEnd w:id="13"/>
    <w:p>
      <w:pPr>
        <w:ind w:left="1812" w:right="300" w:hanging="678"/>
        <w:spacing w:after="0" w:line="332" w:lineRule="auto"/>
        <w:tabs>
          <w:tab w:leader="none" w:pos="1812" w:val="left"/>
        </w:tabs>
        <w:numPr>
          <w:ilvl w:val="0"/>
          <w:numId w:val="2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value of all other Money, securities and property belonging to such general partner(s), or in which such general partner(s) have a pecuniary interest, held by or in the custody of and legally available to the Insured as set-off against loss covered by this bond;</w:t>
      </w:r>
    </w:p>
    <w:p>
      <w:pPr>
        <w:spacing w:after="0" w:line="4" w:lineRule="exact"/>
        <w:rPr>
          <w:sz w:val="20"/>
          <w:szCs w:val="20"/>
          <w:color w:val="auto"/>
        </w:rPr>
      </w:pPr>
    </w:p>
    <w:p>
      <w:pPr>
        <w:ind w:left="1132" w:right="100"/>
        <w:spacing w:after="0" w:line="291" w:lineRule="auto"/>
        <w:rPr>
          <w:sz w:val="20"/>
          <w:szCs w:val="20"/>
          <w:color w:val="auto"/>
        </w:rPr>
      </w:pPr>
      <w:r>
        <w:rPr>
          <w:rFonts w:ascii="Arial" w:cs="Arial" w:eastAsia="Arial" w:hAnsi="Arial"/>
          <w:sz w:val="16"/>
          <w:szCs w:val="16"/>
          <w:color w:val="auto"/>
        </w:rPr>
        <w:t>provided, however, that if such “net worth” adjusted to give effect to loss covered by this bond and such value of all other Money, securities and property as set forth in (g)(1)(b) preceding, plus the amount of coverage afforded by this bond on account of such loss, is not sufficient to enable the Insured to meet its obligations, including its obligations to its partners other than to such general partner(s), then the Financial Interest in the Insured, as above defined, of such general partner(s) shall be reduced in an amount necessary, or eliminated if need be, in order to enable the Insured upon payment of loss under this bond to meet such obligations to the extent that such payment will enable the Insured to meet such obligations, without any benefit accruing to such general partner(s) from such payment; and</w:t>
      </w:r>
    </w:p>
    <w:p>
      <w:pPr>
        <w:spacing w:after="0" w:line="39" w:lineRule="exact"/>
        <w:rPr>
          <w:sz w:val="20"/>
          <w:szCs w:val="20"/>
          <w:color w:val="auto"/>
        </w:rPr>
      </w:pPr>
    </w:p>
    <w:p>
      <w:pPr>
        <w:ind w:left="1132" w:hanging="565"/>
        <w:spacing w:after="0"/>
        <w:tabs>
          <w:tab w:leader="none" w:pos="1132" w:val="left"/>
        </w:tabs>
        <w:numPr>
          <w:ilvl w:val="1"/>
          <w:numId w:val="24"/>
        </w:numPr>
        <w:rPr>
          <w:rFonts w:ascii="Arial" w:cs="Arial" w:eastAsia="Arial" w:hAnsi="Arial"/>
          <w:sz w:val="18"/>
          <w:szCs w:val="18"/>
          <w:color w:val="auto"/>
        </w:rPr>
      </w:pPr>
      <w:r>
        <w:rPr>
          <w:rFonts w:ascii="Arial" w:cs="Arial" w:eastAsia="Arial" w:hAnsi="Arial"/>
          <w:sz w:val="18"/>
          <w:szCs w:val="18"/>
          <w:color w:val="auto"/>
        </w:rPr>
        <w:t>as respects limited partners the value of such limited partner’s(’) investment in the Insured.</w:t>
      </w:r>
    </w:p>
    <w:p>
      <w:pPr>
        <w:spacing w:after="0" w:line="90" w:lineRule="exact"/>
        <w:rPr>
          <w:rFonts w:ascii="Arial" w:cs="Arial" w:eastAsia="Arial" w:hAnsi="Arial"/>
          <w:sz w:val="18"/>
          <w:szCs w:val="18"/>
          <w:color w:val="auto"/>
        </w:rPr>
      </w:pPr>
    </w:p>
    <w:p>
      <w:pPr>
        <w:ind w:left="572" w:hanging="572"/>
        <w:spacing w:after="0" w:line="268" w:lineRule="auto"/>
        <w:tabs>
          <w:tab w:leader="none" w:pos="572"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Forgery means the signing of the name of another person or organization with intent to deceive; it does not mean a signature which consists in whole or in part of one’s own name signed with or without authority, in any capacity, for any purpose.</w:t>
      </w:r>
    </w:p>
    <w:p>
      <w:pPr>
        <w:spacing w:after="0" w:line="50" w:lineRule="exact"/>
        <w:rPr>
          <w:rFonts w:ascii="Arial" w:cs="Arial" w:eastAsia="Arial" w:hAnsi="Arial"/>
          <w:sz w:val="18"/>
          <w:szCs w:val="18"/>
          <w:color w:val="auto"/>
        </w:rPr>
      </w:pPr>
    </w:p>
    <w:p>
      <w:pPr>
        <w:ind w:left="572" w:right="400" w:hanging="572"/>
        <w:spacing w:after="0" w:line="332" w:lineRule="auto"/>
        <w:tabs>
          <w:tab w:leader="none" w:pos="572" w:val="left"/>
        </w:tabs>
        <w:numPr>
          <w:ilvl w:val="0"/>
          <w:numId w:val="25"/>
        </w:numPr>
        <w:rPr>
          <w:rFonts w:ascii="Arial" w:cs="Arial" w:eastAsia="Arial" w:hAnsi="Arial"/>
          <w:sz w:val="16"/>
          <w:szCs w:val="16"/>
          <w:color w:val="auto"/>
        </w:rPr>
      </w:pPr>
      <w:r>
        <w:rPr>
          <w:rFonts w:ascii="Arial" w:cs="Arial" w:eastAsia="Arial" w:hAnsi="Arial"/>
          <w:sz w:val="16"/>
          <w:szCs w:val="16"/>
          <w:color w:val="auto"/>
        </w:rPr>
        <w:t>Guarantee means a written undertaking obligating the signer to pay the debt of another to the Insured or its assignee or to a financial institution from which the Insured has purchased participation in the debt, if the debt is not paid in accordance with its terms.</w:t>
      </w:r>
    </w:p>
    <w:p>
      <w:pPr>
        <w:sectPr>
          <w:pgSz w:w="11900" w:h="16838" w:orient="portrait"/>
          <w:cols w:equalWidth="0" w:num="1">
            <w:col w:w="11392"/>
          </w:cols>
          <w:pgMar w:left="248" w:top="280" w:right="259" w:bottom="1440" w:gutter="0" w:footer="0" w:header="0"/>
        </w:sectPr>
      </w:pPr>
    </w:p>
    <w:bookmarkStart w:id="14" w:name="page15"/>
    <w:bookmarkEnd w:id="14"/>
    <w:p>
      <w:pPr>
        <w:ind w:left="572" w:right="900" w:hanging="572"/>
        <w:spacing w:after="0" w:line="268" w:lineRule="auto"/>
        <w:tabs>
          <w:tab w:leader="none" w:pos="572" w:val="left"/>
        </w:tabs>
        <w:numPr>
          <w:ilvl w:val="0"/>
          <w:numId w:val="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Instruction means a written order to the issuer of an Uncertificated Security requesting that the transfer, pledge, or release from pledge, of the Uncertificated Security specified be registered.</w:t>
      </w:r>
    </w:p>
    <w:p>
      <w:pPr>
        <w:spacing w:after="0" w:line="50" w:lineRule="exact"/>
        <w:rPr>
          <w:rFonts w:ascii="Arial" w:cs="Arial" w:eastAsia="Arial" w:hAnsi="Arial"/>
          <w:sz w:val="18"/>
          <w:szCs w:val="18"/>
          <w:color w:val="auto"/>
        </w:rPr>
      </w:pPr>
    </w:p>
    <w:p>
      <w:pPr>
        <w:ind w:left="572" w:right="340" w:hanging="572"/>
        <w:spacing w:after="0" w:line="268" w:lineRule="auto"/>
        <w:tabs>
          <w:tab w:leader="none" w:pos="572"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Letter of Credit means an engagement in writing by a bank or other person made at the request of a customer that the bank or other person will honor drafts or other demands for payment upon compliance with the conditions specified in the Letter of Credit.</w:t>
      </w:r>
    </w:p>
    <w:p>
      <w:pPr>
        <w:spacing w:after="0" w:line="50" w:lineRule="exact"/>
        <w:rPr>
          <w:rFonts w:ascii="Arial" w:cs="Arial" w:eastAsia="Arial" w:hAnsi="Arial"/>
          <w:sz w:val="18"/>
          <w:szCs w:val="18"/>
          <w:color w:val="auto"/>
        </w:rPr>
      </w:pPr>
    </w:p>
    <w:p>
      <w:pPr>
        <w:ind w:left="572" w:hanging="572"/>
        <w:spacing w:after="0"/>
        <w:tabs>
          <w:tab w:leader="none" w:pos="572" w:val="left"/>
        </w:tabs>
        <w:numPr>
          <w:ilvl w:val="0"/>
          <w:numId w:val="26"/>
        </w:numPr>
        <w:rPr>
          <w:rFonts w:ascii="Arial" w:cs="Arial" w:eastAsia="Arial" w:hAnsi="Arial"/>
          <w:sz w:val="16"/>
          <w:szCs w:val="16"/>
          <w:color w:val="auto"/>
        </w:rPr>
      </w:pPr>
      <w:r>
        <w:rPr>
          <w:rFonts w:ascii="Arial" w:cs="Arial" w:eastAsia="Arial" w:hAnsi="Arial"/>
          <w:sz w:val="16"/>
          <w:szCs w:val="16"/>
          <w:color w:val="auto"/>
        </w:rPr>
        <w:t>Money means a medium of exchange in current use authorized or adopted by a domestic or foreign government as a part of its currency.</w:t>
      </w:r>
    </w:p>
    <w:p>
      <w:pPr>
        <w:spacing w:after="0" w:line="113" w:lineRule="exact"/>
        <w:rPr>
          <w:rFonts w:ascii="Arial" w:cs="Arial" w:eastAsia="Arial" w:hAnsi="Arial"/>
          <w:sz w:val="16"/>
          <w:szCs w:val="16"/>
          <w:color w:val="auto"/>
        </w:rPr>
      </w:pPr>
    </w:p>
    <w:p>
      <w:pPr>
        <w:ind w:left="572" w:hanging="572"/>
        <w:spacing w:after="0"/>
        <w:tabs>
          <w:tab w:leader="none" w:pos="572"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Negotiable Instrument means any writing</w:t>
      </w:r>
    </w:p>
    <w:p>
      <w:pPr>
        <w:spacing w:after="0" w:line="90" w:lineRule="exact"/>
        <w:rPr>
          <w:rFonts w:ascii="Arial" w:cs="Arial" w:eastAsia="Arial" w:hAnsi="Arial"/>
          <w:sz w:val="18"/>
          <w:szCs w:val="18"/>
          <w:color w:val="auto"/>
        </w:rPr>
      </w:pPr>
    </w:p>
    <w:p>
      <w:pPr>
        <w:ind w:left="1132" w:hanging="565"/>
        <w:spacing w:after="0"/>
        <w:tabs>
          <w:tab w:leader="none" w:pos="1132" w:val="left"/>
        </w:tabs>
        <w:numPr>
          <w:ilvl w:val="1"/>
          <w:numId w:val="26"/>
        </w:numPr>
        <w:rPr>
          <w:rFonts w:ascii="Arial" w:cs="Arial" w:eastAsia="Arial" w:hAnsi="Arial"/>
          <w:sz w:val="18"/>
          <w:szCs w:val="18"/>
          <w:color w:val="auto"/>
        </w:rPr>
      </w:pPr>
      <w:r>
        <w:rPr>
          <w:rFonts w:ascii="Arial" w:cs="Arial" w:eastAsia="Arial" w:hAnsi="Arial"/>
          <w:sz w:val="18"/>
          <w:szCs w:val="18"/>
          <w:color w:val="auto"/>
        </w:rPr>
        <w:t>signed by the maker or drawer; and</w:t>
      </w:r>
    </w:p>
    <w:p>
      <w:pPr>
        <w:spacing w:after="0" w:line="90" w:lineRule="exact"/>
        <w:rPr>
          <w:rFonts w:ascii="Arial" w:cs="Arial" w:eastAsia="Arial" w:hAnsi="Arial"/>
          <w:sz w:val="18"/>
          <w:szCs w:val="18"/>
          <w:color w:val="auto"/>
        </w:rPr>
      </w:pPr>
    </w:p>
    <w:p>
      <w:pPr>
        <w:ind w:left="1132" w:right="440" w:hanging="565"/>
        <w:spacing w:after="0" w:line="268" w:lineRule="auto"/>
        <w:tabs>
          <w:tab w:leader="none" w:pos="1132" w:val="left"/>
        </w:tabs>
        <w:numPr>
          <w:ilvl w:val="1"/>
          <w:numId w:val="26"/>
        </w:numPr>
        <w:rPr>
          <w:rFonts w:ascii="Arial" w:cs="Arial" w:eastAsia="Arial" w:hAnsi="Arial"/>
          <w:sz w:val="18"/>
          <w:szCs w:val="18"/>
          <w:color w:val="auto"/>
        </w:rPr>
      </w:pPr>
      <w:r>
        <w:rPr>
          <w:rFonts w:ascii="Arial" w:cs="Arial" w:eastAsia="Arial" w:hAnsi="Arial"/>
          <w:sz w:val="18"/>
          <w:szCs w:val="18"/>
          <w:color w:val="auto"/>
        </w:rPr>
        <w:t>containing any unconditional promise or order to pay a sum certain in Money and no other promise, order, obligation or power given by the maker or drawer; and</w:t>
      </w:r>
    </w:p>
    <w:p>
      <w:pPr>
        <w:spacing w:after="0" w:line="50" w:lineRule="exact"/>
        <w:rPr>
          <w:rFonts w:ascii="Arial" w:cs="Arial" w:eastAsia="Arial" w:hAnsi="Arial"/>
          <w:sz w:val="18"/>
          <w:szCs w:val="18"/>
          <w:color w:val="auto"/>
        </w:rPr>
      </w:pPr>
    </w:p>
    <w:p>
      <w:pPr>
        <w:ind w:left="1132" w:hanging="565"/>
        <w:spacing w:after="0"/>
        <w:tabs>
          <w:tab w:leader="none" w:pos="1132" w:val="left"/>
        </w:tabs>
        <w:numPr>
          <w:ilvl w:val="1"/>
          <w:numId w:val="26"/>
        </w:numPr>
        <w:rPr>
          <w:rFonts w:ascii="Arial" w:cs="Arial" w:eastAsia="Arial" w:hAnsi="Arial"/>
          <w:sz w:val="18"/>
          <w:szCs w:val="18"/>
          <w:color w:val="auto"/>
        </w:rPr>
      </w:pPr>
      <w:r>
        <w:rPr>
          <w:rFonts w:ascii="Arial" w:cs="Arial" w:eastAsia="Arial" w:hAnsi="Arial"/>
          <w:sz w:val="18"/>
          <w:szCs w:val="18"/>
          <w:color w:val="auto"/>
        </w:rPr>
        <w:t>is payable on demand or at a definite time; and</w:t>
      </w:r>
    </w:p>
    <w:p>
      <w:pPr>
        <w:spacing w:after="0" w:line="90" w:lineRule="exact"/>
        <w:rPr>
          <w:rFonts w:ascii="Arial" w:cs="Arial" w:eastAsia="Arial" w:hAnsi="Arial"/>
          <w:sz w:val="18"/>
          <w:szCs w:val="18"/>
          <w:color w:val="auto"/>
        </w:rPr>
      </w:pPr>
    </w:p>
    <w:p>
      <w:pPr>
        <w:ind w:left="1132" w:hanging="565"/>
        <w:spacing w:after="0"/>
        <w:tabs>
          <w:tab w:leader="none" w:pos="1132" w:val="left"/>
        </w:tabs>
        <w:numPr>
          <w:ilvl w:val="1"/>
          <w:numId w:val="26"/>
        </w:numPr>
        <w:rPr>
          <w:rFonts w:ascii="Arial" w:cs="Arial" w:eastAsia="Arial" w:hAnsi="Arial"/>
          <w:sz w:val="18"/>
          <w:szCs w:val="18"/>
          <w:color w:val="auto"/>
        </w:rPr>
      </w:pPr>
      <w:r>
        <w:rPr>
          <w:rFonts w:ascii="Arial" w:cs="Arial" w:eastAsia="Arial" w:hAnsi="Arial"/>
          <w:sz w:val="18"/>
          <w:szCs w:val="18"/>
          <w:color w:val="auto"/>
        </w:rPr>
        <w:t>is payable to order or bearer.</w:t>
      </w:r>
    </w:p>
    <w:p>
      <w:pPr>
        <w:spacing w:after="0" w:line="90" w:lineRule="exact"/>
        <w:rPr>
          <w:rFonts w:ascii="Arial" w:cs="Arial" w:eastAsia="Arial" w:hAnsi="Arial"/>
          <w:sz w:val="18"/>
          <w:szCs w:val="18"/>
          <w:color w:val="auto"/>
        </w:rPr>
      </w:pPr>
    </w:p>
    <w:p>
      <w:pPr>
        <w:ind w:left="572" w:hanging="572"/>
        <w:spacing w:after="0"/>
        <w:tabs>
          <w:tab w:leader="none" w:pos="572"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Partner means a natural person who</w:t>
      </w:r>
    </w:p>
    <w:p>
      <w:pPr>
        <w:spacing w:after="0" w:line="90" w:lineRule="exact"/>
        <w:rPr>
          <w:rFonts w:ascii="Arial" w:cs="Arial" w:eastAsia="Arial" w:hAnsi="Arial"/>
          <w:sz w:val="18"/>
          <w:szCs w:val="18"/>
          <w:color w:val="auto"/>
        </w:rPr>
      </w:pPr>
    </w:p>
    <w:p>
      <w:pPr>
        <w:ind w:left="1132" w:hanging="565"/>
        <w:spacing w:after="0"/>
        <w:tabs>
          <w:tab w:leader="none" w:pos="1132" w:val="left"/>
        </w:tabs>
        <w:numPr>
          <w:ilvl w:val="1"/>
          <w:numId w:val="26"/>
        </w:numPr>
        <w:rPr>
          <w:rFonts w:ascii="Arial" w:cs="Arial" w:eastAsia="Arial" w:hAnsi="Arial"/>
          <w:sz w:val="18"/>
          <w:szCs w:val="18"/>
          <w:color w:val="auto"/>
        </w:rPr>
      </w:pPr>
      <w:r>
        <w:rPr>
          <w:rFonts w:ascii="Arial" w:cs="Arial" w:eastAsia="Arial" w:hAnsi="Arial"/>
          <w:sz w:val="18"/>
          <w:szCs w:val="18"/>
          <w:color w:val="auto"/>
        </w:rPr>
        <w:t>is a general partner of the Insured, or</w:t>
      </w:r>
    </w:p>
    <w:p>
      <w:pPr>
        <w:spacing w:after="0" w:line="90" w:lineRule="exact"/>
        <w:rPr>
          <w:rFonts w:ascii="Arial" w:cs="Arial" w:eastAsia="Arial" w:hAnsi="Arial"/>
          <w:sz w:val="18"/>
          <w:szCs w:val="18"/>
          <w:color w:val="auto"/>
        </w:rPr>
      </w:pPr>
    </w:p>
    <w:p>
      <w:pPr>
        <w:ind w:left="1132" w:hanging="565"/>
        <w:spacing w:after="0"/>
        <w:tabs>
          <w:tab w:leader="none" w:pos="1132" w:val="left"/>
        </w:tabs>
        <w:numPr>
          <w:ilvl w:val="1"/>
          <w:numId w:val="26"/>
        </w:numPr>
        <w:rPr>
          <w:rFonts w:ascii="Arial" w:cs="Arial" w:eastAsia="Arial" w:hAnsi="Arial"/>
          <w:sz w:val="18"/>
          <w:szCs w:val="18"/>
          <w:color w:val="auto"/>
        </w:rPr>
      </w:pPr>
      <w:r>
        <w:rPr>
          <w:rFonts w:ascii="Arial" w:cs="Arial" w:eastAsia="Arial" w:hAnsi="Arial"/>
          <w:sz w:val="18"/>
          <w:szCs w:val="18"/>
          <w:color w:val="auto"/>
        </w:rPr>
        <w:t>is a limited partner and an Employee (as defined in Section 1(e)(1) of the bond) of the Insured.</w:t>
      </w:r>
    </w:p>
    <w:p>
      <w:pPr>
        <w:spacing w:after="0" w:line="90" w:lineRule="exact"/>
        <w:rPr>
          <w:rFonts w:ascii="Arial" w:cs="Arial" w:eastAsia="Arial" w:hAnsi="Arial"/>
          <w:sz w:val="18"/>
          <w:szCs w:val="18"/>
          <w:color w:val="auto"/>
        </w:rPr>
      </w:pPr>
    </w:p>
    <w:p>
      <w:pPr>
        <w:ind w:left="572" w:hanging="572"/>
        <w:spacing w:after="0" w:line="294" w:lineRule="auto"/>
        <w:tabs>
          <w:tab w:leader="none" w:pos="572"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Property means Money, Certificated Securities. Uncertificated Securities of any Federal Reserve Bank of the United States, Negotiable Instruments, Certificates of Deposit, documents of title, Acceptances, Evidences of Debt, security agreements, Withdrawal Orders, certificates of origin or title, Letters of Credit, insurance policies, abstracts of title, deeds and mortgages on real estate, revenue and other stamps, tokens, unsold state lottery tickets, books of account and other records whether recorded in writing or electronically, gems, jewelry, precious metals of all kinds and in any form, and tangible items of personal property which are not hereinbefore enumerated.</w:t>
      </w:r>
    </w:p>
    <w:p>
      <w:pPr>
        <w:spacing w:after="0" w:line="34" w:lineRule="exact"/>
        <w:rPr>
          <w:rFonts w:ascii="Arial" w:cs="Arial" w:eastAsia="Arial" w:hAnsi="Arial"/>
          <w:sz w:val="16"/>
          <w:szCs w:val="16"/>
          <w:color w:val="auto"/>
        </w:rPr>
      </w:pPr>
    </w:p>
    <w:p>
      <w:pPr>
        <w:ind w:left="572" w:hanging="572"/>
        <w:spacing w:after="0"/>
        <w:tabs>
          <w:tab w:leader="none" w:pos="572"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Statement of Uncertificated Security means a written statement of the issuer of an Uncertificated Security containing:</w:t>
      </w:r>
    </w:p>
    <w:p>
      <w:pPr>
        <w:spacing w:after="0" w:line="90" w:lineRule="exact"/>
        <w:rPr>
          <w:rFonts w:ascii="Arial" w:cs="Arial" w:eastAsia="Arial" w:hAnsi="Arial"/>
          <w:sz w:val="18"/>
          <w:szCs w:val="18"/>
          <w:color w:val="auto"/>
        </w:rPr>
      </w:pPr>
    </w:p>
    <w:p>
      <w:pPr>
        <w:ind w:left="1132" w:hanging="565"/>
        <w:spacing w:after="0"/>
        <w:tabs>
          <w:tab w:leader="none" w:pos="1132" w:val="left"/>
        </w:tabs>
        <w:numPr>
          <w:ilvl w:val="1"/>
          <w:numId w:val="26"/>
        </w:numPr>
        <w:rPr>
          <w:rFonts w:ascii="Arial" w:cs="Arial" w:eastAsia="Arial" w:hAnsi="Arial"/>
          <w:sz w:val="18"/>
          <w:szCs w:val="18"/>
          <w:color w:val="auto"/>
        </w:rPr>
      </w:pPr>
      <w:r>
        <w:rPr>
          <w:rFonts w:ascii="Arial" w:cs="Arial" w:eastAsia="Arial" w:hAnsi="Arial"/>
          <w:sz w:val="18"/>
          <w:szCs w:val="18"/>
          <w:color w:val="auto"/>
        </w:rPr>
        <w:t>a description of the Issue of which the Uncertificated Security is a part;</w:t>
      </w:r>
    </w:p>
    <w:p>
      <w:pPr>
        <w:sectPr>
          <w:pgSz w:w="11900" w:h="16838" w:orient="portrait"/>
          <w:cols w:equalWidth="0" w:num="1">
            <w:col w:w="11392"/>
          </w:cols>
          <w:pgMar w:left="248" w:top="280" w:right="259" w:bottom="1440" w:gutter="0" w:footer="0" w:header="0"/>
        </w:sectPr>
      </w:pPr>
    </w:p>
    <w:bookmarkStart w:id="15" w:name="page16"/>
    <w:bookmarkEnd w:id="15"/>
    <w:p>
      <w:pPr>
        <w:ind w:left="1132" w:hanging="565"/>
        <w:spacing w:after="0"/>
        <w:tabs>
          <w:tab w:leader="none" w:pos="1132" w:val="left"/>
        </w:tabs>
        <w:numPr>
          <w:ilvl w:val="1"/>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number of shares or units;</w:t>
      </w:r>
    </w:p>
    <w:p>
      <w:pPr>
        <w:spacing w:after="0" w:line="90" w:lineRule="exact"/>
        <w:rPr>
          <w:rFonts w:ascii="Arial" w:cs="Arial" w:eastAsia="Arial" w:hAnsi="Arial"/>
          <w:sz w:val="18"/>
          <w:szCs w:val="18"/>
          <w:color w:val="auto"/>
        </w:rPr>
      </w:pPr>
    </w:p>
    <w:p>
      <w:pPr>
        <w:ind w:left="1812" w:hanging="678"/>
        <w:spacing w:after="0"/>
        <w:tabs>
          <w:tab w:leader="none" w:pos="1812" w:val="left"/>
        </w:tabs>
        <w:numPr>
          <w:ilvl w:val="2"/>
          <w:numId w:val="27"/>
        </w:numPr>
        <w:rPr>
          <w:rFonts w:ascii="Arial" w:cs="Arial" w:eastAsia="Arial" w:hAnsi="Arial"/>
          <w:sz w:val="18"/>
          <w:szCs w:val="18"/>
          <w:color w:val="auto"/>
        </w:rPr>
      </w:pPr>
      <w:r>
        <w:rPr>
          <w:rFonts w:ascii="Arial" w:cs="Arial" w:eastAsia="Arial" w:hAnsi="Arial"/>
          <w:sz w:val="18"/>
          <w:szCs w:val="18"/>
          <w:color w:val="auto"/>
        </w:rPr>
        <w:t>transferred to the registered owner;</w:t>
      </w:r>
    </w:p>
    <w:p>
      <w:pPr>
        <w:spacing w:after="0" w:line="90" w:lineRule="exact"/>
        <w:rPr>
          <w:rFonts w:ascii="Arial" w:cs="Arial" w:eastAsia="Arial" w:hAnsi="Arial"/>
          <w:sz w:val="18"/>
          <w:szCs w:val="18"/>
          <w:color w:val="auto"/>
        </w:rPr>
      </w:pPr>
    </w:p>
    <w:p>
      <w:pPr>
        <w:ind w:left="1812" w:hanging="678"/>
        <w:spacing w:after="0"/>
        <w:tabs>
          <w:tab w:leader="none" w:pos="1812" w:val="left"/>
        </w:tabs>
        <w:numPr>
          <w:ilvl w:val="2"/>
          <w:numId w:val="27"/>
        </w:numPr>
        <w:rPr>
          <w:rFonts w:ascii="Arial" w:cs="Arial" w:eastAsia="Arial" w:hAnsi="Arial"/>
          <w:sz w:val="18"/>
          <w:szCs w:val="18"/>
          <w:color w:val="auto"/>
        </w:rPr>
      </w:pPr>
      <w:r>
        <w:rPr>
          <w:rFonts w:ascii="Arial" w:cs="Arial" w:eastAsia="Arial" w:hAnsi="Arial"/>
          <w:sz w:val="18"/>
          <w:szCs w:val="18"/>
          <w:color w:val="auto"/>
        </w:rPr>
        <w:t>pledged by the registered owner to the registered pledgee;</w:t>
      </w:r>
    </w:p>
    <w:p>
      <w:pPr>
        <w:spacing w:after="0" w:line="90" w:lineRule="exact"/>
        <w:rPr>
          <w:rFonts w:ascii="Arial" w:cs="Arial" w:eastAsia="Arial" w:hAnsi="Arial"/>
          <w:sz w:val="18"/>
          <w:szCs w:val="18"/>
          <w:color w:val="auto"/>
        </w:rPr>
      </w:pPr>
    </w:p>
    <w:p>
      <w:pPr>
        <w:ind w:left="1812" w:hanging="678"/>
        <w:spacing w:after="0"/>
        <w:tabs>
          <w:tab w:leader="none" w:pos="1812" w:val="left"/>
        </w:tabs>
        <w:numPr>
          <w:ilvl w:val="2"/>
          <w:numId w:val="27"/>
        </w:numPr>
        <w:rPr>
          <w:rFonts w:ascii="Arial" w:cs="Arial" w:eastAsia="Arial" w:hAnsi="Arial"/>
          <w:sz w:val="18"/>
          <w:szCs w:val="18"/>
          <w:color w:val="auto"/>
        </w:rPr>
      </w:pPr>
      <w:r>
        <w:rPr>
          <w:rFonts w:ascii="Arial" w:cs="Arial" w:eastAsia="Arial" w:hAnsi="Arial"/>
          <w:sz w:val="18"/>
          <w:szCs w:val="18"/>
          <w:color w:val="auto"/>
        </w:rPr>
        <w:t>released from pledge by the registered pledgee;</w:t>
      </w:r>
    </w:p>
    <w:p>
      <w:pPr>
        <w:spacing w:after="0" w:line="90" w:lineRule="exact"/>
        <w:rPr>
          <w:rFonts w:ascii="Arial" w:cs="Arial" w:eastAsia="Arial" w:hAnsi="Arial"/>
          <w:sz w:val="18"/>
          <w:szCs w:val="18"/>
          <w:color w:val="auto"/>
        </w:rPr>
      </w:pPr>
    </w:p>
    <w:p>
      <w:pPr>
        <w:ind w:left="1812" w:hanging="678"/>
        <w:spacing w:after="0"/>
        <w:tabs>
          <w:tab w:leader="none" w:pos="1812" w:val="left"/>
        </w:tabs>
        <w:numPr>
          <w:ilvl w:val="2"/>
          <w:numId w:val="27"/>
        </w:numPr>
        <w:rPr>
          <w:rFonts w:ascii="Arial" w:cs="Arial" w:eastAsia="Arial" w:hAnsi="Arial"/>
          <w:sz w:val="18"/>
          <w:szCs w:val="18"/>
          <w:color w:val="auto"/>
        </w:rPr>
      </w:pPr>
      <w:r>
        <w:rPr>
          <w:rFonts w:ascii="Arial" w:cs="Arial" w:eastAsia="Arial" w:hAnsi="Arial"/>
          <w:sz w:val="18"/>
          <w:szCs w:val="18"/>
          <w:color w:val="auto"/>
        </w:rPr>
        <w:t>registered in the name of the registered owner on the date of the statement; or</w:t>
      </w:r>
    </w:p>
    <w:p>
      <w:pPr>
        <w:spacing w:after="0" w:line="90" w:lineRule="exact"/>
        <w:rPr>
          <w:rFonts w:ascii="Arial" w:cs="Arial" w:eastAsia="Arial" w:hAnsi="Arial"/>
          <w:sz w:val="18"/>
          <w:szCs w:val="18"/>
          <w:color w:val="auto"/>
        </w:rPr>
      </w:pPr>
    </w:p>
    <w:p>
      <w:pPr>
        <w:ind w:left="1812" w:hanging="678"/>
        <w:spacing w:after="0"/>
        <w:tabs>
          <w:tab w:leader="none" w:pos="1812" w:val="left"/>
        </w:tabs>
        <w:numPr>
          <w:ilvl w:val="2"/>
          <w:numId w:val="27"/>
        </w:numPr>
        <w:rPr>
          <w:rFonts w:ascii="Arial" w:cs="Arial" w:eastAsia="Arial" w:hAnsi="Arial"/>
          <w:sz w:val="18"/>
          <w:szCs w:val="18"/>
          <w:color w:val="auto"/>
        </w:rPr>
      </w:pPr>
      <w:r>
        <w:rPr>
          <w:rFonts w:ascii="Arial" w:cs="Arial" w:eastAsia="Arial" w:hAnsi="Arial"/>
          <w:sz w:val="18"/>
          <w:szCs w:val="18"/>
          <w:color w:val="auto"/>
        </w:rPr>
        <w:t>subject to pledge on the date of the statement;</w:t>
      </w:r>
    </w:p>
    <w:p>
      <w:pPr>
        <w:spacing w:after="0" w:line="90" w:lineRule="exact"/>
        <w:rPr>
          <w:rFonts w:ascii="Arial" w:cs="Arial" w:eastAsia="Arial" w:hAnsi="Arial"/>
          <w:sz w:val="18"/>
          <w:szCs w:val="18"/>
          <w:color w:val="auto"/>
        </w:rPr>
      </w:pPr>
    </w:p>
    <w:p>
      <w:pPr>
        <w:ind w:left="1132" w:hanging="565"/>
        <w:spacing w:after="0"/>
        <w:tabs>
          <w:tab w:leader="none" w:pos="1132"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name and address of the registered owner and registered pledgee;</w:t>
      </w:r>
    </w:p>
    <w:p>
      <w:pPr>
        <w:spacing w:after="0" w:line="90" w:lineRule="exact"/>
        <w:rPr>
          <w:rFonts w:ascii="Arial" w:cs="Arial" w:eastAsia="Arial" w:hAnsi="Arial"/>
          <w:sz w:val="18"/>
          <w:szCs w:val="18"/>
          <w:color w:val="auto"/>
        </w:rPr>
      </w:pPr>
    </w:p>
    <w:p>
      <w:pPr>
        <w:ind w:left="1132" w:right="580" w:hanging="565"/>
        <w:spacing w:after="0" w:line="268" w:lineRule="auto"/>
        <w:tabs>
          <w:tab w:leader="none" w:pos="1132" w:val="left"/>
        </w:tabs>
        <w:numPr>
          <w:ilvl w:val="1"/>
          <w:numId w:val="27"/>
        </w:numPr>
        <w:rPr>
          <w:rFonts w:ascii="Arial" w:cs="Arial" w:eastAsia="Arial" w:hAnsi="Arial"/>
          <w:sz w:val="18"/>
          <w:szCs w:val="18"/>
          <w:color w:val="auto"/>
        </w:rPr>
      </w:pPr>
      <w:r>
        <w:rPr>
          <w:rFonts w:ascii="Arial" w:cs="Arial" w:eastAsia="Arial" w:hAnsi="Arial"/>
          <w:sz w:val="18"/>
          <w:szCs w:val="18"/>
          <w:color w:val="auto"/>
        </w:rPr>
        <w:t>a notation of any liens and restrictions of the issuer and any adverse claims to which the Uncertificated Security is or may be subject or a statement that there are none of those liens, restrictions or adverse claims; and</w:t>
      </w:r>
    </w:p>
    <w:p>
      <w:pPr>
        <w:spacing w:after="0" w:line="50" w:lineRule="exact"/>
        <w:rPr>
          <w:rFonts w:ascii="Arial" w:cs="Arial" w:eastAsia="Arial" w:hAnsi="Arial"/>
          <w:sz w:val="18"/>
          <w:szCs w:val="18"/>
          <w:color w:val="auto"/>
        </w:rPr>
      </w:pPr>
    </w:p>
    <w:p>
      <w:pPr>
        <w:ind w:left="1132" w:hanging="565"/>
        <w:spacing w:after="0"/>
        <w:tabs>
          <w:tab w:leader="none" w:pos="1132"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date:</w:t>
      </w:r>
    </w:p>
    <w:p>
      <w:pPr>
        <w:spacing w:after="0" w:line="90" w:lineRule="exact"/>
        <w:rPr>
          <w:rFonts w:ascii="Arial" w:cs="Arial" w:eastAsia="Arial" w:hAnsi="Arial"/>
          <w:sz w:val="18"/>
          <w:szCs w:val="18"/>
          <w:color w:val="auto"/>
        </w:rPr>
      </w:pPr>
    </w:p>
    <w:p>
      <w:pPr>
        <w:ind w:left="1812" w:hanging="678"/>
        <w:spacing w:after="0"/>
        <w:tabs>
          <w:tab w:leader="none" w:pos="1812" w:val="left"/>
        </w:tabs>
        <w:numPr>
          <w:ilvl w:val="2"/>
          <w:numId w:val="27"/>
        </w:numPr>
        <w:rPr>
          <w:rFonts w:ascii="Arial" w:cs="Arial" w:eastAsia="Arial" w:hAnsi="Arial"/>
          <w:sz w:val="18"/>
          <w:szCs w:val="18"/>
          <w:color w:val="auto"/>
        </w:rPr>
      </w:pPr>
      <w:r>
        <w:rPr>
          <w:rFonts w:ascii="Arial" w:cs="Arial" w:eastAsia="Arial" w:hAnsi="Arial"/>
          <w:sz w:val="18"/>
          <w:szCs w:val="18"/>
          <w:color w:val="auto"/>
        </w:rPr>
        <w:t>the transfer of the shares or units to the new registered owner of the hares or units was registered;</w:t>
      </w:r>
    </w:p>
    <w:p>
      <w:pPr>
        <w:spacing w:after="0" w:line="90" w:lineRule="exact"/>
        <w:rPr>
          <w:rFonts w:ascii="Arial" w:cs="Arial" w:eastAsia="Arial" w:hAnsi="Arial"/>
          <w:sz w:val="18"/>
          <w:szCs w:val="18"/>
          <w:color w:val="auto"/>
        </w:rPr>
      </w:pPr>
    </w:p>
    <w:p>
      <w:pPr>
        <w:ind w:left="1812" w:hanging="678"/>
        <w:spacing w:after="0"/>
        <w:tabs>
          <w:tab w:leader="none" w:pos="1812" w:val="left"/>
        </w:tabs>
        <w:numPr>
          <w:ilvl w:val="2"/>
          <w:numId w:val="27"/>
        </w:numPr>
        <w:rPr>
          <w:rFonts w:ascii="Arial" w:cs="Arial" w:eastAsia="Arial" w:hAnsi="Arial"/>
          <w:sz w:val="18"/>
          <w:szCs w:val="18"/>
          <w:color w:val="auto"/>
        </w:rPr>
      </w:pPr>
      <w:r>
        <w:rPr>
          <w:rFonts w:ascii="Arial" w:cs="Arial" w:eastAsia="Arial" w:hAnsi="Arial"/>
          <w:sz w:val="18"/>
          <w:szCs w:val="18"/>
          <w:color w:val="auto"/>
        </w:rPr>
        <w:t>the pledge of the registered pledgee was registered, or</w:t>
      </w:r>
    </w:p>
    <w:p>
      <w:pPr>
        <w:spacing w:after="0" w:line="90" w:lineRule="exact"/>
        <w:rPr>
          <w:rFonts w:ascii="Arial" w:cs="Arial" w:eastAsia="Arial" w:hAnsi="Arial"/>
          <w:sz w:val="18"/>
          <w:szCs w:val="18"/>
          <w:color w:val="auto"/>
        </w:rPr>
      </w:pPr>
    </w:p>
    <w:p>
      <w:pPr>
        <w:ind w:left="1812" w:hanging="678"/>
        <w:spacing w:after="0"/>
        <w:tabs>
          <w:tab w:leader="none" w:pos="1812" w:val="left"/>
        </w:tabs>
        <w:numPr>
          <w:ilvl w:val="2"/>
          <w:numId w:val="27"/>
        </w:numPr>
        <w:rPr>
          <w:rFonts w:ascii="Arial" w:cs="Arial" w:eastAsia="Arial" w:hAnsi="Arial"/>
          <w:sz w:val="18"/>
          <w:szCs w:val="18"/>
          <w:color w:val="auto"/>
        </w:rPr>
      </w:pPr>
      <w:r>
        <w:rPr>
          <w:rFonts w:ascii="Arial" w:cs="Arial" w:eastAsia="Arial" w:hAnsi="Arial"/>
          <w:sz w:val="18"/>
          <w:szCs w:val="18"/>
          <w:color w:val="auto"/>
        </w:rPr>
        <w:t>of the statement, if it is a periodic or annual statement.</w:t>
      </w:r>
    </w:p>
    <w:p>
      <w:pPr>
        <w:spacing w:after="0" w:line="90" w:lineRule="exact"/>
        <w:rPr>
          <w:rFonts w:ascii="Arial" w:cs="Arial" w:eastAsia="Arial" w:hAnsi="Arial"/>
          <w:sz w:val="18"/>
          <w:szCs w:val="18"/>
          <w:color w:val="auto"/>
        </w:rPr>
      </w:pPr>
    </w:p>
    <w:p>
      <w:pPr>
        <w:ind w:left="572" w:hanging="572"/>
        <w:spacing w:after="0" w:line="268" w:lineRule="auto"/>
        <w:tabs>
          <w:tab w:leader="none" w:pos="572"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Transportation Company means any organization which provides its own or leased vehicles for transportation or which provides freight forwarding or air express services.</w:t>
      </w:r>
    </w:p>
    <w:p>
      <w:pPr>
        <w:spacing w:after="0" w:line="50" w:lineRule="exact"/>
        <w:rPr>
          <w:rFonts w:ascii="Arial" w:cs="Arial" w:eastAsia="Arial" w:hAnsi="Arial"/>
          <w:sz w:val="18"/>
          <w:szCs w:val="18"/>
          <w:color w:val="auto"/>
        </w:rPr>
      </w:pPr>
    </w:p>
    <w:p>
      <w:pPr>
        <w:ind w:left="572" w:hanging="572"/>
        <w:spacing w:after="0"/>
        <w:tabs>
          <w:tab w:leader="none" w:pos="572" w:val="left"/>
        </w:tabs>
        <w:numPr>
          <w:ilvl w:val="0"/>
          <w:numId w:val="28"/>
        </w:numPr>
        <w:rPr>
          <w:rFonts w:ascii="Arial" w:cs="Arial" w:eastAsia="Arial" w:hAnsi="Arial"/>
          <w:sz w:val="16"/>
          <w:szCs w:val="16"/>
          <w:color w:val="auto"/>
        </w:rPr>
      </w:pPr>
      <w:r>
        <w:rPr>
          <w:rFonts w:ascii="Arial" w:cs="Arial" w:eastAsia="Arial" w:hAnsi="Arial"/>
          <w:sz w:val="16"/>
          <w:szCs w:val="16"/>
          <w:color w:val="auto"/>
        </w:rPr>
        <w:t>Uncertificated Security means a share, participation or other interest in property of or an enterprise of the issuer or an obligation of the issuer, which is:</w:t>
      </w:r>
    </w:p>
    <w:p>
      <w:pPr>
        <w:spacing w:after="0" w:line="113" w:lineRule="exact"/>
        <w:rPr>
          <w:rFonts w:ascii="Arial" w:cs="Arial" w:eastAsia="Arial" w:hAnsi="Arial"/>
          <w:sz w:val="16"/>
          <w:szCs w:val="16"/>
          <w:color w:val="auto"/>
        </w:rPr>
      </w:pPr>
    </w:p>
    <w:p>
      <w:pPr>
        <w:ind w:left="1132" w:hanging="565"/>
        <w:spacing w:after="0"/>
        <w:tabs>
          <w:tab w:leader="none" w:pos="1132" w:val="left"/>
        </w:tabs>
        <w:numPr>
          <w:ilvl w:val="1"/>
          <w:numId w:val="28"/>
        </w:numPr>
        <w:rPr>
          <w:rFonts w:ascii="Arial" w:cs="Arial" w:eastAsia="Arial" w:hAnsi="Arial"/>
          <w:sz w:val="16"/>
          <w:szCs w:val="16"/>
          <w:color w:val="auto"/>
        </w:rPr>
      </w:pPr>
      <w:r>
        <w:rPr>
          <w:rFonts w:ascii="Arial" w:cs="Arial" w:eastAsia="Arial" w:hAnsi="Arial"/>
          <w:sz w:val="16"/>
          <w:szCs w:val="16"/>
          <w:color w:val="auto"/>
        </w:rPr>
        <w:t>not represented by an instrument and the transfer of which is registered upon books maintained for that purpose by or on behalf of the issuer;</w:t>
      </w:r>
    </w:p>
    <w:p>
      <w:pPr>
        <w:spacing w:after="0" w:line="113" w:lineRule="exact"/>
        <w:rPr>
          <w:rFonts w:ascii="Arial" w:cs="Arial" w:eastAsia="Arial" w:hAnsi="Arial"/>
          <w:sz w:val="16"/>
          <w:szCs w:val="16"/>
          <w:color w:val="auto"/>
        </w:rPr>
      </w:pPr>
    </w:p>
    <w:p>
      <w:pPr>
        <w:ind w:left="1132" w:hanging="565"/>
        <w:spacing w:after="0"/>
        <w:tabs>
          <w:tab w:leader="none" w:pos="1132" w:val="left"/>
        </w:tabs>
        <w:numPr>
          <w:ilvl w:val="1"/>
          <w:numId w:val="28"/>
        </w:numPr>
        <w:rPr>
          <w:rFonts w:ascii="Arial" w:cs="Arial" w:eastAsia="Arial" w:hAnsi="Arial"/>
          <w:sz w:val="18"/>
          <w:szCs w:val="18"/>
          <w:color w:val="auto"/>
        </w:rPr>
      </w:pPr>
      <w:r>
        <w:rPr>
          <w:rFonts w:ascii="Arial" w:cs="Arial" w:eastAsia="Arial" w:hAnsi="Arial"/>
          <w:sz w:val="18"/>
          <w:szCs w:val="18"/>
          <w:color w:val="auto"/>
        </w:rPr>
        <w:t>of a type commonly dealt in on securities exchanges or markets; and</w:t>
      </w:r>
    </w:p>
    <w:p>
      <w:pPr>
        <w:spacing w:after="0" w:line="90" w:lineRule="exact"/>
        <w:rPr>
          <w:rFonts w:ascii="Arial" w:cs="Arial" w:eastAsia="Arial" w:hAnsi="Arial"/>
          <w:sz w:val="18"/>
          <w:szCs w:val="18"/>
          <w:color w:val="auto"/>
        </w:rPr>
      </w:pPr>
    </w:p>
    <w:p>
      <w:pPr>
        <w:ind w:left="1132" w:hanging="565"/>
        <w:spacing w:after="0"/>
        <w:tabs>
          <w:tab w:leader="none" w:pos="1132" w:val="left"/>
        </w:tabs>
        <w:numPr>
          <w:ilvl w:val="1"/>
          <w:numId w:val="28"/>
        </w:numPr>
        <w:rPr>
          <w:rFonts w:ascii="Arial" w:cs="Arial" w:eastAsia="Arial" w:hAnsi="Arial"/>
          <w:sz w:val="18"/>
          <w:szCs w:val="18"/>
          <w:color w:val="auto"/>
        </w:rPr>
      </w:pPr>
      <w:r>
        <w:rPr>
          <w:rFonts w:ascii="Arial" w:cs="Arial" w:eastAsia="Arial" w:hAnsi="Arial"/>
          <w:sz w:val="18"/>
          <w:szCs w:val="18"/>
          <w:color w:val="auto"/>
        </w:rPr>
        <w:t>either one of a class or series or by its terms divisible into a class or series of shares, participators, interests or obligations.</w:t>
      </w:r>
    </w:p>
    <w:p>
      <w:pPr>
        <w:spacing w:after="0" w:line="90" w:lineRule="exact"/>
        <w:rPr>
          <w:rFonts w:ascii="Arial" w:cs="Arial" w:eastAsia="Arial" w:hAnsi="Arial"/>
          <w:sz w:val="18"/>
          <w:szCs w:val="18"/>
          <w:color w:val="auto"/>
        </w:rPr>
      </w:pPr>
    </w:p>
    <w:p>
      <w:pPr>
        <w:ind w:left="572" w:right="80" w:hanging="572"/>
        <w:spacing w:after="0" w:line="268" w:lineRule="auto"/>
        <w:tabs>
          <w:tab w:leader="none" w:pos="572"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Withdrawal Order means a non-negotiable instrument, other than an instruction, signed by a customer of the Insured authorizing the Insured to debit the customer’s account in the amount of funds stated therein.</w:t>
      </w:r>
    </w:p>
    <w:p>
      <w:pPr>
        <w:sectPr>
          <w:pgSz w:w="11900" w:h="16838" w:orient="portrait"/>
          <w:cols w:equalWidth="0" w:num="1">
            <w:col w:w="11332"/>
          </w:cols>
          <w:pgMar w:left="248" w:top="280" w:right="319" w:bottom="1440" w:gutter="0" w:footer="0" w:header="0"/>
        </w:sectPr>
      </w:pPr>
    </w:p>
    <w:bookmarkStart w:id="16" w:name="page17"/>
    <w:bookmarkEnd w:id="16"/>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EXCLUSIONS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Section 2. This bond does not cover:</w:t>
      </w:r>
    </w:p>
    <w:p>
      <w:pPr>
        <w:spacing w:after="0" w:line="90" w:lineRule="exact"/>
        <w:rPr>
          <w:sz w:val="20"/>
          <w:szCs w:val="20"/>
          <w:color w:val="auto"/>
        </w:rPr>
      </w:pPr>
    </w:p>
    <w:p>
      <w:pPr>
        <w:ind w:left="580" w:hanging="572"/>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loss resulting directly or indirectly from forgery or alteration, except when covered under Insuring Agreements (A), (D) or (E);</w:t>
      </w:r>
    </w:p>
    <w:p>
      <w:pPr>
        <w:spacing w:after="0" w:line="90" w:lineRule="exact"/>
        <w:rPr>
          <w:rFonts w:ascii="Arial" w:cs="Arial" w:eastAsia="Arial" w:hAnsi="Arial"/>
          <w:sz w:val="18"/>
          <w:szCs w:val="18"/>
          <w:color w:val="auto"/>
        </w:rPr>
      </w:pPr>
    </w:p>
    <w:p>
      <w:pPr>
        <w:ind w:left="580" w:right="80" w:hanging="572"/>
        <w:spacing w:after="0" w:line="256" w:lineRule="auto"/>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loss due to riot or civil commotion outside the United States of America and Canada; or loss due to military, naval or usurped power, war or insurrection unless such loss occurs in transit in the circumstances recited in Insuring Agreement (C), and unless, when such transit was initiated, there was no knowledge of such riot, civil commotion, military, naval or usurped power, war or insurrection on the part of any person acting for the Insured in initiating such transit;</w:t>
      </w:r>
    </w:p>
    <w:p>
      <w:pPr>
        <w:spacing w:after="0" w:line="62" w:lineRule="exact"/>
        <w:rPr>
          <w:rFonts w:ascii="Arial" w:cs="Arial" w:eastAsia="Arial" w:hAnsi="Arial"/>
          <w:sz w:val="18"/>
          <w:szCs w:val="18"/>
          <w:color w:val="auto"/>
        </w:rPr>
      </w:pPr>
    </w:p>
    <w:p>
      <w:pPr>
        <w:ind w:left="580" w:right="100" w:hanging="572"/>
        <w:spacing w:after="0" w:line="268" w:lineRule="auto"/>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loss resulting directly or indirectly from the effects of nuclear fission or fusion or radioactivity; provided, however, that this paragraph shall not apply to loss resulting from industrial uses of nuclear energy;</w:t>
      </w:r>
    </w:p>
    <w:p>
      <w:pPr>
        <w:spacing w:after="0" w:line="50" w:lineRule="exact"/>
        <w:rPr>
          <w:rFonts w:ascii="Arial" w:cs="Arial" w:eastAsia="Arial" w:hAnsi="Arial"/>
          <w:sz w:val="18"/>
          <w:szCs w:val="18"/>
          <w:color w:val="auto"/>
        </w:rPr>
      </w:pPr>
    </w:p>
    <w:p>
      <w:pPr>
        <w:jc w:val="both"/>
        <w:ind w:left="580" w:right="480" w:hanging="572"/>
        <w:spacing w:after="0" w:line="306" w:lineRule="auto"/>
        <w:tabs>
          <w:tab w:leader="none" w:pos="5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loss resulting from any act or acts of any person who is a member of the Board of Directors of the Insured or a member of any equivalent body by whatsoever name known unless such person is also an Employee or an elected official of the Insured in some other capacity, nor, in any event, loss resulting from the act or acts of any person while acting in the capacity of a member of such Board or equivalent body;</w:t>
      </w:r>
    </w:p>
    <w:p>
      <w:pPr>
        <w:spacing w:after="0" w:line="25" w:lineRule="exact"/>
        <w:rPr>
          <w:rFonts w:ascii="Arial" w:cs="Arial" w:eastAsia="Arial" w:hAnsi="Arial"/>
          <w:sz w:val="16"/>
          <w:szCs w:val="16"/>
          <w:color w:val="auto"/>
        </w:rPr>
      </w:pPr>
    </w:p>
    <w:p>
      <w:pPr>
        <w:ind w:left="580" w:hanging="572"/>
        <w:spacing w:after="0" w:line="256" w:lineRule="auto"/>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loss resulting directly or indirectly from the complete or partial nonpayment of, or default upon, any loan or transaction involving the Insured as a lender or borrower, or extension of credit, including the purchase, discounting or other acquisition of false or genuine accounts, invoices, notes, agreements or Evidences of Debt, whether such loan, transaction or extension was procured in good faith or through trick, artifice, fraud or false pretenses; except when covered under Insuring Agreements (A), (D) or (E);</w:t>
      </w:r>
    </w:p>
    <w:p>
      <w:pPr>
        <w:spacing w:after="0" w:line="62" w:lineRule="exact"/>
        <w:rPr>
          <w:rFonts w:ascii="Arial" w:cs="Arial" w:eastAsia="Arial" w:hAnsi="Arial"/>
          <w:sz w:val="18"/>
          <w:szCs w:val="18"/>
          <w:color w:val="auto"/>
        </w:rPr>
      </w:pPr>
    </w:p>
    <w:p>
      <w:pPr>
        <w:ind w:left="580" w:hanging="572"/>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loss resulting from any violation by the Insured or by any Employee</w:t>
      </w:r>
    </w:p>
    <w:p>
      <w:pPr>
        <w:spacing w:after="0" w:line="90" w:lineRule="exact"/>
        <w:rPr>
          <w:rFonts w:ascii="Arial" w:cs="Arial" w:eastAsia="Arial" w:hAnsi="Arial"/>
          <w:sz w:val="18"/>
          <w:szCs w:val="18"/>
          <w:color w:val="auto"/>
        </w:rPr>
      </w:pPr>
    </w:p>
    <w:p>
      <w:pPr>
        <w:ind w:left="1140" w:right="180" w:hanging="565"/>
        <w:spacing w:after="0" w:line="268" w:lineRule="auto"/>
        <w:tabs>
          <w:tab w:leader="none" w:pos="11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of law regulating (i) the issuance, purchase or sale of securities, (ii) securities transactions upon security exchanges or over the counter market, (iii) investment companies, or (iv) investment advisers, or</w:t>
      </w:r>
    </w:p>
    <w:p>
      <w:pPr>
        <w:spacing w:after="0" w:line="50" w:lineRule="exact"/>
        <w:rPr>
          <w:rFonts w:ascii="Arial" w:cs="Arial" w:eastAsia="Arial" w:hAnsi="Arial"/>
          <w:sz w:val="18"/>
          <w:szCs w:val="18"/>
          <w:color w:val="auto"/>
        </w:rPr>
      </w:pPr>
    </w:p>
    <w:p>
      <w:pPr>
        <w:ind w:left="1140" w:right="60" w:hanging="565"/>
        <w:spacing w:after="0" w:line="259" w:lineRule="auto"/>
        <w:tabs>
          <w:tab w:leader="none" w:pos="11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of any rule or regulation made pursuant to any such law, unless it is established by the Insured that the act or acts which caused the said loss involved fraudulent or dishonest conduct which would have caused a loss to the Insured in a similar amount in the absence of such laws, rules or regulations;</w:t>
      </w:r>
    </w:p>
    <w:p>
      <w:pPr>
        <w:sectPr>
          <w:pgSz w:w="11900" w:h="16838" w:orient="portrait"/>
          <w:cols w:equalWidth="0" w:num="1">
            <w:col w:w="11360"/>
          </w:cols>
          <w:pgMar w:left="240" w:top="280" w:right="299" w:bottom="1440" w:gutter="0" w:footer="0" w:header="0"/>
        </w:sectPr>
      </w:pPr>
    </w:p>
    <w:bookmarkStart w:id="17" w:name="page18"/>
    <w:bookmarkEnd w:id="17"/>
    <w:p>
      <w:pPr>
        <w:ind w:left="572" w:right="60" w:hanging="572"/>
        <w:spacing w:after="0" w:line="332" w:lineRule="auto"/>
        <w:tabs>
          <w:tab w:leader="none" w:pos="572" w:val="left"/>
        </w:tabs>
        <w:numPr>
          <w:ilvl w:val="0"/>
          <w:numId w:val="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loss resulting directly or indirectly from the failure of a financial or depository institution, or its receiver or liquidator, to pay or deliver, on demand of the Insured, funds or Property of the Insured held by it in any capacity, except when covered under Insuring Agreements (A) or (B) (1) (a);</w:t>
      </w:r>
    </w:p>
    <w:p>
      <w:pPr>
        <w:spacing w:after="0" w:line="4" w:lineRule="exact"/>
        <w:rPr>
          <w:rFonts w:ascii="Arial" w:cs="Arial" w:eastAsia="Arial" w:hAnsi="Arial"/>
          <w:sz w:val="16"/>
          <w:szCs w:val="16"/>
          <w:color w:val="auto"/>
        </w:rPr>
      </w:pPr>
    </w:p>
    <w:p>
      <w:pPr>
        <w:ind w:left="572" w:right="300" w:hanging="572"/>
        <w:spacing w:after="0" w:line="268" w:lineRule="auto"/>
        <w:tabs>
          <w:tab w:leader="none" w:pos="572"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loss caused by an Employee, except when covered under Insuring Agreement (A) or when covered under Insuring Agreement (B) or (C) and resulting directly from misplacement, mysterious unexplainable disappearance or destruction of or damage to Property;</w:t>
      </w:r>
    </w:p>
    <w:p>
      <w:pPr>
        <w:spacing w:after="0" w:line="50" w:lineRule="exact"/>
        <w:rPr>
          <w:rFonts w:ascii="Arial" w:cs="Arial" w:eastAsia="Arial" w:hAnsi="Arial"/>
          <w:sz w:val="18"/>
          <w:szCs w:val="18"/>
          <w:color w:val="auto"/>
        </w:rPr>
      </w:pPr>
    </w:p>
    <w:p>
      <w:pPr>
        <w:ind w:left="572" w:right="260" w:hanging="572"/>
        <w:spacing w:after="0" w:line="259" w:lineRule="auto"/>
        <w:tabs>
          <w:tab w:leader="none" w:pos="572"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loss resulting directly or indirectly from transactions in a customer’s account, whether authorized or unauthorized, except the unlawful withdrawal and conversion of Money, securities or precious metals, directly from a customer’s account by an Employee provided such unlawful withdrawal and conversion is covered under Insuring Agreement (A);</w:t>
      </w:r>
    </w:p>
    <w:p>
      <w:pPr>
        <w:spacing w:after="0" w:line="59" w:lineRule="exact"/>
        <w:rPr>
          <w:rFonts w:ascii="Arial" w:cs="Arial" w:eastAsia="Arial" w:hAnsi="Arial"/>
          <w:sz w:val="18"/>
          <w:szCs w:val="18"/>
          <w:color w:val="auto"/>
        </w:rPr>
      </w:pPr>
    </w:p>
    <w:p>
      <w:pPr>
        <w:ind w:left="572" w:right="80" w:hanging="572"/>
        <w:spacing w:after="0" w:line="256" w:lineRule="auto"/>
        <w:tabs>
          <w:tab w:leader="none" w:pos="572" w:val="left"/>
        </w:tabs>
        <w:numPr>
          <w:ilvl w:val="0"/>
          <w:numId w:val="30"/>
        </w:numPr>
        <w:rPr>
          <w:rFonts w:ascii="Arial" w:cs="Arial" w:eastAsia="Arial" w:hAnsi="Arial"/>
          <w:sz w:val="18"/>
          <w:szCs w:val="18"/>
          <w:color w:val="auto"/>
        </w:rPr>
      </w:pPr>
      <w:r>
        <w:rPr>
          <w:rFonts w:ascii="Arial" w:cs="Arial" w:eastAsia="Arial" w:hAnsi="Arial"/>
          <w:sz w:val="18"/>
          <w:szCs w:val="18"/>
          <w:color w:val="auto"/>
        </w:rPr>
        <w:t>damages resulting from any civil, criminal or other legal proceeding in which the Insured is alleged to have engaged in racketeering activity except when the Insured establishes that the act or acts giving rise to such damages were committed by an Employee under circumstances which result directly in a loss to the Insured covered by Insuring Agreement (A). For the purposes of this exclusion, “racketeering activity” is defined in 18 United States Code 1961 et seq., as amended;</w:t>
      </w:r>
    </w:p>
    <w:p>
      <w:pPr>
        <w:spacing w:after="0" w:line="62" w:lineRule="exact"/>
        <w:rPr>
          <w:rFonts w:ascii="Arial" w:cs="Arial" w:eastAsia="Arial" w:hAnsi="Arial"/>
          <w:sz w:val="18"/>
          <w:szCs w:val="18"/>
          <w:color w:val="auto"/>
        </w:rPr>
      </w:pPr>
    </w:p>
    <w:p>
      <w:pPr>
        <w:ind w:left="572" w:right="220" w:hanging="572"/>
        <w:spacing w:after="0" w:line="268" w:lineRule="auto"/>
        <w:tabs>
          <w:tab w:leader="none" w:pos="572"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loss resulting directly or indirectly from the use or purported use of credit, debit, charge, access, convenience, identification, cash management or other cards</w:t>
      </w:r>
    </w:p>
    <w:p>
      <w:pPr>
        <w:spacing w:after="0" w:line="50" w:lineRule="exact"/>
        <w:rPr>
          <w:rFonts w:ascii="Arial" w:cs="Arial" w:eastAsia="Arial" w:hAnsi="Arial"/>
          <w:sz w:val="18"/>
          <w:szCs w:val="18"/>
          <w:color w:val="auto"/>
        </w:rPr>
      </w:pPr>
    </w:p>
    <w:p>
      <w:pPr>
        <w:ind w:left="1132" w:hanging="565"/>
        <w:spacing w:after="0"/>
        <w:tabs>
          <w:tab w:leader="none" w:pos="1132" w:val="left"/>
        </w:tabs>
        <w:numPr>
          <w:ilvl w:val="1"/>
          <w:numId w:val="30"/>
        </w:numPr>
        <w:rPr>
          <w:rFonts w:ascii="Arial" w:cs="Arial" w:eastAsia="Arial" w:hAnsi="Arial"/>
          <w:sz w:val="18"/>
          <w:szCs w:val="18"/>
          <w:color w:val="auto"/>
        </w:rPr>
      </w:pPr>
      <w:r>
        <w:rPr>
          <w:rFonts w:ascii="Arial" w:cs="Arial" w:eastAsia="Arial" w:hAnsi="Arial"/>
          <w:sz w:val="18"/>
          <w:szCs w:val="18"/>
          <w:color w:val="auto"/>
        </w:rPr>
        <w:t>in obtaining credit or funds, or</w:t>
      </w:r>
    </w:p>
    <w:p>
      <w:pPr>
        <w:spacing w:after="0" w:line="90" w:lineRule="exact"/>
        <w:rPr>
          <w:rFonts w:ascii="Arial" w:cs="Arial" w:eastAsia="Arial" w:hAnsi="Arial"/>
          <w:sz w:val="18"/>
          <w:szCs w:val="18"/>
          <w:color w:val="auto"/>
        </w:rPr>
      </w:pPr>
    </w:p>
    <w:p>
      <w:pPr>
        <w:ind w:left="1132" w:right="520" w:hanging="565"/>
        <w:spacing w:after="0" w:line="268" w:lineRule="auto"/>
        <w:tabs>
          <w:tab w:leader="none" w:pos="1132" w:val="left"/>
        </w:tabs>
        <w:numPr>
          <w:ilvl w:val="1"/>
          <w:numId w:val="30"/>
        </w:numPr>
        <w:rPr>
          <w:rFonts w:ascii="Arial" w:cs="Arial" w:eastAsia="Arial" w:hAnsi="Arial"/>
          <w:sz w:val="18"/>
          <w:szCs w:val="18"/>
          <w:color w:val="auto"/>
        </w:rPr>
      </w:pPr>
      <w:r>
        <w:rPr>
          <w:rFonts w:ascii="Arial" w:cs="Arial" w:eastAsia="Arial" w:hAnsi="Arial"/>
          <w:sz w:val="18"/>
          <w:szCs w:val="18"/>
          <w:color w:val="auto"/>
        </w:rPr>
        <w:t>in gaining access to automated mechanical devices which, on behalf of the Insured, disburse Money, accept deposits, cash checks, drafts or similar written instruments or make credit card loans, or</w:t>
      </w:r>
    </w:p>
    <w:p>
      <w:pPr>
        <w:spacing w:after="0" w:line="50" w:lineRule="exact"/>
        <w:rPr>
          <w:rFonts w:ascii="Arial" w:cs="Arial" w:eastAsia="Arial" w:hAnsi="Arial"/>
          <w:sz w:val="18"/>
          <w:szCs w:val="18"/>
          <w:color w:val="auto"/>
        </w:rPr>
      </w:pPr>
    </w:p>
    <w:p>
      <w:pPr>
        <w:ind w:left="1132" w:hanging="565"/>
        <w:spacing w:after="0" w:line="259" w:lineRule="auto"/>
        <w:tabs>
          <w:tab w:leader="none" w:pos="1132" w:val="left"/>
        </w:tabs>
        <w:numPr>
          <w:ilvl w:val="1"/>
          <w:numId w:val="30"/>
        </w:numPr>
        <w:rPr>
          <w:rFonts w:ascii="Arial" w:cs="Arial" w:eastAsia="Arial" w:hAnsi="Arial"/>
          <w:sz w:val="18"/>
          <w:szCs w:val="18"/>
          <w:color w:val="auto"/>
        </w:rPr>
      </w:pPr>
      <w:r>
        <w:rPr>
          <w:rFonts w:ascii="Arial" w:cs="Arial" w:eastAsia="Arial" w:hAnsi="Arial"/>
          <w:sz w:val="18"/>
          <w:szCs w:val="18"/>
          <w:color w:val="auto"/>
        </w:rPr>
        <w:t>in gaining access to point of sale terminals, customer-bank communication terminals, or similar electronic terminals of electronic funds transfer systems, whether such cards were issued, or purport to have been issued, by the Insured or by anyone other than the Insured, except when covered under Insuring Agreement (A);</w:t>
      </w:r>
    </w:p>
    <w:p>
      <w:pPr>
        <w:spacing w:after="0" w:line="59" w:lineRule="exact"/>
        <w:rPr>
          <w:rFonts w:ascii="Arial" w:cs="Arial" w:eastAsia="Arial" w:hAnsi="Arial"/>
          <w:sz w:val="18"/>
          <w:szCs w:val="18"/>
          <w:color w:val="auto"/>
        </w:rPr>
      </w:pPr>
    </w:p>
    <w:p>
      <w:pPr>
        <w:ind w:left="572" w:right="400" w:hanging="572"/>
        <w:spacing w:after="0" w:line="268" w:lineRule="auto"/>
        <w:tabs>
          <w:tab w:leader="none" w:pos="572"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loss involving automated mechanical devices which, on behalf of the Insured, disburse Money, accept deposits, cash checks, drafts or similar written instruments or make credit card loans, except when covered under Insuring Agreement (A);</w:t>
      </w:r>
    </w:p>
    <w:p>
      <w:pPr>
        <w:sectPr>
          <w:pgSz w:w="11900" w:h="16838" w:orient="portrait"/>
          <w:cols w:equalWidth="0" w:num="1">
            <w:col w:w="11412"/>
          </w:cols>
          <w:pgMar w:left="248" w:top="280" w:right="239" w:bottom="1440" w:gutter="0" w:footer="0" w:header="0"/>
        </w:sectPr>
      </w:pPr>
    </w:p>
    <w:bookmarkStart w:id="18" w:name="page19"/>
    <w:bookmarkEnd w:id="18"/>
    <w:p>
      <w:pPr>
        <w:ind w:left="572" w:hanging="572"/>
        <w:spacing w:after="0"/>
        <w:tabs>
          <w:tab w:leader="none" w:pos="572" w:val="left"/>
        </w:tabs>
        <w:numPr>
          <w:ilvl w:val="0"/>
          <w:numId w:val="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loss through the surrender of Property away from an office of the Insured as a result of a threat</w:t>
      </w:r>
    </w:p>
    <w:p>
      <w:pPr>
        <w:spacing w:after="0" w:line="90" w:lineRule="exact"/>
        <w:rPr>
          <w:rFonts w:ascii="Arial" w:cs="Arial" w:eastAsia="Arial" w:hAnsi="Arial"/>
          <w:sz w:val="18"/>
          <w:szCs w:val="18"/>
          <w:color w:val="auto"/>
        </w:rPr>
      </w:pPr>
    </w:p>
    <w:p>
      <w:pPr>
        <w:ind w:left="1132" w:right="340" w:hanging="565"/>
        <w:spacing w:after="0" w:line="268" w:lineRule="auto"/>
        <w:tabs>
          <w:tab w:leader="none" w:pos="1132" w:val="left"/>
        </w:tabs>
        <w:numPr>
          <w:ilvl w:val="1"/>
          <w:numId w:val="31"/>
        </w:numPr>
        <w:rPr>
          <w:rFonts w:ascii="Arial" w:cs="Arial" w:eastAsia="Arial" w:hAnsi="Arial"/>
          <w:sz w:val="18"/>
          <w:szCs w:val="18"/>
          <w:color w:val="auto"/>
        </w:rPr>
      </w:pPr>
      <w:r>
        <w:rPr>
          <w:rFonts w:ascii="Arial" w:cs="Arial" w:eastAsia="Arial" w:hAnsi="Arial"/>
          <w:sz w:val="18"/>
          <w:szCs w:val="18"/>
          <w:color w:val="auto"/>
        </w:rPr>
        <w:t>to do bodily harm to any person, except loss of Property in transit in the custody of any person acting as messenger provided that when such transit was initiated there was no knowledge by the Insured of any such threat, or</w:t>
      </w:r>
    </w:p>
    <w:p>
      <w:pPr>
        <w:spacing w:after="0" w:line="50" w:lineRule="exact"/>
        <w:rPr>
          <w:rFonts w:ascii="Arial" w:cs="Arial" w:eastAsia="Arial" w:hAnsi="Arial"/>
          <w:sz w:val="18"/>
          <w:szCs w:val="18"/>
          <w:color w:val="auto"/>
        </w:rPr>
      </w:pPr>
    </w:p>
    <w:p>
      <w:pPr>
        <w:ind w:left="1132" w:hanging="565"/>
        <w:spacing w:after="0"/>
        <w:tabs>
          <w:tab w:leader="none" w:pos="1132" w:val="left"/>
        </w:tabs>
        <w:numPr>
          <w:ilvl w:val="1"/>
          <w:numId w:val="31"/>
        </w:numPr>
        <w:rPr>
          <w:rFonts w:ascii="Arial" w:cs="Arial" w:eastAsia="Arial" w:hAnsi="Arial"/>
          <w:sz w:val="18"/>
          <w:szCs w:val="18"/>
          <w:color w:val="auto"/>
        </w:rPr>
      </w:pPr>
      <w:r>
        <w:rPr>
          <w:rFonts w:ascii="Arial" w:cs="Arial" w:eastAsia="Arial" w:hAnsi="Arial"/>
          <w:sz w:val="18"/>
          <w:szCs w:val="18"/>
          <w:color w:val="auto"/>
        </w:rPr>
        <w:t>to do damage to the premises of property of the Insured, except when covered under Insuring Agreement (A);</w:t>
      </w:r>
    </w:p>
    <w:p>
      <w:pPr>
        <w:spacing w:after="0" w:line="90" w:lineRule="exact"/>
        <w:rPr>
          <w:rFonts w:ascii="Arial" w:cs="Arial" w:eastAsia="Arial" w:hAnsi="Arial"/>
          <w:sz w:val="18"/>
          <w:szCs w:val="18"/>
          <w:color w:val="auto"/>
        </w:rPr>
      </w:pPr>
    </w:p>
    <w:p>
      <w:pPr>
        <w:ind w:left="572" w:hanging="572"/>
        <w:spacing w:after="0" w:line="306" w:lineRule="auto"/>
        <w:tabs>
          <w:tab w:leader="none" w:pos="572" w:val="left"/>
        </w:tabs>
        <w:numPr>
          <w:ilvl w:val="0"/>
          <w:numId w:val="31"/>
        </w:numPr>
        <w:rPr>
          <w:rFonts w:ascii="Arial" w:cs="Arial" w:eastAsia="Arial" w:hAnsi="Arial"/>
          <w:sz w:val="16"/>
          <w:szCs w:val="16"/>
          <w:color w:val="auto"/>
        </w:rPr>
      </w:pPr>
      <w:r>
        <w:rPr>
          <w:rFonts w:ascii="Arial" w:cs="Arial" w:eastAsia="Arial" w:hAnsi="Arial"/>
          <w:sz w:val="16"/>
          <w:szCs w:val="16"/>
          <w:color w:val="auto"/>
        </w:rPr>
        <w:t>loss resulting directly or indirectly from payments made or withdrawals from a depositor’s or customer’s account involving erroneous credits to such account, unless such payments or withdrawals are physically received by such depositor or customer or representative of such depositor or customer who is within the office of the Insured at the time of such payment or withdrawal, or except when covered under Insuring Agreement (A);</w:t>
      </w:r>
    </w:p>
    <w:p>
      <w:pPr>
        <w:spacing w:after="0" w:line="25" w:lineRule="exact"/>
        <w:rPr>
          <w:rFonts w:ascii="Arial" w:cs="Arial" w:eastAsia="Arial" w:hAnsi="Arial"/>
          <w:sz w:val="16"/>
          <w:szCs w:val="16"/>
          <w:color w:val="auto"/>
        </w:rPr>
      </w:pPr>
    </w:p>
    <w:p>
      <w:pPr>
        <w:ind w:left="572" w:right="240" w:hanging="572"/>
        <w:spacing w:after="0" w:line="268" w:lineRule="auto"/>
        <w:tabs>
          <w:tab w:leader="none" w:pos="572"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loss involving items of deposit which are not finally paid for any reason, including but not limited to Forgery or any other fraud, except when covered under Insuring Agreement (A);</w:t>
      </w:r>
    </w:p>
    <w:p>
      <w:pPr>
        <w:spacing w:after="0" w:line="50" w:lineRule="exact"/>
        <w:rPr>
          <w:rFonts w:ascii="Arial" w:cs="Arial" w:eastAsia="Arial" w:hAnsi="Arial"/>
          <w:sz w:val="18"/>
          <w:szCs w:val="18"/>
          <w:color w:val="auto"/>
        </w:rPr>
      </w:pPr>
    </w:p>
    <w:p>
      <w:pPr>
        <w:ind w:left="572" w:hanging="572"/>
        <w:spacing w:after="0"/>
        <w:tabs>
          <w:tab w:leader="none" w:pos="572"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loss resulting directly or indirectly from counterfeiting, except when covered under Insuring Agreements (A), (E) or (F);</w:t>
      </w:r>
    </w:p>
    <w:p>
      <w:pPr>
        <w:spacing w:after="0" w:line="90" w:lineRule="exact"/>
        <w:rPr>
          <w:rFonts w:ascii="Arial" w:cs="Arial" w:eastAsia="Arial" w:hAnsi="Arial"/>
          <w:sz w:val="18"/>
          <w:szCs w:val="18"/>
          <w:color w:val="auto"/>
        </w:rPr>
      </w:pPr>
    </w:p>
    <w:p>
      <w:pPr>
        <w:ind w:left="572" w:right="160" w:hanging="572"/>
        <w:spacing w:after="0" w:line="306" w:lineRule="auto"/>
        <w:tabs>
          <w:tab w:leader="none" w:pos="572" w:val="left"/>
        </w:tabs>
        <w:numPr>
          <w:ilvl w:val="0"/>
          <w:numId w:val="31"/>
        </w:numPr>
        <w:rPr>
          <w:rFonts w:ascii="Arial" w:cs="Arial" w:eastAsia="Arial" w:hAnsi="Arial"/>
          <w:sz w:val="16"/>
          <w:szCs w:val="16"/>
          <w:color w:val="auto"/>
        </w:rPr>
      </w:pPr>
      <w:r>
        <w:rPr>
          <w:rFonts w:ascii="Arial" w:cs="Arial" w:eastAsia="Arial" w:hAnsi="Arial"/>
          <w:sz w:val="16"/>
          <w:szCs w:val="16"/>
          <w:color w:val="auto"/>
        </w:rPr>
        <w:t>loss of any tangible item of personal property which is not specifically enumerated in the paragraph defining Property if such property is specifically insured by other insurance of any kind and in any amount obtained by the Insured, and in any event, loss of such property occurring more than 60 days after the Insured takes possession of such property, except when covered under Insuring Agreements (A) or (B)(2);</w:t>
      </w:r>
    </w:p>
    <w:p>
      <w:pPr>
        <w:spacing w:after="0" w:line="25" w:lineRule="exact"/>
        <w:rPr>
          <w:rFonts w:ascii="Arial" w:cs="Arial" w:eastAsia="Arial" w:hAnsi="Arial"/>
          <w:sz w:val="16"/>
          <w:szCs w:val="16"/>
          <w:color w:val="auto"/>
        </w:rPr>
      </w:pPr>
    </w:p>
    <w:p>
      <w:pPr>
        <w:ind w:left="572" w:hanging="572"/>
        <w:spacing w:after="0"/>
        <w:tabs>
          <w:tab w:leader="none" w:pos="572" w:val="left"/>
        </w:tabs>
        <w:numPr>
          <w:ilvl w:val="0"/>
          <w:numId w:val="31"/>
        </w:numPr>
        <w:rPr>
          <w:rFonts w:ascii="Arial" w:cs="Arial" w:eastAsia="Arial" w:hAnsi="Arial"/>
          <w:sz w:val="18"/>
          <w:szCs w:val="18"/>
          <w:color w:val="auto"/>
        </w:rPr>
      </w:pPr>
      <w:r>
        <w:rPr>
          <w:rFonts w:ascii="Arial" w:cs="Arial" w:eastAsia="Arial" w:hAnsi="Arial"/>
          <w:sz w:val="18"/>
          <w:szCs w:val="18"/>
          <w:color w:val="auto"/>
        </w:rPr>
        <w:t>(r) loss of Property while</w:t>
      </w:r>
    </w:p>
    <w:p>
      <w:pPr>
        <w:spacing w:after="0" w:line="90" w:lineRule="exact"/>
        <w:rPr>
          <w:rFonts w:ascii="Arial" w:cs="Arial" w:eastAsia="Arial" w:hAnsi="Arial"/>
          <w:sz w:val="18"/>
          <w:szCs w:val="18"/>
          <w:color w:val="auto"/>
        </w:rPr>
      </w:pPr>
    </w:p>
    <w:p>
      <w:pPr>
        <w:ind w:left="1132" w:hanging="565"/>
        <w:spacing w:after="0"/>
        <w:tabs>
          <w:tab w:leader="none" w:pos="1132" w:val="left"/>
        </w:tabs>
        <w:numPr>
          <w:ilvl w:val="1"/>
          <w:numId w:val="31"/>
        </w:numPr>
        <w:rPr>
          <w:rFonts w:ascii="Arial" w:cs="Arial" w:eastAsia="Arial" w:hAnsi="Arial"/>
          <w:sz w:val="18"/>
          <w:szCs w:val="18"/>
          <w:color w:val="auto"/>
        </w:rPr>
      </w:pPr>
      <w:r>
        <w:rPr>
          <w:rFonts w:ascii="Arial" w:cs="Arial" w:eastAsia="Arial" w:hAnsi="Arial"/>
          <w:sz w:val="18"/>
          <w:szCs w:val="18"/>
          <w:color w:val="auto"/>
        </w:rPr>
        <w:t>in the mail, or</w:t>
      </w:r>
    </w:p>
    <w:p>
      <w:pPr>
        <w:spacing w:after="0" w:line="90" w:lineRule="exact"/>
        <w:rPr>
          <w:rFonts w:ascii="Arial" w:cs="Arial" w:eastAsia="Arial" w:hAnsi="Arial"/>
          <w:sz w:val="18"/>
          <w:szCs w:val="18"/>
          <w:color w:val="auto"/>
        </w:rPr>
      </w:pPr>
    </w:p>
    <w:p>
      <w:pPr>
        <w:ind w:left="1132" w:hanging="565"/>
        <w:spacing w:after="0"/>
        <w:tabs>
          <w:tab w:leader="none" w:pos="1132" w:val="left"/>
        </w:tabs>
        <w:numPr>
          <w:ilvl w:val="1"/>
          <w:numId w:val="31"/>
        </w:numPr>
        <w:rPr>
          <w:rFonts w:ascii="Arial" w:cs="Arial" w:eastAsia="Arial" w:hAnsi="Arial"/>
          <w:sz w:val="18"/>
          <w:szCs w:val="18"/>
          <w:color w:val="auto"/>
        </w:rPr>
      </w:pPr>
      <w:r>
        <w:rPr>
          <w:rFonts w:ascii="Arial" w:cs="Arial" w:eastAsia="Arial" w:hAnsi="Arial"/>
          <w:sz w:val="18"/>
          <w:szCs w:val="18"/>
          <w:color w:val="auto"/>
        </w:rPr>
        <w:t>in the custody of any Transportation Company, unless covered under Insuring Agreement (C),</w:t>
      </w:r>
    </w:p>
    <w:p>
      <w:pPr>
        <w:spacing w:after="0" w:line="90" w:lineRule="exact"/>
        <w:rPr>
          <w:sz w:val="20"/>
          <w:szCs w:val="20"/>
          <w:color w:val="auto"/>
        </w:rPr>
      </w:pPr>
    </w:p>
    <w:p>
      <w:pPr>
        <w:ind w:left="572"/>
        <w:spacing w:after="0"/>
        <w:rPr>
          <w:sz w:val="20"/>
          <w:szCs w:val="20"/>
          <w:color w:val="auto"/>
        </w:rPr>
      </w:pPr>
      <w:r>
        <w:rPr>
          <w:rFonts w:ascii="Arial" w:cs="Arial" w:eastAsia="Arial" w:hAnsi="Arial"/>
          <w:sz w:val="18"/>
          <w:szCs w:val="18"/>
          <w:color w:val="auto"/>
        </w:rPr>
        <w:t>except when covered under Insuring Agreement (A);</w:t>
      </w:r>
    </w:p>
    <w:p>
      <w:pPr>
        <w:spacing w:after="0" w:line="90" w:lineRule="exact"/>
        <w:rPr>
          <w:sz w:val="20"/>
          <w:szCs w:val="20"/>
          <w:color w:val="auto"/>
        </w:rPr>
      </w:pPr>
    </w:p>
    <w:p>
      <w:pPr>
        <w:ind w:left="572" w:hanging="572"/>
        <w:spacing w:after="0"/>
        <w:tabs>
          <w:tab w:leader="none" w:pos="572"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potential income, including but not limited to interest and dividends, not realized by the Insured or by any customer of the Insured;</w:t>
      </w:r>
    </w:p>
    <w:p>
      <w:pPr>
        <w:spacing w:after="0" w:line="90" w:lineRule="exact"/>
        <w:rPr>
          <w:rFonts w:ascii="Arial" w:cs="Arial" w:eastAsia="Arial" w:hAnsi="Arial"/>
          <w:sz w:val="18"/>
          <w:szCs w:val="18"/>
          <w:color w:val="auto"/>
        </w:rPr>
      </w:pPr>
    </w:p>
    <w:p>
      <w:pPr>
        <w:ind w:left="572" w:right="20" w:hanging="572"/>
        <w:spacing w:after="0" w:line="268" w:lineRule="auto"/>
        <w:tabs>
          <w:tab w:leader="none" w:pos="572" w:val="left"/>
        </w:tabs>
        <w:numPr>
          <w:ilvl w:val="0"/>
          <w:numId w:val="32"/>
        </w:numPr>
        <w:rPr>
          <w:rFonts w:ascii="Arial" w:cs="Arial" w:eastAsia="Arial" w:hAnsi="Arial"/>
          <w:sz w:val="18"/>
          <w:szCs w:val="18"/>
          <w:color w:val="auto"/>
        </w:rPr>
      </w:pPr>
      <w:r>
        <w:rPr>
          <w:rFonts w:ascii="Arial" w:cs="Arial" w:eastAsia="Arial" w:hAnsi="Arial"/>
          <w:sz w:val="18"/>
          <w:szCs w:val="18"/>
          <w:color w:val="auto"/>
        </w:rPr>
        <w:t>damages of any type for which the Insured is legally liable, except compensatory damages, but not multiples thereof, arising directly from a loss covered under this bond;</w:t>
      </w:r>
    </w:p>
    <w:p>
      <w:pPr>
        <w:sectPr>
          <w:pgSz w:w="11900" w:h="16838" w:orient="portrait"/>
          <w:cols w:equalWidth="0" w:num="1">
            <w:col w:w="11332"/>
          </w:cols>
          <w:pgMar w:left="248" w:top="280" w:right="319" w:bottom="1440" w:gutter="0" w:footer="0" w:header="0"/>
        </w:sectPr>
      </w:pPr>
    </w:p>
    <w:bookmarkStart w:id="19" w:name="page20"/>
    <w:bookmarkEnd w:id="19"/>
    <w:p>
      <w:pPr>
        <w:ind w:left="580" w:hanging="572"/>
        <w:spacing w:after="0"/>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fees, costs and expenses incurred by the Insured</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in establishing the existence of or amount of loss covered under this bond, or</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as a party to any legal proceeding whether or not such legal proceeding exposes the Insured to loss covered by this bond;</w:t>
      </w:r>
    </w:p>
    <w:p>
      <w:pPr>
        <w:spacing w:after="0" w:line="90" w:lineRule="exact"/>
        <w:rPr>
          <w:rFonts w:ascii="Arial" w:cs="Arial" w:eastAsia="Arial" w:hAnsi="Arial"/>
          <w:sz w:val="18"/>
          <w:szCs w:val="18"/>
          <w:color w:val="auto"/>
        </w:rPr>
      </w:pPr>
    </w:p>
    <w:p>
      <w:pPr>
        <w:ind w:left="580" w:hanging="572"/>
        <w:spacing w:after="0"/>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indirect or consequential loss of any nature;</w:t>
      </w:r>
    </w:p>
    <w:p>
      <w:pPr>
        <w:spacing w:after="0" w:line="90" w:lineRule="exact"/>
        <w:rPr>
          <w:rFonts w:ascii="Arial" w:cs="Arial" w:eastAsia="Arial" w:hAnsi="Arial"/>
          <w:sz w:val="18"/>
          <w:szCs w:val="18"/>
          <w:color w:val="auto"/>
        </w:rPr>
      </w:pPr>
    </w:p>
    <w:p>
      <w:pPr>
        <w:ind w:left="580" w:right="520" w:hanging="572"/>
        <w:spacing w:after="0" w:line="268" w:lineRule="auto"/>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loss involving any Uncertificated Security except an Uncertified Security of any Federal Reserve Bank of the United States or when covered under Insuring Agreement (A);</w:t>
      </w:r>
    </w:p>
    <w:p>
      <w:pPr>
        <w:spacing w:after="0" w:line="50" w:lineRule="exact"/>
        <w:rPr>
          <w:rFonts w:ascii="Arial" w:cs="Arial" w:eastAsia="Arial" w:hAnsi="Arial"/>
          <w:sz w:val="18"/>
          <w:szCs w:val="18"/>
          <w:color w:val="auto"/>
        </w:rPr>
      </w:pPr>
    </w:p>
    <w:p>
      <w:pPr>
        <w:ind w:left="580" w:hanging="572"/>
        <w:spacing w:after="0" w:line="332" w:lineRule="auto"/>
        <w:tabs>
          <w:tab w:leader="none" w:pos="5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loss resulting directly or indirectly from any dishonest or fraudulent act or acts committed by any non-Employee who is a securities, commodities, money, mortgage, real estate, loan, insurance, property management, investment banking broker, agent or other representative of the same general character;</w:t>
      </w:r>
    </w:p>
    <w:p>
      <w:pPr>
        <w:spacing w:after="0" w:line="4" w:lineRule="exact"/>
        <w:rPr>
          <w:rFonts w:ascii="Arial" w:cs="Arial" w:eastAsia="Arial" w:hAnsi="Arial"/>
          <w:sz w:val="16"/>
          <w:szCs w:val="16"/>
          <w:color w:val="auto"/>
        </w:rPr>
      </w:pPr>
    </w:p>
    <w:p>
      <w:pPr>
        <w:ind w:left="580" w:right="220" w:hanging="572"/>
        <w:spacing w:after="0" w:line="268" w:lineRule="auto"/>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loss caused directly or indirectly by a Partner of the Insured unless the amount of such loss exceeds the Financial Interest in the Insured of such Partner and the Deductible Amount applicable to this bond, and then for the excess only;</w:t>
      </w:r>
    </w:p>
    <w:p>
      <w:pPr>
        <w:spacing w:after="0" w:line="50" w:lineRule="exact"/>
        <w:rPr>
          <w:rFonts w:ascii="Arial" w:cs="Arial" w:eastAsia="Arial" w:hAnsi="Arial"/>
          <w:sz w:val="18"/>
          <w:szCs w:val="18"/>
          <w:color w:val="auto"/>
        </w:rPr>
      </w:pPr>
    </w:p>
    <w:p>
      <w:pPr>
        <w:ind w:left="580" w:hanging="572"/>
        <w:spacing w:after="0"/>
        <w:tabs>
          <w:tab w:leader="none" w:pos="5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loss resulting directly or indirectly from any actual or alleged representation, advice, warranty or guarantee as to the performance of any investments;</w:t>
      </w:r>
    </w:p>
    <w:p>
      <w:pPr>
        <w:spacing w:after="0" w:line="113" w:lineRule="exact"/>
        <w:rPr>
          <w:sz w:val="20"/>
          <w:szCs w:val="20"/>
          <w:color w:val="auto"/>
        </w:rPr>
      </w:pPr>
    </w:p>
    <w:p>
      <w:pPr>
        <w:ind w:left="580" w:hanging="572"/>
        <w:spacing w:after="0" w:line="268" w:lineRule="auto"/>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loss due to liability imposed upon the Insured as a result of the unlawful disclosure of non-public material information by the Insured or any Employee, or as a result of any Employee acting upon such information, whether authorized or unauthorized.</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DISCOVERY</w:t>
      </w:r>
    </w:p>
    <w:p>
      <w:pPr>
        <w:spacing w:after="0" w:line="171"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color w:val="auto"/>
        </w:rPr>
        <w:t>Section 3. This bond applies to loss discovered by the Insured during the Bond Period. Discovery occurs when the Insured first becomes aware of facts which would cause a reasonable person to assume that a loss of a type covered by this bond has been or will be incurred, regardless of when the act or acts causing or contributing to such loss occurred, even though the exact amount or details of loss may not then be known.</w:t>
      </w:r>
    </w:p>
    <w:p>
      <w:pPr>
        <w:spacing w:after="0" w:line="107"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Discovery also occurs when the Insured receives notice of an actual or potential claim in which it is alleged that the Insured is liable to a third party under circumstances which, if true, would constitute a loss under this bond.</w:t>
      </w:r>
    </w:p>
    <w:p>
      <w:pPr>
        <w:sectPr>
          <w:pgSz w:w="11900" w:h="16838" w:orient="portrait"/>
          <w:cols w:equalWidth="0" w:num="1">
            <w:col w:w="11420"/>
          </w:cols>
          <w:pgMar w:left="240" w:top="280" w:right="2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LIMIT OF LIABILITY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Section 4.</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Aggregate Limit of Liability</w:t>
      </w:r>
    </w:p>
    <w:p>
      <w:pPr>
        <w:spacing w:after="0" w:line="171"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The Underwriter’s total liability for all losses discovered during the Bond Period shown in Item 2 of the Declarations shall not exceed the Aggregate Limit of Liability shown in item 3 of the Declarations. The Aggregate Limit of Liability shall be reduced by the amount of any payment made under the terms of this bond.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Upon exhaustion of the Aggregate Limit of Liability by such payments:</w:t>
      </w:r>
    </w:p>
    <w:p>
      <w:pPr>
        <w:spacing w:after="0" w:line="90" w:lineRule="exact"/>
        <w:rPr>
          <w:sz w:val="20"/>
          <w:szCs w:val="20"/>
          <w:color w:val="auto"/>
        </w:rPr>
      </w:pPr>
    </w:p>
    <w:p>
      <w:pPr>
        <w:ind w:left="580" w:right="40" w:hanging="572"/>
        <w:spacing w:after="0" w:line="268" w:lineRule="auto"/>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Underwriter shall have no further liability for loss or losses regardless of when discovered and whether or not previously reported to the Underwriter, and</w:t>
      </w:r>
    </w:p>
    <w:p>
      <w:pPr>
        <w:spacing w:after="0" w:line="50" w:lineRule="exact"/>
        <w:rPr>
          <w:rFonts w:ascii="Arial" w:cs="Arial" w:eastAsia="Arial" w:hAnsi="Arial"/>
          <w:sz w:val="18"/>
          <w:szCs w:val="18"/>
          <w:color w:val="auto"/>
        </w:rPr>
      </w:pPr>
    </w:p>
    <w:p>
      <w:pPr>
        <w:ind w:left="580" w:right="220" w:hanging="572"/>
        <w:spacing w:after="0" w:line="332" w:lineRule="auto"/>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Underwriter shall have no obligation under General Agreement F to continue the defense of the Insured, and upon notice by the Underwriter to the Insured that the Aggregate Limit of Liability has been exhausted, the Insured shall assume all responsibility for its defense at its own cost.</w:t>
      </w:r>
    </w:p>
    <w:p>
      <w:pPr>
        <w:spacing w:after="0" w:line="85"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Aggregate Limit of Liability shall not be increased or reinstated by any recovery made and applied in accordance with subsections (a), (b) and (c) of Section 7. In the event that a loss of Property is settled by the Underwriter through the use of a lost instrument bond, such loss shall not reduce the Aggregate Limit of Liability.</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Single Loss Limit of Liability</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Subject to the Aggregate Limit of Liability, the Underwriter’s liability for each Single Loss shall not exceed the applicable Single Loss Limit of Liability shown in Item 4 of the Declarations. If a Single Loss is covered under more than one Insuring Agreement or Coverage, the maximum payable shall not exceed the largest applicable Single Loss Limit of Liability.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Single Loss Defined</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Single Loss means all covered loss, including court costs and attorneys’ fees incurred by the Underwriter under General Agreement F, resulting from</w:t>
      </w:r>
    </w:p>
    <w:p>
      <w:pPr>
        <w:spacing w:after="0" w:line="113" w:lineRule="exact"/>
        <w:rPr>
          <w:sz w:val="20"/>
          <w:szCs w:val="20"/>
          <w:color w:val="auto"/>
        </w:rPr>
      </w:pPr>
    </w:p>
    <w:p>
      <w:pPr>
        <w:ind w:left="580" w:hanging="572"/>
        <w:spacing w:after="0"/>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one act or series or related acts of burglary, robbery or attempt thereat, in which no Employee is implicated, or</w:t>
      </w:r>
    </w:p>
    <w:p>
      <w:pPr>
        <w:spacing w:after="0" w:line="90" w:lineRule="exact"/>
        <w:rPr>
          <w:rFonts w:ascii="Arial" w:cs="Arial" w:eastAsia="Arial" w:hAnsi="Arial"/>
          <w:sz w:val="18"/>
          <w:szCs w:val="18"/>
          <w:color w:val="auto"/>
        </w:rPr>
      </w:pPr>
    </w:p>
    <w:p>
      <w:pPr>
        <w:ind w:left="580" w:right="40" w:hanging="572"/>
        <w:spacing w:after="0" w:line="268" w:lineRule="auto"/>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one act or series of related unintentional or negligent acts or omissions on the part of any person (whether an Employee or not) resulting in damage to or destruction of misplacement of Property, or</w:t>
      </w:r>
    </w:p>
    <w:p>
      <w:pPr>
        <w:spacing w:after="0" w:line="50" w:lineRule="exact"/>
        <w:rPr>
          <w:rFonts w:ascii="Arial" w:cs="Arial" w:eastAsia="Arial" w:hAnsi="Arial"/>
          <w:sz w:val="18"/>
          <w:szCs w:val="18"/>
          <w:color w:val="auto"/>
        </w:rPr>
      </w:pPr>
    </w:p>
    <w:p>
      <w:pPr>
        <w:ind w:left="580" w:right="240" w:hanging="572"/>
        <w:spacing w:after="0" w:line="268" w:lineRule="auto"/>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acts or omissions other than those specified in (a) and (b) preceding, caused by any person (whether an Employee or not) or in which such person is implicated, or</w:t>
      </w:r>
    </w:p>
    <w:p>
      <w:pPr>
        <w:spacing w:after="0" w:line="50" w:lineRule="exact"/>
        <w:rPr>
          <w:rFonts w:ascii="Arial" w:cs="Arial" w:eastAsia="Arial" w:hAnsi="Arial"/>
          <w:sz w:val="18"/>
          <w:szCs w:val="18"/>
          <w:color w:val="auto"/>
        </w:rPr>
      </w:pPr>
    </w:p>
    <w:p>
      <w:pPr>
        <w:ind w:left="580" w:hanging="572"/>
        <w:spacing w:after="0"/>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one casualty or event not specified in (a), (b) or (c) preceding.</w:t>
      </w:r>
    </w:p>
    <w:p>
      <w:pPr>
        <w:sectPr>
          <w:pgSz w:w="11900" w:h="16838" w:orient="portrait"/>
          <w:cols w:equalWidth="0" w:num="1">
            <w:col w:w="11420"/>
          </w:cols>
          <w:pgMar w:left="240" w:top="280" w:right="2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NOTICE/PROOF-LEGAL PROCEEDINGS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AGAINST UNDERWRITER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Section 5.</w:t>
      </w:r>
    </w:p>
    <w:p>
      <w:pPr>
        <w:spacing w:after="0" w:line="90" w:lineRule="exact"/>
        <w:rPr>
          <w:sz w:val="20"/>
          <w:szCs w:val="20"/>
          <w:color w:val="auto"/>
        </w:rPr>
      </w:pPr>
    </w:p>
    <w:p>
      <w:pPr>
        <w:ind w:left="580" w:hanging="572"/>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At the earliest practicable moment, not to exceed 30 days, after discovery of loss, the Insured shall give the Underwriter notice thereof.</w:t>
      </w:r>
    </w:p>
    <w:p>
      <w:pPr>
        <w:spacing w:after="0" w:line="90" w:lineRule="exact"/>
        <w:rPr>
          <w:rFonts w:ascii="Arial" w:cs="Arial" w:eastAsia="Arial" w:hAnsi="Arial"/>
          <w:sz w:val="18"/>
          <w:szCs w:val="18"/>
          <w:color w:val="auto"/>
        </w:rPr>
      </w:pPr>
    </w:p>
    <w:p>
      <w:pPr>
        <w:ind w:left="580" w:hanging="572"/>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Within 6 months after such discovery, the Insured shall furnish to the Underwriter proof of loss, duly sworn to, with full particulars.</w:t>
      </w:r>
    </w:p>
    <w:p>
      <w:pPr>
        <w:spacing w:after="0" w:line="90" w:lineRule="exact"/>
        <w:rPr>
          <w:rFonts w:ascii="Arial" w:cs="Arial" w:eastAsia="Arial" w:hAnsi="Arial"/>
          <w:sz w:val="18"/>
          <w:szCs w:val="18"/>
          <w:color w:val="auto"/>
        </w:rPr>
      </w:pPr>
    </w:p>
    <w:p>
      <w:pPr>
        <w:ind w:left="580" w:hanging="572"/>
        <w:spacing w:after="0"/>
        <w:tabs>
          <w:tab w:leader="none" w:pos="5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Loss certified Securities listed in a proof of loss shall be identified by certificate or bond numbers if such securities were issued therewith.</w:t>
      </w:r>
    </w:p>
    <w:p>
      <w:pPr>
        <w:spacing w:after="0" w:line="113" w:lineRule="exact"/>
        <w:rPr>
          <w:rFonts w:ascii="Arial" w:cs="Arial" w:eastAsia="Arial" w:hAnsi="Arial"/>
          <w:sz w:val="16"/>
          <w:szCs w:val="16"/>
          <w:color w:val="auto"/>
        </w:rPr>
      </w:pPr>
    </w:p>
    <w:p>
      <w:pPr>
        <w:ind w:left="580" w:hanging="572"/>
        <w:spacing w:after="0" w:line="268" w:lineRule="auto"/>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Legal proceedings for the recovery of any loss hereunder shall not be brought prior to the expiration of 60 days after the original proof of loss is filed with the Underwriter or after the expiration of 24 months from the discovery of such loss.</w:t>
      </w:r>
    </w:p>
    <w:p>
      <w:pPr>
        <w:spacing w:after="0" w:line="50" w:lineRule="exact"/>
        <w:rPr>
          <w:rFonts w:ascii="Arial" w:cs="Arial" w:eastAsia="Arial" w:hAnsi="Arial"/>
          <w:sz w:val="18"/>
          <w:szCs w:val="18"/>
          <w:color w:val="auto"/>
        </w:rPr>
      </w:pPr>
    </w:p>
    <w:p>
      <w:pPr>
        <w:ind w:left="580" w:right="80" w:hanging="572"/>
        <w:spacing w:after="0" w:line="268" w:lineRule="auto"/>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any limitation embodied in this bond is prohibited by any law controlling the construction hereof, such limitation shall be deemed to be amended so as to equal the minimum period of limitation provided by such law.</w:t>
      </w:r>
    </w:p>
    <w:p>
      <w:pPr>
        <w:spacing w:after="0" w:line="50" w:lineRule="exact"/>
        <w:rPr>
          <w:rFonts w:ascii="Arial" w:cs="Arial" w:eastAsia="Arial" w:hAnsi="Arial"/>
          <w:sz w:val="18"/>
          <w:szCs w:val="18"/>
          <w:color w:val="auto"/>
        </w:rPr>
      </w:pPr>
    </w:p>
    <w:p>
      <w:pPr>
        <w:ind w:left="580" w:right="100" w:hanging="572"/>
        <w:spacing w:after="0" w:line="268" w:lineRule="auto"/>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This bond affords coverage only in favor of the Insured. No suit, action or legal proceedings shall be brought hereunder by any one other than the named Insured.</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VALUATION</w:t>
      </w:r>
    </w:p>
    <w:p>
      <w:pPr>
        <w:spacing w:after="0" w:line="17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Section 6. Any loss of Money, or loss payable in Money, shall be paid, at the option of the Insured, in the Money of the country in which the loss was sustained or in the United States of America dollar equivalent thereof determined at the rate of exchange at the time of payment of such loss.</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Securities</w:t>
      </w:r>
    </w:p>
    <w:p>
      <w:pPr>
        <w:spacing w:after="0" w:line="171"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The Underwriter shall settle in kind its liability under this bond on account of a loss of any securities or, at the option of the Insured, shall pay to the Insured the cost of replacing such securities, determined by the market value thereof at the time of such settlement. However, if prior to such settlement the Insured shall be compelled by the demands of a third party or by market rules to purchase equivalent securities, and gives written notification of this to the Underwriter, the cost incurred by the Insured shall be taken as the value of those securities. In case of a loss of subscription, conversion or redemption privileges through the misplacement or loss of securities, the amount of such loss shall be the value of such privileges immediately preceding the expiration thereof. If such securities cannot be replaced or have no quoted market value, or if such privileges have no quoted market value, their value shall be determined by agreement or arbitration.</w:t>
      </w:r>
    </w:p>
    <w:p>
      <w:pPr>
        <w:sectPr>
          <w:pgSz w:w="11900" w:h="16838" w:orient="portrait"/>
          <w:cols w:equalWidth="0" w:num="1">
            <w:col w:w="11400"/>
          </w:cols>
          <w:pgMar w:left="240" w:top="280" w:right="259" w:bottom="1440" w:gutter="0" w:footer="0" w:header="0"/>
        </w:sectPr>
      </w:pPr>
    </w:p>
    <w:bookmarkStart w:id="22" w:name="page23"/>
    <w:bookmarkEnd w:id="22"/>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applicable coverage of this bond is subject to a Deductible Amount and/or is not sufficient in amount to indemnify the Insured in full for the loss of securities for which claim is made hereunder, the liability of the Underwriter under this bond is limited to the payment for, or the duplication of, so much of such securities as has a value equal to the amount of such applicable coverage.</w:t>
      </w: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Books of Account and Other Records</w:t>
      </w:r>
    </w:p>
    <w:p>
      <w:pPr>
        <w:spacing w:after="0" w:line="171"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In case of loss of, or damage to, any books of account or other records used by the Insured in its business, the Underwriter shall be liable under this bond only if such books or records are actually reproduced and then for not more than the cost of the blank books, blank pages or other materials plus the cost of labor for the actual transcription or copying of data which shall have been furnished by the Insured in order to reproduce such books and other records.</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Property Other Than Money, Securities or Records</w:t>
      </w:r>
    </w:p>
    <w:p>
      <w:pPr>
        <w:spacing w:after="0" w:line="171"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In case of loss of, or damage to, any Property other than Money, securities, books of account or other records, or damage covered under Insuring Agreement (B) (2), the Underwriter shall not be liable for more than the actual cash value of such Property, or of items covered under Insuring Agreement (B)(2). The Underwriter may, at its election, pay the actual cash value of, replace or repair such property. Disagreement between the Underwriter and the Insured as to the cash value or as to the adequacy of repair or replacement shall be resolved by arbitration.</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Set-Off</w:t>
      </w:r>
    </w:p>
    <w:p>
      <w:pPr>
        <w:spacing w:after="0" w:line="17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Any loss covered under this bond shall be reduced by a set-off consisting of any amount owed to the Employee causing the loss if such loss is covered under Insuring Agreement (A).</w:t>
      </w: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ASSIGNMENT-SUBROGATION-RECOVERY-COOPERATION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Section 7.</w:t>
      </w:r>
    </w:p>
    <w:p>
      <w:pPr>
        <w:spacing w:after="0" w:line="90" w:lineRule="exact"/>
        <w:rPr>
          <w:sz w:val="20"/>
          <w:szCs w:val="20"/>
          <w:color w:val="auto"/>
        </w:rPr>
      </w:pPr>
    </w:p>
    <w:p>
      <w:pPr>
        <w:ind w:left="580" w:right="200" w:hanging="572"/>
        <w:spacing w:after="0" w:line="268"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the event of payment under this bond, the Insured shall deliver, if so requested by the Underwriter, an assignment of such of the Insured’s rights, title and interest and causes of action as it has against any person or entity to the extent of the loss payment.</w:t>
      </w:r>
    </w:p>
    <w:p>
      <w:pPr>
        <w:spacing w:after="0" w:line="50" w:lineRule="exact"/>
        <w:rPr>
          <w:rFonts w:ascii="Arial" w:cs="Arial" w:eastAsia="Arial" w:hAnsi="Arial"/>
          <w:sz w:val="18"/>
          <w:szCs w:val="18"/>
          <w:color w:val="auto"/>
        </w:rPr>
      </w:pPr>
    </w:p>
    <w:p>
      <w:pPr>
        <w:ind w:left="580" w:hanging="572"/>
        <w:spacing w:after="0" w:line="268"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the event of payment under this bond, the Underwriter shall be subrogated to all of the Insured’s rights of recovery therefor against any person or entity to the extent of such payment.</w:t>
      </w:r>
    </w:p>
    <w:p>
      <w:pPr>
        <w:sectPr>
          <w:pgSz w:w="11900" w:h="16838" w:orient="portrait"/>
          <w:cols w:equalWidth="0" w:num="1">
            <w:col w:w="11400"/>
          </w:cols>
          <w:pgMar w:left="240" w:top="280" w:right="259" w:bottom="1440" w:gutter="0" w:footer="0" w:header="0"/>
        </w:sectPr>
      </w:pPr>
    </w:p>
    <w:bookmarkStart w:id="23" w:name="page24"/>
    <w:bookmarkEnd w:id="23"/>
    <w:p>
      <w:pPr>
        <w:ind w:left="580" w:hanging="572"/>
        <w:spacing w:after="0" w:line="294" w:lineRule="auto"/>
        <w:tabs>
          <w:tab w:leader="none" w:pos="580" w:val="left"/>
        </w:tabs>
        <w:numPr>
          <w:ilvl w:val="0"/>
          <w:numId w:val="3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Recoveries, whether effected by the Underwriter or by the Insured, shall be applied net of the expense of such recovery first to the satisfaction of the Insured’s loss which would otherwise have been paid but for the fact that it is in excess of either the Single or Aggregate Limit of Liability, secondly, to the Underwriter as reimbursement of amounts paid in settlement of the Insured’s claim, and thirdly, to the Insured in satisfaction of any Deductible Amount. Recovery on account of loss of securities as set forth in the second paragraph of Section 6 or recovery from reinsurance and/or indemnity of the Underwriter shall not be deemed a recovery as used herein.</w:t>
      </w:r>
    </w:p>
    <w:p>
      <w:pPr>
        <w:spacing w:after="0" w:line="34" w:lineRule="exact"/>
        <w:rPr>
          <w:rFonts w:ascii="Arial" w:cs="Arial" w:eastAsia="Arial" w:hAnsi="Arial"/>
          <w:sz w:val="16"/>
          <w:szCs w:val="16"/>
          <w:color w:val="auto"/>
        </w:rPr>
      </w:pPr>
    </w:p>
    <w:p>
      <w:pPr>
        <w:ind w:left="580" w:hanging="572"/>
        <w:spacing w:after="0"/>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Upon the Underwriter’s request and at reasonable times and places designated by the Underwriter the Insured shall</w:t>
      </w:r>
    </w:p>
    <w:p>
      <w:pPr>
        <w:spacing w:after="0" w:line="90" w:lineRule="exact"/>
        <w:rPr>
          <w:rFonts w:ascii="Arial" w:cs="Arial" w:eastAsia="Arial" w:hAnsi="Arial"/>
          <w:sz w:val="18"/>
          <w:szCs w:val="18"/>
          <w:color w:val="auto"/>
        </w:rPr>
      </w:pPr>
    </w:p>
    <w:p>
      <w:pPr>
        <w:ind w:left="1140" w:right="4560" w:hanging="565"/>
        <w:spacing w:after="0" w:line="344" w:lineRule="auto"/>
        <w:tabs>
          <w:tab w:leader="none" w:pos="1133" w:val="left"/>
        </w:tabs>
        <w:numPr>
          <w:ilvl w:val="1"/>
          <w:numId w:val="39"/>
        </w:numPr>
        <w:rPr>
          <w:rFonts w:ascii="Arial" w:cs="Arial" w:eastAsia="Arial" w:hAnsi="Arial"/>
          <w:sz w:val="18"/>
          <w:szCs w:val="18"/>
          <w:color w:val="auto"/>
        </w:rPr>
      </w:pPr>
      <w:r>
        <w:rPr>
          <w:rFonts w:ascii="Arial" w:cs="Arial" w:eastAsia="Arial" w:hAnsi="Arial"/>
          <w:sz w:val="18"/>
          <w:szCs w:val="18"/>
          <w:color w:val="auto"/>
        </w:rPr>
        <w:t>submit to examination by the Underwriter and subscribe to the same under oath; and</w:t>
      </w:r>
    </w:p>
    <w:p>
      <w:pPr>
        <w:ind w:left="1140" w:hanging="565"/>
        <w:spacing w:after="0"/>
        <w:tabs>
          <w:tab w:leader="none" w:pos="11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produce for the Underwriter’s examination all pertinent records; and</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cooperate with the Underwriter in all matters pertaining to the loss.</w:t>
      </w:r>
    </w:p>
    <w:p>
      <w:pPr>
        <w:spacing w:after="0" w:line="90" w:lineRule="exact"/>
        <w:rPr>
          <w:rFonts w:ascii="Arial" w:cs="Arial" w:eastAsia="Arial" w:hAnsi="Arial"/>
          <w:sz w:val="18"/>
          <w:szCs w:val="18"/>
          <w:color w:val="auto"/>
        </w:rPr>
      </w:pPr>
    </w:p>
    <w:p>
      <w:pPr>
        <w:ind w:left="580" w:right="200" w:hanging="572"/>
        <w:spacing w:after="0" w:line="268" w:lineRule="auto"/>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Insured shall execute all papers and render assistance to secure to the Underwriter the rights and causes of action provided for herein. The Insured shall do nothing after discovery of loss to prejudice such rights or causes of action.</w:t>
      </w:r>
    </w:p>
    <w:p>
      <w:pPr>
        <w:spacing w:after="0" w:line="2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LIMIT OF LIABILITY UNDER THIS BOND AND PRIOR INSURANCE</w:t>
      </w:r>
    </w:p>
    <w:p>
      <w:pPr>
        <w:spacing w:after="0" w:line="17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Section 8. With respect to any loss set forth in sub-section (c) of Section 4 of this bond which is recoverable or recovered in whole or in part under any other bonds or policies issued by the Underwriter to the Insured or to any predecessor in interest of the Insured and terminated or canceled or allowed to expire and in which the period for discovery has not expired at the time any such loss thereunder is discovered, the total liability of the Underwriter under this bond and under such other bonds or policies shall not exceed, in the aggregate, the amount carried hereunder on such loss or the amount available to the Insured under such other bonds or policies, as limited by the terms and conditions thereof, for any such loss if the latter amount be the larger.</w:t>
      </w:r>
    </w:p>
    <w:p>
      <w:pPr>
        <w:spacing w:after="0" w:line="11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If the coverage of this bond supersedes in whole or in part the coverage of any other bond or policy of insurance issued by an Insurer other than the Underwriter and terminated, canceled or allowed to expire, the Underwriter, with respect to any loss sustained prior to such termination, cancellation or expiration and discovered within the period permitted under such other bond or policy for the discovery of loss thereunder, shall be liable under this bond only for that part of such loss covered by this bond as is in excess of the amount recoverable or recovered on account of such loss under such other bond or policy, anything to the contrary in such other bond or policy notwithstanding.</w:t>
      </w:r>
    </w:p>
    <w:p>
      <w:pPr>
        <w:sectPr>
          <w:pgSz w:w="11900" w:h="16838" w:orient="portrait"/>
          <w:cols w:equalWidth="0" w:num="1">
            <w:col w:w="11340"/>
          </w:cols>
          <w:pgMar w:left="240" w:top="280" w:right="31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INSURANCE OR INDEMNITY</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Section 9. Coverage afforded hereunder shall apply only as excess over any valid and collectible insurance or indemnity obtained by the Insured, or by one other than the Insured on Property subject to exclusion (q) or by a Transportation Company, or by another entity on whose premises the loss occurred or which employed the person causing the loss or the messenger conveying the Property involved.</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OWNERSHIP</w:t>
      </w:r>
    </w:p>
    <w:p>
      <w:pPr>
        <w:spacing w:after="0" w:line="17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Section 10. This bond shall apply to loss of Property (1) owned by the Insured, (2) held by the Insured in any capacity, or (3) for which the Insured is legally liable. This bond shall be for the sole use and benefit of the Insured named in the Declarations.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DEDUCTIBLE AMOUNT</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Section 11. The Underwriter shall be liable hereunder only for the amount by which any single loss, as defined in Section 4, exceeds the Single Loss Deductible amount for the Insuring Agreement or Coverage applicable to such loss, subject to the Aggregate Limit of Liability and the applicable Single Loss Limit of Liability.</w:t>
      </w:r>
    </w:p>
    <w:p>
      <w:pPr>
        <w:spacing w:after="0" w:line="14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Insured shall, in the time and in the manner prescribed in this bond, give the Underwriter notice of any loss of the kind covered by the terms of this bond, whether or not the Underwriter is liable therefor, and upon the request of the Underwriter shall file with it a brief statement giving the particulars concerning such loss.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TERMINATION OR CANCELLATION</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Section 12. This bond terminates as an entirety upon occurrence of any of the following: - (a) 60 days after the receipt by the Insured of a written notice from the Underwriter of its desire to cancel this bond, or (b) immediately upon the receipt by the Underwriter of a written notice from the Insured of its desire to cancel this bond, or (c) immediately upon the taking over of the Insured by a receiver or other liquidator or by State or Federal officials, or (d) immediately upon the taking over of the Insured by another institution, or (e) immediately upon exhaustion of the Aggregate Limit of Liability, or (f) immediately upon expiration of the Bond Period as set forth in Item 2 of the Declarations.</w:t>
      </w:r>
    </w:p>
    <w:p>
      <w:pPr>
        <w:spacing w:after="0" w:line="14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This bond terminates as to any Employee or any partner, officer or employee of any Processor - (a) as soon as any Insured, or any director or officer not in collusion with such person, learns of any dishonest or fraudulent act committed by such person at any time, whether in the employment of the Insured or otherwise, whether or not of the type covered under Insuring Agreement (A), against the Insured or any other person or entity, without prejudice to the loss of any Property then in transit in the custody of such person, or (b) 15 days after the receipt by the Insured of a written notice from the Underwriter of its desire to cancel this bond as to such person.</w:t>
      </w:r>
    </w:p>
    <w:p>
      <w:pPr>
        <w:sectPr>
          <w:pgSz w:w="11900" w:h="16838" w:orient="portrait"/>
          <w:cols w:equalWidth="0" w:num="1">
            <w:col w:w="11420"/>
          </w:cols>
          <w:pgMar w:left="240" w:top="280" w:right="239" w:bottom="1440" w:gutter="0" w:footer="0" w:header="0"/>
        </w:sectPr>
      </w:pPr>
    </w:p>
    <w:bookmarkStart w:id="25" w:name="page26"/>
    <w:bookmarkEnd w:id="25"/>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 of the bond as to any Insured terminates liability for any loss sustained by such Insured which is discovered after the effective date of such termination.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Underwriter has caused this bond to be executed on the Declarations page.</w:t>
      </w:r>
    </w:p>
    <w:p>
      <w:pPr>
        <w:sectPr>
          <w:pgSz w:w="11900" w:h="16838" w:orient="portrait"/>
          <w:cols w:equalWidth="0" w:num="1">
            <w:col w:w="10640"/>
          </w:cols>
          <w:pgMar w:left="240" w:top="280" w:right="101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20" w:type="dxa"/>
            <w:vAlign w:val="bottom"/>
            <w:gridSpan w:val="2"/>
          </w:tcPr>
          <w:p>
            <w:pPr>
              <w:spacing w:after="0"/>
              <w:rPr>
                <w:sz w:val="20"/>
                <w:szCs w:val="20"/>
                <w:color w:val="auto"/>
              </w:rPr>
            </w:pPr>
            <w:r>
              <w:rPr>
                <w:rFonts w:ascii="Arial" w:cs="Arial" w:eastAsia="Arial" w:hAnsi="Arial"/>
                <w:sz w:val="18"/>
                <w:szCs w:val="18"/>
                <w:b w:val="1"/>
                <w:bCs w:val="1"/>
                <w:color w:val="auto"/>
              </w:rPr>
              <w:t>RIDER# 1</w:t>
            </w:r>
          </w:p>
        </w:tc>
      </w:tr>
      <w:tr>
        <w:trPr>
          <w:trHeight w:val="20"/>
        </w:trPr>
        <w:tc>
          <w:tcPr>
            <w:tcW w:w="48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31"/>
        </w:trPr>
        <w:tc>
          <w:tcPr>
            <w:tcW w:w="4860" w:type="dxa"/>
            <w:vAlign w:val="bottom"/>
            <w:gridSpan w:val="3"/>
          </w:tcPr>
          <w:p>
            <w:pPr>
              <w:spacing w:after="0"/>
              <w:rPr>
                <w:sz w:val="20"/>
                <w:szCs w:val="20"/>
                <w:color w:val="auto"/>
              </w:rPr>
            </w:pPr>
            <w:r>
              <w:rPr>
                <w:rFonts w:ascii="Arial" w:cs="Arial" w:eastAsia="Arial" w:hAnsi="Arial"/>
                <w:sz w:val="18"/>
                <w:szCs w:val="18"/>
                <w:color w:val="auto"/>
              </w:rPr>
              <w:t>This endorsement, effective 12:01 A.M</w:t>
            </w:r>
          </w:p>
        </w:tc>
        <w:tc>
          <w:tcPr>
            <w:tcW w:w="2280" w:type="dxa"/>
            <w:vAlign w:val="bottom"/>
            <w:gridSpan w:val="3"/>
          </w:tcPr>
          <w:p>
            <w:pPr>
              <w:ind w:left="180"/>
              <w:spacing w:after="0"/>
              <w:rPr>
                <w:sz w:val="20"/>
                <w:szCs w:val="20"/>
                <w:color w:val="auto"/>
              </w:rPr>
            </w:pPr>
            <w:r>
              <w:rPr>
                <w:rFonts w:ascii="Arial" w:cs="Arial" w:eastAsia="Arial" w:hAnsi="Arial"/>
                <w:sz w:val="18"/>
                <w:szCs w:val="18"/>
                <w:color w:val="auto"/>
                <w:w w:val="88"/>
              </w:rPr>
              <w:t>March 8, 2012 forms a part of</w:t>
            </w:r>
          </w:p>
        </w:tc>
      </w:tr>
      <w:tr>
        <w:trPr>
          <w:trHeight w:val="216"/>
        </w:trPr>
        <w:tc>
          <w:tcPr>
            <w:tcW w:w="1060" w:type="dxa"/>
            <w:vAlign w:val="bottom"/>
            <w:gridSpan w:val="2"/>
          </w:tcPr>
          <w:p>
            <w:pPr>
              <w:spacing w:after="0"/>
              <w:rPr>
                <w:sz w:val="20"/>
                <w:szCs w:val="20"/>
                <w:color w:val="auto"/>
              </w:rPr>
            </w:pPr>
            <w:r>
              <w:rPr>
                <w:rFonts w:ascii="Arial" w:cs="Arial" w:eastAsia="Arial" w:hAnsi="Arial"/>
                <w:sz w:val="18"/>
                <w:szCs w:val="18"/>
                <w:color w:val="auto"/>
              </w:rPr>
              <w:t>policy No.</w:t>
            </w:r>
          </w:p>
        </w:tc>
        <w:tc>
          <w:tcPr>
            <w:tcW w:w="3800" w:type="dxa"/>
            <w:vAlign w:val="bottom"/>
          </w:tcPr>
          <w:p>
            <w:pPr>
              <w:ind w:left="320"/>
              <w:spacing w:after="0"/>
              <w:rPr>
                <w:sz w:val="20"/>
                <w:szCs w:val="20"/>
                <w:color w:val="auto"/>
              </w:rPr>
            </w:pPr>
            <w:r>
              <w:rPr>
                <w:rFonts w:ascii="Arial" w:cs="Arial" w:eastAsia="Arial" w:hAnsi="Arial"/>
                <w:sz w:val="18"/>
                <w:szCs w:val="18"/>
                <w:color w:val="auto"/>
              </w:rPr>
              <w:t>01-615-75-34</w:t>
            </w: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2"/>
        </w:trPr>
        <w:tc>
          <w:tcPr>
            <w:tcW w:w="1060" w:type="dxa"/>
            <w:vAlign w:val="bottom"/>
            <w:gridSpan w:val="2"/>
          </w:tcPr>
          <w:p>
            <w:pPr>
              <w:spacing w:after="0"/>
              <w:rPr>
                <w:sz w:val="20"/>
                <w:szCs w:val="20"/>
                <w:color w:val="auto"/>
              </w:rPr>
            </w:pPr>
            <w:r>
              <w:rPr>
                <w:rFonts w:ascii="Arial" w:cs="Arial" w:eastAsia="Arial" w:hAnsi="Arial"/>
                <w:sz w:val="18"/>
                <w:szCs w:val="18"/>
                <w:color w:val="auto"/>
              </w:rPr>
              <w:t>issued to:</w:t>
            </w:r>
          </w:p>
        </w:tc>
        <w:tc>
          <w:tcPr>
            <w:tcW w:w="3800" w:type="dxa"/>
            <w:vAlign w:val="bottom"/>
          </w:tcPr>
          <w:p>
            <w:pPr>
              <w:ind w:left="320"/>
              <w:spacing w:after="0"/>
              <w:rPr>
                <w:sz w:val="20"/>
                <w:szCs w:val="20"/>
                <w:color w:val="auto"/>
              </w:rPr>
            </w:pPr>
            <w:r>
              <w:rPr>
                <w:rFonts w:ascii="Arial" w:cs="Arial" w:eastAsia="Arial" w:hAnsi="Arial"/>
                <w:sz w:val="18"/>
                <w:szCs w:val="18"/>
                <w:color w:val="auto"/>
              </w:rPr>
              <w:t>TPG SPECIALTY LENDING, INC.</w:t>
            </w: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19"/>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gridSpan w:val="2"/>
          </w:tcPr>
          <w:p>
            <w:pPr>
              <w:ind w:left="200"/>
              <w:spacing w:after="0"/>
              <w:rPr>
                <w:sz w:val="20"/>
                <w:szCs w:val="20"/>
                <w:color w:val="auto"/>
              </w:rPr>
            </w:pPr>
            <w:r>
              <w:rPr>
                <w:rFonts w:ascii="Arial" w:cs="Arial" w:eastAsia="Arial" w:hAnsi="Arial"/>
                <w:sz w:val="18"/>
                <w:szCs w:val="18"/>
                <w:color w:val="auto"/>
                <w:w w:val="91"/>
              </w:rPr>
              <w:t>National Union Fire Insurance Company of Pittsburgh, Pa.</w:t>
            </w: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pacing w:after="0" w:line="3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439"/>
        <w:spacing w:after="0"/>
        <w:rPr>
          <w:sz w:val="20"/>
          <w:szCs w:val="20"/>
          <w:color w:val="auto"/>
        </w:rPr>
      </w:pPr>
      <w:r>
        <w:rPr>
          <w:rFonts w:ascii="Arial" w:cs="Arial" w:eastAsia="Arial" w:hAnsi="Arial"/>
          <w:sz w:val="18"/>
          <w:szCs w:val="18"/>
          <w:b w:val="1"/>
          <w:bCs w:val="1"/>
          <w:color w:val="auto"/>
        </w:rPr>
        <w:t>THIS ENDORSEMENT CHANGES THE POLICY. PLEASE READ IT CAREFULLY.</w:t>
      </w:r>
    </w:p>
    <w:p>
      <w:pPr>
        <w:spacing w:after="0" w:line="171"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COVERAGE TERRITORY ENDORSEMENT</w:t>
      </w:r>
    </w:p>
    <w:p>
      <w:pPr>
        <w:spacing w:after="0" w:line="1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Payment of loss under this policy shall only be made in full compliance with all United States of America economic or trade sanction laws or regulations, including, but not limited to, sanctions, laws and regulations administered and enforced by the U.S. Treasury Department’s Office of Foreign Assets Control (“OFAC”).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120015</wp:posOffset>
            </wp:positionV>
            <wp:extent cx="2898775" cy="5918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9877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REPRESENTATIVE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89644 (7/05)</w:t>
      </w:r>
    </w:p>
    <w:p>
      <w:pPr>
        <w:sectPr>
          <w:pgSz w:w="11900" w:h="16838" w:orient="portrait"/>
          <w:cols w:equalWidth="0" w:num="1">
            <w:col w:w="10980"/>
          </w:cols>
          <w:pgMar w:left="240" w:top="257" w:right="67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20" w:type="dxa"/>
            <w:vAlign w:val="bottom"/>
            <w:gridSpan w:val="2"/>
          </w:tcPr>
          <w:p>
            <w:pPr>
              <w:spacing w:after="0"/>
              <w:rPr>
                <w:sz w:val="20"/>
                <w:szCs w:val="20"/>
                <w:color w:val="auto"/>
              </w:rPr>
            </w:pPr>
            <w:r>
              <w:rPr>
                <w:rFonts w:ascii="Arial" w:cs="Arial" w:eastAsia="Arial" w:hAnsi="Arial"/>
                <w:sz w:val="18"/>
                <w:szCs w:val="18"/>
                <w:b w:val="1"/>
                <w:bCs w:val="1"/>
                <w:color w:val="auto"/>
              </w:rPr>
              <w:t>RIDER# 2</w:t>
            </w:r>
          </w:p>
        </w:tc>
      </w:tr>
      <w:tr>
        <w:trPr>
          <w:trHeight w:val="20"/>
        </w:trPr>
        <w:tc>
          <w:tcPr>
            <w:tcW w:w="48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31"/>
        </w:trPr>
        <w:tc>
          <w:tcPr>
            <w:tcW w:w="4860" w:type="dxa"/>
            <w:vAlign w:val="bottom"/>
            <w:gridSpan w:val="3"/>
          </w:tcPr>
          <w:p>
            <w:pPr>
              <w:spacing w:after="0"/>
              <w:rPr>
                <w:sz w:val="20"/>
                <w:szCs w:val="20"/>
                <w:color w:val="auto"/>
              </w:rPr>
            </w:pPr>
            <w:r>
              <w:rPr>
                <w:rFonts w:ascii="Arial" w:cs="Arial" w:eastAsia="Arial" w:hAnsi="Arial"/>
                <w:sz w:val="18"/>
                <w:szCs w:val="18"/>
                <w:color w:val="auto"/>
              </w:rPr>
              <w:t>This endorsement, effective 12:01 A.M</w:t>
            </w:r>
          </w:p>
        </w:tc>
        <w:tc>
          <w:tcPr>
            <w:tcW w:w="2280" w:type="dxa"/>
            <w:vAlign w:val="bottom"/>
            <w:gridSpan w:val="3"/>
          </w:tcPr>
          <w:p>
            <w:pPr>
              <w:ind w:left="180"/>
              <w:spacing w:after="0"/>
              <w:rPr>
                <w:sz w:val="20"/>
                <w:szCs w:val="20"/>
                <w:color w:val="auto"/>
              </w:rPr>
            </w:pPr>
            <w:r>
              <w:rPr>
                <w:rFonts w:ascii="Arial" w:cs="Arial" w:eastAsia="Arial" w:hAnsi="Arial"/>
                <w:sz w:val="18"/>
                <w:szCs w:val="18"/>
                <w:color w:val="auto"/>
                <w:w w:val="88"/>
              </w:rPr>
              <w:t>March 8, 2012 forms a part of</w:t>
            </w:r>
          </w:p>
        </w:tc>
      </w:tr>
      <w:tr>
        <w:trPr>
          <w:trHeight w:val="216"/>
        </w:trPr>
        <w:tc>
          <w:tcPr>
            <w:tcW w:w="1060" w:type="dxa"/>
            <w:vAlign w:val="bottom"/>
            <w:gridSpan w:val="2"/>
          </w:tcPr>
          <w:p>
            <w:pPr>
              <w:spacing w:after="0"/>
              <w:rPr>
                <w:sz w:val="20"/>
                <w:szCs w:val="20"/>
                <w:color w:val="auto"/>
              </w:rPr>
            </w:pPr>
            <w:r>
              <w:rPr>
                <w:rFonts w:ascii="Arial" w:cs="Arial" w:eastAsia="Arial" w:hAnsi="Arial"/>
                <w:sz w:val="18"/>
                <w:szCs w:val="18"/>
                <w:color w:val="auto"/>
              </w:rPr>
              <w:t>policy No.</w:t>
            </w:r>
          </w:p>
        </w:tc>
        <w:tc>
          <w:tcPr>
            <w:tcW w:w="3800" w:type="dxa"/>
            <w:vAlign w:val="bottom"/>
          </w:tcPr>
          <w:p>
            <w:pPr>
              <w:ind w:left="320"/>
              <w:spacing w:after="0"/>
              <w:rPr>
                <w:sz w:val="20"/>
                <w:szCs w:val="20"/>
                <w:color w:val="auto"/>
              </w:rPr>
            </w:pPr>
            <w:r>
              <w:rPr>
                <w:rFonts w:ascii="Arial" w:cs="Arial" w:eastAsia="Arial" w:hAnsi="Arial"/>
                <w:sz w:val="18"/>
                <w:szCs w:val="18"/>
                <w:color w:val="auto"/>
              </w:rPr>
              <w:t>01-615-75-34</w:t>
            </w: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2"/>
        </w:trPr>
        <w:tc>
          <w:tcPr>
            <w:tcW w:w="1060" w:type="dxa"/>
            <w:vAlign w:val="bottom"/>
            <w:gridSpan w:val="2"/>
          </w:tcPr>
          <w:p>
            <w:pPr>
              <w:spacing w:after="0"/>
              <w:rPr>
                <w:sz w:val="20"/>
                <w:szCs w:val="20"/>
                <w:color w:val="auto"/>
              </w:rPr>
            </w:pPr>
            <w:r>
              <w:rPr>
                <w:rFonts w:ascii="Arial" w:cs="Arial" w:eastAsia="Arial" w:hAnsi="Arial"/>
                <w:sz w:val="18"/>
                <w:szCs w:val="18"/>
                <w:color w:val="auto"/>
              </w:rPr>
              <w:t>issued to:</w:t>
            </w:r>
          </w:p>
        </w:tc>
        <w:tc>
          <w:tcPr>
            <w:tcW w:w="3800" w:type="dxa"/>
            <w:vAlign w:val="bottom"/>
          </w:tcPr>
          <w:p>
            <w:pPr>
              <w:ind w:left="320"/>
              <w:spacing w:after="0"/>
              <w:rPr>
                <w:sz w:val="20"/>
                <w:szCs w:val="20"/>
                <w:color w:val="auto"/>
              </w:rPr>
            </w:pPr>
            <w:r>
              <w:rPr>
                <w:rFonts w:ascii="Arial" w:cs="Arial" w:eastAsia="Arial" w:hAnsi="Arial"/>
                <w:sz w:val="18"/>
                <w:szCs w:val="18"/>
                <w:color w:val="auto"/>
              </w:rPr>
              <w:t>TPG SPECIALTY LENDING, INC.</w:t>
            </w: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19"/>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gridSpan w:val="2"/>
          </w:tcPr>
          <w:p>
            <w:pPr>
              <w:ind w:left="200"/>
              <w:spacing w:after="0"/>
              <w:rPr>
                <w:sz w:val="20"/>
                <w:szCs w:val="20"/>
                <w:color w:val="auto"/>
              </w:rPr>
            </w:pPr>
            <w:r>
              <w:rPr>
                <w:rFonts w:ascii="Arial" w:cs="Arial" w:eastAsia="Arial" w:hAnsi="Arial"/>
                <w:sz w:val="18"/>
                <w:szCs w:val="18"/>
                <w:color w:val="auto"/>
                <w:w w:val="91"/>
              </w:rPr>
              <w:t>National Union Fire Insurance Company of Pittsburgh, Pa.</w:t>
            </w: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pacing w:after="0" w:line="3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8"/>
          <w:szCs w:val="18"/>
          <w:b w:val="1"/>
          <w:bCs w:val="1"/>
          <w:color w:val="auto"/>
        </w:rPr>
        <w:t>NOTICE OF CLAIM</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(REPORTING BY E-MAIL)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In consideration of the premium charged, it is hereby understood and agreed as follows:</w:t>
      </w:r>
    </w:p>
    <w:p>
      <w:pPr>
        <w:spacing w:after="0" w:line="90" w:lineRule="exact"/>
        <w:rPr>
          <w:sz w:val="20"/>
          <w:szCs w:val="20"/>
          <w:color w:val="auto"/>
        </w:rPr>
      </w:pPr>
    </w:p>
    <w:p>
      <w:pPr>
        <w:ind w:left="580" w:hanging="572"/>
        <w:spacing w:after="0" w:line="306" w:lineRule="auto"/>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Email Reporting of Claims : In addition to the postal address set forth for any Notice of Claim Reporting under this policy, such notice may also be given in writing pursuant to the policy’s other terms and conditions to the Insurer by email at the following email address: c-claim@chartisinsurance.com</w:t>
      </w:r>
    </w:p>
    <w:p>
      <w:pPr>
        <w:spacing w:after="0" w:line="18"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6"/>
          <w:szCs w:val="16"/>
          <w:color w:val="auto"/>
        </w:rPr>
        <w:t>Your email must reference the policy number for this policy. The date of the Insurer’s receipt of the emailed notice shall constitute the date of notice.</w:t>
      </w:r>
    </w:p>
    <w:p>
      <w:pPr>
        <w:spacing w:after="0" w:line="113" w:lineRule="exact"/>
        <w:rPr>
          <w:rFonts w:ascii="Arial" w:cs="Arial" w:eastAsia="Arial" w:hAnsi="Arial"/>
          <w:sz w:val="18"/>
          <w:szCs w:val="18"/>
          <w:color w:val="auto"/>
        </w:rPr>
      </w:pPr>
    </w:p>
    <w:p>
      <w:pPr>
        <w:ind w:left="580" w:right="200"/>
        <w:spacing w:after="0" w:line="268" w:lineRule="auto"/>
        <w:rPr>
          <w:rFonts w:ascii="Arial" w:cs="Arial" w:eastAsia="Arial" w:hAnsi="Arial"/>
          <w:sz w:val="18"/>
          <w:szCs w:val="18"/>
          <w:color w:val="auto"/>
        </w:rPr>
      </w:pPr>
      <w:r>
        <w:rPr>
          <w:rFonts w:ascii="Arial" w:cs="Arial" w:eastAsia="Arial" w:hAnsi="Arial"/>
          <w:sz w:val="18"/>
          <w:szCs w:val="18"/>
          <w:color w:val="auto"/>
        </w:rPr>
        <w:t>In addition to Notice of Claim Reporting via email, notice may also be given to the Insurer by mailing such notice to: Chartis, Financial Lines Claims, P.O. Box 25947, Shawnee Mission, KS 66225 or faxing such notice to (866) 227-1750.</w:t>
      </w:r>
    </w:p>
    <w:p>
      <w:pPr>
        <w:spacing w:after="0" w:line="50" w:lineRule="exact"/>
        <w:rPr>
          <w:rFonts w:ascii="Arial" w:cs="Arial" w:eastAsia="Arial" w:hAnsi="Arial"/>
          <w:sz w:val="18"/>
          <w:szCs w:val="18"/>
          <w:color w:val="auto"/>
        </w:rPr>
      </w:pPr>
    </w:p>
    <w:p>
      <w:pPr>
        <w:ind w:left="580" w:hanging="572"/>
        <w:spacing w:after="0"/>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Definitions : For this endorsement only, the following definitions shall apply:</w:t>
      </w:r>
    </w:p>
    <w:p>
      <w:pPr>
        <w:spacing w:after="0" w:line="90" w:lineRule="exact"/>
        <w:rPr>
          <w:rFonts w:ascii="Arial" w:cs="Arial" w:eastAsia="Arial" w:hAnsi="Arial"/>
          <w:sz w:val="18"/>
          <w:szCs w:val="18"/>
          <w:color w:val="auto"/>
        </w:rPr>
      </w:pPr>
    </w:p>
    <w:p>
      <w:pPr>
        <w:ind w:left="1140" w:right="420" w:hanging="565"/>
        <w:spacing w:after="0" w:line="268" w:lineRule="auto"/>
        <w:tabs>
          <w:tab w:leader="none" w:pos="11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“Insurer” means the “Insurer,” “Underwriter” or “Company” or other name specifically ascribed in this policy as the insurance company or underwriter for this policy.</w:t>
      </w:r>
    </w:p>
    <w:p>
      <w:pPr>
        <w:spacing w:after="0" w:line="50" w:lineRule="exact"/>
        <w:rPr>
          <w:rFonts w:ascii="Arial" w:cs="Arial" w:eastAsia="Arial" w:hAnsi="Arial"/>
          <w:sz w:val="18"/>
          <w:szCs w:val="18"/>
          <w:color w:val="auto"/>
        </w:rPr>
      </w:pPr>
    </w:p>
    <w:p>
      <w:pPr>
        <w:ind w:left="1140" w:right="120" w:hanging="565"/>
        <w:spacing w:after="0" w:line="268" w:lineRule="auto"/>
        <w:tabs>
          <w:tab w:leader="none" w:pos="11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“Notice of Claim Reporting” means “notice of claim/circumstance,” “notice of loss” or other reference in the policy designated for reporting of claims, loss or occurrences or situations that may give rise or result in loss under this policy.</w:t>
      </w:r>
    </w:p>
    <w:p>
      <w:pPr>
        <w:spacing w:after="0" w:line="50" w:lineRule="exact"/>
        <w:rPr>
          <w:rFonts w:ascii="Arial" w:cs="Arial" w:eastAsia="Arial" w:hAnsi="Arial"/>
          <w:sz w:val="18"/>
          <w:szCs w:val="18"/>
          <w:color w:val="auto"/>
        </w:rPr>
      </w:pPr>
    </w:p>
    <w:p>
      <w:pPr>
        <w:ind w:left="1140" w:hanging="565"/>
        <w:spacing w:after="0"/>
        <w:tabs>
          <w:tab w:leader="none" w:pos="11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“Policy” means the policy, bond or other insurance product to which this endorsement is attached.</w:t>
      </w:r>
    </w:p>
    <w:p>
      <w:pPr>
        <w:sectPr>
          <w:pgSz w:w="11900" w:h="16838" w:orient="portrait"/>
          <w:cols w:equalWidth="0" w:num="1">
            <w:col w:w="11340"/>
          </w:cols>
          <w:pgMar w:left="240" w:top="257" w:right="319" w:bottom="1440" w:gutter="0" w:footer="0" w:header="0"/>
        </w:sectPr>
      </w:pPr>
    </w:p>
    <w:bookmarkStart w:id="28" w:name="page29"/>
    <w:bookmarkEnd w:id="28"/>
    <w:p>
      <w:pPr>
        <w:ind w:left="484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RIDER#</w:t>
      </w:r>
      <w:r>
        <w:rPr>
          <w:rFonts w:ascii="Arial" w:cs="Arial" w:eastAsia="Arial" w:hAnsi="Arial"/>
          <w:sz w:val="18"/>
          <w:szCs w:val="18"/>
          <w:b w:val="1"/>
          <w:bCs w:val="1"/>
          <w:color w:val="auto"/>
        </w:rPr>
        <w:t xml:space="preserve"> 2 (Continued)</w:t>
      </w:r>
    </w:p>
    <w:p>
      <w:pPr>
        <w:spacing w:after="0" w:line="218" w:lineRule="exact"/>
        <w:rPr>
          <w:sz w:val="20"/>
          <w:szCs w:val="20"/>
          <w:color w:val="auto"/>
        </w:rPr>
      </w:pPr>
    </w:p>
    <w:p>
      <w:pPr>
        <w:ind w:left="580" w:hanging="572"/>
        <w:spacing w:after="0"/>
        <w:tabs>
          <w:tab w:leader="none" w:pos="5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This endorsement does not apply to any Kidnap &amp; Ransom/Extortion Coverage Section, if any, provided by this policy.</w:t>
      </w:r>
    </w:p>
    <w:p>
      <w:pPr>
        <w:spacing w:after="0" w:line="19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ALL OTHER TERMS, CONDITIONS AND EXCLUSIONS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139700</wp:posOffset>
            </wp:positionV>
            <wp:extent cx="2898775" cy="5918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9877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ind w:right="719"/>
        <w:spacing w:after="0"/>
        <w:rPr>
          <w:sz w:val="20"/>
          <w:szCs w:val="20"/>
          <w:color w:val="auto"/>
        </w:rPr>
      </w:pPr>
      <w:r>
        <w:rPr>
          <w:rFonts w:ascii="Arial" w:cs="Arial" w:eastAsia="Arial" w:hAnsi="Arial"/>
          <w:sz w:val="18"/>
          <w:szCs w:val="18"/>
          <w:color w:val="auto"/>
        </w:rPr>
        <w:t>AUTHORIZED REPRESENTATIVE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99758 (8/08)</w:t>
      </w:r>
    </w:p>
    <w:p>
      <w:pPr>
        <w:sectPr>
          <w:pgSz w:w="11900" w:h="16838" w:orient="portrait"/>
          <w:cols w:equalWidth="0" w:num="1">
            <w:col w:w="10219"/>
          </w:cols>
          <w:pgMar w:left="240" w:top="274" w:right="1440"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20" w:type="dxa"/>
            <w:vAlign w:val="bottom"/>
            <w:gridSpan w:val="2"/>
          </w:tcPr>
          <w:p>
            <w:pPr>
              <w:spacing w:after="0"/>
              <w:rPr>
                <w:sz w:val="20"/>
                <w:szCs w:val="20"/>
                <w:color w:val="auto"/>
              </w:rPr>
            </w:pPr>
            <w:r>
              <w:rPr>
                <w:rFonts w:ascii="Arial" w:cs="Arial" w:eastAsia="Arial" w:hAnsi="Arial"/>
                <w:sz w:val="18"/>
                <w:szCs w:val="18"/>
                <w:b w:val="1"/>
                <w:bCs w:val="1"/>
                <w:color w:val="auto"/>
              </w:rPr>
              <w:t>RIDER# 3</w:t>
            </w:r>
          </w:p>
        </w:tc>
      </w:tr>
      <w:tr>
        <w:trPr>
          <w:trHeight w:val="20"/>
        </w:trPr>
        <w:tc>
          <w:tcPr>
            <w:tcW w:w="48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31"/>
        </w:trPr>
        <w:tc>
          <w:tcPr>
            <w:tcW w:w="4860" w:type="dxa"/>
            <w:vAlign w:val="bottom"/>
            <w:gridSpan w:val="3"/>
          </w:tcPr>
          <w:p>
            <w:pPr>
              <w:spacing w:after="0"/>
              <w:rPr>
                <w:sz w:val="20"/>
                <w:szCs w:val="20"/>
                <w:color w:val="auto"/>
              </w:rPr>
            </w:pPr>
            <w:r>
              <w:rPr>
                <w:rFonts w:ascii="Arial" w:cs="Arial" w:eastAsia="Arial" w:hAnsi="Arial"/>
                <w:sz w:val="18"/>
                <w:szCs w:val="18"/>
                <w:color w:val="auto"/>
              </w:rPr>
              <w:t>This endorsement, effective 12:01 A.M</w:t>
            </w:r>
          </w:p>
        </w:tc>
        <w:tc>
          <w:tcPr>
            <w:tcW w:w="2280" w:type="dxa"/>
            <w:vAlign w:val="bottom"/>
            <w:gridSpan w:val="3"/>
          </w:tcPr>
          <w:p>
            <w:pPr>
              <w:ind w:left="180"/>
              <w:spacing w:after="0"/>
              <w:rPr>
                <w:sz w:val="20"/>
                <w:szCs w:val="20"/>
                <w:color w:val="auto"/>
              </w:rPr>
            </w:pPr>
            <w:r>
              <w:rPr>
                <w:rFonts w:ascii="Arial" w:cs="Arial" w:eastAsia="Arial" w:hAnsi="Arial"/>
                <w:sz w:val="18"/>
                <w:szCs w:val="18"/>
                <w:color w:val="auto"/>
                <w:w w:val="88"/>
              </w:rPr>
              <w:t>March 8, 2012 forms a part of</w:t>
            </w:r>
          </w:p>
        </w:tc>
      </w:tr>
      <w:tr>
        <w:trPr>
          <w:trHeight w:val="216"/>
        </w:trPr>
        <w:tc>
          <w:tcPr>
            <w:tcW w:w="1060" w:type="dxa"/>
            <w:vAlign w:val="bottom"/>
            <w:gridSpan w:val="2"/>
          </w:tcPr>
          <w:p>
            <w:pPr>
              <w:spacing w:after="0"/>
              <w:rPr>
                <w:sz w:val="20"/>
                <w:szCs w:val="20"/>
                <w:color w:val="auto"/>
              </w:rPr>
            </w:pPr>
            <w:r>
              <w:rPr>
                <w:rFonts w:ascii="Arial" w:cs="Arial" w:eastAsia="Arial" w:hAnsi="Arial"/>
                <w:sz w:val="18"/>
                <w:szCs w:val="18"/>
                <w:color w:val="auto"/>
              </w:rPr>
              <w:t>policy No.</w:t>
            </w:r>
          </w:p>
        </w:tc>
        <w:tc>
          <w:tcPr>
            <w:tcW w:w="3800" w:type="dxa"/>
            <w:vAlign w:val="bottom"/>
          </w:tcPr>
          <w:p>
            <w:pPr>
              <w:ind w:left="320"/>
              <w:spacing w:after="0"/>
              <w:rPr>
                <w:sz w:val="20"/>
                <w:szCs w:val="20"/>
                <w:color w:val="auto"/>
              </w:rPr>
            </w:pPr>
            <w:r>
              <w:rPr>
                <w:rFonts w:ascii="Arial" w:cs="Arial" w:eastAsia="Arial" w:hAnsi="Arial"/>
                <w:sz w:val="18"/>
                <w:szCs w:val="18"/>
                <w:color w:val="auto"/>
              </w:rPr>
              <w:t>01-615-75-34</w:t>
            </w: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2"/>
        </w:trPr>
        <w:tc>
          <w:tcPr>
            <w:tcW w:w="1060" w:type="dxa"/>
            <w:vAlign w:val="bottom"/>
            <w:gridSpan w:val="2"/>
          </w:tcPr>
          <w:p>
            <w:pPr>
              <w:spacing w:after="0"/>
              <w:rPr>
                <w:sz w:val="20"/>
                <w:szCs w:val="20"/>
                <w:color w:val="auto"/>
              </w:rPr>
            </w:pPr>
            <w:r>
              <w:rPr>
                <w:rFonts w:ascii="Arial" w:cs="Arial" w:eastAsia="Arial" w:hAnsi="Arial"/>
                <w:sz w:val="18"/>
                <w:szCs w:val="18"/>
                <w:color w:val="auto"/>
              </w:rPr>
              <w:t>issued to:</w:t>
            </w:r>
          </w:p>
        </w:tc>
        <w:tc>
          <w:tcPr>
            <w:tcW w:w="3800" w:type="dxa"/>
            <w:vAlign w:val="bottom"/>
          </w:tcPr>
          <w:p>
            <w:pPr>
              <w:ind w:left="320"/>
              <w:spacing w:after="0"/>
              <w:rPr>
                <w:sz w:val="20"/>
                <w:szCs w:val="20"/>
                <w:color w:val="auto"/>
              </w:rPr>
            </w:pPr>
            <w:r>
              <w:rPr>
                <w:rFonts w:ascii="Arial" w:cs="Arial" w:eastAsia="Arial" w:hAnsi="Arial"/>
                <w:sz w:val="18"/>
                <w:szCs w:val="18"/>
                <w:color w:val="auto"/>
              </w:rPr>
              <w:t>TPG SPECIALTY LENDING, INC.</w:t>
            </w: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19"/>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gridSpan w:val="2"/>
          </w:tcPr>
          <w:p>
            <w:pPr>
              <w:ind w:left="200"/>
              <w:spacing w:after="0"/>
              <w:rPr>
                <w:sz w:val="20"/>
                <w:szCs w:val="20"/>
                <w:color w:val="auto"/>
              </w:rPr>
            </w:pPr>
            <w:r>
              <w:rPr>
                <w:rFonts w:ascii="Arial" w:cs="Arial" w:eastAsia="Arial" w:hAnsi="Arial"/>
                <w:sz w:val="18"/>
                <w:szCs w:val="18"/>
                <w:color w:val="auto"/>
                <w:w w:val="91"/>
              </w:rPr>
              <w:t>National Union Fire Insurance Company of Pittsburgh, Pa.</w:t>
            </w: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pacing w:after="0" w:line="3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AMEND EXCLUSION (j) - RICO RIDER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(“ALLEGED” TO “ADJUDICATED”)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90" w:lineRule="exact"/>
        <w:rPr>
          <w:sz w:val="20"/>
          <w:szCs w:val="20"/>
          <w:color w:val="auto"/>
        </w:rPr>
      </w:pPr>
    </w:p>
    <w:p>
      <w:pPr>
        <w:ind w:left="580" w:hanging="572"/>
        <w:spacing w:after="0"/>
        <w:tabs>
          <w:tab w:leader="none" w:pos="5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Paragraph (j) of Section 2. EXCLUSIONS of the CONDITIONS AND LIMITATIONS Clause is deleted in its entirety and replaced with the following:</w:t>
      </w:r>
    </w:p>
    <w:p>
      <w:pPr>
        <w:spacing w:after="0" w:line="113" w:lineRule="exact"/>
        <w:rPr>
          <w:rFonts w:ascii="Arial" w:cs="Arial" w:eastAsia="Arial" w:hAnsi="Arial"/>
          <w:sz w:val="16"/>
          <w:szCs w:val="16"/>
          <w:color w:val="auto"/>
        </w:rPr>
      </w:pPr>
    </w:p>
    <w:p>
      <w:pPr>
        <w:ind w:left="1140" w:right="60" w:hanging="565"/>
        <w:spacing w:after="0" w:line="256" w:lineRule="auto"/>
        <w:tabs>
          <w:tab w:leader="none" w:pos="11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damages resulting from any civil, criminal or other legal proceeding in which the Insured is adjudicated to have engaged in racketeering activity except when the Insured establishes that the act or acts giving rise to such damages were committed by an Employee under circumstances which result directly in a loss to the Insured covered by Insuring Agreement (A). For the purposes of this exclusion, “racketeering activity” is defined in 18 United States Code 1961 et seq., as amended;</w:t>
      </w:r>
    </w:p>
    <w:p>
      <w:pPr>
        <w:spacing w:after="0" w:line="62" w:lineRule="exact"/>
        <w:rPr>
          <w:rFonts w:ascii="Arial" w:cs="Arial" w:eastAsia="Arial" w:hAnsi="Arial"/>
          <w:sz w:val="18"/>
          <w:szCs w:val="18"/>
          <w:color w:val="auto"/>
        </w:rPr>
      </w:pPr>
    </w:p>
    <w:p>
      <w:pPr>
        <w:ind w:left="580" w:hanging="572"/>
        <w:spacing w:after="0" w:line="268" w:lineRule="auto"/>
        <w:tabs>
          <w:tab w:leader="none" w:pos="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Nothing contained here shall be held to vary, alter, waive or extend any of the terms, limitations, conditions, or agreements of the attached bond other than as above stated.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CONDITIONS AND EXCLUSIONS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139700</wp:posOffset>
            </wp:positionV>
            <wp:extent cx="2898775" cy="6089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98775"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REPRESENTATIVE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101776 (6/09)</w:t>
      </w:r>
    </w:p>
    <w:p>
      <w:pPr>
        <w:sectPr>
          <w:pgSz w:w="11900" w:h="16838" w:orient="portrait"/>
          <w:cols w:equalWidth="0" w:num="1">
            <w:col w:w="11420"/>
          </w:cols>
          <w:pgMar w:left="240" w:top="257"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20" w:type="dxa"/>
            <w:vAlign w:val="bottom"/>
            <w:gridSpan w:val="2"/>
          </w:tcPr>
          <w:p>
            <w:pPr>
              <w:spacing w:after="0"/>
              <w:rPr>
                <w:sz w:val="20"/>
                <w:szCs w:val="20"/>
                <w:color w:val="auto"/>
              </w:rPr>
            </w:pPr>
            <w:r>
              <w:rPr>
                <w:rFonts w:ascii="Arial" w:cs="Arial" w:eastAsia="Arial" w:hAnsi="Arial"/>
                <w:sz w:val="18"/>
                <w:szCs w:val="18"/>
                <w:b w:val="1"/>
                <w:bCs w:val="1"/>
                <w:color w:val="auto"/>
              </w:rPr>
              <w:t>RIDER# 4</w:t>
            </w:r>
          </w:p>
        </w:tc>
      </w:tr>
      <w:tr>
        <w:trPr>
          <w:trHeight w:val="20"/>
        </w:trPr>
        <w:tc>
          <w:tcPr>
            <w:tcW w:w="48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31"/>
        </w:trPr>
        <w:tc>
          <w:tcPr>
            <w:tcW w:w="4860" w:type="dxa"/>
            <w:vAlign w:val="bottom"/>
            <w:gridSpan w:val="3"/>
          </w:tcPr>
          <w:p>
            <w:pPr>
              <w:spacing w:after="0"/>
              <w:rPr>
                <w:sz w:val="20"/>
                <w:szCs w:val="20"/>
                <w:color w:val="auto"/>
              </w:rPr>
            </w:pPr>
            <w:r>
              <w:rPr>
                <w:rFonts w:ascii="Arial" w:cs="Arial" w:eastAsia="Arial" w:hAnsi="Arial"/>
                <w:sz w:val="18"/>
                <w:szCs w:val="18"/>
                <w:color w:val="auto"/>
              </w:rPr>
              <w:t>This endorsement, effective 12:01 A.M</w:t>
            </w:r>
          </w:p>
        </w:tc>
        <w:tc>
          <w:tcPr>
            <w:tcW w:w="2280" w:type="dxa"/>
            <w:vAlign w:val="bottom"/>
            <w:gridSpan w:val="3"/>
          </w:tcPr>
          <w:p>
            <w:pPr>
              <w:ind w:left="180"/>
              <w:spacing w:after="0"/>
              <w:rPr>
                <w:sz w:val="20"/>
                <w:szCs w:val="20"/>
                <w:color w:val="auto"/>
              </w:rPr>
            </w:pPr>
            <w:r>
              <w:rPr>
                <w:rFonts w:ascii="Arial" w:cs="Arial" w:eastAsia="Arial" w:hAnsi="Arial"/>
                <w:sz w:val="18"/>
                <w:szCs w:val="18"/>
                <w:color w:val="auto"/>
                <w:w w:val="88"/>
              </w:rPr>
              <w:t>March 8, 2012 forms a part of</w:t>
            </w:r>
          </w:p>
        </w:tc>
      </w:tr>
      <w:tr>
        <w:trPr>
          <w:trHeight w:val="216"/>
        </w:trPr>
        <w:tc>
          <w:tcPr>
            <w:tcW w:w="1060" w:type="dxa"/>
            <w:vAlign w:val="bottom"/>
            <w:gridSpan w:val="2"/>
          </w:tcPr>
          <w:p>
            <w:pPr>
              <w:spacing w:after="0"/>
              <w:rPr>
                <w:sz w:val="20"/>
                <w:szCs w:val="20"/>
                <w:color w:val="auto"/>
              </w:rPr>
            </w:pPr>
            <w:r>
              <w:rPr>
                <w:rFonts w:ascii="Arial" w:cs="Arial" w:eastAsia="Arial" w:hAnsi="Arial"/>
                <w:sz w:val="18"/>
                <w:szCs w:val="18"/>
                <w:color w:val="auto"/>
              </w:rPr>
              <w:t>policy No.</w:t>
            </w:r>
          </w:p>
        </w:tc>
        <w:tc>
          <w:tcPr>
            <w:tcW w:w="3800" w:type="dxa"/>
            <w:vAlign w:val="bottom"/>
          </w:tcPr>
          <w:p>
            <w:pPr>
              <w:ind w:left="320"/>
              <w:spacing w:after="0"/>
              <w:rPr>
                <w:sz w:val="20"/>
                <w:szCs w:val="20"/>
                <w:color w:val="auto"/>
              </w:rPr>
            </w:pPr>
            <w:r>
              <w:rPr>
                <w:rFonts w:ascii="Arial" w:cs="Arial" w:eastAsia="Arial" w:hAnsi="Arial"/>
                <w:sz w:val="18"/>
                <w:szCs w:val="18"/>
                <w:color w:val="auto"/>
              </w:rPr>
              <w:t>01-615-75-34</w:t>
            </w: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2"/>
        </w:trPr>
        <w:tc>
          <w:tcPr>
            <w:tcW w:w="1060" w:type="dxa"/>
            <w:vAlign w:val="bottom"/>
            <w:gridSpan w:val="2"/>
          </w:tcPr>
          <w:p>
            <w:pPr>
              <w:spacing w:after="0"/>
              <w:rPr>
                <w:sz w:val="20"/>
                <w:szCs w:val="20"/>
                <w:color w:val="auto"/>
              </w:rPr>
            </w:pPr>
            <w:r>
              <w:rPr>
                <w:rFonts w:ascii="Arial" w:cs="Arial" w:eastAsia="Arial" w:hAnsi="Arial"/>
                <w:sz w:val="18"/>
                <w:szCs w:val="18"/>
                <w:color w:val="auto"/>
              </w:rPr>
              <w:t>issued to:</w:t>
            </w:r>
          </w:p>
        </w:tc>
        <w:tc>
          <w:tcPr>
            <w:tcW w:w="3800" w:type="dxa"/>
            <w:vAlign w:val="bottom"/>
          </w:tcPr>
          <w:p>
            <w:pPr>
              <w:ind w:left="320"/>
              <w:spacing w:after="0"/>
              <w:rPr>
                <w:sz w:val="20"/>
                <w:szCs w:val="20"/>
                <w:color w:val="auto"/>
              </w:rPr>
            </w:pPr>
            <w:r>
              <w:rPr>
                <w:rFonts w:ascii="Arial" w:cs="Arial" w:eastAsia="Arial" w:hAnsi="Arial"/>
                <w:sz w:val="18"/>
                <w:szCs w:val="18"/>
                <w:color w:val="auto"/>
              </w:rPr>
              <w:t>TPG SPECIALTY LENDING, INC.</w:t>
            </w: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19"/>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gridSpan w:val="2"/>
          </w:tcPr>
          <w:p>
            <w:pPr>
              <w:ind w:left="200"/>
              <w:spacing w:after="0"/>
              <w:rPr>
                <w:sz w:val="20"/>
                <w:szCs w:val="20"/>
                <w:color w:val="auto"/>
              </w:rPr>
            </w:pPr>
            <w:r>
              <w:rPr>
                <w:rFonts w:ascii="Arial" w:cs="Arial" w:eastAsia="Arial" w:hAnsi="Arial"/>
                <w:sz w:val="18"/>
                <w:szCs w:val="18"/>
                <w:color w:val="auto"/>
                <w:w w:val="91"/>
              </w:rPr>
              <w:t>National Union Fire Insurance Company of Pittsburgh, Pa.</w:t>
            </w: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pacing w:after="0" w:line="3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b w:val="1"/>
          <w:bCs w:val="1"/>
          <w:color w:val="auto"/>
        </w:rPr>
        <w:t>TEXAS AMENDATORY ENDORSEMENT</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CANCELLATION AND NONRENEWAL</w:t>
      </w:r>
    </w:p>
    <w:p>
      <w:pPr>
        <w:spacing w:after="0" w:line="16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Wherever used in this endorsement: 1) “Insurer “ means the insurance company which issued this policy; and 2) “Insured “ means the Named Corporation, Named Organization, Named Sponsor, or Named Insured stated in the declarations page; and 3) “Liability insurance “ means the following types of insurance: general liability, professional liability other than medical professional liability, commercial multi -peril coverage, and any other types of lines of liability insurance designated by the State Board of Insurance.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It is hereby agreed that the cancellation provision of this policy is deleted in its entirety and replaced by the following:</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CANCELLATION AND NONRENEWAL</w:t>
      </w:r>
    </w:p>
    <w:p>
      <w:pPr>
        <w:spacing w:after="0" w:line="96" w:lineRule="exact"/>
        <w:rPr>
          <w:sz w:val="20"/>
          <w:szCs w:val="20"/>
          <w:color w:val="auto"/>
        </w:rPr>
      </w:pPr>
    </w:p>
    <w:p>
      <w:pPr>
        <w:ind w:left="580" w:hanging="572"/>
        <w:spacing w:after="0"/>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Cancellation</w:t>
      </w:r>
    </w:p>
    <w:p>
      <w:pPr>
        <w:spacing w:after="0" w:line="90" w:lineRule="exact"/>
        <w:rPr>
          <w:rFonts w:ascii="Arial" w:cs="Arial" w:eastAsia="Arial" w:hAnsi="Arial"/>
          <w:sz w:val="18"/>
          <w:szCs w:val="18"/>
          <w:color w:val="auto"/>
        </w:rPr>
      </w:pPr>
    </w:p>
    <w:p>
      <w:pPr>
        <w:ind w:left="1140" w:hanging="565"/>
        <w:spacing w:after="0" w:line="268" w:lineRule="auto"/>
        <w:tabs>
          <w:tab w:leader="none" w:pos="11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This policy may be canceled by the Insured by surrender thereof to the Insurer or any of its authorized agents or by mailing to the Insurer written notice stating when thereafter the cancellation shall be effective.</w:t>
      </w:r>
    </w:p>
    <w:p>
      <w:pPr>
        <w:spacing w:after="0" w:line="50" w:lineRule="exact"/>
        <w:rPr>
          <w:rFonts w:ascii="Arial" w:cs="Arial" w:eastAsia="Arial" w:hAnsi="Arial"/>
          <w:sz w:val="18"/>
          <w:szCs w:val="18"/>
          <w:color w:val="auto"/>
        </w:rPr>
      </w:pPr>
    </w:p>
    <w:p>
      <w:pPr>
        <w:ind w:left="1140" w:hanging="565"/>
        <w:spacing w:after="0"/>
        <w:tabs>
          <w:tab w:leader="none" w:pos="11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Except as provided by subsection A.3. below, the Insurer may not cancel this policy if it is:</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2"/>
          <w:numId w:val="43"/>
        </w:numPr>
        <w:rPr>
          <w:rFonts w:ascii="Arial" w:cs="Arial" w:eastAsia="Arial" w:hAnsi="Arial"/>
          <w:sz w:val="18"/>
          <w:szCs w:val="18"/>
          <w:color w:val="auto"/>
        </w:rPr>
      </w:pPr>
      <w:r>
        <w:rPr>
          <w:rFonts w:ascii="Arial" w:cs="Arial" w:eastAsia="Arial" w:hAnsi="Arial"/>
          <w:sz w:val="18"/>
          <w:szCs w:val="18"/>
          <w:color w:val="auto"/>
        </w:rPr>
        <w:t>a policy of liability insurance that is a renewal or continuation policy; or</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2"/>
          <w:numId w:val="43"/>
        </w:numPr>
        <w:rPr>
          <w:rFonts w:ascii="Arial" w:cs="Arial" w:eastAsia="Arial" w:hAnsi="Arial"/>
          <w:sz w:val="16"/>
          <w:szCs w:val="16"/>
          <w:color w:val="auto"/>
        </w:rPr>
      </w:pPr>
      <w:r>
        <w:rPr>
          <w:rFonts w:ascii="Arial" w:cs="Arial" w:eastAsia="Arial" w:hAnsi="Arial"/>
          <w:sz w:val="16"/>
          <w:szCs w:val="16"/>
          <w:color w:val="auto"/>
        </w:rPr>
        <w:t>a policy of liability insurance that is in its initial policy period after the 60th day following the date on which the policy was issued.</w:t>
      </w:r>
    </w:p>
    <w:p>
      <w:pPr>
        <w:spacing w:after="0" w:line="113" w:lineRule="exact"/>
        <w:rPr>
          <w:rFonts w:ascii="Arial" w:cs="Arial" w:eastAsia="Arial" w:hAnsi="Arial"/>
          <w:sz w:val="16"/>
          <w:szCs w:val="16"/>
          <w:color w:val="auto"/>
        </w:rPr>
      </w:pPr>
    </w:p>
    <w:p>
      <w:pPr>
        <w:ind w:left="1140" w:hanging="565"/>
        <w:spacing w:after="0"/>
        <w:tabs>
          <w:tab w:leader="none" w:pos="11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Insurer may cancel this policy at any time during the term of the policy for the following reasons:</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2"/>
          <w:numId w:val="43"/>
        </w:numPr>
        <w:rPr>
          <w:rFonts w:ascii="Arial" w:cs="Arial" w:eastAsia="Arial" w:hAnsi="Arial"/>
          <w:sz w:val="18"/>
          <w:szCs w:val="18"/>
          <w:color w:val="auto"/>
        </w:rPr>
      </w:pPr>
      <w:r>
        <w:rPr>
          <w:rFonts w:ascii="Arial" w:cs="Arial" w:eastAsia="Arial" w:hAnsi="Arial"/>
          <w:sz w:val="18"/>
          <w:szCs w:val="18"/>
          <w:color w:val="auto"/>
        </w:rPr>
        <w:t>fraud in obtaining coverage;</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2"/>
          <w:numId w:val="43"/>
        </w:numPr>
        <w:rPr>
          <w:rFonts w:ascii="Arial" w:cs="Arial" w:eastAsia="Arial" w:hAnsi="Arial"/>
          <w:sz w:val="18"/>
          <w:szCs w:val="18"/>
          <w:color w:val="auto"/>
        </w:rPr>
      </w:pPr>
      <w:r>
        <w:rPr>
          <w:rFonts w:ascii="Arial" w:cs="Arial" w:eastAsia="Arial" w:hAnsi="Arial"/>
          <w:sz w:val="18"/>
          <w:szCs w:val="18"/>
          <w:color w:val="auto"/>
        </w:rPr>
        <w:t>failure to pay premiums when due;</w:t>
      </w:r>
    </w:p>
    <w:p>
      <w:pPr>
        <w:sectPr>
          <w:pgSz w:w="11900" w:h="16838" w:orient="portrait"/>
          <w:cols w:equalWidth="0" w:num="1">
            <w:col w:w="11320"/>
          </w:cols>
          <w:pgMar w:left="240" w:top="257" w:right="339" w:bottom="1440" w:gutter="0" w:footer="0" w:header="0"/>
        </w:sectPr>
      </w:pPr>
    </w:p>
    <w:bookmarkStart w:id="31" w:name="page32"/>
    <w:bookmarkEnd w:id="31"/>
    <w:p>
      <w:pPr>
        <w:jc w:val="center"/>
        <w:ind w:right="-11"/>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RIDER#</w:t>
      </w:r>
      <w:r>
        <w:rPr>
          <w:rFonts w:ascii="Arial" w:cs="Arial" w:eastAsia="Arial" w:hAnsi="Arial"/>
          <w:sz w:val="18"/>
          <w:szCs w:val="18"/>
          <w:b w:val="1"/>
          <w:bCs w:val="1"/>
          <w:color w:val="auto"/>
        </w:rPr>
        <w:t xml:space="preserve"> 4 (Continued)</w:t>
      </w:r>
    </w:p>
    <w:p>
      <w:pPr>
        <w:spacing w:after="0" w:line="218" w:lineRule="exact"/>
        <w:rPr>
          <w:sz w:val="20"/>
          <w:szCs w:val="20"/>
          <w:color w:val="auto"/>
        </w:rPr>
      </w:pPr>
    </w:p>
    <w:p>
      <w:pPr>
        <w:ind w:left="1812" w:hanging="678"/>
        <w:spacing w:after="0"/>
        <w:tabs>
          <w:tab w:leader="none" w:pos="1812" w:val="left"/>
        </w:tabs>
        <w:numPr>
          <w:ilvl w:val="2"/>
          <w:numId w:val="44"/>
        </w:numPr>
        <w:rPr>
          <w:rFonts w:ascii="Arial" w:cs="Arial" w:eastAsia="Arial" w:hAnsi="Arial"/>
          <w:sz w:val="18"/>
          <w:szCs w:val="18"/>
          <w:color w:val="auto"/>
        </w:rPr>
      </w:pPr>
      <w:r>
        <w:rPr>
          <w:rFonts w:ascii="Arial" w:cs="Arial" w:eastAsia="Arial" w:hAnsi="Arial"/>
          <w:sz w:val="18"/>
          <w:szCs w:val="18"/>
          <w:color w:val="auto"/>
        </w:rPr>
        <w:t>an increase in hazard within the control of the Insured or Other Insured(s) which would produce an increase in rate;</w:t>
      </w:r>
    </w:p>
    <w:p>
      <w:pPr>
        <w:spacing w:after="0" w:line="90" w:lineRule="exact"/>
        <w:rPr>
          <w:rFonts w:ascii="Arial" w:cs="Arial" w:eastAsia="Arial" w:hAnsi="Arial"/>
          <w:sz w:val="18"/>
          <w:szCs w:val="18"/>
          <w:color w:val="auto"/>
        </w:rPr>
      </w:pPr>
    </w:p>
    <w:p>
      <w:pPr>
        <w:ind w:left="1812" w:hanging="678"/>
        <w:spacing w:after="0"/>
        <w:tabs>
          <w:tab w:leader="none" w:pos="1812" w:val="left"/>
        </w:tabs>
        <w:numPr>
          <w:ilvl w:val="2"/>
          <w:numId w:val="44"/>
        </w:numPr>
        <w:rPr>
          <w:rFonts w:ascii="Arial" w:cs="Arial" w:eastAsia="Arial" w:hAnsi="Arial"/>
          <w:sz w:val="18"/>
          <w:szCs w:val="18"/>
          <w:color w:val="auto"/>
        </w:rPr>
      </w:pPr>
      <w:r>
        <w:rPr>
          <w:rFonts w:ascii="Arial" w:cs="Arial" w:eastAsia="Arial" w:hAnsi="Arial"/>
          <w:sz w:val="18"/>
          <w:szCs w:val="18"/>
          <w:color w:val="auto"/>
        </w:rPr>
        <w:t>loss of the Insurer’s reinsurance covering all or part of the risk covered by the policy; or</w:t>
      </w:r>
    </w:p>
    <w:p>
      <w:pPr>
        <w:spacing w:after="0" w:line="90" w:lineRule="exact"/>
        <w:rPr>
          <w:rFonts w:ascii="Arial" w:cs="Arial" w:eastAsia="Arial" w:hAnsi="Arial"/>
          <w:sz w:val="18"/>
          <w:szCs w:val="18"/>
          <w:color w:val="auto"/>
        </w:rPr>
      </w:pPr>
    </w:p>
    <w:p>
      <w:pPr>
        <w:ind w:left="1812" w:hanging="678"/>
        <w:spacing w:after="0" w:line="268" w:lineRule="auto"/>
        <w:tabs>
          <w:tab w:leader="none" w:pos="1812" w:val="left"/>
        </w:tabs>
        <w:numPr>
          <w:ilvl w:val="2"/>
          <w:numId w:val="44"/>
        </w:numPr>
        <w:rPr>
          <w:rFonts w:ascii="Arial" w:cs="Arial" w:eastAsia="Arial" w:hAnsi="Arial"/>
          <w:sz w:val="18"/>
          <w:szCs w:val="18"/>
          <w:color w:val="auto"/>
        </w:rPr>
      </w:pPr>
      <w:r>
        <w:rPr>
          <w:rFonts w:ascii="Arial" w:cs="Arial" w:eastAsia="Arial" w:hAnsi="Arial"/>
          <w:sz w:val="18"/>
          <w:szCs w:val="18"/>
          <w:color w:val="auto"/>
        </w:rPr>
        <w:t>the Insurer being placed in supervision, conservatorship, or receivership, if the cancellation or nonrenewal is approved or directed by the supervisor, conservator, or receiver.</w:t>
      </w:r>
    </w:p>
    <w:p>
      <w:pPr>
        <w:spacing w:after="0" w:line="50" w:lineRule="exact"/>
        <w:rPr>
          <w:rFonts w:ascii="Arial" w:cs="Arial" w:eastAsia="Arial" w:hAnsi="Arial"/>
          <w:sz w:val="18"/>
          <w:szCs w:val="18"/>
          <w:color w:val="auto"/>
        </w:rPr>
      </w:pPr>
    </w:p>
    <w:p>
      <w:pPr>
        <w:ind w:left="1132" w:right="240" w:hanging="565"/>
        <w:spacing w:after="0" w:line="357" w:lineRule="auto"/>
        <w:tabs>
          <w:tab w:leader="none" w:pos="1132" w:val="left"/>
        </w:tabs>
        <w:numPr>
          <w:ilvl w:val="1"/>
          <w:numId w:val="45"/>
        </w:numPr>
        <w:rPr>
          <w:rFonts w:ascii="Arial" w:cs="Arial" w:eastAsia="Arial" w:hAnsi="Arial"/>
          <w:sz w:val="15"/>
          <w:szCs w:val="15"/>
          <w:color w:val="auto"/>
        </w:rPr>
      </w:pPr>
      <w:r>
        <w:rPr>
          <w:rFonts w:ascii="Arial" w:cs="Arial" w:eastAsia="Arial" w:hAnsi="Arial"/>
          <w:sz w:val="15"/>
          <w:szCs w:val="15"/>
          <w:color w:val="auto"/>
        </w:rPr>
        <w:t>The Insurer shall deliver or mail to the Insured first named in the Declarations written notice of cancellation at the address shown on the policy not less than the 10th day before the date on which the cancellation takes effect. Such written notice shall state the reasons(s) for cancellation.</w:t>
      </w:r>
    </w:p>
    <w:p>
      <w:pPr>
        <w:ind w:left="1132" w:hanging="565"/>
        <w:spacing w:after="0"/>
        <w:tabs>
          <w:tab w:leader="none" w:pos="1132"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Insurer may not cancel this policy based solely on the fact that the Insured is an elected official.</w:t>
      </w:r>
    </w:p>
    <w:p>
      <w:pPr>
        <w:spacing w:after="0" w:line="90" w:lineRule="exact"/>
        <w:rPr>
          <w:rFonts w:ascii="Arial" w:cs="Arial" w:eastAsia="Arial" w:hAnsi="Arial"/>
          <w:sz w:val="18"/>
          <w:szCs w:val="18"/>
          <w:color w:val="auto"/>
        </w:rPr>
      </w:pPr>
    </w:p>
    <w:p>
      <w:pPr>
        <w:ind w:left="1132" w:hanging="565"/>
        <w:spacing w:after="0" w:line="298" w:lineRule="auto"/>
        <w:tabs>
          <w:tab w:leader="none" w:pos="1132" w:val="left"/>
        </w:tabs>
        <w:numPr>
          <w:ilvl w:val="1"/>
          <w:numId w:val="45"/>
        </w:numPr>
        <w:rPr>
          <w:rFonts w:ascii="Arial" w:cs="Arial" w:eastAsia="Arial" w:hAnsi="Arial"/>
          <w:sz w:val="16"/>
          <w:szCs w:val="16"/>
          <w:color w:val="auto"/>
        </w:rPr>
      </w:pPr>
      <w:r>
        <w:rPr>
          <w:rFonts w:ascii="Arial" w:cs="Arial" w:eastAsia="Arial" w:hAnsi="Arial"/>
          <w:sz w:val="16"/>
          <w:szCs w:val="16"/>
          <w:color w:val="auto"/>
        </w:rPr>
        <w:t>If this policy provides property coverage or general liability coverage under a commercial property, commercial general liability, commercial multi -peril or business owner policy, and covers a condominium association, and the condominium Property contains at least one residence or the condominium declarations conform with the Texas Uniform Condominium Act, then the notice of cancellation, as described above, will be provided to the First Named Insured thirty (30) days before the effective date of cancellation.</w:t>
      </w:r>
    </w:p>
    <w:p>
      <w:pPr>
        <w:spacing w:after="0" w:line="31" w:lineRule="exact"/>
        <w:rPr>
          <w:rFonts w:ascii="Arial" w:cs="Arial" w:eastAsia="Arial" w:hAnsi="Arial"/>
          <w:sz w:val="16"/>
          <w:szCs w:val="16"/>
          <w:color w:val="auto"/>
        </w:rPr>
      </w:pPr>
    </w:p>
    <w:p>
      <w:pPr>
        <w:ind w:left="1132" w:right="480"/>
        <w:spacing w:after="0" w:line="268" w:lineRule="auto"/>
        <w:rPr>
          <w:rFonts w:ascii="Arial" w:cs="Arial" w:eastAsia="Arial" w:hAnsi="Arial"/>
          <w:sz w:val="16"/>
          <w:szCs w:val="16"/>
          <w:color w:val="auto"/>
        </w:rPr>
      </w:pPr>
      <w:r>
        <w:rPr>
          <w:rFonts w:ascii="Arial" w:cs="Arial" w:eastAsia="Arial" w:hAnsi="Arial"/>
          <w:sz w:val="18"/>
          <w:szCs w:val="18"/>
          <w:color w:val="auto"/>
        </w:rPr>
        <w:t>The Insurer will also provide thirty (30) days written notice to each unit- owner to whom the Insurer issued a certificate or memorandum of insurance, by mailing or delivering the notice to each last mailing address known to the Insurer.</w:t>
      </w:r>
    </w:p>
    <w:p>
      <w:pPr>
        <w:spacing w:after="0" w:line="253" w:lineRule="exact"/>
        <w:rPr>
          <w:rFonts w:ascii="Arial" w:cs="Arial" w:eastAsia="Arial" w:hAnsi="Arial"/>
          <w:sz w:val="16"/>
          <w:szCs w:val="16"/>
          <w:color w:val="auto"/>
        </w:rPr>
      </w:pPr>
    </w:p>
    <w:p>
      <w:pPr>
        <w:ind w:left="572" w:hanging="572"/>
        <w:spacing w:after="0"/>
        <w:tabs>
          <w:tab w:leader="none" w:pos="572"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Nonrenewal</w:t>
      </w:r>
    </w:p>
    <w:p>
      <w:pPr>
        <w:spacing w:after="0" w:line="90" w:lineRule="exact"/>
        <w:rPr>
          <w:rFonts w:ascii="Arial" w:cs="Arial" w:eastAsia="Arial" w:hAnsi="Arial"/>
          <w:sz w:val="18"/>
          <w:szCs w:val="18"/>
          <w:color w:val="auto"/>
        </w:rPr>
      </w:pPr>
    </w:p>
    <w:p>
      <w:pPr>
        <w:ind w:left="1132" w:hanging="565"/>
        <w:spacing w:after="0" w:line="291" w:lineRule="auto"/>
        <w:tabs>
          <w:tab w:leader="none" w:pos="1132" w:val="left"/>
        </w:tabs>
        <w:numPr>
          <w:ilvl w:val="1"/>
          <w:numId w:val="46"/>
        </w:numPr>
        <w:rPr>
          <w:rFonts w:ascii="Arial" w:cs="Arial" w:eastAsia="Arial" w:hAnsi="Arial"/>
          <w:sz w:val="16"/>
          <w:szCs w:val="16"/>
          <w:color w:val="auto"/>
        </w:rPr>
      </w:pPr>
      <w:r>
        <w:rPr>
          <w:rFonts w:ascii="Arial" w:cs="Arial" w:eastAsia="Arial" w:hAnsi="Arial"/>
          <w:sz w:val="16"/>
          <w:szCs w:val="16"/>
          <w:color w:val="auto"/>
        </w:rPr>
        <w:t>The Insurer may refuse to renew this policy by delivering or mailing to the Insured first named in the Declarations written notice of nonrenewal at the address shown on the policy. Such written notice shall state the reason(s) for nonrenewal. The notice must be delivered or mailed not later than the 60th day before the date on which the policy expires. If the notice is delivered or mailed later than the 60th day before the date on which the policy expires, the coverage shall remain in effect until the 61 day after the date on which the notice is delivered or mailed. If notice is delivered or mailed, proof of delivery or mailing will be sufficient proof of notice. Earned premium for any period of coverage that extends beyond the expiration date of the policy shall be computed pro rata based on the previous year’s rates.</w:t>
      </w:r>
    </w:p>
    <w:p>
      <w:pPr>
        <w:sectPr>
          <w:pgSz w:w="11900" w:h="16838" w:orient="portrait"/>
          <w:cols w:equalWidth="0" w:num="1">
            <w:col w:w="11412"/>
          </w:cols>
          <w:pgMar w:left="248" w:top="274" w:right="23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RIDER#</w:t>
      </w:r>
      <w:r>
        <w:rPr>
          <w:rFonts w:ascii="Arial" w:cs="Arial" w:eastAsia="Arial" w:hAnsi="Arial"/>
          <w:sz w:val="18"/>
          <w:szCs w:val="18"/>
          <w:b w:val="1"/>
          <w:bCs w:val="1"/>
          <w:color w:val="auto"/>
        </w:rPr>
        <w:t xml:space="preserve"> 4 (Continued)</w:t>
      </w:r>
    </w:p>
    <w:p>
      <w:pPr>
        <w:spacing w:after="0" w:line="218" w:lineRule="exact"/>
        <w:rPr>
          <w:sz w:val="20"/>
          <w:szCs w:val="20"/>
          <w:color w:val="auto"/>
        </w:rPr>
      </w:pPr>
    </w:p>
    <w:p>
      <w:pPr>
        <w:ind w:left="1140" w:hanging="565"/>
        <w:spacing w:after="0"/>
        <w:tabs>
          <w:tab w:leader="none" w:pos="11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transfer of a policyholder between admitted companies within the same insurance group is not considered a refusal to renew.</w:t>
      </w:r>
    </w:p>
    <w:p>
      <w:pPr>
        <w:spacing w:after="0" w:line="113" w:lineRule="exact"/>
        <w:rPr>
          <w:rFonts w:ascii="Arial" w:cs="Arial" w:eastAsia="Arial" w:hAnsi="Arial"/>
          <w:sz w:val="16"/>
          <w:szCs w:val="16"/>
          <w:color w:val="auto"/>
        </w:rPr>
      </w:pPr>
    </w:p>
    <w:p>
      <w:pPr>
        <w:ind w:left="1140" w:hanging="565"/>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Insurer may not refuse to renew this policy based solely on the fact that the Insured is an elected official.</w:t>
      </w:r>
    </w:p>
    <w:p>
      <w:pPr>
        <w:spacing w:after="0" w:line="90" w:lineRule="exact"/>
        <w:rPr>
          <w:rFonts w:ascii="Arial" w:cs="Arial" w:eastAsia="Arial" w:hAnsi="Arial"/>
          <w:sz w:val="18"/>
          <w:szCs w:val="18"/>
          <w:color w:val="auto"/>
        </w:rPr>
      </w:pPr>
    </w:p>
    <w:p>
      <w:pPr>
        <w:ind w:left="1140" w:hanging="565"/>
        <w:spacing w:after="0" w:line="256" w:lineRule="auto"/>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this policy provides property coverage or general liability coverage under a commercial property, commercial general liability, commercial multi -peril or business owner policy, and covers a condominium association, and the condominium property contains at least one residence or the condominium declarations conform with the Texas Uniform Condominium Act, then the Insurer will mail or deliver written notice of nonrenewal, at least thirty (30) days before the expiration or anniversary date of the policy, to:</w:t>
      </w:r>
    </w:p>
    <w:p>
      <w:pPr>
        <w:spacing w:after="0" w:line="62" w:lineRule="exact"/>
        <w:rPr>
          <w:rFonts w:ascii="Arial" w:cs="Arial" w:eastAsia="Arial" w:hAnsi="Arial"/>
          <w:sz w:val="18"/>
          <w:szCs w:val="18"/>
          <w:color w:val="auto"/>
        </w:rPr>
      </w:pPr>
    </w:p>
    <w:p>
      <w:pPr>
        <w:ind w:left="1820" w:hanging="678"/>
        <w:spacing w:after="0"/>
        <w:tabs>
          <w:tab w:leader="none" w:pos="18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first Named Insured; and</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Each unit -owner to whom the Insurer issued a certificate or memorandum of insurance.</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Insurer will mail or deliver such notice to each last mailing address known to the Insurer.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conditions and exclusions of the policy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139700</wp:posOffset>
            </wp:positionV>
            <wp:extent cx="2898775" cy="6172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9877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REPRESENTATIVE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74802 (7/11)</w:t>
      </w:r>
    </w:p>
    <w:p>
      <w:pPr>
        <w:sectPr>
          <w:pgSz w:w="11900" w:h="16838" w:orient="portrait"/>
          <w:cols w:equalWidth="0" w:num="1">
            <w:col w:w="11420"/>
          </w:cols>
          <w:pgMar w:left="240" w:top="274"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20" w:type="dxa"/>
            <w:vAlign w:val="bottom"/>
            <w:gridSpan w:val="2"/>
          </w:tcPr>
          <w:p>
            <w:pPr>
              <w:spacing w:after="0"/>
              <w:rPr>
                <w:sz w:val="20"/>
                <w:szCs w:val="20"/>
                <w:color w:val="auto"/>
              </w:rPr>
            </w:pPr>
            <w:r>
              <w:rPr>
                <w:rFonts w:ascii="Arial" w:cs="Arial" w:eastAsia="Arial" w:hAnsi="Arial"/>
                <w:sz w:val="18"/>
                <w:szCs w:val="18"/>
                <w:b w:val="1"/>
                <w:bCs w:val="1"/>
                <w:color w:val="auto"/>
              </w:rPr>
              <w:t>RIDER# 5</w:t>
            </w:r>
          </w:p>
        </w:tc>
      </w:tr>
      <w:tr>
        <w:trPr>
          <w:trHeight w:val="20"/>
        </w:trPr>
        <w:tc>
          <w:tcPr>
            <w:tcW w:w="48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31"/>
        </w:trPr>
        <w:tc>
          <w:tcPr>
            <w:tcW w:w="4860" w:type="dxa"/>
            <w:vAlign w:val="bottom"/>
            <w:gridSpan w:val="3"/>
          </w:tcPr>
          <w:p>
            <w:pPr>
              <w:spacing w:after="0"/>
              <w:rPr>
                <w:sz w:val="20"/>
                <w:szCs w:val="20"/>
                <w:color w:val="auto"/>
              </w:rPr>
            </w:pPr>
            <w:r>
              <w:rPr>
                <w:rFonts w:ascii="Arial" w:cs="Arial" w:eastAsia="Arial" w:hAnsi="Arial"/>
                <w:sz w:val="18"/>
                <w:szCs w:val="18"/>
                <w:color w:val="auto"/>
              </w:rPr>
              <w:t>This endorsement, effective 12:01 A.M</w:t>
            </w:r>
          </w:p>
        </w:tc>
        <w:tc>
          <w:tcPr>
            <w:tcW w:w="2280" w:type="dxa"/>
            <w:vAlign w:val="bottom"/>
            <w:gridSpan w:val="3"/>
          </w:tcPr>
          <w:p>
            <w:pPr>
              <w:ind w:left="180"/>
              <w:spacing w:after="0"/>
              <w:rPr>
                <w:sz w:val="20"/>
                <w:szCs w:val="20"/>
                <w:color w:val="auto"/>
              </w:rPr>
            </w:pPr>
            <w:r>
              <w:rPr>
                <w:rFonts w:ascii="Arial" w:cs="Arial" w:eastAsia="Arial" w:hAnsi="Arial"/>
                <w:sz w:val="18"/>
                <w:szCs w:val="18"/>
                <w:color w:val="auto"/>
                <w:w w:val="88"/>
              </w:rPr>
              <w:t>March 8, 2012 forms a part of</w:t>
            </w:r>
          </w:p>
        </w:tc>
      </w:tr>
      <w:tr>
        <w:trPr>
          <w:trHeight w:val="216"/>
        </w:trPr>
        <w:tc>
          <w:tcPr>
            <w:tcW w:w="1060" w:type="dxa"/>
            <w:vAlign w:val="bottom"/>
            <w:gridSpan w:val="2"/>
          </w:tcPr>
          <w:p>
            <w:pPr>
              <w:spacing w:after="0"/>
              <w:rPr>
                <w:sz w:val="20"/>
                <w:szCs w:val="20"/>
                <w:color w:val="auto"/>
              </w:rPr>
            </w:pPr>
            <w:r>
              <w:rPr>
                <w:rFonts w:ascii="Arial" w:cs="Arial" w:eastAsia="Arial" w:hAnsi="Arial"/>
                <w:sz w:val="18"/>
                <w:szCs w:val="18"/>
                <w:color w:val="auto"/>
              </w:rPr>
              <w:t>policy No.</w:t>
            </w:r>
          </w:p>
        </w:tc>
        <w:tc>
          <w:tcPr>
            <w:tcW w:w="3800" w:type="dxa"/>
            <w:vAlign w:val="bottom"/>
          </w:tcPr>
          <w:p>
            <w:pPr>
              <w:ind w:left="320"/>
              <w:spacing w:after="0"/>
              <w:rPr>
                <w:sz w:val="20"/>
                <w:szCs w:val="20"/>
                <w:color w:val="auto"/>
              </w:rPr>
            </w:pPr>
            <w:r>
              <w:rPr>
                <w:rFonts w:ascii="Arial" w:cs="Arial" w:eastAsia="Arial" w:hAnsi="Arial"/>
                <w:sz w:val="18"/>
                <w:szCs w:val="18"/>
                <w:color w:val="auto"/>
              </w:rPr>
              <w:t>01-615-75-34</w:t>
            </w: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2"/>
        </w:trPr>
        <w:tc>
          <w:tcPr>
            <w:tcW w:w="1060" w:type="dxa"/>
            <w:vAlign w:val="bottom"/>
            <w:gridSpan w:val="2"/>
          </w:tcPr>
          <w:p>
            <w:pPr>
              <w:spacing w:after="0"/>
              <w:rPr>
                <w:sz w:val="20"/>
                <w:szCs w:val="20"/>
                <w:color w:val="auto"/>
              </w:rPr>
            </w:pPr>
            <w:r>
              <w:rPr>
                <w:rFonts w:ascii="Arial" w:cs="Arial" w:eastAsia="Arial" w:hAnsi="Arial"/>
                <w:sz w:val="18"/>
                <w:szCs w:val="18"/>
                <w:color w:val="auto"/>
              </w:rPr>
              <w:t>issued to:</w:t>
            </w:r>
          </w:p>
        </w:tc>
        <w:tc>
          <w:tcPr>
            <w:tcW w:w="3800" w:type="dxa"/>
            <w:vAlign w:val="bottom"/>
          </w:tcPr>
          <w:p>
            <w:pPr>
              <w:ind w:left="320"/>
              <w:spacing w:after="0"/>
              <w:rPr>
                <w:sz w:val="20"/>
                <w:szCs w:val="20"/>
                <w:color w:val="auto"/>
              </w:rPr>
            </w:pPr>
            <w:r>
              <w:rPr>
                <w:rFonts w:ascii="Arial" w:cs="Arial" w:eastAsia="Arial" w:hAnsi="Arial"/>
                <w:sz w:val="18"/>
                <w:szCs w:val="18"/>
                <w:color w:val="auto"/>
              </w:rPr>
              <w:t>TPG SPECIALTY LENDING, INC.</w:t>
            </w: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19"/>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gridSpan w:val="2"/>
          </w:tcPr>
          <w:p>
            <w:pPr>
              <w:ind w:left="200"/>
              <w:spacing w:after="0"/>
              <w:rPr>
                <w:sz w:val="20"/>
                <w:szCs w:val="20"/>
                <w:color w:val="auto"/>
              </w:rPr>
            </w:pPr>
            <w:r>
              <w:rPr>
                <w:rFonts w:ascii="Arial" w:cs="Arial" w:eastAsia="Arial" w:hAnsi="Arial"/>
                <w:sz w:val="18"/>
                <w:szCs w:val="18"/>
                <w:color w:val="auto"/>
                <w:w w:val="91"/>
              </w:rPr>
              <w:t>National Union Fire Insurance Company of Pittsburgh, Pa.</w:t>
            </w: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pacing w:after="0" w:line="3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239"/>
        <w:spacing w:after="0"/>
        <w:rPr>
          <w:sz w:val="20"/>
          <w:szCs w:val="20"/>
          <w:color w:val="auto"/>
        </w:rPr>
      </w:pPr>
      <w:r>
        <w:rPr>
          <w:rFonts w:ascii="Arial" w:cs="Arial" w:eastAsia="Arial" w:hAnsi="Arial"/>
          <w:sz w:val="18"/>
          <w:szCs w:val="18"/>
          <w:b w:val="1"/>
          <w:bCs w:val="1"/>
          <w:color w:val="auto"/>
        </w:rPr>
        <w:t>AMENDED COUNTERFEIT CURRENCY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90" w:lineRule="exact"/>
        <w:rPr>
          <w:sz w:val="20"/>
          <w:szCs w:val="20"/>
          <w:color w:val="auto"/>
        </w:rPr>
      </w:pPr>
    </w:p>
    <w:p>
      <w:pPr>
        <w:ind w:left="580" w:hanging="572"/>
        <w:spacing w:after="0"/>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INSURING AGREEMENT (F) is deleted in its entirety and replaced by the following:</w:t>
      </w:r>
    </w:p>
    <w:p>
      <w:pPr>
        <w:spacing w:after="0" w:line="90" w:lineRule="exact"/>
        <w:rPr>
          <w:rFonts w:ascii="Arial" w:cs="Arial" w:eastAsia="Arial" w:hAnsi="Arial"/>
          <w:sz w:val="18"/>
          <w:szCs w:val="18"/>
          <w:color w:val="auto"/>
        </w:rPr>
      </w:pPr>
    </w:p>
    <w:p>
      <w:pPr>
        <w:ind w:left="580" w:right="140"/>
        <w:spacing w:after="0" w:line="268" w:lineRule="auto"/>
        <w:rPr>
          <w:rFonts w:ascii="Arial" w:cs="Arial" w:eastAsia="Arial" w:hAnsi="Arial"/>
          <w:sz w:val="18"/>
          <w:szCs w:val="18"/>
          <w:color w:val="auto"/>
        </w:rPr>
      </w:pPr>
      <w:r>
        <w:rPr>
          <w:rFonts w:ascii="Arial" w:cs="Arial" w:eastAsia="Arial" w:hAnsi="Arial"/>
          <w:sz w:val="18"/>
          <w:szCs w:val="18"/>
          <w:color w:val="auto"/>
        </w:rPr>
        <w:t>Loss resulting directly from the receipt by the Insured, in good faith, of any Counterfeit Money of the United States of America, Canada or any other country.</w:t>
      </w:r>
    </w:p>
    <w:p>
      <w:pPr>
        <w:spacing w:after="0" w:line="50" w:lineRule="exact"/>
        <w:rPr>
          <w:rFonts w:ascii="Arial" w:cs="Arial" w:eastAsia="Arial" w:hAnsi="Arial"/>
          <w:sz w:val="18"/>
          <w:szCs w:val="18"/>
          <w:color w:val="auto"/>
        </w:rPr>
      </w:pPr>
    </w:p>
    <w:p>
      <w:pPr>
        <w:ind w:left="580" w:hanging="572"/>
        <w:spacing w:after="0" w:line="268" w:lineRule="auto"/>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Nothing herein contained shall be held to vary, alter, waive, or extend any of the terms, limitations, conditions, or provisions of the attached bond other than above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114935</wp:posOffset>
            </wp:positionV>
            <wp:extent cx="2898775" cy="5918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9877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REPRESENTATIVE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57643 (6/93)</w:t>
      </w:r>
    </w:p>
    <w:p>
      <w:pPr>
        <w:sectPr>
          <w:pgSz w:w="11900" w:h="16838" w:orient="portrait"/>
          <w:cols w:equalWidth="0" w:num="1">
            <w:col w:w="11180"/>
          </w:cols>
          <w:pgMar w:left="240" w:top="257" w:right="47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20" w:type="dxa"/>
            <w:vAlign w:val="bottom"/>
            <w:gridSpan w:val="2"/>
          </w:tcPr>
          <w:p>
            <w:pPr>
              <w:spacing w:after="0"/>
              <w:rPr>
                <w:sz w:val="20"/>
                <w:szCs w:val="20"/>
                <w:color w:val="auto"/>
              </w:rPr>
            </w:pPr>
            <w:r>
              <w:rPr>
                <w:rFonts w:ascii="Arial" w:cs="Arial" w:eastAsia="Arial" w:hAnsi="Arial"/>
                <w:sz w:val="18"/>
                <w:szCs w:val="18"/>
                <w:b w:val="1"/>
                <w:bCs w:val="1"/>
                <w:color w:val="auto"/>
              </w:rPr>
              <w:t>RIDER# 6</w:t>
            </w:r>
          </w:p>
        </w:tc>
      </w:tr>
      <w:tr>
        <w:trPr>
          <w:trHeight w:val="20"/>
        </w:trPr>
        <w:tc>
          <w:tcPr>
            <w:tcW w:w="48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31"/>
        </w:trPr>
        <w:tc>
          <w:tcPr>
            <w:tcW w:w="4860" w:type="dxa"/>
            <w:vAlign w:val="bottom"/>
            <w:gridSpan w:val="3"/>
          </w:tcPr>
          <w:p>
            <w:pPr>
              <w:spacing w:after="0"/>
              <w:rPr>
                <w:sz w:val="20"/>
                <w:szCs w:val="20"/>
                <w:color w:val="auto"/>
              </w:rPr>
            </w:pPr>
            <w:r>
              <w:rPr>
                <w:rFonts w:ascii="Arial" w:cs="Arial" w:eastAsia="Arial" w:hAnsi="Arial"/>
                <w:sz w:val="18"/>
                <w:szCs w:val="18"/>
                <w:color w:val="auto"/>
              </w:rPr>
              <w:t>This endorsement, effective 12:01 A.M</w:t>
            </w:r>
          </w:p>
        </w:tc>
        <w:tc>
          <w:tcPr>
            <w:tcW w:w="2280" w:type="dxa"/>
            <w:vAlign w:val="bottom"/>
            <w:gridSpan w:val="3"/>
          </w:tcPr>
          <w:p>
            <w:pPr>
              <w:ind w:left="180"/>
              <w:spacing w:after="0"/>
              <w:rPr>
                <w:sz w:val="20"/>
                <w:szCs w:val="20"/>
                <w:color w:val="auto"/>
              </w:rPr>
            </w:pPr>
            <w:r>
              <w:rPr>
                <w:rFonts w:ascii="Arial" w:cs="Arial" w:eastAsia="Arial" w:hAnsi="Arial"/>
                <w:sz w:val="18"/>
                <w:szCs w:val="18"/>
                <w:color w:val="auto"/>
                <w:w w:val="88"/>
              </w:rPr>
              <w:t>March 8, 2012 forms a part of</w:t>
            </w:r>
          </w:p>
        </w:tc>
      </w:tr>
      <w:tr>
        <w:trPr>
          <w:trHeight w:val="216"/>
        </w:trPr>
        <w:tc>
          <w:tcPr>
            <w:tcW w:w="1060" w:type="dxa"/>
            <w:vAlign w:val="bottom"/>
            <w:gridSpan w:val="2"/>
          </w:tcPr>
          <w:p>
            <w:pPr>
              <w:spacing w:after="0"/>
              <w:rPr>
                <w:sz w:val="20"/>
                <w:szCs w:val="20"/>
                <w:color w:val="auto"/>
              </w:rPr>
            </w:pPr>
            <w:r>
              <w:rPr>
                <w:rFonts w:ascii="Arial" w:cs="Arial" w:eastAsia="Arial" w:hAnsi="Arial"/>
                <w:sz w:val="18"/>
                <w:szCs w:val="18"/>
                <w:color w:val="auto"/>
              </w:rPr>
              <w:t>policy No.</w:t>
            </w:r>
          </w:p>
        </w:tc>
        <w:tc>
          <w:tcPr>
            <w:tcW w:w="3800" w:type="dxa"/>
            <w:vAlign w:val="bottom"/>
          </w:tcPr>
          <w:p>
            <w:pPr>
              <w:ind w:left="320"/>
              <w:spacing w:after="0"/>
              <w:rPr>
                <w:sz w:val="20"/>
                <w:szCs w:val="20"/>
                <w:color w:val="auto"/>
              </w:rPr>
            </w:pPr>
            <w:r>
              <w:rPr>
                <w:rFonts w:ascii="Arial" w:cs="Arial" w:eastAsia="Arial" w:hAnsi="Arial"/>
                <w:sz w:val="18"/>
                <w:szCs w:val="18"/>
                <w:color w:val="auto"/>
              </w:rPr>
              <w:t>01-615-75-34</w:t>
            </w: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2"/>
        </w:trPr>
        <w:tc>
          <w:tcPr>
            <w:tcW w:w="1060" w:type="dxa"/>
            <w:vAlign w:val="bottom"/>
            <w:gridSpan w:val="2"/>
          </w:tcPr>
          <w:p>
            <w:pPr>
              <w:spacing w:after="0"/>
              <w:rPr>
                <w:sz w:val="20"/>
                <w:szCs w:val="20"/>
                <w:color w:val="auto"/>
              </w:rPr>
            </w:pPr>
            <w:r>
              <w:rPr>
                <w:rFonts w:ascii="Arial" w:cs="Arial" w:eastAsia="Arial" w:hAnsi="Arial"/>
                <w:sz w:val="18"/>
                <w:szCs w:val="18"/>
                <w:color w:val="auto"/>
              </w:rPr>
              <w:t>issued to:</w:t>
            </w:r>
          </w:p>
        </w:tc>
        <w:tc>
          <w:tcPr>
            <w:tcW w:w="3800" w:type="dxa"/>
            <w:vAlign w:val="bottom"/>
          </w:tcPr>
          <w:p>
            <w:pPr>
              <w:ind w:left="320"/>
              <w:spacing w:after="0"/>
              <w:rPr>
                <w:sz w:val="20"/>
                <w:szCs w:val="20"/>
                <w:color w:val="auto"/>
              </w:rPr>
            </w:pPr>
            <w:r>
              <w:rPr>
                <w:rFonts w:ascii="Arial" w:cs="Arial" w:eastAsia="Arial" w:hAnsi="Arial"/>
                <w:sz w:val="18"/>
                <w:szCs w:val="18"/>
                <w:color w:val="auto"/>
              </w:rPr>
              <w:t>TPG SPECIALTY LENDING, INC.</w:t>
            </w: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19"/>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gridSpan w:val="2"/>
          </w:tcPr>
          <w:p>
            <w:pPr>
              <w:ind w:left="200"/>
              <w:spacing w:after="0"/>
              <w:rPr>
                <w:sz w:val="20"/>
                <w:szCs w:val="20"/>
                <w:color w:val="auto"/>
              </w:rPr>
            </w:pPr>
            <w:r>
              <w:rPr>
                <w:rFonts w:ascii="Arial" w:cs="Arial" w:eastAsia="Arial" w:hAnsi="Arial"/>
                <w:sz w:val="18"/>
                <w:szCs w:val="18"/>
                <w:color w:val="auto"/>
                <w:w w:val="91"/>
              </w:rPr>
              <w:t>National Union Fire Insurance Company of Pittsburgh, Pa.</w:t>
            </w: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pacing w:after="0" w:line="3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AUDIT EXPENSE RIDER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84" w:lineRule="exact"/>
        <w:rPr>
          <w:sz w:val="20"/>
          <w:szCs w:val="20"/>
          <w:color w:val="auto"/>
        </w:rPr>
      </w:pPr>
    </w:p>
    <w:p>
      <w:pPr>
        <w:ind w:left="580" w:hanging="572"/>
        <w:spacing w:after="0"/>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Insuring Agreement (A) FIDELITY of the </w:t>
      </w:r>
      <w:r>
        <w:rPr>
          <w:rFonts w:ascii="Arial" w:cs="Arial" w:eastAsia="Arial" w:hAnsi="Arial"/>
          <w:sz w:val="18"/>
          <w:szCs w:val="18"/>
          <w:b w:val="1"/>
          <w:bCs w:val="1"/>
          <w:color w:val="auto"/>
        </w:rPr>
        <w:t>INSURING AGREEMENTS</w:t>
      </w:r>
      <w:r>
        <w:rPr>
          <w:rFonts w:ascii="Arial" w:cs="Arial" w:eastAsia="Arial" w:hAnsi="Arial"/>
          <w:sz w:val="18"/>
          <w:szCs w:val="18"/>
          <w:color w:val="auto"/>
        </w:rPr>
        <w:t xml:space="preserve"> Clause is amended by inserting the following at the end thereof:</w:t>
      </w:r>
    </w:p>
    <w:p>
      <w:pPr>
        <w:spacing w:after="0" w:line="96" w:lineRule="exact"/>
        <w:rPr>
          <w:rFonts w:ascii="Arial" w:cs="Arial" w:eastAsia="Arial" w:hAnsi="Arial"/>
          <w:sz w:val="18"/>
          <w:szCs w:val="18"/>
          <w:color w:val="auto"/>
        </w:rPr>
      </w:pPr>
    </w:p>
    <w:p>
      <w:pPr>
        <w:ind w:left="580" w:right="160"/>
        <w:spacing w:after="0" w:line="290" w:lineRule="auto"/>
        <w:rPr>
          <w:rFonts w:ascii="Arial" w:cs="Arial" w:eastAsia="Arial" w:hAnsi="Arial"/>
          <w:sz w:val="18"/>
          <w:szCs w:val="18"/>
          <w:color w:val="auto"/>
        </w:rPr>
      </w:pPr>
      <w:r>
        <w:rPr>
          <w:rFonts w:ascii="Arial" w:cs="Arial" w:eastAsia="Arial" w:hAnsi="Arial"/>
          <w:sz w:val="16"/>
          <w:szCs w:val="16"/>
          <w:color w:val="auto"/>
        </w:rPr>
        <w:t>Expense incurred by the Insured for that part of the cost of audits or examinations required by State or Federal supervisory authorities to be conducted either by such authorities or by independent accountants by reason of the discovery of loss sustained by the Insured through dishonest or fraudulent acts of any of the Employees. The total liability of the Underwriter for such expense by reason of such acts of any Employee or in which such Employee is concerned or implicated or with respect to any one audit or examination is limited to the amount stated opposite “Audit Expense Coverage”; it being understood, however, that such expense shall be deemed to be loss sustained by the Insured through dishonest or fraudulent act of one or more of the Employees and the liability of the Underwriter under this paragraph of Insuring Agreement (A) shall be part of and not in addition to the Single Loss Limit of Liability stated in Item 4 of the Declarations.</w:t>
      </w:r>
    </w:p>
    <w:p>
      <w:pPr>
        <w:spacing w:after="0" w:line="31" w:lineRule="exact"/>
        <w:rPr>
          <w:rFonts w:ascii="Arial" w:cs="Arial" w:eastAsia="Arial" w:hAnsi="Arial"/>
          <w:sz w:val="18"/>
          <w:szCs w:val="18"/>
          <w:color w:val="auto"/>
        </w:rPr>
      </w:pPr>
    </w:p>
    <w:p>
      <w:pPr>
        <w:ind w:left="580" w:hanging="572"/>
        <w:spacing w:after="0"/>
        <w:tabs>
          <w:tab w:leader="none" w:pos="5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Paragraph (d) of Section 2. EXCLUSIONS of the </w:t>
      </w:r>
      <w:r>
        <w:rPr>
          <w:rFonts w:ascii="Arial" w:cs="Arial" w:eastAsia="Arial" w:hAnsi="Arial"/>
          <w:sz w:val="16"/>
          <w:szCs w:val="16"/>
          <w:b w:val="1"/>
          <w:bCs w:val="1"/>
          <w:color w:val="auto"/>
        </w:rPr>
        <w:t>CONDITIONS AND LIMITATIONS</w:t>
      </w:r>
      <w:r>
        <w:rPr>
          <w:rFonts w:ascii="Arial" w:cs="Arial" w:eastAsia="Arial" w:hAnsi="Arial"/>
          <w:sz w:val="16"/>
          <w:szCs w:val="16"/>
          <w:color w:val="auto"/>
        </w:rPr>
        <w:t xml:space="preserve"> Clause is deleted in its entirety and replaced with the following:</w:t>
      </w:r>
    </w:p>
    <w:p>
      <w:pPr>
        <w:spacing w:after="0" w:line="119" w:lineRule="exact"/>
        <w:rPr>
          <w:rFonts w:ascii="Arial" w:cs="Arial" w:eastAsia="Arial" w:hAnsi="Arial"/>
          <w:sz w:val="16"/>
          <w:szCs w:val="16"/>
          <w:color w:val="auto"/>
        </w:rPr>
      </w:pPr>
    </w:p>
    <w:p>
      <w:pPr>
        <w:ind w:left="1140" w:right="20" w:hanging="565"/>
        <w:spacing w:after="0" w:line="256" w:lineRule="auto"/>
        <w:tabs>
          <w:tab w:leader="none" w:pos="11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loss resulting directly or indirectly from any acts of any director or trustee of the Insured other than one employed as a salaried, pensioned or elected official or an Employee of the Insured, except when performing acts coming within the scope of the usual duties of an Employee, or while acting as a member of any committee duly elected or appointed by resolution of the board of directors or trustees of the Insured to perform specific, as distinguished from general, directorial acts on behalf of the Insured;</w:t>
      </w:r>
    </w:p>
    <w:p>
      <w:pPr>
        <w:spacing w:after="0" w:line="56" w:lineRule="exact"/>
        <w:rPr>
          <w:rFonts w:ascii="Arial" w:cs="Arial" w:eastAsia="Arial" w:hAnsi="Arial"/>
          <w:sz w:val="18"/>
          <w:szCs w:val="18"/>
          <w:color w:val="auto"/>
        </w:rPr>
      </w:pPr>
    </w:p>
    <w:p>
      <w:pPr>
        <w:ind w:left="580" w:right="260" w:hanging="572"/>
        <w:spacing w:after="0" w:line="275" w:lineRule="auto"/>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Paragraph (u) of Section 2. EXCLUSIONS of Section 2. EXCLUSIONS of the </w:t>
      </w:r>
      <w:r>
        <w:rPr>
          <w:rFonts w:ascii="Arial" w:cs="Arial" w:eastAsia="Arial" w:hAnsi="Arial"/>
          <w:sz w:val="18"/>
          <w:szCs w:val="18"/>
          <w:b w:val="1"/>
          <w:bCs w:val="1"/>
          <w:color w:val="auto"/>
        </w:rPr>
        <w:t>CONDITIONS AND LIMITATIONS</w:t>
      </w:r>
      <w:r>
        <w:rPr>
          <w:rFonts w:ascii="Arial" w:cs="Arial" w:eastAsia="Arial" w:hAnsi="Arial"/>
          <w:sz w:val="18"/>
          <w:szCs w:val="18"/>
          <w:color w:val="auto"/>
        </w:rPr>
        <w:t xml:space="preserve"> Clause is deleted in its entirety and replaced with the following:</w:t>
      </w:r>
    </w:p>
    <w:p>
      <w:pPr>
        <w:spacing w:after="0" w:line="44" w:lineRule="exact"/>
        <w:rPr>
          <w:rFonts w:ascii="Arial" w:cs="Arial" w:eastAsia="Arial" w:hAnsi="Arial"/>
          <w:sz w:val="18"/>
          <w:szCs w:val="18"/>
          <w:color w:val="auto"/>
        </w:rPr>
      </w:pPr>
    </w:p>
    <w:p>
      <w:pPr>
        <w:ind w:left="1140" w:hanging="565"/>
        <w:spacing w:after="0"/>
        <w:tabs>
          <w:tab w:leader="none" w:pos="11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fees, costs and expenses incurred by the Insured</w:t>
      </w:r>
    </w:p>
    <w:p>
      <w:pPr>
        <w:sectPr>
          <w:pgSz w:w="11900" w:h="16838" w:orient="portrait"/>
          <w:cols w:equalWidth="0" w:num="1">
            <w:col w:w="11420"/>
          </w:cols>
          <w:pgMar w:left="240" w:top="257"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RIDER#</w:t>
      </w:r>
      <w:r>
        <w:rPr>
          <w:rFonts w:ascii="Arial" w:cs="Arial" w:eastAsia="Arial" w:hAnsi="Arial"/>
          <w:sz w:val="18"/>
          <w:szCs w:val="18"/>
          <w:b w:val="1"/>
          <w:bCs w:val="1"/>
          <w:color w:val="auto"/>
        </w:rPr>
        <w:t xml:space="preserve"> 6 (Continued)</w:t>
      </w:r>
    </w:p>
    <w:p>
      <w:pPr>
        <w:spacing w:after="0" w:line="218" w:lineRule="exact"/>
        <w:rPr>
          <w:sz w:val="20"/>
          <w:szCs w:val="20"/>
          <w:color w:val="auto"/>
        </w:rPr>
      </w:pPr>
    </w:p>
    <w:p>
      <w:pPr>
        <w:ind w:left="1820" w:right="300" w:hanging="678"/>
        <w:spacing w:after="0" w:line="268" w:lineRule="auto"/>
        <w:tabs>
          <w:tab w:leader="none" w:pos="18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in establishing the existence of or amount of loss covered under this bond, except to the extent covered under the portion of Insuring Agreement (A) entitled Audit Expense, or</w:t>
      </w:r>
    </w:p>
    <w:p>
      <w:pPr>
        <w:spacing w:after="0" w:line="50" w:lineRule="exact"/>
        <w:rPr>
          <w:rFonts w:ascii="Arial" w:cs="Arial" w:eastAsia="Arial" w:hAnsi="Arial"/>
          <w:sz w:val="18"/>
          <w:szCs w:val="18"/>
          <w:color w:val="auto"/>
        </w:rPr>
      </w:pPr>
    </w:p>
    <w:p>
      <w:pPr>
        <w:ind w:left="1820" w:hanging="678"/>
        <w:spacing w:after="0"/>
        <w:tabs>
          <w:tab w:leader="none" w:pos="1820" w:val="left"/>
        </w:tabs>
        <w:numPr>
          <w:ilvl w:val="1"/>
          <w:numId w:val="51"/>
        </w:numPr>
        <w:rPr>
          <w:rFonts w:ascii="Arial" w:cs="Arial" w:eastAsia="Arial" w:hAnsi="Arial"/>
          <w:sz w:val="16"/>
          <w:szCs w:val="16"/>
          <w:color w:val="auto"/>
        </w:rPr>
      </w:pPr>
      <w:r>
        <w:rPr>
          <w:rFonts w:ascii="Arial" w:cs="Arial" w:eastAsia="Arial" w:hAnsi="Arial"/>
          <w:sz w:val="16"/>
          <w:szCs w:val="16"/>
          <w:color w:val="auto"/>
        </w:rPr>
        <w:t>as a party to any legal proceeding whether or not such legal proceeding exposes the Insured to loss covered by this bond;</w:t>
      </w:r>
    </w:p>
    <w:p>
      <w:pPr>
        <w:spacing w:after="0" w:line="234" w:lineRule="exact"/>
        <w:rPr>
          <w:rFonts w:ascii="Arial" w:cs="Arial" w:eastAsia="Arial" w:hAnsi="Arial"/>
          <w:sz w:val="16"/>
          <w:szCs w:val="16"/>
          <w:color w:val="auto"/>
        </w:rPr>
      </w:pPr>
    </w:p>
    <w:p>
      <w:pPr>
        <w:ind w:left="580" w:hanging="572"/>
        <w:spacing w:after="0"/>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Item 4 of the Declarations is amended to include the following:</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102"/>
              <w:spacing w:after="0"/>
              <w:rPr>
                <w:sz w:val="20"/>
                <w:szCs w:val="20"/>
                <w:color w:val="auto"/>
              </w:rPr>
            </w:pPr>
            <w:r>
              <w:rPr>
                <w:rFonts w:ascii="Arial" w:cs="Arial" w:eastAsia="Arial" w:hAnsi="Arial"/>
                <w:sz w:val="14"/>
                <w:szCs w:val="14"/>
                <w:color w:val="auto"/>
                <w:w w:val="88"/>
              </w:rPr>
              <w:t>Single Loss</w:t>
            </w:r>
          </w:p>
        </w:tc>
        <w:tc>
          <w:tcPr>
            <w:tcW w:w="1440" w:type="dxa"/>
            <w:vAlign w:val="bottom"/>
            <w:gridSpan w:val="3"/>
          </w:tcPr>
          <w:p>
            <w:pPr>
              <w:ind w:left="700"/>
              <w:spacing w:after="0"/>
              <w:rPr>
                <w:sz w:val="20"/>
                <w:szCs w:val="20"/>
                <w:color w:val="auto"/>
              </w:rPr>
            </w:pPr>
            <w:r>
              <w:rPr>
                <w:rFonts w:ascii="Arial" w:cs="Arial" w:eastAsia="Arial" w:hAnsi="Arial"/>
                <w:sz w:val="14"/>
                <w:szCs w:val="14"/>
                <w:color w:val="auto"/>
                <w:w w:val="99"/>
              </w:rPr>
              <w:t>Single Loss</w:t>
            </w:r>
          </w:p>
        </w:tc>
      </w:tr>
      <w:tr>
        <w:trPr>
          <w:trHeight w:val="159"/>
        </w:trPr>
        <w:tc>
          <w:tcPr>
            <w:tcW w:w="3660" w:type="dxa"/>
            <w:vAlign w:val="bottom"/>
          </w:tcPr>
          <w:p>
            <w:pPr>
              <w:spacing w:after="0"/>
              <w:rPr>
                <w:sz w:val="13"/>
                <w:szCs w:val="13"/>
                <w:color w:val="auto"/>
              </w:rPr>
            </w:pPr>
          </w:p>
        </w:tc>
        <w:tc>
          <w:tcPr>
            <w:tcW w:w="3580" w:type="dxa"/>
            <w:vAlign w:val="bottom"/>
            <w:gridSpan w:val="3"/>
          </w:tcPr>
          <w:p>
            <w:pPr>
              <w:ind w:left="2620"/>
              <w:spacing w:after="0" w:line="159" w:lineRule="exact"/>
              <w:rPr>
                <w:sz w:val="20"/>
                <w:szCs w:val="20"/>
                <w:color w:val="auto"/>
              </w:rPr>
            </w:pPr>
            <w:r>
              <w:rPr>
                <w:rFonts w:ascii="Arial" w:cs="Arial" w:eastAsia="Arial" w:hAnsi="Arial"/>
                <w:sz w:val="14"/>
                <w:szCs w:val="14"/>
                <w:color w:val="auto"/>
                <w:w w:val="98"/>
              </w:rPr>
              <w:t>Limit of Liability</w:t>
            </w:r>
          </w:p>
        </w:tc>
        <w:tc>
          <w:tcPr>
            <w:tcW w:w="700" w:type="dxa"/>
            <w:vAlign w:val="bottom"/>
          </w:tcPr>
          <w:p>
            <w:pPr>
              <w:spacing w:after="0"/>
              <w:rPr>
                <w:sz w:val="13"/>
                <w:szCs w:val="13"/>
                <w:color w:val="auto"/>
              </w:rPr>
            </w:pPr>
          </w:p>
        </w:tc>
        <w:tc>
          <w:tcPr>
            <w:tcW w:w="74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Deductible</w:t>
            </w:r>
          </w:p>
        </w:tc>
      </w:tr>
      <w:tr>
        <w:trPr>
          <w:trHeight w:val="210"/>
        </w:trPr>
        <w:tc>
          <w:tcPr>
            <w:tcW w:w="3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Audit Expense</w:t>
            </w:r>
          </w:p>
        </w:tc>
        <w:tc>
          <w:tcPr>
            <w:tcW w:w="2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7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  5,000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ind w:left="580" w:hanging="572"/>
        <w:spacing w:after="0" w:line="268" w:lineRule="auto"/>
        <w:tabs>
          <w:tab w:leader="none" w:pos="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Nothing contained here shall be held to vary, alter, waive or extend any of the terms, limitations, conditions, or agreements of the attached bond other than as above stated.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CONDITIONS AND EXCLUSIONS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139700</wp:posOffset>
            </wp:positionV>
            <wp:extent cx="2898775" cy="6000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9877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REPRESENTATIVE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101779 (6/09)</w:t>
      </w:r>
    </w:p>
    <w:p>
      <w:pPr>
        <w:sectPr>
          <w:pgSz w:w="11900" w:h="16838" w:orient="portrait"/>
          <w:cols w:equalWidth="0" w:num="1">
            <w:col w:w="11420"/>
          </w:cols>
          <w:pgMar w:left="240" w:top="274"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20" w:type="dxa"/>
            <w:vAlign w:val="bottom"/>
            <w:gridSpan w:val="2"/>
          </w:tcPr>
          <w:p>
            <w:pPr>
              <w:spacing w:after="0"/>
              <w:rPr>
                <w:sz w:val="20"/>
                <w:szCs w:val="20"/>
                <w:color w:val="auto"/>
              </w:rPr>
            </w:pPr>
            <w:r>
              <w:rPr>
                <w:rFonts w:ascii="Arial" w:cs="Arial" w:eastAsia="Arial" w:hAnsi="Arial"/>
                <w:sz w:val="18"/>
                <w:szCs w:val="18"/>
                <w:b w:val="1"/>
                <w:bCs w:val="1"/>
                <w:color w:val="auto"/>
              </w:rPr>
              <w:t>RIDER# 7</w:t>
            </w:r>
          </w:p>
        </w:tc>
      </w:tr>
      <w:tr>
        <w:trPr>
          <w:trHeight w:val="20"/>
        </w:trPr>
        <w:tc>
          <w:tcPr>
            <w:tcW w:w="48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31"/>
        </w:trPr>
        <w:tc>
          <w:tcPr>
            <w:tcW w:w="4860" w:type="dxa"/>
            <w:vAlign w:val="bottom"/>
            <w:gridSpan w:val="3"/>
          </w:tcPr>
          <w:p>
            <w:pPr>
              <w:spacing w:after="0"/>
              <w:rPr>
                <w:sz w:val="20"/>
                <w:szCs w:val="20"/>
                <w:color w:val="auto"/>
              </w:rPr>
            </w:pPr>
            <w:r>
              <w:rPr>
                <w:rFonts w:ascii="Arial" w:cs="Arial" w:eastAsia="Arial" w:hAnsi="Arial"/>
                <w:sz w:val="18"/>
                <w:szCs w:val="18"/>
                <w:color w:val="auto"/>
              </w:rPr>
              <w:t>This endorsement, effective 12:01 A.M</w:t>
            </w:r>
          </w:p>
        </w:tc>
        <w:tc>
          <w:tcPr>
            <w:tcW w:w="2280" w:type="dxa"/>
            <w:vAlign w:val="bottom"/>
            <w:gridSpan w:val="3"/>
          </w:tcPr>
          <w:p>
            <w:pPr>
              <w:ind w:left="180"/>
              <w:spacing w:after="0"/>
              <w:rPr>
                <w:sz w:val="20"/>
                <w:szCs w:val="20"/>
                <w:color w:val="auto"/>
              </w:rPr>
            </w:pPr>
            <w:r>
              <w:rPr>
                <w:rFonts w:ascii="Arial" w:cs="Arial" w:eastAsia="Arial" w:hAnsi="Arial"/>
                <w:sz w:val="18"/>
                <w:szCs w:val="18"/>
                <w:color w:val="auto"/>
                <w:w w:val="88"/>
              </w:rPr>
              <w:t>March 8, 2012 forms a part of</w:t>
            </w:r>
          </w:p>
        </w:tc>
      </w:tr>
      <w:tr>
        <w:trPr>
          <w:trHeight w:val="216"/>
        </w:trPr>
        <w:tc>
          <w:tcPr>
            <w:tcW w:w="1060" w:type="dxa"/>
            <w:vAlign w:val="bottom"/>
            <w:gridSpan w:val="2"/>
          </w:tcPr>
          <w:p>
            <w:pPr>
              <w:spacing w:after="0"/>
              <w:rPr>
                <w:sz w:val="20"/>
                <w:szCs w:val="20"/>
                <w:color w:val="auto"/>
              </w:rPr>
            </w:pPr>
            <w:r>
              <w:rPr>
                <w:rFonts w:ascii="Arial" w:cs="Arial" w:eastAsia="Arial" w:hAnsi="Arial"/>
                <w:sz w:val="18"/>
                <w:szCs w:val="18"/>
                <w:color w:val="auto"/>
              </w:rPr>
              <w:t>policy No.</w:t>
            </w:r>
          </w:p>
        </w:tc>
        <w:tc>
          <w:tcPr>
            <w:tcW w:w="3800" w:type="dxa"/>
            <w:vAlign w:val="bottom"/>
          </w:tcPr>
          <w:p>
            <w:pPr>
              <w:ind w:left="320"/>
              <w:spacing w:after="0"/>
              <w:rPr>
                <w:sz w:val="20"/>
                <w:szCs w:val="20"/>
                <w:color w:val="auto"/>
              </w:rPr>
            </w:pPr>
            <w:r>
              <w:rPr>
                <w:rFonts w:ascii="Arial" w:cs="Arial" w:eastAsia="Arial" w:hAnsi="Arial"/>
                <w:sz w:val="18"/>
                <w:szCs w:val="18"/>
                <w:color w:val="auto"/>
              </w:rPr>
              <w:t>01-615-75-34</w:t>
            </w: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2"/>
        </w:trPr>
        <w:tc>
          <w:tcPr>
            <w:tcW w:w="1060" w:type="dxa"/>
            <w:vAlign w:val="bottom"/>
            <w:gridSpan w:val="2"/>
          </w:tcPr>
          <w:p>
            <w:pPr>
              <w:spacing w:after="0"/>
              <w:rPr>
                <w:sz w:val="20"/>
                <w:szCs w:val="20"/>
                <w:color w:val="auto"/>
              </w:rPr>
            </w:pPr>
            <w:r>
              <w:rPr>
                <w:rFonts w:ascii="Arial" w:cs="Arial" w:eastAsia="Arial" w:hAnsi="Arial"/>
                <w:sz w:val="18"/>
                <w:szCs w:val="18"/>
                <w:color w:val="auto"/>
              </w:rPr>
              <w:t>issued to:</w:t>
            </w:r>
          </w:p>
        </w:tc>
        <w:tc>
          <w:tcPr>
            <w:tcW w:w="3800" w:type="dxa"/>
            <w:vAlign w:val="bottom"/>
          </w:tcPr>
          <w:p>
            <w:pPr>
              <w:ind w:left="320"/>
              <w:spacing w:after="0"/>
              <w:rPr>
                <w:sz w:val="20"/>
                <w:szCs w:val="20"/>
                <w:color w:val="auto"/>
              </w:rPr>
            </w:pPr>
            <w:r>
              <w:rPr>
                <w:rFonts w:ascii="Arial" w:cs="Arial" w:eastAsia="Arial" w:hAnsi="Arial"/>
                <w:sz w:val="18"/>
                <w:szCs w:val="18"/>
                <w:color w:val="auto"/>
              </w:rPr>
              <w:t>TPG SPECIALTY LENDING, INC.</w:t>
            </w: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19"/>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gridSpan w:val="2"/>
          </w:tcPr>
          <w:p>
            <w:pPr>
              <w:ind w:left="200"/>
              <w:spacing w:after="0"/>
              <w:rPr>
                <w:sz w:val="20"/>
                <w:szCs w:val="20"/>
                <w:color w:val="auto"/>
              </w:rPr>
            </w:pPr>
            <w:r>
              <w:rPr>
                <w:rFonts w:ascii="Arial" w:cs="Arial" w:eastAsia="Arial" w:hAnsi="Arial"/>
                <w:sz w:val="18"/>
                <w:szCs w:val="18"/>
                <w:color w:val="auto"/>
                <w:w w:val="91"/>
              </w:rPr>
              <w:t>National Union Fire Insurance Company of Pittsburgh, Pa.</w:t>
            </w: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pacing w:after="0" w:line="3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b w:val="1"/>
          <w:bCs w:val="1"/>
          <w:color w:val="auto"/>
        </w:rPr>
        <w:t>CENTRAL HANDLING OF SECURITIES RIDER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90" w:lineRule="exact"/>
        <w:rPr>
          <w:sz w:val="20"/>
          <w:szCs w:val="20"/>
          <w:color w:val="auto"/>
        </w:rPr>
      </w:pPr>
    </w:p>
    <w:p>
      <w:pPr>
        <w:ind w:left="580" w:right="640" w:hanging="572"/>
        <w:spacing w:after="0" w:line="268" w:lineRule="auto"/>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Those premises of Depositories listed in the following Schedule shall be deemed to be premises of the Insured, but only as respects coverage on Certificated Securities.</w:t>
      </w:r>
    </w:p>
    <w:p>
      <w:pPr>
        <w:sectPr>
          <w:pgSz w:w="11900" w:h="16838" w:orient="portrait"/>
          <w:cols w:equalWidth="0" w:num="1">
            <w:col w:w="11320"/>
          </w:cols>
          <w:pgMar w:left="240" w:top="257" w:right="339" w:bottom="1440" w:gutter="0" w:footer="0" w:header="0"/>
        </w:sectPr>
      </w:pP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SCHEDULED DEPOSITORY</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depository premises utilized by the Insured</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LOCATION COVERED</w:t>
      </w:r>
    </w:p>
    <w:p>
      <w:pPr>
        <w:spacing w:after="0" w:line="428" w:lineRule="exact"/>
        <w:rPr>
          <w:sz w:val="20"/>
          <w:szCs w:val="20"/>
          <w:color w:val="auto"/>
        </w:rPr>
      </w:pPr>
    </w:p>
    <w:p>
      <w:pPr>
        <w:sectPr>
          <w:pgSz w:w="11900" w:h="16838" w:orient="portrait"/>
          <w:cols w:equalWidth="0" w:num="2">
            <w:col w:w="5320" w:space="720"/>
            <w:col w:w="5280"/>
          </w:cols>
          <w:pgMar w:left="240" w:top="257" w:right="339" w:bottom="1440" w:gutter="0" w:footer="0" w:header="0"/>
          <w:type w:val="continuous"/>
        </w:sectPr>
      </w:pPr>
    </w:p>
    <w:p>
      <w:pPr>
        <w:spacing w:after="0" w:line="28" w:lineRule="exact"/>
        <w:rPr>
          <w:sz w:val="20"/>
          <w:szCs w:val="20"/>
          <w:color w:val="auto"/>
        </w:rPr>
      </w:pPr>
    </w:p>
    <w:p>
      <w:pPr>
        <w:ind w:left="580" w:right="380" w:hanging="572"/>
        <w:spacing w:after="0" w:line="268" w:lineRule="auto"/>
        <w:tabs>
          <w:tab w:leader="none" w:pos="5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Certificated Securities held by such Depository shall be deemed to be Property as defined in the attached bond to the extent of the Insured’s interest therein as effected by the making of appropriate entries on the books and records of such Depository.</w:t>
      </w:r>
    </w:p>
    <w:p>
      <w:pPr>
        <w:spacing w:after="0" w:line="50" w:lineRule="exact"/>
        <w:rPr>
          <w:rFonts w:ascii="Arial" w:cs="Arial" w:eastAsia="Arial" w:hAnsi="Arial"/>
          <w:sz w:val="18"/>
          <w:szCs w:val="18"/>
          <w:color w:val="auto"/>
        </w:rPr>
      </w:pPr>
    </w:p>
    <w:p>
      <w:pPr>
        <w:ind w:left="580" w:hanging="572"/>
        <w:spacing w:after="0" w:line="259" w:lineRule="auto"/>
        <w:tabs>
          <w:tab w:leader="none" w:pos="5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attached bond does not afford coverage in favor of any Depository listed in the Schedule above. When the Underwriter indemnifies the Insured for a loss covered hereunder, the Insured will assign the rights and causes of action to the extent of the claim payment against the Depository, or any other entity or person against whom it has a cause of action, to the Underwriter.</w:t>
      </w:r>
    </w:p>
    <w:p>
      <w:pPr>
        <w:spacing w:after="0" w:line="59" w:lineRule="exact"/>
        <w:rPr>
          <w:rFonts w:ascii="Arial" w:cs="Arial" w:eastAsia="Arial" w:hAnsi="Arial"/>
          <w:sz w:val="18"/>
          <w:szCs w:val="18"/>
          <w:color w:val="auto"/>
        </w:rPr>
      </w:pPr>
    </w:p>
    <w:p>
      <w:pPr>
        <w:jc w:val="both"/>
        <w:ind w:left="580" w:hanging="572"/>
        <w:spacing w:after="0" w:line="306" w:lineRule="auto"/>
        <w:tabs>
          <w:tab w:leader="none" w:pos="5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If the rules of the Depository named in the Schedule above provide that the Insured shall be assessed for a portion of the judgment (or agreed settlement) taken by the Underwriter based upon the assignment set forth in paragraph 3 above, and the Insured actually pays such assessment, then the Underwriter will reimburse the Insured for the amount of the assessment but not exceeding the amount of the loss payment by the Underwriter.</w:t>
      </w:r>
    </w:p>
    <w:p>
      <w:pPr>
        <w:sectPr>
          <w:pgSz w:w="11900" w:h="16838" w:orient="portrait"/>
          <w:cols w:equalWidth="0" w:num="1">
            <w:col w:w="11320"/>
          </w:cols>
          <w:pgMar w:left="240" w:top="257" w:right="339" w:bottom="1440" w:gutter="0" w:footer="0" w:header="0"/>
          <w:type w:val="continuous"/>
        </w:sectPr>
      </w:pPr>
    </w:p>
    <w:bookmarkStart w:id="37" w:name="page38"/>
    <w:bookmarkEnd w:id="37"/>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RIDER#</w:t>
      </w:r>
      <w:r>
        <w:rPr>
          <w:rFonts w:ascii="Arial" w:cs="Arial" w:eastAsia="Arial" w:hAnsi="Arial"/>
          <w:sz w:val="18"/>
          <w:szCs w:val="18"/>
          <w:b w:val="1"/>
          <w:bCs w:val="1"/>
          <w:color w:val="auto"/>
        </w:rPr>
        <w:t xml:space="preserve"> 7</w:t>
      </w:r>
    </w:p>
    <w:p>
      <w:pPr>
        <w:spacing w:after="0" w:line="218" w:lineRule="exact"/>
        <w:rPr>
          <w:sz w:val="20"/>
          <w:szCs w:val="20"/>
          <w:color w:val="auto"/>
        </w:rPr>
      </w:pPr>
    </w:p>
    <w:p>
      <w:pPr>
        <w:ind w:left="580" w:hanging="572"/>
        <w:spacing w:after="0" w:line="268" w:lineRule="auto"/>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Nothing contained here shall be held to vary, alter, waive or extend any of the terms, limitations, conditions, or agreements of the attached bond other than as above stated.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CONDITIONS AND EXCLUSIONS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139700</wp:posOffset>
            </wp:positionV>
            <wp:extent cx="2898775" cy="5918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9877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REPRESENTATIVE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101918 (6/09)</w:t>
      </w:r>
    </w:p>
    <w:p>
      <w:pPr>
        <w:sectPr>
          <w:pgSz w:w="11900" w:h="16838" w:orient="portrait"/>
          <w:cols w:equalWidth="0" w:num="1">
            <w:col w:w="11420"/>
          </w:cols>
          <w:pgMar w:left="240" w:top="274"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20" w:type="dxa"/>
            <w:vAlign w:val="bottom"/>
            <w:gridSpan w:val="2"/>
          </w:tcPr>
          <w:p>
            <w:pPr>
              <w:spacing w:after="0"/>
              <w:rPr>
                <w:sz w:val="20"/>
                <w:szCs w:val="20"/>
                <w:color w:val="auto"/>
              </w:rPr>
            </w:pPr>
            <w:r>
              <w:rPr>
                <w:rFonts w:ascii="Arial" w:cs="Arial" w:eastAsia="Arial" w:hAnsi="Arial"/>
                <w:sz w:val="18"/>
                <w:szCs w:val="18"/>
                <w:b w:val="1"/>
                <w:bCs w:val="1"/>
                <w:color w:val="auto"/>
              </w:rPr>
              <w:t>RIDER# 8</w:t>
            </w:r>
          </w:p>
        </w:tc>
      </w:tr>
      <w:tr>
        <w:trPr>
          <w:trHeight w:val="20"/>
        </w:trPr>
        <w:tc>
          <w:tcPr>
            <w:tcW w:w="48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31"/>
        </w:trPr>
        <w:tc>
          <w:tcPr>
            <w:tcW w:w="4860" w:type="dxa"/>
            <w:vAlign w:val="bottom"/>
            <w:gridSpan w:val="3"/>
          </w:tcPr>
          <w:p>
            <w:pPr>
              <w:spacing w:after="0"/>
              <w:rPr>
                <w:sz w:val="20"/>
                <w:szCs w:val="20"/>
                <w:color w:val="auto"/>
              </w:rPr>
            </w:pPr>
            <w:r>
              <w:rPr>
                <w:rFonts w:ascii="Arial" w:cs="Arial" w:eastAsia="Arial" w:hAnsi="Arial"/>
                <w:sz w:val="18"/>
                <w:szCs w:val="18"/>
                <w:color w:val="auto"/>
              </w:rPr>
              <w:t>This endorsement, effective 12:01 A.M</w:t>
            </w:r>
          </w:p>
        </w:tc>
        <w:tc>
          <w:tcPr>
            <w:tcW w:w="2280" w:type="dxa"/>
            <w:vAlign w:val="bottom"/>
            <w:gridSpan w:val="3"/>
          </w:tcPr>
          <w:p>
            <w:pPr>
              <w:ind w:left="180"/>
              <w:spacing w:after="0"/>
              <w:rPr>
                <w:sz w:val="20"/>
                <w:szCs w:val="20"/>
                <w:color w:val="auto"/>
              </w:rPr>
            </w:pPr>
            <w:r>
              <w:rPr>
                <w:rFonts w:ascii="Arial" w:cs="Arial" w:eastAsia="Arial" w:hAnsi="Arial"/>
                <w:sz w:val="18"/>
                <w:szCs w:val="18"/>
                <w:color w:val="auto"/>
                <w:w w:val="88"/>
              </w:rPr>
              <w:t>March 8, 2012 forms a part of</w:t>
            </w:r>
          </w:p>
        </w:tc>
      </w:tr>
      <w:tr>
        <w:trPr>
          <w:trHeight w:val="216"/>
        </w:trPr>
        <w:tc>
          <w:tcPr>
            <w:tcW w:w="1060" w:type="dxa"/>
            <w:vAlign w:val="bottom"/>
            <w:gridSpan w:val="2"/>
          </w:tcPr>
          <w:p>
            <w:pPr>
              <w:spacing w:after="0"/>
              <w:rPr>
                <w:sz w:val="20"/>
                <w:szCs w:val="20"/>
                <w:color w:val="auto"/>
              </w:rPr>
            </w:pPr>
            <w:r>
              <w:rPr>
                <w:rFonts w:ascii="Arial" w:cs="Arial" w:eastAsia="Arial" w:hAnsi="Arial"/>
                <w:sz w:val="18"/>
                <w:szCs w:val="18"/>
                <w:color w:val="auto"/>
              </w:rPr>
              <w:t>policy No.</w:t>
            </w:r>
          </w:p>
        </w:tc>
        <w:tc>
          <w:tcPr>
            <w:tcW w:w="3800" w:type="dxa"/>
            <w:vAlign w:val="bottom"/>
          </w:tcPr>
          <w:p>
            <w:pPr>
              <w:ind w:left="320"/>
              <w:spacing w:after="0"/>
              <w:rPr>
                <w:sz w:val="20"/>
                <w:szCs w:val="20"/>
                <w:color w:val="auto"/>
              </w:rPr>
            </w:pPr>
            <w:r>
              <w:rPr>
                <w:rFonts w:ascii="Arial" w:cs="Arial" w:eastAsia="Arial" w:hAnsi="Arial"/>
                <w:sz w:val="18"/>
                <w:szCs w:val="18"/>
                <w:color w:val="auto"/>
              </w:rPr>
              <w:t>01-615-75-34</w:t>
            </w: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2"/>
        </w:trPr>
        <w:tc>
          <w:tcPr>
            <w:tcW w:w="1060" w:type="dxa"/>
            <w:vAlign w:val="bottom"/>
            <w:gridSpan w:val="2"/>
          </w:tcPr>
          <w:p>
            <w:pPr>
              <w:spacing w:after="0"/>
              <w:rPr>
                <w:sz w:val="20"/>
                <w:szCs w:val="20"/>
                <w:color w:val="auto"/>
              </w:rPr>
            </w:pPr>
            <w:r>
              <w:rPr>
                <w:rFonts w:ascii="Arial" w:cs="Arial" w:eastAsia="Arial" w:hAnsi="Arial"/>
                <w:sz w:val="18"/>
                <w:szCs w:val="18"/>
                <w:color w:val="auto"/>
              </w:rPr>
              <w:t>issued to:</w:t>
            </w:r>
          </w:p>
        </w:tc>
        <w:tc>
          <w:tcPr>
            <w:tcW w:w="3800" w:type="dxa"/>
            <w:vAlign w:val="bottom"/>
          </w:tcPr>
          <w:p>
            <w:pPr>
              <w:ind w:left="320"/>
              <w:spacing w:after="0"/>
              <w:rPr>
                <w:sz w:val="20"/>
                <w:szCs w:val="20"/>
                <w:color w:val="auto"/>
              </w:rPr>
            </w:pPr>
            <w:r>
              <w:rPr>
                <w:rFonts w:ascii="Arial" w:cs="Arial" w:eastAsia="Arial" w:hAnsi="Arial"/>
                <w:sz w:val="18"/>
                <w:szCs w:val="18"/>
                <w:color w:val="auto"/>
              </w:rPr>
              <w:t>TPG SPECIALTY LENDING, INC.</w:t>
            </w: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19"/>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gridSpan w:val="2"/>
          </w:tcPr>
          <w:p>
            <w:pPr>
              <w:ind w:left="200"/>
              <w:spacing w:after="0"/>
              <w:rPr>
                <w:sz w:val="20"/>
                <w:szCs w:val="20"/>
                <w:color w:val="auto"/>
              </w:rPr>
            </w:pPr>
            <w:r>
              <w:rPr>
                <w:rFonts w:ascii="Arial" w:cs="Arial" w:eastAsia="Arial" w:hAnsi="Arial"/>
                <w:sz w:val="18"/>
                <w:szCs w:val="18"/>
                <w:color w:val="auto"/>
                <w:w w:val="91"/>
              </w:rPr>
              <w:t>National Union Fire Insurance Company of Pittsburgh, Pa.</w:t>
            </w: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pacing w:after="0" w:line="3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ERISA RIDER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90" w:lineRule="exact"/>
        <w:rPr>
          <w:sz w:val="20"/>
          <w:szCs w:val="20"/>
          <w:color w:val="auto"/>
        </w:rPr>
      </w:pPr>
    </w:p>
    <w:p>
      <w:pPr>
        <w:ind w:left="580" w:hanging="572"/>
        <w:spacing w:after="0"/>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Name of Insured stated in the Declarations is amended to include the following as an Insured under the attached bond:</w:t>
      </w:r>
    </w:p>
    <w:p>
      <w:pPr>
        <w:spacing w:after="0" w:line="90" w:lineRule="exact"/>
        <w:rPr>
          <w:rFonts w:ascii="Arial" w:cs="Arial" w:eastAsia="Arial" w:hAnsi="Arial"/>
          <w:sz w:val="18"/>
          <w:szCs w:val="18"/>
          <w:color w:val="auto"/>
        </w:rPr>
      </w:pPr>
    </w:p>
    <w:p>
      <w:pPr>
        <w:ind w:left="580" w:right="120"/>
        <w:spacing w:after="0" w:line="268" w:lineRule="auto"/>
        <w:rPr>
          <w:rFonts w:ascii="Arial" w:cs="Arial" w:eastAsia="Arial" w:hAnsi="Arial"/>
          <w:sz w:val="18"/>
          <w:szCs w:val="18"/>
          <w:color w:val="auto"/>
        </w:rPr>
      </w:pPr>
      <w:r>
        <w:rPr>
          <w:rFonts w:ascii="Arial" w:cs="Arial" w:eastAsia="Arial" w:hAnsi="Arial"/>
          <w:sz w:val="18"/>
          <w:szCs w:val="18"/>
          <w:color w:val="auto"/>
        </w:rPr>
        <w:t>any of the Insured’s Employee Welfare or Pension Benefit Plans now existing or hereafter created or acquired which are required to be bonded under the Employee Retirement Income Security Act of 1974 (“ERISA”) (as amended).</w:t>
      </w:r>
    </w:p>
    <w:p>
      <w:pPr>
        <w:spacing w:after="0" w:line="50" w:lineRule="exact"/>
        <w:rPr>
          <w:rFonts w:ascii="Arial" w:cs="Arial" w:eastAsia="Arial" w:hAnsi="Arial"/>
          <w:sz w:val="18"/>
          <w:szCs w:val="18"/>
          <w:color w:val="auto"/>
        </w:rPr>
      </w:pPr>
    </w:p>
    <w:p>
      <w:pPr>
        <w:ind w:left="580" w:hanging="572"/>
        <w:spacing w:after="0"/>
        <w:tabs>
          <w:tab w:leader="none" w:pos="5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Solely for the purpose of the coverage provided by this rider, the definition of “Employee” is amended to include the following at the end thereof:</w:t>
      </w:r>
    </w:p>
    <w:p>
      <w:pPr>
        <w:spacing w:after="0" w:line="113" w:lineRule="exact"/>
        <w:rPr>
          <w:rFonts w:ascii="Arial" w:cs="Arial" w:eastAsia="Arial" w:hAnsi="Arial"/>
          <w:sz w:val="16"/>
          <w:szCs w:val="16"/>
          <w:color w:val="auto"/>
        </w:rPr>
      </w:pPr>
    </w:p>
    <w:p>
      <w:pPr>
        <w:ind w:left="580" w:right="240"/>
        <w:spacing w:after="0" w:line="259" w:lineRule="auto"/>
        <w:rPr>
          <w:rFonts w:ascii="Arial" w:cs="Arial" w:eastAsia="Arial" w:hAnsi="Arial"/>
          <w:sz w:val="16"/>
          <w:szCs w:val="16"/>
          <w:color w:val="auto"/>
        </w:rPr>
      </w:pPr>
      <w:r>
        <w:rPr>
          <w:rFonts w:ascii="Arial" w:cs="Arial" w:eastAsia="Arial" w:hAnsi="Arial"/>
          <w:sz w:val="18"/>
          <w:szCs w:val="18"/>
          <w:color w:val="auto"/>
        </w:rPr>
        <w:t>Employee shall also include any natural person who is a director or trustee of the Insured while such director or trustee is engaged in handling funds or other property of any Employee Welfare or Pension Benefit Plan owned, controlled or operated by the Insured or any natural person who is a trustee, manager, officer or employee of any such Plan.</w:t>
      </w:r>
    </w:p>
    <w:p>
      <w:pPr>
        <w:spacing w:after="0" w:line="59" w:lineRule="exact"/>
        <w:rPr>
          <w:rFonts w:ascii="Arial" w:cs="Arial" w:eastAsia="Arial" w:hAnsi="Arial"/>
          <w:sz w:val="16"/>
          <w:szCs w:val="16"/>
          <w:color w:val="auto"/>
        </w:rPr>
      </w:pPr>
    </w:p>
    <w:p>
      <w:pPr>
        <w:ind w:left="580" w:hanging="572"/>
        <w:spacing w:after="0" w:line="294" w:lineRule="auto"/>
        <w:tabs>
          <w:tab w:leader="none" w:pos="5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Solely for the purpose of the coverage provided by this rider, if the attached bond, in accordance with the agreements, limitations and conditions thereof, covers loss sustained by two or more Employee Welfare or Pension Benefit Plans or sustained by any such Plan in addition to loss sustained by an Insured other than such Plan, it is the obligation of the Insured or the Plan Administrator(s) of such Plans under Regulations published by the Secretary of Labor implementing Section 13 of the Welfare and Pension Plan Disclosure Act of 1958 to obtain under one or more bonds issued by one or more Insurers an amount of coverage for each such Plan at least equal to that which would be required if such Plans were bonded separately.</w:t>
      </w:r>
    </w:p>
    <w:p>
      <w:pPr>
        <w:spacing w:after="0" w:line="34" w:lineRule="exact"/>
        <w:rPr>
          <w:rFonts w:ascii="Arial" w:cs="Arial" w:eastAsia="Arial" w:hAnsi="Arial"/>
          <w:sz w:val="16"/>
          <w:szCs w:val="16"/>
          <w:color w:val="auto"/>
        </w:rPr>
      </w:pPr>
    </w:p>
    <w:p>
      <w:pPr>
        <w:ind w:left="580" w:right="80" w:hanging="572"/>
        <w:spacing w:after="0" w:line="294" w:lineRule="auto"/>
        <w:tabs>
          <w:tab w:leader="none" w:pos="5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 compliance with the foregoing, payment by the Underwriter in accordance with the agreements, limitations and conditions of the attached bond shall be held by the Insured, or if more than one by the Insured first named in the Declarations, for the use and benefit of any Employee Welfare or Pension Benefit Plan sustaining loss so covered and to the extent of that such payment is in excess of the amount of coverage required by such Regulations to be carried by said Plan sustaining such loss, such excess shall be held for the use and benefit of any other such Plan also covered in the event that such other Plan discovers that it has sustained loss covered thereunder.</w:t>
      </w:r>
    </w:p>
    <w:p>
      <w:pPr>
        <w:sectPr>
          <w:pgSz w:w="11900" w:h="16838" w:orient="portrait"/>
          <w:cols w:equalWidth="0" w:num="1">
            <w:col w:w="11420"/>
          </w:cols>
          <w:pgMar w:left="240" w:top="257" w:right="239" w:bottom="1440" w:gutter="0" w:footer="0" w:header="0"/>
        </w:sectPr>
      </w:pPr>
    </w:p>
    <w:bookmarkStart w:id="39" w:name="page40"/>
    <w:bookmarkEnd w:id="39"/>
    <w:p>
      <w:pPr>
        <w:jc w:val="center"/>
        <w:ind w:right="-11"/>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RIDER#</w:t>
      </w:r>
      <w:r>
        <w:rPr>
          <w:rFonts w:ascii="Arial" w:cs="Arial" w:eastAsia="Arial" w:hAnsi="Arial"/>
          <w:sz w:val="18"/>
          <w:szCs w:val="18"/>
          <w:b w:val="1"/>
          <w:bCs w:val="1"/>
          <w:color w:val="auto"/>
        </w:rPr>
        <w:t xml:space="preserve"> 8 (Continued)</w:t>
      </w:r>
    </w:p>
    <w:p>
      <w:pPr>
        <w:spacing w:after="0" w:line="218" w:lineRule="exact"/>
        <w:rPr>
          <w:sz w:val="20"/>
          <w:szCs w:val="20"/>
          <w:color w:val="auto"/>
        </w:rPr>
      </w:pPr>
    </w:p>
    <w:p>
      <w:pPr>
        <w:ind w:left="572" w:right="160" w:hanging="572"/>
        <w:spacing w:after="0" w:line="306" w:lineRule="auto"/>
        <w:tabs>
          <w:tab w:leader="none" w:pos="572" w:val="left"/>
        </w:tabs>
        <w:numPr>
          <w:ilvl w:val="0"/>
          <w:numId w:val="58"/>
        </w:numPr>
        <w:rPr>
          <w:rFonts w:ascii="Arial" w:cs="Arial" w:eastAsia="Arial" w:hAnsi="Arial"/>
          <w:sz w:val="16"/>
          <w:szCs w:val="16"/>
          <w:color w:val="auto"/>
        </w:rPr>
      </w:pPr>
      <w:r>
        <w:rPr>
          <w:rFonts w:ascii="Arial" w:cs="Arial" w:eastAsia="Arial" w:hAnsi="Arial"/>
          <w:sz w:val="16"/>
          <w:szCs w:val="16"/>
          <w:color w:val="auto"/>
        </w:rPr>
        <w:t>If money or other property of two or more Employee Welfare or Pension Benefit Plans covered under the bond is commingled, recovery for loss of such money or other property through fraudulent or dishonest acts of Employees shall be shared by such Plans on a pro rata basis in accordance with the amount for which each such Plan is required to carry bonding coverage in accordance with the applicable provisions of said Regulations.</w:t>
      </w:r>
    </w:p>
    <w:p>
      <w:pPr>
        <w:spacing w:after="0" w:line="25" w:lineRule="exact"/>
        <w:rPr>
          <w:rFonts w:ascii="Arial" w:cs="Arial" w:eastAsia="Arial" w:hAnsi="Arial"/>
          <w:sz w:val="16"/>
          <w:szCs w:val="16"/>
          <w:color w:val="auto"/>
        </w:rPr>
      </w:pPr>
    </w:p>
    <w:p>
      <w:pPr>
        <w:ind w:left="572" w:right="140" w:hanging="572"/>
        <w:spacing w:after="0" w:line="259" w:lineRule="auto"/>
        <w:tabs>
          <w:tab w:leader="none" w:pos="572" w:val="left"/>
        </w:tabs>
        <w:numPr>
          <w:ilvl w:val="0"/>
          <w:numId w:val="58"/>
        </w:numPr>
        <w:rPr>
          <w:rFonts w:ascii="Arial" w:cs="Arial" w:eastAsia="Arial" w:hAnsi="Arial"/>
          <w:sz w:val="18"/>
          <w:szCs w:val="18"/>
          <w:color w:val="auto"/>
        </w:rPr>
      </w:pPr>
      <w:r>
        <w:rPr>
          <w:rFonts w:ascii="Arial" w:cs="Arial" w:eastAsia="Arial" w:hAnsi="Arial"/>
          <w:sz w:val="18"/>
          <w:szCs w:val="18"/>
          <w:color w:val="auto"/>
        </w:rPr>
        <w:t>Solely for the purpose of the coverage afforded by this rider, the Deductible Amount stated in the Declarations applicable to loss sustained by a Plan through acts committed by an Employee of the Plan shall be waived, but only up to an amount equal to the amount of coverage required to be carried by the Plan because of compliance with the provisions of ERISA.</w:t>
      </w:r>
    </w:p>
    <w:p>
      <w:pPr>
        <w:spacing w:after="0" w:line="53" w:lineRule="exact"/>
        <w:rPr>
          <w:rFonts w:ascii="Arial" w:cs="Arial" w:eastAsia="Arial" w:hAnsi="Arial"/>
          <w:sz w:val="18"/>
          <w:szCs w:val="18"/>
          <w:color w:val="auto"/>
        </w:rPr>
      </w:pPr>
    </w:p>
    <w:p>
      <w:pPr>
        <w:ind w:left="572" w:hanging="572"/>
        <w:spacing w:after="0"/>
        <w:tabs>
          <w:tab w:leader="none" w:pos="572"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The attached bond is amended by adding the following section at the end of the </w:t>
      </w:r>
      <w:r>
        <w:rPr>
          <w:rFonts w:ascii="Arial" w:cs="Arial" w:eastAsia="Arial" w:hAnsi="Arial"/>
          <w:sz w:val="18"/>
          <w:szCs w:val="18"/>
          <w:b w:val="1"/>
          <w:bCs w:val="1"/>
          <w:color w:val="auto"/>
        </w:rPr>
        <w:t>CONDITIONS AND LIMITATIONS</w:t>
      </w:r>
      <w:r>
        <w:rPr>
          <w:rFonts w:ascii="Arial" w:cs="Arial" w:eastAsia="Arial" w:hAnsi="Arial"/>
          <w:sz w:val="18"/>
          <w:szCs w:val="18"/>
          <w:color w:val="auto"/>
        </w:rPr>
        <w:t xml:space="preserve"> Clause:</w:t>
      </w:r>
    </w:p>
    <w:p>
      <w:pPr>
        <w:spacing w:after="0" w:line="33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DISCOVERY PERIOD</w:t>
      </w:r>
    </w:p>
    <w:p>
      <w:pPr>
        <w:spacing w:after="0" w:line="171" w:lineRule="exact"/>
        <w:rPr>
          <w:sz w:val="20"/>
          <w:szCs w:val="20"/>
          <w:color w:val="auto"/>
        </w:rPr>
      </w:pPr>
    </w:p>
    <w:p>
      <w:pPr>
        <w:ind w:left="572"/>
        <w:spacing w:after="0" w:line="256" w:lineRule="auto"/>
        <w:rPr>
          <w:sz w:val="20"/>
          <w:szCs w:val="20"/>
          <w:color w:val="auto"/>
        </w:rPr>
      </w:pPr>
      <w:r>
        <w:rPr>
          <w:rFonts w:ascii="Arial" w:cs="Arial" w:eastAsia="Arial" w:hAnsi="Arial"/>
          <w:sz w:val="18"/>
          <w:szCs w:val="18"/>
          <w:color w:val="auto"/>
        </w:rPr>
        <w:t>Upon cancellation or termination of this bond as an entirety (other than cancellation as a result of non-payment of premium), whether by the Insured or by the Underwriter, the Insured shall be entitled to an additional period of twelve (12) months within which to discover loss sustained by a Plan(s) or Plan Official(s) prior to the effective date of such termination or cancellation (hereinafter the “Discovery Period”). The Discovery Period may not be cancelled by the Insured or the Underwriter.</w:t>
      </w:r>
    </w:p>
    <w:p>
      <w:pPr>
        <w:spacing w:after="0" w:line="62" w:lineRule="exact"/>
        <w:rPr>
          <w:sz w:val="20"/>
          <w:szCs w:val="20"/>
          <w:color w:val="auto"/>
        </w:rPr>
      </w:pPr>
    </w:p>
    <w:p>
      <w:pPr>
        <w:ind w:left="572"/>
        <w:spacing w:after="0"/>
        <w:rPr>
          <w:sz w:val="20"/>
          <w:szCs w:val="20"/>
          <w:color w:val="auto"/>
        </w:rPr>
      </w:pPr>
      <w:r>
        <w:rPr>
          <w:rFonts w:ascii="Arial" w:cs="Arial" w:eastAsia="Arial" w:hAnsi="Arial"/>
          <w:sz w:val="18"/>
          <w:szCs w:val="18"/>
          <w:color w:val="auto"/>
        </w:rPr>
        <w:t>Notwithstanding the foregoing, the Discovery Period shall terminate immediately on the effective date of:</w:t>
      </w:r>
    </w:p>
    <w:p>
      <w:pPr>
        <w:spacing w:after="0" w:line="90" w:lineRule="exact"/>
        <w:rPr>
          <w:sz w:val="20"/>
          <w:szCs w:val="20"/>
          <w:color w:val="auto"/>
        </w:rPr>
      </w:pPr>
    </w:p>
    <w:p>
      <w:pPr>
        <w:ind w:left="1132" w:right="640" w:hanging="565"/>
        <w:spacing w:after="0" w:line="268" w:lineRule="auto"/>
        <w:tabs>
          <w:tab w:leader="none" w:pos="1132"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renewal bond or policy hereof obtained by the Insured from the Underwriter or another insurance company subsidiary of Chartis Inc. (Chartis); or</w:t>
      </w:r>
    </w:p>
    <w:p>
      <w:pPr>
        <w:spacing w:after="0" w:line="50" w:lineRule="exact"/>
        <w:rPr>
          <w:rFonts w:ascii="Arial" w:cs="Arial" w:eastAsia="Arial" w:hAnsi="Arial"/>
          <w:sz w:val="18"/>
          <w:szCs w:val="18"/>
          <w:color w:val="auto"/>
        </w:rPr>
      </w:pPr>
    </w:p>
    <w:p>
      <w:pPr>
        <w:ind w:left="1132" w:right="40" w:hanging="565"/>
        <w:spacing w:after="0" w:line="294" w:lineRule="auto"/>
        <w:tabs>
          <w:tab w:leader="none" w:pos="1132" w:val="left"/>
        </w:tabs>
        <w:numPr>
          <w:ilvl w:val="0"/>
          <w:numId w:val="59"/>
        </w:numPr>
        <w:rPr>
          <w:rFonts w:ascii="Arial" w:cs="Arial" w:eastAsia="Arial" w:hAnsi="Arial"/>
          <w:sz w:val="16"/>
          <w:szCs w:val="16"/>
          <w:color w:val="auto"/>
        </w:rPr>
      </w:pPr>
      <w:r>
        <w:rPr>
          <w:rFonts w:ascii="Arial" w:cs="Arial" w:eastAsia="Arial" w:hAnsi="Arial"/>
          <w:sz w:val="16"/>
          <w:szCs w:val="16"/>
          <w:color w:val="auto"/>
        </w:rPr>
        <w:t>any other insurance obtained by the Insured, its successor in business or any other party from an insurer other than the Underwriter or another insurance company subsidiary of Chartis which replaces, in whole or in part, the insurance afforded by this bond (hereinafter “Replacement Coverage”) without the necessity of the Underwriter giving notice of such termination; provided, however, that such Replacement Coverage must provide coverage for loss sustained prior to its effective date. If such Replacement Coverage does not provide coverage for loss sustained prior to its effective date, the Discovery Period shall not immediately terminate.</w:t>
      </w:r>
    </w:p>
    <w:p>
      <w:pPr>
        <w:sectPr>
          <w:pgSz w:w="11900" w:h="16838" w:orient="portrait"/>
          <w:cols w:equalWidth="0" w:num="1">
            <w:col w:w="11412"/>
          </w:cols>
          <w:pgMar w:left="248" w:top="274"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RIDER#</w:t>
      </w:r>
      <w:r>
        <w:rPr>
          <w:rFonts w:ascii="Arial" w:cs="Arial" w:eastAsia="Arial" w:hAnsi="Arial"/>
          <w:sz w:val="18"/>
          <w:szCs w:val="18"/>
          <w:b w:val="1"/>
          <w:bCs w:val="1"/>
          <w:color w:val="auto"/>
        </w:rPr>
        <w:t xml:space="preserve"> 8 (Continued)</w:t>
      </w:r>
    </w:p>
    <w:p>
      <w:pPr>
        <w:spacing w:after="0" w:line="177" w:lineRule="exact"/>
        <w:rPr>
          <w:sz w:val="20"/>
          <w:szCs w:val="20"/>
          <w:color w:val="auto"/>
        </w:rPr>
      </w:pPr>
    </w:p>
    <w:p>
      <w:pPr>
        <w:ind w:left="580" w:right="400"/>
        <w:spacing w:after="0" w:line="332" w:lineRule="auto"/>
        <w:rPr>
          <w:sz w:val="20"/>
          <w:szCs w:val="20"/>
          <w:color w:val="auto"/>
        </w:rPr>
      </w:pPr>
      <w:r>
        <w:rPr>
          <w:rFonts w:ascii="Arial" w:cs="Arial" w:eastAsia="Arial" w:hAnsi="Arial"/>
          <w:sz w:val="16"/>
          <w:szCs w:val="16"/>
          <w:color w:val="auto"/>
        </w:rPr>
        <w:t>As used in this Section, Plan(s) means any of the Insured’s Employee Welfare or Pension Benefit Plans now existing or hereafter created or acquired which may be required to be bonded under the Employee Retirement Income Security Act of 1974 (as amended) (“ERISA”).</w:t>
      </w:r>
    </w:p>
    <w:p>
      <w:pPr>
        <w:spacing w:after="0" w:line="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used in this Section, Plan Official(s) means, with respect to any Plan(s), any person(s) defined as such under ERISA.</w:t>
      </w:r>
    </w:p>
    <w:p>
      <w:pPr>
        <w:spacing w:after="0" w:line="90" w:lineRule="exact"/>
        <w:rPr>
          <w:sz w:val="20"/>
          <w:szCs w:val="20"/>
          <w:color w:val="auto"/>
        </w:rPr>
      </w:pPr>
    </w:p>
    <w:p>
      <w:pPr>
        <w:ind w:left="580" w:hanging="572"/>
        <w:spacing w:after="0" w:line="268" w:lineRule="auto"/>
        <w:tabs>
          <w:tab w:leader="none" w:pos="5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Nothing contained here shall be held to vary, alter, waive or extend any of the terms, limitations, conditions, or agreements of the attached bond other than as above stated.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CONDITIONS AND EXCLUSIONS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139700</wp:posOffset>
            </wp:positionV>
            <wp:extent cx="2898775" cy="5918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9877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REPRESENTATIVE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101929 (6/09)</w:t>
      </w:r>
    </w:p>
    <w:p>
      <w:pPr>
        <w:sectPr>
          <w:pgSz w:w="11900" w:h="16838" w:orient="portrait"/>
          <w:cols w:equalWidth="0" w:num="1">
            <w:col w:w="11420"/>
          </w:cols>
          <w:pgMar w:left="240" w:top="274"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20" w:type="dxa"/>
            <w:vAlign w:val="bottom"/>
            <w:gridSpan w:val="2"/>
          </w:tcPr>
          <w:p>
            <w:pPr>
              <w:spacing w:after="0"/>
              <w:rPr>
                <w:sz w:val="20"/>
                <w:szCs w:val="20"/>
                <w:color w:val="auto"/>
              </w:rPr>
            </w:pPr>
            <w:r>
              <w:rPr>
                <w:rFonts w:ascii="Arial" w:cs="Arial" w:eastAsia="Arial" w:hAnsi="Arial"/>
                <w:sz w:val="18"/>
                <w:szCs w:val="18"/>
                <w:b w:val="1"/>
                <w:bCs w:val="1"/>
                <w:color w:val="auto"/>
              </w:rPr>
              <w:t>RIDER# 9</w:t>
            </w:r>
          </w:p>
        </w:tc>
      </w:tr>
      <w:tr>
        <w:trPr>
          <w:trHeight w:val="20"/>
        </w:trPr>
        <w:tc>
          <w:tcPr>
            <w:tcW w:w="48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31"/>
        </w:trPr>
        <w:tc>
          <w:tcPr>
            <w:tcW w:w="4860" w:type="dxa"/>
            <w:vAlign w:val="bottom"/>
            <w:gridSpan w:val="3"/>
          </w:tcPr>
          <w:p>
            <w:pPr>
              <w:spacing w:after="0"/>
              <w:rPr>
                <w:sz w:val="20"/>
                <w:szCs w:val="20"/>
                <w:color w:val="auto"/>
              </w:rPr>
            </w:pPr>
            <w:r>
              <w:rPr>
                <w:rFonts w:ascii="Arial" w:cs="Arial" w:eastAsia="Arial" w:hAnsi="Arial"/>
                <w:sz w:val="18"/>
                <w:szCs w:val="18"/>
                <w:color w:val="auto"/>
              </w:rPr>
              <w:t>This endorsement, effective 12:01 A.M</w:t>
            </w:r>
          </w:p>
        </w:tc>
        <w:tc>
          <w:tcPr>
            <w:tcW w:w="2280" w:type="dxa"/>
            <w:vAlign w:val="bottom"/>
            <w:gridSpan w:val="3"/>
          </w:tcPr>
          <w:p>
            <w:pPr>
              <w:ind w:left="180"/>
              <w:spacing w:after="0"/>
              <w:rPr>
                <w:sz w:val="20"/>
                <w:szCs w:val="20"/>
                <w:color w:val="auto"/>
              </w:rPr>
            </w:pPr>
            <w:r>
              <w:rPr>
                <w:rFonts w:ascii="Arial" w:cs="Arial" w:eastAsia="Arial" w:hAnsi="Arial"/>
                <w:sz w:val="18"/>
                <w:szCs w:val="18"/>
                <w:color w:val="auto"/>
                <w:w w:val="88"/>
              </w:rPr>
              <w:t>March 8, 2012 forms a part of</w:t>
            </w:r>
          </w:p>
        </w:tc>
      </w:tr>
      <w:tr>
        <w:trPr>
          <w:trHeight w:val="216"/>
        </w:trPr>
        <w:tc>
          <w:tcPr>
            <w:tcW w:w="1060" w:type="dxa"/>
            <w:vAlign w:val="bottom"/>
            <w:gridSpan w:val="2"/>
          </w:tcPr>
          <w:p>
            <w:pPr>
              <w:spacing w:after="0"/>
              <w:rPr>
                <w:sz w:val="20"/>
                <w:szCs w:val="20"/>
                <w:color w:val="auto"/>
              </w:rPr>
            </w:pPr>
            <w:r>
              <w:rPr>
                <w:rFonts w:ascii="Arial" w:cs="Arial" w:eastAsia="Arial" w:hAnsi="Arial"/>
                <w:sz w:val="18"/>
                <w:szCs w:val="18"/>
                <w:color w:val="auto"/>
              </w:rPr>
              <w:t>policy No.</w:t>
            </w:r>
          </w:p>
        </w:tc>
        <w:tc>
          <w:tcPr>
            <w:tcW w:w="3800" w:type="dxa"/>
            <w:vAlign w:val="bottom"/>
          </w:tcPr>
          <w:p>
            <w:pPr>
              <w:ind w:left="320"/>
              <w:spacing w:after="0"/>
              <w:rPr>
                <w:sz w:val="20"/>
                <w:szCs w:val="20"/>
                <w:color w:val="auto"/>
              </w:rPr>
            </w:pPr>
            <w:r>
              <w:rPr>
                <w:rFonts w:ascii="Arial" w:cs="Arial" w:eastAsia="Arial" w:hAnsi="Arial"/>
                <w:sz w:val="18"/>
                <w:szCs w:val="18"/>
                <w:color w:val="auto"/>
              </w:rPr>
              <w:t>01-615-75-34</w:t>
            </w: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2"/>
        </w:trPr>
        <w:tc>
          <w:tcPr>
            <w:tcW w:w="1060" w:type="dxa"/>
            <w:vAlign w:val="bottom"/>
            <w:gridSpan w:val="2"/>
          </w:tcPr>
          <w:p>
            <w:pPr>
              <w:spacing w:after="0"/>
              <w:rPr>
                <w:sz w:val="20"/>
                <w:szCs w:val="20"/>
                <w:color w:val="auto"/>
              </w:rPr>
            </w:pPr>
            <w:r>
              <w:rPr>
                <w:rFonts w:ascii="Arial" w:cs="Arial" w:eastAsia="Arial" w:hAnsi="Arial"/>
                <w:sz w:val="18"/>
                <w:szCs w:val="18"/>
                <w:color w:val="auto"/>
              </w:rPr>
              <w:t>issued to:</w:t>
            </w:r>
          </w:p>
        </w:tc>
        <w:tc>
          <w:tcPr>
            <w:tcW w:w="3800" w:type="dxa"/>
            <w:vAlign w:val="bottom"/>
          </w:tcPr>
          <w:p>
            <w:pPr>
              <w:ind w:left="320"/>
              <w:spacing w:after="0"/>
              <w:rPr>
                <w:sz w:val="20"/>
                <w:szCs w:val="20"/>
                <w:color w:val="auto"/>
              </w:rPr>
            </w:pPr>
            <w:r>
              <w:rPr>
                <w:rFonts w:ascii="Arial" w:cs="Arial" w:eastAsia="Arial" w:hAnsi="Arial"/>
                <w:sz w:val="18"/>
                <w:szCs w:val="18"/>
                <w:color w:val="auto"/>
              </w:rPr>
              <w:t>TPG SPECIALTY LENDING, INC.</w:t>
            </w: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19"/>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gridSpan w:val="2"/>
          </w:tcPr>
          <w:p>
            <w:pPr>
              <w:ind w:left="200"/>
              <w:spacing w:after="0"/>
              <w:rPr>
                <w:sz w:val="20"/>
                <w:szCs w:val="20"/>
                <w:color w:val="auto"/>
              </w:rPr>
            </w:pPr>
            <w:r>
              <w:rPr>
                <w:rFonts w:ascii="Arial" w:cs="Arial" w:eastAsia="Arial" w:hAnsi="Arial"/>
                <w:sz w:val="18"/>
                <w:szCs w:val="18"/>
                <w:color w:val="auto"/>
                <w:w w:val="91"/>
              </w:rPr>
              <w:t>National Union Fire Insurance Company of Pittsburgh, Pa.</w:t>
            </w: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pacing w:after="0" w:line="3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FACSIMILE SIGNATURES RIDER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84" w:lineRule="exact"/>
        <w:rPr>
          <w:sz w:val="20"/>
          <w:szCs w:val="20"/>
          <w:color w:val="auto"/>
        </w:rPr>
      </w:pPr>
    </w:p>
    <w:p>
      <w:pPr>
        <w:ind w:left="580" w:hanging="572"/>
        <w:spacing w:after="0"/>
        <w:tabs>
          <w:tab w:leader="none" w:pos="5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INSURING AGREEMENTS</w:t>
      </w:r>
      <w:r>
        <w:rPr>
          <w:rFonts w:ascii="Arial" w:cs="Arial" w:eastAsia="Arial" w:hAnsi="Arial"/>
          <w:sz w:val="16"/>
          <w:szCs w:val="16"/>
          <w:color w:val="auto"/>
        </w:rPr>
        <w:t xml:space="preserve"> Clause of the attached bond is amended by adding the following additional Insuring Agreement to the end thereof:</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FACSIMILE SIGNATURES</w:t>
      </w:r>
    </w:p>
    <w:p>
      <w:pPr>
        <w:spacing w:after="0" w:line="171" w:lineRule="exact"/>
        <w:rPr>
          <w:sz w:val="20"/>
          <w:szCs w:val="20"/>
          <w:color w:val="auto"/>
        </w:rPr>
      </w:pPr>
    </w:p>
    <w:p>
      <w:pPr>
        <w:ind w:left="580" w:right="60"/>
        <w:spacing w:after="0" w:line="291" w:lineRule="auto"/>
        <w:rPr>
          <w:sz w:val="20"/>
          <w:szCs w:val="20"/>
          <w:color w:val="auto"/>
        </w:rPr>
      </w:pPr>
      <w:r>
        <w:rPr>
          <w:rFonts w:ascii="Arial" w:cs="Arial" w:eastAsia="Arial" w:hAnsi="Arial"/>
          <w:sz w:val="16"/>
          <w:szCs w:val="16"/>
          <w:color w:val="auto"/>
        </w:rPr>
        <w:t>Loss resulting directly from the fact that an issuer of securities, transfer agent, bank, banker, or trust company received from the Insured or the New York Stock Exchange specimen copies of the Insured’s mechanically reproduced facsimile signature and acted in reliance upon any false, fraudulent or unauthorized reproduction of such facsimile signature, whether such facsimile signature is the facsimile signature duly adopted by the Insured or is one resembling or purporting to be such facsimile signature, regardless of by whom or by what means the same may have been imprinted, and whether or not such loss is sustained by reason of the Insured’s having entered into an agreement to be legally liable when such facsimile signature or one resembling or purporting to be such facsimile signature is used, provided, however, that</w:t>
      </w:r>
    </w:p>
    <w:p>
      <w:pPr>
        <w:spacing w:after="0" w:line="39" w:lineRule="exact"/>
        <w:rPr>
          <w:sz w:val="20"/>
          <w:szCs w:val="20"/>
          <w:color w:val="auto"/>
        </w:rPr>
      </w:pPr>
    </w:p>
    <w:p>
      <w:pPr>
        <w:ind w:left="1140" w:hanging="565"/>
        <w:spacing w:after="0"/>
        <w:tabs>
          <w:tab w:leader="none" w:pos="11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such facsimile signature is used on a document</w:t>
      </w:r>
    </w:p>
    <w:p>
      <w:pPr>
        <w:spacing w:after="0" w:line="90" w:lineRule="exact"/>
        <w:rPr>
          <w:rFonts w:ascii="Arial" w:cs="Arial" w:eastAsia="Arial" w:hAnsi="Arial"/>
          <w:sz w:val="18"/>
          <w:szCs w:val="18"/>
          <w:color w:val="auto"/>
        </w:rPr>
      </w:pPr>
    </w:p>
    <w:p>
      <w:pPr>
        <w:ind w:left="1820" w:right="60" w:hanging="678"/>
        <w:spacing w:after="0" w:line="259" w:lineRule="auto"/>
        <w:tabs>
          <w:tab w:leader="none" w:pos="18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as the signature to an assignment or other instrument authorizing or effecting the transfer of shares of stock, or other registered securities, which may now or at any time hereafter be registered in the name of the Insured on the books of the association, company or corporation issuing the same; or</w:t>
      </w:r>
    </w:p>
    <w:p>
      <w:pPr>
        <w:spacing w:after="0" w:line="59" w:lineRule="exact"/>
        <w:rPr>
          <w:rFonts w:ascii="Arial" w:cs="Arial" w:eastAsia="Arial" w:hAnsi="Arial"/>
          <w:sz w:val="18"/>
          <w:szCs w:val="18"/>
          <w:color w:val="auto"/>
        </w:rPr>
      </w:pPr>
    </w:p>
    <w:p>
      <w:pPr>
        <w:ind w:left="1820" w:hanging="678"/>
        <w:spacing w:after="0" w:line="256" w:lineRule="auto"/>
        <w:tabs>
          <w:tab w:leader="none" w:pos="18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as the signature to a power of substitution, designating a substitute or substitutes to make the actual transfer on the books of the issuer of shares of stock, or other registered securities, in respect of which the Insured may now or at any time hereafter be named as attorney to effect said transfer, whether said power of substitution is embodied in an endorsement on the certificate for said shares of stock or other registered security or in a separate instrument;</w:t>
      </w:r>
    </w:p>
    <w:p>
      <w:pPr>
        <w:sectPr>
          <w:pgSz w:w="11900" w:h="16838" w:orient="portrait"/>
          <w:cols w:equalWidth="0" w:num="1">
            <w:col w:w="11400"/>
          </w:cols>
          <w:pgMar w:left="240" w:top="257" w:right="25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RIDER#</w:t>
      </w:r>
      <w:r>
        <w:rPr>
          <w:rFonts w:ascii="Arial" w:cs="Arial" w:eastAsia="Arial" w:hAnsi="Arial"/>
          <w:sz w:val="18"/>
          <w:szCs w:val="18"/>
          <w:b w:val="1"/>
          <w:bCs w:val="1"/>
          <w:color w:val="auto"/>
        </w:rPr>
        <w:t xml:space="preserve"> 9 (Continued)</w:t>
      </w:r>
    </w:p>
    <w:p>
      <w:pPr>
        <w:spacing w:after="0" w:line="218" w:lineRule="exact"/>
        <w:rPr>
          <w:sz w:val="20"/>
          <w:szCs w:val="20"/>
          <w:color w:val="auto"/>
        </w:rPr>
      </w:pPr>
    </w:p>
    <w:p>
      <w:pPr>
        <w:ind w:left="1140" w:right="80" w:hanging="565"/>
        <w:spacing w:after="0" w:line="268" w:lineRule="auto"/>
        <w:tabs>
          <w:tab w:leader="none" w:pos="11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New York Stock Exchange has not interposed any objections to the use by the Insured of such facsimile signature and such agreement, if any, was required by the said Exchange as a condition to its failing to interpose any such objection; and</w:t>
      </w:r>
    </w:p>
    <w:p>
      <w:pPr>
        <w:spacing w:after="0" w:line="50" w:lineRule="exact"/>
        <w:rPr>
          <w:rFonts w:ascii="Arial" w:cs="Arial" w:eastAsia="Arial" w:hAnsi="Arial"/>
          <w:sz w:val="18"/>
          <w:szCs w:val="18"/>
          <w:color w:val="auto"/>
        </w:rPr>
      </w:pPr>
    </w:p>
    <w:p>
      <w:pPr>
        <w:ind w:left="1140" w:hanging="565"/>
        <w:spacing w:after="0"/>
        <w:tabs>
          <w:tab w:leader="none" w:pos="11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this FACSIMILE SIGNATURES Insuring Agreement shall not apply to any Certificated Securities which are counterfeit.</w:t>
      </w:r>
    </w:p>
    <w:p>
      <w:pPr>
        <w:spacing w:after="0" w:line="84" w:lineRule="exact"/>
        <w:rPr>
          <w:rFonts w:ascii="Arial" w:cs="Arial" w:eastAsia="Arial" w:hAnsi="Arial"/>
          <w:sz w:val="18"/>
          <w:szCs w:val="18"/>
          <w:color w:val="auto"/>
        </w:rPr>
      </w:pPr>
    </w:p>
    <w:p>
      <w:pPr>
        <w:ind w:left="580" w:right="200" w:hanging="572"/>
        <w:spacing w:after="0" w:line="275" w:lineRule="auto"/>
        <w:tabs>
          <w:tab w:leader="none" w:pos="5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Solely with respect to the FACSIMILE SIGNATURES Insuring Agreement, paragraphs (a) and (e) of Section 2. EXCLUSIONS of the </w:t>
      </w:r>
      <w:r>
        <w:rPr>
          <w:rFonts w:ascii="Arial" w:cs="Arial" w:eastAsia="Arial" w:hAnsi="Arial"/>
          <w:sz w:val="18"/>
          <w:szCs w:val="18"/>
          <w:b w:val="1"/>
          <w:bCs w:val="1"/>
          <w:color w:val="auto"/>
        </w:rPr>
        <w:t>CONDITIONS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AND LIMITATIONS </w:t>
      </w:r>
      <w:r>
        <w:rPr>
          <w:rFonts w:ascii="Arial" w:cs="Arial" w:eastAsia="Arial" w:hAnsi="Arial"/>
          <w:sz w:val="18"/>
          <w:szCs w:val="18"/>
          <w:color w:val="auto"/>
        </w:rPr>
        <w:t>Clause are deleted in their entirety.</w:t>
      </w:r>
    </w:p>
    <w:p>
      <w:pPr>
        <w:spacing w:after="0" w:line="44" w:lineRule="exact"/>
        <w:rPr>
          <w:rFonts w:ascii="Arial" w:cs="Arial" w:eastAsia="Arial" w:hAnsi="Arial"/>
          <w:sz w:val="18"/>
          <w:szCs w:val="18"/>
          <w:color w:val="auto"/>
        </w:rPr>
      </w:pPr>
    </w:p>
    <w:p>
      <w:pPr>
        <w:ind w:left="580" w:hanging="572"/>
        <w:spacing w:after="0" w:line="268" w:lineRule="auto"/>
        <w:tabs>
          <w:tab w:leader="none" w:pos="5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Nothing contained here shall be held to vary, alter, waive or extend any of the terms, limitations, conditions, or agreements of the attached bond other than as above stated.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CONDITIONS AND EXCLUSIONS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139700</wp:posOffset>
            </wp:positionV>
            <wp:extent cx="2898775" cy="5918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9877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REPRESENTATIVE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101777 (6/09)</w:t>
      </w:r>
    </w:p>
    <w:p>
      <w:pPr>
        <w:sectPr>
          <w:pgSz w:w="11900" w:h="16838" w:orient="portrait"/>
          <w:cols w:equalWidth="0" w:num="1">
            <w:col w:w="11420"/>
          </w:cols>
          <w:pgMar w:left="240" w:top="274"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60" w:type="dxa"/>
            <w:vAlign w:val="bottom"/>
            <w:gridSpan w:val="2"/>
          </w:tcPr>
          <w:p>
            <w:pPr>
              <w:spacing w:after="0"/>
              <w:rPr>
                <w:sz w:val="20"/>
                <w:szCs w:val="20"/>
                <w:color w:val="auto"/>
              </w:rPr>
            </w:pPr>
            <w:r>
              <w:rPr>
                <w:rFonts w:ascii="Arial" w:cs="Arial" w:eastAsia="Arial" w:hAnsi="Arial"/>
                <w:sz w:val="18"/>
                <w:szCs w:val="18"/>
                <w:b w:val="1"/>
                <w:bCs w:val="1"/>
                <w:color w:val="auto"/>
              </w:rPr>
              <w:t>RIDER# 10</w:t>
            </w:r>
          </w:p>
        </w:tc>
      </w:tr>
      <w:tr>
        <w:trPr>
          <w:trHeight w:val="20"/>
        </w:trPr>
        <w:tc>
          <w:tcPr>
            <w:tcW w:w="48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31"/>
        </w:trPr>
        <w:tc>
          <w:tcPr>
            <w:tcW w:w="4860" w:type="dxa"/>
            <w:vAlign w:val="bottom"/>
            <w:gridSpan w:val="3"/>
          </w:tcPr>
          <w:p>
            <w:pPr>
              <w:spacing w:after="0"/>
              <w:rPr>
                <w:sz w:val="20"/>
                <w:szCs w:val="20"/>
                <w:color w:val="auto"/>
              </w:rPr>
            </w:pPr>
            <w:r>
              <w:rPr>
                <w:rFonts w:ascii="Arial" w:cs="Arial" w:eastAsia="Arial" w:hAnsi="Arial"/>
                <w:sz w:val="18"/>
                <w:szCs w:val="18"/>
                <w:color w:val="auto"/>
              </w:rPr>
              <w:t>This endorsement, effective 12:01 A.M</w:t>
            </w:r>
          </w:p>
        </w:tc>
        <w:tc>
          <w:tcPr>
            <w:tcW w:w="2280" w:type="dxa"/>
            <w:vAlign w:val="bottom"/>
            <w:gridSpan w:val="3"/>
          </w:tcPr>
          <w:p>
            <w:pPr>
              <w:ind w:left="180"/>
              <w:spacing w:after="0"/>
              <w:rPr>
                <w:sz w:val="20"/>
                <w:szCs w:val="20"/>
                <w:color w:val="auto"/>
              </w:rPr>
            </w:pPr>
            <w:r>
              <w:rPr>
                <w:rFonts w:ascii="Arial" w:cs="Arial" w:eastAsia="Arial" w:hAnsi="Arial"/>
                <w:sz w:val="18"/>
                <w:szCs w:val="18"/>
                <w:color w:val="auto"/>
                <w:w w:val="88"/>
              </w:rPr>
              <w:t>March 8, 2012 forms a part of</w:t>
            </w:r>
          </w:p>
        </w:tc>
      </w:tr>
      <w:tr>
        <w:trPr>
          <w:trHeight w:val="216"/>
        </w:trPr>
        <w:tc>
          <w:tcPr>
            <w:tcW w:w="1060" w:type="dxa"/>
            <w:vAlign w:val="bottom"/>
            <w:gridSpan w:val="2"/>
          </w:tcPr>
          <w:p>
            <w:pPr>
              <w:spacing w:after="0"/>
              <w:rPr>
                <w:sz w:val="20"/>
                <w:szCs w:val="20"/>
                <w:color w:val="auto"/>
              </w:rPr>
            </w:pPr>
            <w:r>
              <w:rPr>
                <w:rFonts w:ascii="Arial" w:cs="Arial" w:eastAsia="Arial" w:hAnsi="Arial"/>
                <w:sz w:val="18"/>
                <w:szCs w:val="18"/>
                <w:color w:val="auto"/>
              </w:rPr>
              <w:t>policy No.</w:t>
            </w:r>
          </w:p>
        </w:tc>
        <w:tc>
          <w:tcPr>
            <w:tcW w:w="3800" w:type="dxa"/>
            <w:vAlign w:val="bottom"/>
          </w:tcPr>
          <w:p>
            <w:pPr>
              <w:ind w:left="320"/>
              <w:spacing w:after="0"/>
              <w:rPr>
                <w:sz w:val="20"/>
                <w:szCs w:val="20"/>
                <w:color w:val="auto"/>
              </w:rPr>
            </w:pPr>
            <w:r>
              <w:rPr>
                <w:rFonts w:ascii="Arial" w:cs="Arial" w:eastAsia="Arial" w:hAnsi="Arial"/>
                <w:sz w:val="18"/>
                <w:szCs w:val="18"/>
                <w:color w:val="auto"/>
              </w:rPr>
              <w:t>01-615-75-34</w:t>
            </w: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2"/>
        </w:trPr>
        <w:tc>
          <w:tcPr>
            <w:tcW w:w="1060" w:type="dxa"/>
            <w:vAlign w:val="bottom"/>
            <w:gridSpan w:val="2"/>
          </w:tcPr>
          <w:p>
            <w:pPr>
              <w:spacing w:after="0"/>
              <w:rPr>
                <w:sz w:val="20"/>
                <w:szCs w:val="20"/>
                <w:color w:val="auto"/>
              </w:rPr>
            </w:pPr>
            <w:r>
              <w:rPr>
                <w:rFonts w:ascii="Arial" w:cs="Arial" w:eastAsia="Arial" w:hAnsi="Arial"/>
                <w:sz w:val="18"/>
                <w:szCs w:val="18"/>
                <w:color w:val="auto"/>
              </w:rPr>
              <w:t>issued to:</w:t>
            </w:r>
          </w:p>
        </w:tc>
        <w:tc>
          <w:tcPr>
            <w:tcW w:w="3800" w:type="dxa"/>
            <w:vAlign w:val="bottom"/>
          </w:tcPr>
          <w:p>
            <w:pPr>
              <w:ind w:left="320"/>
              <w:spacing w:after="0"/>
              <w:rPr>
                <w:sz w:val="20"/>
                <w:szCs w:val="20"/>
                <w:color w:val="auto"/>
              </w:rPr>
            </w:pPr>
            <w:r>
              <w:rPr>
                <w:rFonts w:ascii="Arial" w:cs="Arial" w:eastAsia="Arial" w:hAnsi="Arial"/>
                <w:sz w:val="18"/>
                <w:szCs w:val="18"/>
                <w:color w:val="auto"/>
              </w:rPr>
              <w:t>TPG SPECIALTY LENDING, INC.</w:t>
            </w: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19"/>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gridSpan w:val="2"/>
          </w:tcPr>
          <w:p>
            <w:pPr>
              <w:ind w:left="200"/>
              <w:spacing w:after="0"/>
              <w:rPr>
                <w:sz w:val="20"/>
                <w:szCs w:val="20"/>
                <w:color w:val="auto"/>
              </w:rPr>
            </w:pPr>
            <w:r>
              <w:rPr>
                <w:rFonts w:ascii="Arial" w:cs="Arial" w:eastAsia="Arial" w:hAnsi="Arial"/>
                <w:sz w:val="18"/>
                <w:szCs w:val="18"/>
                <w:color w:val="auto"/>
                <w:w w:val="91"/>
              </w:rPr>
              <w:t>National Union Fire Insurance Company of Pittsburgh, Pa.</w:t>
            </w: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3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GENERAL AGREEMENT D AMENDED RIDER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84" w:lineRule="exact"/>
        <w:rPr>
          <w:sz w:val="20"/>
          <w:szCs w:val="20"/>
          <w:color w:val="auto"/>
        </w:rPr>
      </w:pPr>
    </w:p>
    <w:p>
      <w:pPr>
        <w:ind w:left="580" w:right="220" w:hanging="572"/>
        <w:spacing w:after="0" w:line="275" w:lineRule="auto"/>
        <w:tabs>
          <w:tab w:leader="none" w:pos="5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General Agreement D. REPRESENTATION OF INSURED of the </w:t>
      </w:r>
      <w:r>
        <w:rPr>
          <w:rFonts w:ascii="Arial" w:cs="Arial" w:eastAsia="Arial" w:hAnsi="Arial"/>
          <w:sz w:val="18"/>
          <w:szCs w:val="18"/>
          <w:b w:val="1"/>
          <w:bCs w:val="1"/>
          <w:color w:val="auto"/>
        </w:rPr>
        <w:t>GENERAL AGREEMENTS</w:t>
      </w:r>
      <w:r>
        <w:rPr>
          <w:rFonts w:ascii="Arial" w:cs="Arial" w:eastAsia="Arial" w:hAnsi="Arial"/>
          <w:sz w:val="18"/>
          <w:szCs w:val="18"/>
          <w:color w:val="auto"/>
        </w:rPr>
        <w:t xml:space="preserve"> Clause is deleted in its entirety and replaced with the following:</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 OF INSURED</w:t>
      </w:r>
    </w:p>
    <w:p>
      <w:pPr>
        <w:spacing w:after="0" w:line="212" w:lineRule="exact"/>
        <w:rPr>
          <w:sz w:val="20"/>
          <w:szCs w:val="20"/>
          <w:color w:val="auto"/>
        </w:rPr>
      </w:pPr>
    </w:p>
    <w:p>
      <w:pPr>
        <w:ind w:left="1140" w:right="120" w:hanging="565"/>
        <w:spacing w:after="0" w:line="256" w:lineRule="auto"/>
        <w:tabs>
          <w:tab w:leader="none" w:pos="11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Insured represents that the information furnished in the application for this bond is complete, true and correct. The individual signing the application hereby makes such representation on behalf of himself/herself and all Insureds under the attached bond (as that term is defined in the attached bond) after inquiry of all the directors and officers of the Insured and its subsidiaries, to the extent coverage is granted to any of its subsidiaries under the attached bond.</w:t>
      </w:r>
    </w:p>
    <w:p>
      <w:pPr>
        <w:spacing w:after="0" w:line="62" w:lineRule="exact"/>
        <w:rPr>
          <w:rFonts w:ascii="Arial" w:cs="Arial" w:eastAsia="Arial" w:hAnsi="Arial"/>
          <w:sz w:val="18"/>
          <w:szCs w:val="18"/>
          <w:color w:val="auto"/>
        </w:rPr>
      </w:pPr>
    </w:p>
    <w:p>
      <w:pPr>
        <w:ind w:left="1140" w:right="60"/>
        <w:spacing w:after="0" w:line="268" w:lineRule="auto"/>
        <w:rPr>
          <w:rFonts w:ascii="Arial" w:cs="Arial" w:eastAsia="Arial" w:hAnsi="Arial"/>
          <w:sz w:val="18"/>
          <w:szCs w:val="18"/>
          <w:color w:val="auto"/>
        </w:rPr>
      </w:pPr>
      <w:r>
        <w:rPr>
          <w:rFonts w:ascii="Arial" w:cs="Arial" w:eastAsia="Arial" w:hAnsi="Arial"/>
          <w:sz w:val="18"/>
          <w:szCs w:val="18"/>
          <w:color w:val="auto"/>
        </w:rPr>
        <w:t>Such application constitutes part of this bond. Any intentional misrepresentation, omission, concealment or incorrect statement of a material fact, in the application or otherwise, shall be grounds for the rescission of this bond.</w:t>
      </w:r>
    </w:p>
    <w:p>
      <w:pPr>
        <w:spacing w:after="0" w:line="50" w:lineRule="exact"/>
        <w:rPr>
          <w:rFonts w:ascii="Arial" w:cs="Arial" w:eastAsia="Arial" w:hAnsi="Arial"/>
          <w:sz w:val="18"/>
          <w:szCs w:val="18"/>
          <w:color w:val="auto"/>
        </w:rPr>
      </w:pPr>
    </w:p>
    <w:p>
      <w:pPr>
        <w:ind w:left="580" w:hanging="572"/>
        <w:spacing w:after="0" w:line="268" w:lineRule="auto"/>
        <w:tabs>
          <w:tab w:leader="none" w:pos="5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Nothing contained here shall be held to vary, alter, waive or extend any of the terms, limitations, conditions, or agreements of the attached bond other than as above stated.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CONDITIONS AND EXCLUSIONS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139700</wp:posOffset>
            </wp:positionV>
            <wp:extent cx="2898775" cy="6000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9877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REPRESENTATIVE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101793 (6/09)</w:t>
      </w:r>
    </w:p>
    <w:p>
      <w:pPr>
        <w:sectPr>
          <w:pgSz w:w="11900" w:h="16838" w:orient="portrait"/>
          <w:cols w:equalWidth="0" w:num="1">
            <w:col w:w="11420"/>
          </w:cols>
          <w:pgMar w:left="240" w:top="257"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7"/>
        </w:trPr>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60" w:type="dxa"/>
            <w:vAlign w:val="bottom"/>
            <w:gridSpan w:val="2"/>
          </w:tcPr>
          <w:p>
            <w:pPr>
              <w:spacing w:after="0"/>
              <w:rPr>
                <w:sz w:val="20"/>
                <w:szCs w:val="20"/>
                <w:color w:val="auto"/>
              </w:rPr>
            </w:pPr>
            <w:r>
              <w:rPr>
                <w:rFonts w:ascii="Arial" w:cs="Arial" w:eastAsia="Arial" w:hAnsi="Arial"/>
                <w:sz w:val="18"/>
                <w:szCs w:val="18"/>
                <w:b w:val="1"/>
                <w:bCs w:val="1"/>
                <w:color w:val="auto"/>
              </w:rPr>
              <w:t>RIDER# 11</w:t>
            </w:r>
          </w:p>
        </w:tc>
      </w:tr>
      <w:tr>
        <w:trPr>
          <w:trHeight w:val="20"/>
        </w:trPr>
        <w:tc>
          <w:tcPr>
            <w:tcW w:w="48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31"/>
        </w:trPr>
        <w:tc>
          <w:tcPr>
            <w:tcW w:w="4860" w:type="dxa"/>
            <w:vAlign w:val="bottom"/>
            <w:gridSpan w:val="3"/>
          </w:tcPr>
          <w:p>
            <w:pPr>
              <w:spacing w:after="0"/>
              <w:rPr>
                <w:sz w:val="20"/>
                <w:szCs w:val="20"/>
                <w:color w:val="auto"/>
              </w:rPr>
            </w:pPr>
            <w:r>
              <w:rPr>
                <w:rFonts w:ascii="Arial" w:cs="Arial" w:eastAsia="Arial" w:hAnsi="Arial"/>
                <w:sz w:val="18"/>
                <w:szCs w:val="18"/>
                <w:color w:val="auto"/>
              </w:rPr>
              <w:t>This endorsement, effective 12:01 A.M</w:t>
            </w:r>
          </w:p>
        </w:tc>
        <w:tc>
          <w:tcPr>
            <w:tcW w:w="2280" w:type="dxa"/>
            <w:vAlign w:val="bottom"/>
            <w:gridSpan w:val="3"/>
          </w:tcPr>
          <w:p>
            <w:pPr>
              <w:ind w:left="180"/>
              <w:spacing w:after="0"/>
              <w:rPr>
                <w:sz w:val="20"/>
                <w:szCs w:val="20"/>
                <w:color w:val="auto"/>
              </w:rPr>
            </w:pPr>
            <w:r>
              <w:rPr>
                <w:rFonts w:ascii="Arial" w:cs="Arial" w:eastAsia="Arial" w:hAnsi="Arial"/>
                <w:sz w:val="18"/>
                <w:szCs w:val="18"/>
                <w:color w:val="auto"/>
                <w:w w:val="88"/>
              </w:rPr>
              <w:t>March 8, 2012 forms a part of</w:t>
            </w:r>
          </w:p>
        </w:tc>
      </w:tr>
      <w:tr>
        <w:trPr>
          <w:trHeight w:val="216"/>
        </w:trPr>
        <w:tc>
          <w:tcPr>
            <w:tcW w:w="1060" w:type="dxa"/>
            <w:vAlign w:val="bottom"/>
            <w:gridSpan w:val="2"/>
          </w:tcPr>
          <w:p>
            <w:pPr>
              <w:spacing w:after="0"/>
              <w:rPr>
                <w:sz w:val="20"/>
                <w:szCs w:val="20"/>
                <w:color w:val="auto"/>
              </w:rPr>
            </w:pPr>
            <w:r>
              <w:rPr>
                <w:rFonts w:ascii="Arial" w:cs="Arial" w:eastAsia="Arial" w:hAnsi="Arial"/>
                <w:sz w:val="18"/>
                <w:szCs w:val="18"/>
                <w:color w:val="auto"/>
              </w:rPr>
              <w:t>policy No.</w:t>
            </w:r>
          </w:p>
        </w:tc>
        <w:tc>
          <w:tcPr>
            <w:tcW w:w="3800" w:type="dxa"/>
            <w:vAlign w:val="bottom"/>
          </w:tcPr>
          <w:p>
            <w:pPr>
              <w:ind w:left="320"/>
              <w:spacing w:after="0"/>
              <w:rPr>
                <w:sz w:val="20"/>
                <w:szCs w:val="20"/>
                <w:color w:val="auto"/>
              </w:rPr>
            </w:pPr>
            <w:r>
              <w:rPr>
                <w:rFonts w:ascii="Arial" w:cs="Arial" w:eastAsia="Arial" w:hAnsi="Arial"/>
                <w:sz w:val="18"/>
                <w:szCs w:val="18"/>
                <w:color w:val="auto"/>
              </w:rPr>
              <w:t>01-615-75-34</w:t>
            </w: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2"/>
        </w:trPr>
        <w:tc>
          <w:tcPr>
            <w:tcW w:w="1060" w:type="dxa"/>
            <w:vAlign w:val="bottom"/>
            <w:gridSpan w:val="2"/>
          </w:tcPr>
          <w:p>
            <w:pPr>
              <w:spacing w:after="0"/>
              <w:rPr>
                <w:sz w:val="20"/>
                <w:szCs w:val="20"/>
                <w:color w:val="auto"/>
              </w:rPr>
            </w:pPr>
            <w:r>
              <w:rPr>
                <w:rFonts w:ascii="Arial" w:cs="Arial" w:eastAsia="Arial" w:hAnsi="Arial"/>
                <w:sz w:val="18"/>
                <w:szCs w:val="18"/>
                <w:color w:val="auto"/>
              </w:rPr>
              <w:t>issued to:</w:t>
            </w:r>
          </w:p>
        </w:tc>
        <w:tc>
          <w:tcPr>
            <w:tcW w:w="3800" w:type="dxa"/>
            <w:vAlign w:val="bottom"/>
          </w:tcPr>
          <w:p>
            <w:pPr>
              <w:ind w:left="320"/>
              <w:spacing w:after="0"/>
              <w:rPr>
                <w:sz w:val="20"/>
                <w:szCs w:val="20"/>
                <w:color w:val="auto"/>
              </w:rPr>
            </w:pPr>
            <w:r>
              <w:rPr>
                <w:rFonts w:ascii="Arial" w:cs="Arial" w:eastAsia="Arial" w:hAnsi="Arial"/>
                <w:sz w:val="18"/>
                <w:szCs w:val="18"/>
                <w:color w:val="auto"/>
              </w:rPr>
              <w:t>TPG SPECIALTY LENDING, INC.</w:t>
            </w: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19"/>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gridSpan w:val="2"/>
          </w:tcPr>
          <w:p>
            <w:pPr>
              <w:ind w:left="200"/>
              <w:spacing w:after="0"/>
              <w:rPr>
                <w:sz w:val="20"/>
                <w:szCs w:val="20"/>
                <w:color w:val="auto"/>
              </w:rPr>
            </w:pPr>
            <w:r>
              <w:rPr>
                <w:rFonts w:ascii="Arial" w:cs="Arial" w:eastAsia="Arial" w:hAnsi="Arial"/>
                <w:sz w:val="18"/>
                <w:szCs w:val="18"/>
                <w:color w:val="auto"/>
                <w:w w:val="91"/>
              </w:rPr>
              <w:t>National Union Fire Insurance Company of Pittsburgh, Pa.</w:t>
            </w: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3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TELEFACSIMILE TRANSFER FRAUD RIDER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84" w:lineRule="exact"/>
        <w:rPr>
          <w:sz w:val="20"/>
          <w:szCs w:val="20"/>
          <w:color w:val="auto"/>
        </w:rPr>
      </w:pPr>
    </w:p>
    <w:p>
      <w:pPr>
        <w:ind w:left="580" w:hanging="572"/>
        <w:spacing w:after="0"/>
        <w:tabs>
          <w:tab w:leader="none" w:pos="5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INSURING AGREEMENTS</w:t>
      </w:r>
      <w:r>
        <w:rPr>
          <w:rFonts w:ascii="Arial" w:cs="Arial" w:eastAsia="Arial" w:hAnsi="Arial"/>
          <w:sz w:val="16"/>
          <w:szCs w:val="16"/>
          <w:color w:val="auto"/>
        </w:rPr>
        <w:t xml:space="preserve"> Clause of the attached bond is amended by adding the following additional Insuring Agreement to the end thereof:</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TELEFACSIMILE TRANSFER FRAUD</w:t>
      </w:r>
    </w:p>
    <w:p>
      <w:pPr>
        <w:spacing w:after="0" w:line="171" w:lineRule="exact"/>
        <w:rPr>
          <w:sz w:val="20"/>
          <w:szCs w:val="20"/>
          <w:color w:val="auto"/>
        </w:rPr>
      </w:pPr>
    </w:p>
    <w:p>
      <w:pPr>
        <w:jc w:val="both"/>
        <w:ind w:left="580"/>
        <w:spacing w:after="0" w:line="259" w:lineRule="auto"/>
        <w:rPr>
          <w:sz w:val="20"/>
          <w:szCs w:val="20"/>
          <w:color w:val="auto"/>
        </w:rPr>
      </w:pPr>
      <w:r>
        <w:rPr>
          <w:rFonts w:ascii="Arial" w:cs="Arial" w:eastAsia="Arial" w:hAnsi="Arial"/>
          <w:sz w:val="18"/>
          <w:szCs w:val="18"/>
          <w:color w:val="auto"/>
        </w:rPr>
        <w:t>Loss resulting directly from the Insured having, in good faith, transferred or delivered Funds, Certificated Securities or Uncertificated Securities through a Computer System covered under the terms of the Computer Systems Fraud Insuring Agreement in reliance upon a fraudulent instruction received through a Telefacsimile Device, and which instruction:</w:t>
      </w:r>
    </w:p>
    <w:p>
      <w:pPr>
        <w:spacing w:after="0" w:line="59" w:lineRule="exact"/>
        <w:rPr>
          <w:sz w:val="20"/>
          <w:szCs w:val="20"/>
          <w:color w:val="auto"/>
        </w:rPr>
      </w:pPr>
    </w:p>
    <w:p>
      <w:pPr>
        <w:ind w:left="1140" w:hanging="565"/>
        <w:spacing w:after="0"/>
        <w:tabs>
          <w:tab w:leader="none" w:pos="11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purports and reasonably appears to have originated from</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 Customer of the Insured,</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another financial institution, or</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another office of the Insured</w:t>
      </w:r>
    </w:p>
    <w:p>
      <w:pPr>
        <w:spacing w:after="0" w:line="9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but, in fact, was not originated by the Customer or entity whose identification it bears;</w:t>
      </w:r>
    </w:p>
    <w:p>
      <w:pPr>
        <w:spacing w:after="0" w:line="90" w:lineRule="exact"/>
        <w:rPr>
          <w:sz w:val="20"/>
          <w:szCs w:val="20"/>
          <w:color w:val="auto"/>
        </w:rPr>
      </w:pPr>
    </w:p>
    <w:p>
      <w:pPr>
        <w:ind w:left="1140" w:hanging="565"/>
        <w:spacing w:after="0"/>
        <w:tabs>
          <w:tab w:leader="none" w:pos="11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contains a valid test code which proves to have been used by a person who was not authorized to make use of it; and</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contains the name of a person authorized to initiate such transfer,</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provided that, if the transfer was in excess of $100,000, the instruction was verified by a call-back according to a prearranged procedure.</w:t>
      </w:r>
    </w:p>
    <w:p>
      <w:pPr>
        <w:sectPr>
          <w:pgSz w:w="11900" w:h="16838" w:orient="portrait"/>
          <w:cols w:equalWidth="0" w:num="1">
            <w:col w:w="11420"/>
          </w:cols>
          <w:pgMar w:left="240" w:top="257"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RIDER#</w:t>
      </w:r>
      <w:r>
        <w:rPr>
          <w:rFonts w:ascii="Arial" w:cs="Arial" w:eastAsia="Arial" w:hAnsi="Arial"/>
          <w:sz w:val="18"/>
          <w:szCs w:val="18"/>
          <w:b w:val="1"/>
          <w:bCs w:val="1"/>
          <w:color w:val="auto"/>
        </w:rPr>
        <w:t xml:space="preserve"> 11 (Continued)</w:t>
      </w:r>
    </w:p>
    <w:p>
      <w:pPr>
        <w:spacing w:after="0" w:line="218" w:lineRule="exact"/>
        <w:rPr>
          <w:sz w:val="20"/>
          <w:szCs w:val="20"/>
          <w:color w:val="auto"/>
        </w:rPr>
      </w:pPr>
    </w:p>
    <w:p>
      <w:pPr>
        <w:ind w:left="580" w:hanging="572"/>
        <w:spacing w:after="0"/>
        <w:tabs>
          <w:tab w:leader="none" w:pos="5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Solely with respect to the TELEFACSIMILE TRANSFER FRAUD Insuring Agreement, the following Definitions are added to the bond:</w:t>
      </w:r>
    </w:p>
    <w:p>
      <w:pPr>
        <w:spacing w:after="0" w:line="90" w:lineRule="exact"/>
        <w:rPr>
          <w:rFonts w:ascii="Arial" w:cs="Arial" w:eastAsia="Arial" w:hAnsi="Arial"/>
          <w:sz w:val="18"/>
          <w:szCs w:val="18"/>
          <w:color w:val="auto"/>
        </w:rPr>
      </w:pPr>
    </w:p>
    <w:p>
      <w:pPr>
        <w:jc w:val="both"/>
        <w:ind w:left="1140" w:right="200" w:hanging="565"/>
        <w:spacing w:after="0" w:line="306" w:lineRule="auto"/>
        <w:tabs>
          <w:tab w:leader="none" w:pos="1140" w:val="left"/>
        </w:tabs>
        <w:numPr>
          <w:ilvl w:val="1"/>
          <w:numId w:val="71"/>
        </w:numPr>
        <w:rPr>
          <w:rFonts w:ascii="Arial" w:cs="Arial" w:eastAsia="Arial" w:hAnsi="Arial"/>
          <w:sz w:val="16"/>
          <w:szCs w:val="16"/>
          <w:color w:val="auto"/>
        </w:rPr>
      </w:pPr>
      <w:r>
        <w:rPr>
          <w:rFonts w:ascii="Arial" w:cs="Arial" w:eastAsia="Arial" w:hAnsi="Arial"/>
          <w:sz w:val="16"/>
          <w:szCs w:val="16"/>
          <w:color w:val="auto"/>
        </w:rPr>
        <w:t>Customer means an entity or individual which has a written agreement with the Insured authorizing the Insured to rely on Telefacsimile Device instructions to initiate transfers and has provided the Insured with the names of persons authorized to initiate such transfers, and with which the Insured has established an instruction verification mechanism, and Funds means Money on deposit in an account.</w:t>
      </w:r>
    </w:p>
    <w:p>
      <w:pPr>
        <w:spacing w:after="0" w:line="25" w:lineRule="exact"/>
        <w:rPr>
          <w:rFonts w:ascii="Arial" w:cs="Arial" w:eastAsia="Arial" w:hAnsi="Arial"/>
          <w:sz w:val="16"/>
          <w:szCs w:val="16"/>
          <w:color w:val="auto"/>
        </w:rPr>
      </w:pPr>
    </w:p>
    <w:p>
      <w:pPr>
        <w:ind w:left="1140" w:right="660" w:hanging="565"/>
        <w:spacing w:after="0" w:line="268" w:lineRule="auto"/>
        <w:tabs>
          <w:tab w:leader="none" w:pos="11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Telefacsimile Device means a machine capable of sending or receiving a duplicate image of a document by means of electronic impulses transmitted through a telephone line and which reproduces the duplicate image on paper.</w:t>
      </w:r>
    </w:p>
    <w:p>
      <w:pPr>
        <w:spacing w:after="0" w:line="50" w:lineRule="exact"/>
        <w:rPr>
          <w:rFonts w:ascii="Arial" w:cs="Arial" w:eastAsia="Arial" w:hAnsi="Arial"/>
          <w:sz w:val="18"/>
          <w:szCs w:val="18"/>
          <w:color w:val="auto"/>
        </w:rPr>
      </w:pPr>
    </w:p>
    <w:p>
      <w:pPr>
        <w:ind w:left="580" w:right="60" w:hanging="572"/>
        <w:spacing w:after="0" w:line="259" w:lineRule="auto"/>
        <w:tabs>
          <w:tab w:leader="none" w:pos="5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TELEFACSIMILE TRANSFER FRAUD Insuring Agreement does not cover loss resulting directly or indirectly from the assumption of liability by the Insured by contract, unless the liability arises from a loss otherwise covered by the TELEFACSIMILE TRANSFER FRAUD Insuring Agreement and would be imposed on the Insured regardless of the existence of the contract.</w:t>
      </w:r>
    </w:p>
    <w:p>
      <w:pPr>
        <w:spacing w:after="0" w:line="59" w:lineRule="exact"/>
        <w:rPr>
          <w:rFonts w:ascii="Arial" w:cs="Arial" w:eastAsia="Arial" w:hAnsi="Arial"/>
          <w:sz w:val="18"/>
          <w:szCs w:val="18"/>
          <w:color w:val="auto"/>
        </w:rPr>
      </w:pPr>
    </w:p>
    <w:p>
      <w:pPr>
        <w:ind w:left="580" w:hanging="572"/>
        <w:spacing w:after="0" w:line="268" w:lineRule="auto"/>
        <w:tabs>
          <w:tab w:leader="none" w:pos="5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Solely for the purpose of the TELEFACSIMILE TRANSFER FRAUD Insuring Agreement, proof of loss for a claim must include a copy of the document reproduced by the Telefacsimile Device.</w:t>
      </w:r>
    </w:p>
    <w:p>
      <w:pPr>
        <w:spacing w:after="0" w:line="50" w:lineRule="exact"/>
        <w:rPr>
          <w:rFonts w:ascii="Arial" w:cs="Arial" w:eastAsia="Arial" w:hAnsi="Arial"/>
          <w:sz w:val="18"/>
          <w:szCs w:val="18"/>
          <w:color w:val="auto"/>
        </w:rPr>
      </w:pPr>
    </w:p>
    <w:p>
      <w:pPr>
        <w:ind w:left="580" w:right="900" w:hanging="572"/>
        <w:spacing w:after="0" w:line="268" w:lineRule="auto"/>
        <w:tabs>
          <w:tab w:leader="none" w:pos="5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Solely for the purpose of the TELEFACSIMILE TRANSFER FRAUD Insuring Agreement, exclusion (y) of Section 2. EXCLUSIONS of the </w:t>
      </w:r>
      <w:r>
        <w:rPr>
          <w:rFonts w:ascii="Arial" w:cs="Arial" w:eastAsia="Arial" w:hAnsi="Arial"/>
          <w:sz w:val="18"/>
          <w:szCs w:val="18"/>
          <w:b w:val="1"/>
          <w:bCs w:val="1"/>
          <w:color w:val="auto"/>
        </w:rPr>
        <w:t xml:space="preserve">CONDITIONS AND LIMITATIONS </w:t>
      </w:r>
      <w:r>
        <w:rPr>
          <w:rFonts w:ascii="Arial" w:cs="Arial" w:eastAsia="Arial" w:hAnsi="Arial"/>
          <w:sz w:val="18"/>
          <w:szCs w:val="18"/>
          <w:color w:val="auto"/>
        </w:rPr>
        <w:t>Clause is deleted in its entirety.</w:t>
      </w:r>
    </w:p>
    <w:p>
      <w:pPr>
        <w:spacing w:after="0" w:line="50" w:lineRule="exact"/>
        <w:rPr>
          <w:rFonts w:ascii="Arial" w:cs="Arial" w:eastAsia="Arial" w:hAnsi="Arial"/>
          <w:sz w:val="18"/>
          <w:szCs w:val="18"/>
          <w:color w:val="auto"/>
        </w:rPr>
      </w:pPr>
    </w:p>
    <w:p>
      <w:pPr>
        <w:ind w:left="580" w:hanging="572"/>
        <w:spacing w:after="0" w:line="268" w:lineRule="auto"/>
        <w:tabs>
          <w:tab w:leader="none" w:pos="5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Nothing contained here shall be held to vary, alter, waive or extend any of the terms, limitations, conditions, or agreements of the attached bond other than as above stated.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CONDITIONS AND EXCLUSIONS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139700</wp:posOffset>
            </wp:positionV>
            <wp:extent cx="2898775" cy="6000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9877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REPRESENTATIVE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101821 (6/09)</w:t>
      </w:r>
    </w:p>
    <w:p>
      <w:pPr>
        <w:sectPr>
          <w:pgSz w:w="11900" w:h="16838" w:orient="portrait"/>
          <w:cols w:equalWidth="0" w:num="1">
            <w:col w:w="11420"/>
          </w:cols>
          <w:pgMar w:left="240" w:top="274"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60" w:type="dxa"/>
            <w:vAlign w:val="bottom"/>
            <w:gridSpan w:val="2"/>
          </w:tcPr>
          <w:p>
            <w:pPr>
              <w:spacing w:after="0"/>
              <w:rPr>
                <w:sz w:val="20"/>
                <w:szCs w:val="20"/>
                <w:color w:val="auto"/>
              </w:rPr>
            </w:pPr>
            <w:r>
              <w:rPr>
                <w:rFonts w:ascii="Arial" w:cs="Arial" w:eastAsia="Arial" w:hAnsi="Arial"/>
                <w:sz w:val="18"/>
                <w:szCs w:val="18"/>
                <w:b w:val="1"/>
                <w:bCs w:val="1"/>
                <w:color w:val="auto"/>
              </w:rPr>
              <w:t>RIDER# 12</w:t>
            </w:r>
          </w:p>
        </w:tc>
      </w:tr>
      <w:tr>
        <w:trPr>
          <w:trHeight w:val="20"/>
        </w:trPr>
        <w:tc>
          <w:tcPr>
            <w:tcW w:w="48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31"/>
        </w:trPr>
        <w:tc>
          <w:tcPr>
            <w:tcW w:w="4860" w:type="dxa"/>
            <w:vAlign w:val="bottom"/>
            <w:gridSpan w:val="3"/>
          </w:tcPr>
          <w:p>
            <w:pPr>
              <w:spacing w:after="0"/>
              <w:rPr>
                <w:sz w:val="20"/>
                <w:szCs w:val="20"/>
                <w:color w:val="auto"/>
              </w:rPr>
            </w:pPr>
            <w:r>
              <w:rPr>
                <w:rFonts w:ascii="Arial" w:cs="Arial" w:eastAsia="Arial" w:hAnsi="Arial"/>
                <w:sz w:val="18"/>
                <w:szCs w:val="18"/>
                <w:color w:val="auto"/>
              </w:rPr>
              <w:t>This endorsement, effective 12:01 A.M</w:t>
            </w:r>
          </w:p>
        </w:tc>
        <w:tc>
          <w:tcPr>
            <w:tcW w:w="2280" w:type="dxa"/>
            <w:vAlign w:val="bottom"/>
            <w:gridSpan w:val="3"/>
          </w:tcPr>
          <w:p>
            <w:pPr>
              <w:ind w:left="180"/>
              <w:spacing w:after="0"/>
              <w:rPr>
                <w:sz w:val="20"/>
                <w:szCs w:val="20"/>
                <w:color w:val="auto"/>
              </w:rPr>
            </w:pPr>
            <w:r>
              <w:rPr>
                <w:rFonts w:ascii="Arial" w:cs="Arial" w:eastAsia="Arial" w:hAnsi="Arial"/>
                <w:sz w:val="18"/>
                <w:szCs w:val="18"/>
                <w:color w:val="auto"/>
                <w:w w:val="88"/>
              </w:rPr>
              <w:t>March 8, 2012 forms a part of</w:t>
            </w:r>
          </w:p>
        </w:tc>
      </w:tr>
      <w:tr>
        <w:trPr>
          <w:trHeight w:val="216"/>
        </w:trPr>
        <w:tc>
          <w:tcPr>
            <w:tcW w:w="1060" w:type="dxa"/>
            <w:vAlign w:val="bottom"/>
            <w:gridSpan w:val="2"/>
          </w:tcPr>
          <w:p>
            <w:pPr>
              <w:spacing w:after="0"/>
              <w:rPr>
                <w:sz w:val="20"/>
                <w:szCs w:val="20"/>
                <w:color w:val="auto"/>
              </w:rPr>
            </w:pPr>
            <w:r>
              <w:rPr>
                <w:rFonts w:ascii="Arial" w:cs="Arial" w:eastAsia="Arial" w:hAnsi="Arial"/>
                <w:sz w:val="18"/>
                <w:szCs w:val="18"/>
                <w:color w:val="auto"/>
              </w:rPr>
              <w:t>policy No.</w:t>
            </w:r>
          </w:p>
        </w:tc>
        <w:tc>
          <w:tcPr>
            <w:tcW w:w="3800" w:type="dxa"/>
            <w:vAlign w:val="bottom"/>
          </w:tcPr>
          <w:p>
            <w:pPr>
              <w:ind w:left="320"/>
              <w:spacing w:after="0"/>
              <w:rPr>
                <w:sz w:val="20"/>
                <w:szCs w:val="20"/>
                <w:color w:val="auto"/>
              </w:rPr>
            </w:pPr>
            <w:r>
              <w:rPr>
                <w:rFonts w:ascii="Arial" w:cs="Arial" w:eastAsia="Arial" w:hAnsi="Arial"/>
                <w:sz w:val="18"/>
                <w:szCs w:val="18"/>
                <w:color w:val="auto"/>
              </w:rPr>
              <w:t>01-615-75-34</w:t>
            </w: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2"/>
        </w:trPr>
        <w:tc>
          <w:tcPr>
            <w:tcW w:w="1060" w:type="dxa"/>
            <w:vAlign w:val="bottom"/>
            <w:gridSpan w:val="2"/>
          </w:tcPr>
          <w:p>
            <w:pPr>
              <w:spacing w:after="0"/>
              <w:rPr>
                <w:sz w:val="20"/>
                <w:szCs w:val="20"/>
                <w:color w:val="auto"/>
              </w:rPr>
            </w:pPr>
            <w:r>
              <w:rPr>
                <w:rFonts w:ascii="Arial" w:cs="Arial" w:eastAsia="Arial" w:hAnsi="Arial"/>
                <w:sz w:val="18"/>
                <w:szCs w:val="18"/>
                <w:color w:val="auto"/>
              </w:rPr>
              <w:t>issued to:</w:t>
            </w:r>
          </w:p>
        </w:tc>
        <w:tc>
          <w:tcPr>
            <w:tcW w:w="3800" w:type="dxa"/>
            <w:vAlign w:val="bottom"/>
          </w:tcPr>
          <w:p>
            <w:pPr>
              <w:ind w:left="320"/>
              <w:spacing w:after="0"/>
              <w:rPr>
                <w:sz w:val="20"/>
                <w:szCs w:val="20"/>
                <w:color w:val="auto"/>
              </w:rPr>
            </w:pPr>
            <w:r>
              <w:rPr>
                <w:rFonts w:ascii="Arial" w:cs="Arial" w:eastAsia="Arial" w:hAnsi="Arial"/>
                <w:sz w:val="18"/>
                <w:szCs w:val="18"/>
                <w:color w:val="auto"/>
              </w:rPr>
              <w:t>TPG SPECIALTY LENDING, INC.</w:t>
            </w: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19"/>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gridSpan w:val="2"/>
          </w:tcPr>
          <w:p>
            <w:pPr>
              <w:ind w:left="200"/>
              <w:spacing w:after="0"/>
              <w:rPr>
                <w:sz w:val="20"/>
                <w:szCs w:val="20"/>
                <w:color w:val="auto"/>
              </w:rPr>
            </w:pPr>
            <w:r>
              <w:rPr>
                <w:rFonts w:ascii="Arial" w:cs="Arial" w:eastAsia="Arial" w:hAnsi="Arial"/>
                <w:sz w:val="18"/>
                <w:szCs w:val="18"/>
                <w:color w:val="auto"/>
                <w:w w:val="91"/>
              </w:rPr>
              <w:t>National Union Fire Insurance Company of Pittsburgh, Pa.</w:t>
            </w: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3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UNAUTHORIZED SIGNATURES RIDER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84" w:lineRule="exact"/>
        <w:rPr>
          <w:sz w:val="20"/>
          <w:szCs w:val="20"/>
          <w:color w:val="auto"/>
        </w:rPr>
      </w:pPr>
    </w:p>
    <w:p>
      <w:pPr>
        <w:ind w:left="580" w:hanging="572"/>
        <w:spacing w:after="0"/>
        <w:tabs>
          <w:tab w:leader="none" w:pos="5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INSURING AGREEMENTS</w:t>
      </w:r>
      <w:r>
        <w:rPr>
          <w:rFonts w:ascii="Arial" w:cs="Arial" w:eastAsia="Arial" w:hAnsi="Arial"/>
          <w:sz w:val="16"/>
          <w:szCs w:val="16"/>
          <w:color w:val="auto"/>
        </w:rPr>
        <w:t xml:space="preserve"> Clause of the attached bond is amended by adding the following additional Insuring Agreement to the end thereof:</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UNAUTHORIZED SIGNATURES</w:t>
      </w:r>
    </w:p>
    <w:p>
      <w:pPr>
        <w:spacing w:after="0" w:line="171" w:lineRule="exact"/>
        <w:rPr>
          <w:sz w:val="20"/>
          <w:szCs w:val="20"/>
          <w:color w:val="auto"/>
        </w:rPr>
      </w:pPr>
    </w:p>
    <w:p>
      <w:pPr>
        <w:jc w:val="both"/>
        <w:ind w:left="580" w:right="280"/>
        <w:spacing w:after="0" w:line="259" w:lineRule="auto"/>
        <w:rPr>
          <w:sz w:val="20"/>
          <w:szCs w:val="20"/>
          <w:color w:val="auto"/>
        </w:rPr>
      </w:pPr>
      <w:r>
        <w:rPr>
          <w:rFonts w:ascii="Arial" w:cs="Arial" w:eastAsia="Arial" w:hAnsi="Arial"/>
          <w:sz w:val="18"/>
          <w:szCs w:val="18"/>
          <w:color w:val="auto"/>
        </w:rPr>
        <w:t>Loss resulting directly from the Insured having accepted, paid or cashed any check or withdrawal order made or drawn on a customer’s account which bears the signature or endorsement of one other than a person whose name and signature is on file with the Insured as an authorized signatory on such account.</w:t>
      </w:r>
    </w:p>
    <w:p>
      <w:pPr>
        <w:spacing w:after="0" w:line="59" w:lineRule="exact"/>
        <w:rPr>
          <w:sz w:val="20"/>
          <w:szCs w:val="20"/>
          <w:color w:val="auto"/>
        </w:rPr>
      </w:pPr>
    </w:p>
    <w:p>
      <w:pPr>
        <w:ind w:left="580" w:right="500"/>
        <w:spacing w:after="0" w:line="268" w:lineRule="auto"/>
        <w:rPr>
          <w:sz w:val="20"/>
          <w:szCs w:val="20"/>
          <w:color w:val="auto"/>
        </w:rPr>
      </w:pPr>
      <w:r>
        <w:rPr>
          <w:rFonts w:ascii="Arial" w:cs="Arial" w:eastAsia="Arial" w:hAnsi="Arial"/>
          <w:sz w:val="18"/>
          <w:szCs w:val="18"/>
          <w:color w:val="auto"/>
        </w:rPr>
        <w:t>It shall be a condition precedent to the Insured’s right of recovery under this Insuring Agreement that the Insured shall have on file signatures of all persons who are authorized signatories on such account.</w:t>
      </w:r>
    </w:p>
    <w:p>
      <w:pPr>
        <w:spacing w:after="0" w:line="51" w:lineRule="exact"/>
        <w:rPr>
          <w:sz w:val="20"/>
          <w:szCs w:val="20"/>
          <w:color w:val="auto"/>
        </w:rPr>
      </w:pPr>
    </w:p>
    <w:p>
      <w:pPr>
        <w:ind w:left="580" w:right="180" w:hanging="572"/>
        <w:spacing w:after="0" w:line="259" w:lineRule="auto"/>
        <w:tabs>
          <w:tab w:leader="none" w:pos="5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Underwriter’s Aggregate Liability under this UNAUTHORIZED SIGNATURES Insuring Agreement shall be $100,000, which shall be part of, not in addition to, the Aggregate Liability stated in the Declarations. A deductible amount of $10,000 shall apply to each and every loss under this UNAUTHORIZED SIGNATURES Insuring Agreement.</w:t>
      </w:r>
    </w:p>
    <w:p>
      <w:pPr>
        <w:spacing w:after="0" w:line="59" w:lineRule="exact"/>
        <w:rPr>
          <w:rFonts w:ascii="Arial" w:cs="Arial" w:eastAsia="Arial" w:hAnsi="Arial"/>
          <w:sz w:val="18"/>
          <w:szCs w:val="18"/>
          <w:color w:val="auto"/>
        </w:rPr>
      </w:pPr>
    </w:p>
    <w:p>
      <w:pPr>
        <w:ind w:left="580" w:hanging="572"/>
        <w:spacing w:after="0" w:line="268" w:lineRule="auto"/>
        <w:tabs>
          <w:tab w:leader="none" w:pos="5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Nothing contained here shall be held to vary, alter, waive or extend any of the terms, limitations, conditions, or agreements of the attached bond other than as above stated.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CONDITIONS AND EXCLUSIONS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139700</wp:posOffset>
            </wp:positionV>
            <wp:extent cx="2898775" cy="6000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9877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REPRESENTATIVE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101822 (6/09)</w:t>
      </w:r>
    </w:p>
    <w:p>
      <w:pPr>
        <w:sectPr>
          <w:pgSz w:w="11900" w:h="16838" w:orient="portrait"/>
          <w:cols w:equalWidth="0" w:num="1">
            <w:col w:w="11420"/>
          </w:cols>
          <w:pgMar w:left="240" w:top="257"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60" w:type="dxa"/>
            <w:vAlign w:val="bottom"/>
            <w:gridSpan w:val="2"/>
          </w:tcPr>
          <w:p>
            <w:pPr>
              <w:spacing w:after="0"/>
              <w:rPr>
                <w:sz w:val="20"/>
                <w:szCs w:val="20"/>
                <w:color w:val="auto"/>
              </w:rPr>
            </w:pPr>
            <w:r>
              <w:rPr>
                <w:rFonts w:ascii="Arial" w:cs="Arial" w:eastAsia="Arial" w:hAnsi="Arial"/>
                <w:sz w:val="18"/>
                <w:szCs w:val="18"/>
                <w:b w:val="1"/>
                <w:bCs w:val="1"/>
                <w:color w:val="auto"/>
              </w:rPr>
              <w:t>RIDER# 13</w:t>
            </w:r>
          </w:p>
        </w:tc>
      </w:tr>
      <w:tr>
        <w:trPr>
          <w:trHeight w:val="20"/>
        </w:trPr>
        <w:tc>
          <w:tcPr>
            <w:tcW w:w="48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31"/>
        </w:trPr>
        <w:tc>
          <w:tcPr>
            <w:tcW w:w="4860" w:type="dxa"/>
            <w:vAlign w:val="bottom"/>
            <w:gridSpan w:val="3"/>
          </w:tcPr>
          <w:p>
            <w:pPr>
              <w:spacing w:after="0"/>
              <w:rPr>
                <w:sz w:val="20"/>
                <w:szCs w:val="20"/>
                <w:color w:val="auto"/>
              </w:rPr>
            </w:pPr>
            <w:r>
              <w:rPr>
                <w:rFonts w:ascii="Arial" w:cs="Arial" w:eastAsia="Arial" w:hAnsi="Arial"/>
                <w:sz w:val="18"/>
                <w:szCs w:val="18"/>
                <w:color w:val="auto"/>
              </w:rPr>
              <w:t>This endorsement, effective 12:01 A.M</w:t>
            </w:r>
          </w:p>
        </w:tc>
        <w:tc>
          <w:tcPr>
            <w:tcW w:w="2280" w:type="dxa"/>
            <w:vAlign w:val="bottom"/>
            <w:gridSpan w:val="3"/>
          </w:tcPr>
          <w:p>
            <w:pPr>
              <w:ind w:left="180"/>
              <w:spacing w:after="0"/>
              <w:rPr>
                <w:sz w:val="20"/>
                <w:szCs w:val="20"/>
                <w:color w:val="auto"/>
              </w:rPr>
            </w:pPr>
            <w:r>
              <w:rPr>
                <w:rFonts w:ascii="Arial" w:cs="Arial" w:eastAsia="Arial" w:hAnsi="Arial"/>
                <w:sz w:val="18"/>
                <w:szCs w:val="18"/>
                <w:color w:val="auto"/>
                <w:w w:val="88"/>
              </w:rPr>
              <w:t>March 8, 2012 forms a part of</w:t>
            </w:r>
          </w:p>
        </w:tc>
      </w:tr>
      <w:tr>
        <w:trPr>
          <w:trHeight w:val="216"/>
        </w:trPr>
        <w:tc>
          <w:tcPr>
            <w:tcW w:w="1060" w:type="dxa"/>
            <w:vAlign w:val="bottom"/>
            <w:gridSpan w:val="2"/>
          </w:tcPr>
          <w:p>
            <w:pPr>
              <w:spacing w:after="0"/>
              <w:rPr>
                <w:sz w:val="20"/>
                <w:szCs w:val="20"/>
                <w:color w:val="auto"/>
              </w:rPr>
            </w:pPr>
            <w:r>
              <w:rPr>
                <w:rFonts w:ascii="Arial" w:cs="Arial" w:eastAsia="Arial" w:hAnsi="Arial"/>
                <w:sz w:val="18"/>
                <w:szCs w:val="18"/>
                <w:color w:val="auto"/>
              </w:rPr>
              <w:t>policy No.</w:t>
            </w:r>
          </w:p>
        </w:tc>
        <w:tc>
          <w:tcPr>
            <w:tcW w:w="3800" w:type="dxa"/>
            <w:vAlign w:val="bottom"/>
          </w:tcPr>
          <w:p>
            <w:pPr>
              <w:ind w:left="320"/>
              <w:spacing w:after="0"/>
              <w:rPr>
                <w:sz w:val="20"/>
                <w:szCs w:val="20"/>
                <w:color w:val="auto"/>
              </w:rPr>
            </w:pPr>
            <w:r>
              <w:rPr>
                <w:rFonts w:ascii="Arial" w:cs="Arial" w:eastAsia="Arial" w:hAnsi="Arial"/>
                <w:sz w:val="18"/>
                <w:szCs w:val="18"/>
                <w:color w:val="auto"/>
              </w:rPr>
              <w:t>01-615-75-34</w:t>
            </w: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2"/>
        </w:trPr>
        <w:tc>
          <w:tcPr>
            <w:tcW w:w="1060" w:type="dxa"/>
            <w:vAlign w:val="bottom"/>
            <w:gridSpan w:val="2"/>
          </w:tcPr>
          <w:p>
            <w:pPr>
              <w:spacing w:after="0"/>
              <w:rPr>
                <w:sz w:val="20"/>
                <w:szCs w:val="20"/>
                <w:color w:val="auto"/>
              </w:rPr>
            </w:pPr>
            <w:r>
              <w:rPr>
                <w:rFonts w:ascii="Arial" w:cs="Arial" w:eastAsia="Arial" w:hAnsi="Arial"/>
                <w:sz w:val="18"/>
                <w:szCs w:val="18"/>
                <w:color w:val="auto"/>
              </w:rPr>
              <w:t>issued to:</w:t>
            </w:r>
          </w:p>
        </w:tc>
        <w:tc>
          <w:tcPr>
            <w:tcW w:w="3800" w:type="dxa"/>
            <w:vAlign w:val="bottom"/>
          </w:tcPr>
          <w:p>
            <w:pPr>
              <w:ind w:left="320"/>
              <w:spacing w:after="0"/>
              <w:rPr>
                <w:sz w:val="20"/>
                <w:szCs w:val="20"/>
                <w:color w:val="auto"/>
              </w:rPr>
            </w:pPr>
            <w:r>
              <w:rPr>
                <w:rFonts w:ascii="Arial" w:cs="Arial" w:eastAsia="Arial" w:hAnsi="Arial"/>
                <w:sz w:val="18"/>
                <w:szCs w:val="18"/>
                <w:color w:val="auto"/>
              </w:rPr>
              <w:t>TPG SPECIALTY LENDING, INC.</w:t>
            </w: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19"/>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gridSpan w:val="2"/>
          </w:tcPr>
          <w:p>
            <w:pPr>
              <w:ind w:left="200"/>
              <w:spacing w:after="0"/>
              <w:rPr>
                <w:sz w:val="20"/>
                <w:szCs w:val="20"/>
                <w:color w:val="auto"/>
              </w:rPr>
            </w:pPr>
            <w:r>
              <w:rPr>
                <w:rFonts w:ascii="Arial" w:cs="Arial" w:eastAsia="Arial" w:hAnsi="Arial"/>
                <w:sz w:val="18"/>
                <w:szCs w:val="18"/>
                <w:color w:val="auto"/>
                <w:w w:val="91"/>
              </w:rPr>
              <w:t>National Union Fire Insurance Company of Pittsburgh, Pa.</w:t>
            </w: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3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UNCERTIFICATED SECURITIES RIDER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84" w:lineRule="exact"/>
        <w:rPr>
          <w:sz w:val="20"/>
          <w:szCs w:val="20"/>
          <w:color w:val="auto"/>
        </w:rPr>
      </w:pPr>
    </w:p>
    <w:p>
      <w:pPr>
        <w:ind w:left="580" w:right="320" w:hanging="572"/>
        <w:spacing w:after="0" w:line="275" w:lineRule="auto"/>
        <w:tabs>
          <w:tab w:leader="none" w:pos="5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Paragraph (1)(e) of Insuring Agreement (E) SECURITIES of the </w:t>
      </w:r>
      <w:r>
        <w:rPr>
          <w:rFonts w:ascii="Arial" w:cs="Arial" w:eastAsia="Arial" w:hAnsi="Arial"/>
          <w:sz w:val="18"/>
          <w:szCs w:val="18"/>
          <w:b w:val="1"/>
          <w:bCs w:val="1"/>
          <w:color w:val="auto"/>
        </w:rPr>
        <w:t>INSURING AGREEMENTS</w:t>
      </w:r>
      <w:r>
        <w:rPr>
          <w:rFonts w:ascii="Arial" w:cs="Arial" w:eastAsia="Arial" w:hAnsi="Arial"/>
          <w:sz w:val="18"/>
          <w:szCs w:val="18"/>
          <w:color w:val="auto"/>
        </w:rPr>
        <w:t xml:space="preserve"> Clause is deleted in its entirety and replaced with the following:</w:t>
      </w:r>
    </w:p>
    <w:p>
      <w:pPr>
        <w:spacing w:after="0" w:line="44" w:lineRule="exact"/>
        <w:rPr>
          <w:rFonts w:ascii="Arial" w:cs="Arial" w:eastAsia="Arial" w:hAnsi="Arial"/>
          <w:sz w:val="18"/>
          <w:szCs w:val="18"/>
          <w:color w:val="auto"/>
        </w:rPr>
      </w:pPr>
    </w:p>
    <w:p>
      <w:pPr>
        <w:ind w:left="1140" w:hanging="565"/>
        <w:spacing w:after="0"/>
        <w:tabs>
          <w:tab w:leader="none" w:pos="11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Statement of Uncertificated Security in any book entry form;</w:t>
      </w:r>
    </w:p>
    <w:p>
      <w:pPr>
        <w:spacing w:after="0" w:line="84" w:lineRule="exact"/>
        <w:rPr>
          <w:rFonts w:ascii="Arial" w:cs="Arial" w:eastAsia="Arial" w:hAnsi="Arial"/>
          <w:sz w:val="18"/>
          <w:szCs w:val="18"/>
          <w:color w:val="auto"/>
        </w:rPr>
      </w:pPr>
    </w:p>
    <w:p>
      <w:pPr>
        <w:ind w:left="580" w:right="260" w:hanging="572"/>
        <w:spacing w:after="0" w:line="275" w:lineRule="auto"/>
        <w:tabs>
          <w:tab w:leader="none" w:pos="5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Solely for the purpose of the coverage afforded by this rider, paragraph (o) of Section 1. DEFINITIONS of the </w:t>
      </w:r>
      <w:r>
        <w:rPr>
          <w:rFonts w:ascii="Arial" w:cs="Arial" w:eastAsia="Arial" w:hAnsi="Arial"/>
          <w:sz w:val="18"/>
          <w:szCs w:val="18"/>
          <w:b w:val="1"/>
          <w:bCs w:val="1"/>
          <w:color w:val="auto"/>
        </w:rPr>
        <w:t>CONDITIONS AND LIMITATIONS</w:t>
      </w:r>
      <w:r>
        <w:rPr>
          <w:rFonts w:ascii="Arial" w:cs="Arial" w:eastAsia="Arial" w:hAnsi="Arial"/>
          <w:sz w:val="18"/>
          <w:szCs w:val="18"/>
          <w:color w:val="auto"/>
        </w:rPr>
        <w:t xml:space="preserve"> Clause is deleted in its entirety and replaced with the following:</w:t>
      </w:r>
    </w:p>
    <w:p>
      <w:pPr>
        <w:spacing w:after="0" w:line="44" w:lineRule="exact"/>
        <w:rPr>
          <w:rFonts w:ascii="Arial" w:cs="Arial" w:eastAsia="Arial" w:hAnsi="Arial"/>
          <w:sz w:val="18"/>
          <w:szCs w:val="18"/>
          <w:color w:val="auto"/>
        </w:rPr>
      </w:pPr>
    </w:p>
    <w:p>
      <w:pPr>
        <w:ind w:left="1140" w:right="140" w:hanging="565"/>
        <w:spacing w:after="0" w:line="294" w:lineRule="auto"/>
        <w:tabs>
          <w:tab w:leader="none" w:pos="1140" w:val="left"/>
        </w:tabs>
        <w:numPr>
          <w:ilvl w:val="1"/>
          <w:numId w:val="75"/>
        </w:numPr>
        <w:rPr>
          <w:rFonts w:ascii="Arial" w:cs="Arial" w:eastAsia="Arial" w:hAnsi="Arial"/>
          <w:sz w:val="16"/>
          <w:szCs w:val="16"/>
          <w:color w:val="auto"/>
        </w:rPr>
      </w:pPr>
      <w:r>
        <w:rPr>
          <w:rFonts w:ascii="Arial" w:cs="Arial" w:eastAsia="Arial" w:hAnsi="Arial"/>
          <w:sz w:val="16"/>
          <w:szCs w:val="16"/>
          <w:color w:val="auto"/>
        </w:rPr>
        <w:t>Property means Money, Certificated Securities, Uncertificated Securities of any issuer, Negotiable Instruments, Certificates of Deposit, documents of title, Acceptances, Evidences of Debt, security agreements, Withdrawal Orders, certificates of origin or title, Letters of Credit, insurance policies, abstracts of title, deeds and mortgages on real estate, revenue and other stamps, tokens, unsold state lottery tickets, books of account and other records whether recorded in writing or electronically, gems, jewelry, precious metals of all kinds and in any form and tangible items of personal property which are not hereinbefore enumerated.</w:t>
      </w:r>
    </w:p>
    <w:p>
      <w:pPr>
        <w:spacing w:after="0" w:line="28" w:lineRule="exact"/>
        <w:rPr>
          <w:rFonts w:ascii="Arial" w:cs="Arial" w:eastAsia="Arial" w:hAnsi="Arial"/>
          <w:sz w:val="16"/>
          <w:szCs w:val="16"/>
          <w:color w:val="auto"/>
        </w:rPr>
      </w:pPr>
    </w:p>
    <w:p>
      <w:pPr>
        <w:ind w:left="580" w:right="200" w:hanging="572"/>
        <w:spacing w:after="0" w:line="275" w:lineRule="auto"/>
        <w:tabs>
          <w:tab w:leader="none" w:pos="5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Solely for the purpose of the coverage afforded by this rider, Paragraph (w) of Section 2. EXCLUSIONS of the </w:t>
      </w:r>
      <w:r>
        <w:rPr>
          <w:rFonts w:ascii="Arial" w:cs="Arial" w:eastAsia="Arial" w:hAnsi="Arial"/>
          <w:sz w:val="18"/>
          <w:szCs w:val="18"/>
          <w:b w:val="1"/>
          <w:bCs w:val="1"/>
          <w:color w:val="auto"/>
        </w:rPr>
        <w:t>CONDITIONS AND LIMITATIONS</w:t>
      </w:r>
      <w:r>
        <w:rPr>
          <w:rFonts w:ascii="Arial" w:cs="Arial" w:eastAsia="Arial" w:hAnsi="Arial"/>
          <w:sz w:val="18"/>
          <w:szCs w:val="18"/>
          <w:color w:val="auto"/>
        </w:rPr>
        <w:t xml:space="preserve"> Clause is deleted in its entirety.</w:t>
      </w:r>
    </w:p>
    <w:p>
      <w:pPr>
        <w:spacing w:after="0" w:line="44" w:lineRule="exact"/>
        <w:rPr>
          <w:rFonts w:ascii="Arial" w:cs="Arial" w:eastAsia="Arial" w:hAnsi="Arial"/>
          <w:sz w:val="18"/>
          <w:szCs w:val="18"/>
          <w:color w:val="auto"/>
        </w:rPr>
      </w:pPr>
    </w:p>
    <w:p>
      <w:pPr>
        <w:ind w:left="580" w:hanging="572"/>
        <w:spacing w:after="0" w:line="268" w:lineRule="auto"/>
        <w:tabs>
          <w:tab w:leader="none" w:pos="5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Nothing contained here shall be held to vary, alter, waive or extend any of the terms, limitations, conditions, or agreements of the attached bond other than as above stated.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CONDITIONS AND EXCLUSIONS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139700</wp:posOffset>
            </wp:positionV>
            <wp:extent cx="2898775" cy="6000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9877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REPRESENTATIVE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101778 (6/09)</w:t>
      </w:r>
    </w:p>
    <w:p>
      <w:pPr>
        <w:sectPr>
          <w:pgSz w:w="11900" w:h="16838" w:orient="portrait"/>
          <w:cols w:equalWidth="0" w:num="1">
            <w:col w:w="11420"/>
          </w:cols>
          <w:pgMar w:left="240" w:top="257"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60" w:type="dxa"/>
            <w:vAlign w:val="bottom"/>
            <w:gridSpan w:val="2"/>
          </w:tcPr>
          <w:p>
            <w:pPr>
              <w:spacing w:after="0"/>
              <w:rPr>
                <w:sz w:val="20"/>
                <w:szCs w:val="20"/>
                <w:color w:val="auto"/>
              </w:rPr>
            </w:pPr>
            <w:r>
              <w:rPr>
                <w:rFonts w:ascii="Arial" w:cs="Arial" w:eastAsia="Arial" w:hAnsi="Arial"/>
                <w:sz w:val="18"/>
                <w:szCs w:val="18"/>
                <w:b w:val="1"/>
                <w:bCs w:val="1"/>
                <w:color w:val="auto"/>
              </w:rPr>
              <w:t>RIDER# 14</w:t>
            </w:r>
          </w:p>
        </w:tc>
      </w:tr>
      <w:tr>
        <w:trPr>
          <w:trHeight w:val="20"/>
        </w:trPr>
        <w:tc>
          <w:tcPr>
            <w:tcW w:w="48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31"/>
        </w:trPr>
        <w:tc>
          <w:tcPr>
            <w:tcW w:w="4860" w:type="dxa"/>
            <w:vAlign w:val="bottom"/>
            <w:gridSpan w:val="3"/>
          </w:tcPr>
          <w:p>
            <w:pPr>
              <w:spacing w:after="0"/>
              <w:rPr>
                <w:sz w:val="20"/>
                <w:szCs w:val="20"/>
                <w:color w:val="auto"/>
              </w:rPr>
            </w:pPr>
            <w:r>
              <w:rPr>
                <w:rFonts w:ascii="Arial" w:cs="Arial" w:eastAsia="Arial" w:hAnsi="Arial"/>
                <w:sz w:val="18"/>
                <w:szCs w:val="18"/>
                <w:color w:val="auto"/>
              </w:rPr>
              <w:t>This endorsement, effective 12:01 A.M</w:t>
            </w:r>
          </w:p>
        </w:tc>
        <w:tc>
          <w:tcPr>
            <w:tcW w:w="2280" w:type="dxa"/>
            <w:vAlign w:val="bottom"/>
            <w:gridSpan w:val="3"/>
          </w:tcPr>
          <w:p>
            <w:pPr>
              <w:ind w:left="180"/>
              <w:spacing w:after="0"/>
              <w:rPr>
                <w:sz w:val="20"/>
                <w:szCs w:val="20"/>
                <w:color w:val="auto"/>
              </w:rPr>
            </w:pPr>
            <w:r>
              <w:rPr>
                <w:rFonts w:ascii="Arial" w:cs="Arial" w:eastAsia="Arial" w:hAnsi="Arial"/>
                <w:sz w:val="18"/>
                <w:szCs w:val="18"/>
                <w:color w:val="auto"/>
                <w:w w:val="88"/>
              </w:rPr>
              <w:t>March 8, 2012 forms a part of</w:t>
            </w:r>
          </w:p>
        </w:tc>
      </w:tr>
      <w:tr>
        <w:trPr>
          <w:trHeight w:val="216"/>
        </w:trPr>
        <w:tc>
          <w:tcPr>
            <w:tcW w:w="1060" w:type="dxa"/>
            <w:vAlign w:val="bottom"/>
            <w:gridSpan w:val="2"/>
          </w:tcPr>
          <w:p>
            <w:pPr>
              <w:spacing w:after="0"/>
              <w:rPr>
                <w:sz w:val="20"/>
                <w:szCs w:val="20"/>
                <w:color w:val="auto"/>
              </w:rPr>
            </w:pPr>
            <w:r>
              <w:rPr>
                <w:rFonts w:ascii="Arial" w:cs="Arial" w:eastAsia="Arial" w:hAnsi="Arial"/>
                <w:sz w:val="18"/>
                <w:szCs w:val="18"/>
                <w:color w:val="auto"/>
              </w:rPr>
              <w:t>policy No.</w:t>
            </w:r>
          </w:p>
        </w:tc>
        <w:tc>
          <w:tcPr>
            <w:tcW w:w="3800" w:type="dxa"/>
            <w:vAlign w:val="bottom"/>
          </w:tcPr>
          <w:p>
            <w:pPr>
              <w:ind w:left="320"/>
              <w:spacing w:after="0"/>
              <w:rPr>
                <w:sz w:val="20"/>
                <w:szCs w:val="20"/>
                <w:color w:val="auto"/>
              </w:rPr>
            </w:pPr>
            <w:r>
              <w:rPr>
                <w:rFonts w:ascii="Arial" w:cs="Arial" w:eastAsia="Arial" w:hAnsi="Arial"/>
                <w:sz w:val="18"/>
                <w:szCs w:val="18"/>
                <w:color w:val="auto"/>
              </w:rPr>
              <w:t>01-615-75-34</w:t>
            </w: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2"/>
        </w:trPr>
        <w:tc>
          <w:tcPr>
            <w:tcW w:w="1060" w:type="dxa"/>
            <w:vAlign w:val="bottom"/>
            <w:gridSpan w:val="2"/>
          </w:tcPr>
          <w:p>
            <w:pPr>
              <w:spacing w:after="0"/>
              <w:rPr>
                <w:sz w:val="20"/>
                <w:szCs w:val="20"/>
                <w:color w:val="auto"/>
              </w:rPr>
            </w:pPr>
            <w:r>
              <w:rPr>
                <w:rFonts w:ascii="Arial" w:cs="Arial" w:eastAsia="Arial" w:hAnsi="Arial"/>
                <w:sz w:val="18"/>
                <w:szCs w:val="18"/>
                <w:color w:val="auto"/>
              </w:rPr>
              <w:t>issued to:</w:t>
            </w:r>
          </w:p>
        </w:tc>
        <w:tc>
          <w:tcPr>
            <w:tcW w:w="3800" w:type="dxa"/>
            <w:vAlign w:val="bottom"/>
          </w:tcPr>
          <w:p>
            <w:pPr>
              <w:ind w:left="320"/>
              <w:spacing w:after="0"/>
              <w:rPr>
                <w:sz w:val="20"/>
                <w:szCs w:val="20"/>
                <w:color w:val="auto"/>
              </w:rPr>
            </w:pPr>
            <w:r>
              <w:rPr>
                <w:rFonts w:ascii="Arial" w:cs="Arial" w:eastAsia="Arial" w:hAnsi="Arial"/>
                <w:sz w:val="18"/>
                <w:szCs w:val="18"/>
                <w:color w:val="auto"/>
              </w:rPr>
              <w:t>TPG SPECIALTY LENDING, INC.</w:t>
            </w: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19"/>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gridSpan w:val="2"/>
          </w:tcPr>
          <w:p>
            <w:pPr>
              <w:ind w:left="200"/>
              <w:spacing w:after="0"/>
              <w:rPr>
                <w:sz w:val="20"/>
                <w:szCs w:val="20"/>
                <w:color w:val="auto"/>
              </w:rPr>
            </w:pPr>
            <w:r>
              <w:rPr>
                <w:rFonts w:ascii="Arial" w:cs="Arial" w:eastAsia="Arial" w:hAnsi="Arial"/>
                <w:sz w:val="18"/>
                <w:szCs w:val="18"/>
                <w:color w:val="auto"/>
                <w:w w:val="91"/>
              </w:rPr>
              <w:t>National Union Fire Insurance Company of Pittsburgh, Pa.</w:t>
            </w: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3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18"/>
          <w:szCs w:val="18"/>
          <w:b w:val="1"/>
          <w:bCs w:val="1"/>
          <w:color w:val="auto"/>
        </w:rPr>
        <w:t>VOICE INITIATED TRANSFER FRAUD RIDER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84" w:lineRule="exact"/>
        <w:rPr>
          <w:sz w:val="20"/>
          <w:szCs w:val="20"/>
          <w:color w:val="auto"/>
        </w:rPr>
      </w:pPr>
    </w:p>
    <w:p>
      <w:pPr>
        <w:ind w:left="580" w:hanging="572"/>
        <w:spacing w:after="0"/>
        <w:tabs>
          <w:tab w:leader="none" w:pos="5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INSURING AGREEMENTS</w:t>
      </w:r>
      <w:r>
        <w:rPr>
          <w:rFonts w:ascii="Arial" w:cs="Arial" w:eastAsia="Arial" w:hAnsi="Arial"/>
          <w:sz w:val="16"/>
          <w:szCs w:val="16"/>
          <w:color w:val="auto"/>
        </w:rPr>
        <w:t xml:space="preserve"> Clause of the attached bond is amended by adding the following additional Insuring Agreement to the end thereof:</w:t>
      </w:r>
    </w:p>
    <w:p>
      <w:pPr>
        <w:spacing w:after="0" w:line="36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VOICE INITIATED TRANSFER FRAUD</w:t>
      </w:r>
    </w:p>
    <w:p>
      <w:pPr>
        <w:spacing w:after="0" w:line="171" w:lineRule="exact"/>
        <w:rPr>
          <w:sz w:val="20"/>
          <w:szCs w:val="20"/>
          <w:color w:val="auto"/>
        </w:rPr>
      </w:pPr>
    </w:p>
    <w:p>
      <w:pPr>
        <w:ind w:left="580" w:right="60"/>
        <w:spacing w:after="0" w:line="259" w:lineRule="auto"/>
        <w:rPr>
          <w:sz w:val="20"/>
          <w:szCs w:val="20"/>
          <w:color w:val="auto"/>
        </w:rPr>
      </w:pPr>
      <w:r>
        <w:rPr>
          <w:rFonts w:ascii="Arial" w:cs="Arial" w:eastAsia="Arial" w:hAnsi="Arial"/>
          <w:sz w:val="18"/>
          <w:szCs w:val="18"/>
          <w:color w:val="auto"/>
        </w:rPr>
        <w:t>Loss resulting directly from the Insured having, in good faith, transferred Funds from a Customer’s account through a Computer System covered under the terms of the Computer System Fraud Insuring Agreement in reliance upon a fraudulent voice instruction transmitted by telephone which was purported to be from:</w:t>
      </w:r>
    </w:p>
    <w:p>
      <w:pPr>
        <w:spacing w:after="0" w:line="59" w:lineRule="exact"/>
        <w:rPr>
          <w:sz w:val="20"/>
          <w:szCs w:val="20"/>
          <w:color w:val="auto"/>
        </w:rPr>
      </w:pPr>
    </w:p>
    <w:p>
      <w:pPr>
        <w:ind w:left="1140" w:right="60" w:hanging="565"/>
        <w:spacing w:after="0" w:line="268" w:lineRule="auto"/>
        <w:tabs>
          <w:tab w:leader="none" w:pos="11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 officer, director, partner or employee of a Customer of the Insured who was authorized by the Customer to instruct the Insured to make such transfer;</w:t>
      </w:r>
    </w:p>
    <w:p>
      <w:pPr>
        <w:spacing w:after="0" w:line="50" w:lineRule="exact"/>
        <w:rPr>
          <w:rFonts w:ascii="Arial" w:cs="Arial" w:eastAsia="Arial" w:hAnsi="Arial"/>
          <w:sz w:val="18"/>
          <w:szCs w:val="18"/>
          <w:color w:val="auto"/>
        </w:rPr>
      </w:pPr>
    </w:p>
    <w:p>
      <w:pPr>
        <w:ind w:left="1140" w:hanging="565"/>
        <w:spacing w:after="0"/>
        <w:tabs>
          <w:tab w:leader="none" w:pos="11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 individual person who is a Customer of the Insured; or</w:t>
      </w:r>
    </w:p>
    <w:p>
      <w:pPr>
        <w:spacing w:after="0" w:line="90" w:lineRule="exact"/>
        <w:rPr>
          <w:rFonts w:ascii="Arial" w:cs="Arial" w:eastAsia="Arial" w:hAnsi="Arial"/>
          <w:sz w:val="18"/>
          <w:szCs w:val="18"/>
          <w:color w:val="auto"/>
        </w:rPr>
      </w:pPr>
    </w:p>
    <w:p>
      <w:pPr>
        <w:ind w:left="1140" w:right="280" w:hanging="565"/>
        <w:spacing w:after="0" w:line="332" w:lineRule="auto"/>
        <w:tabs>
          <w:tab w:leader="none" w:pos="11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an Employee of the Insured in another office of the Insured who was authorized by the Insured to instruct other Employees of the Insured to transfer Funds, and was received by an Employee of the Insured specifically designated to receive and act upon such instructions,</w:t>
      </w:r>
    </w:p>
    <w:p>
      <w:pPr>
        <w:spacing w:after="0" w:line="4" w:lineRule="exact"/>
        <w:rPr>
          <w:sz w:val="20"/>
          <w:szCs w:val="20"/>
          <w:color w:val="auto"/>
        </w:rPr>
      </w:pPr>
    </w:p>
    <w:p>
      <w:pPr>
        <w:ind w:left="580"/>
        <w:spacing w:after="0" w:line="268" w:lineRule="auto"/>
        <w:rPr>
          <w:sz w:val="20"/>
          <w:szCs w:val="20"/>
          <w:color w:val="auto"/>
        </w:rPr>
      </w:pPr>
      <w:r>
        <w:rPr>
          <w:rFonts w:ascii="Arial" w:cs="Arial" w:eastAsia="Arial" w:hAnsi="Arial"/>
          <w:sz w:val="18"/>
          <w:szCs w:val="18"/>
          <w:color w:val="auto"/>
        </w:rPr>
        <w:t>but coverage as is afforded by this Insuring Agreement shall only apply if the voice instruction was not from a person described in (1), (2), or (3) above, provided that:</w:t>
      </w:r>
    </w:p>
    <w:p>
      <w:pPr>
        <w:spacing w:after="0" w:line="51" w:lineRule="exact"/>
        <w:rPr>
          <w:sz w:val="20"/>
          <w:szCs w:val="20"/>
          <w:color w:val="auto"/>
        </w:rPr>
      </w:pPr>
    </w:p>
    <w:p>
      <w:pPr>
        <w:ind w:left="1140" w:hanging="565"/>
        <w:spacing w:after="0"/>
        <w:tabs>
          <w:tab w:leader="none" w:pos="11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such voice instruction was electronically recorded by the Insured and required password(s) or code word(s) given; and</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if the transfer was in excess of $100,000, the voice instruction was verified by a call-back according to a prearranged procedure.</w:t>
      </w:r>
    </w:p>
    <w:p>
      <w:pPr>
        <w:sectPr>
          <w:pgSz w:w="11900" w:h="16838" w:orient="portrait"/>
          <w:cols w:equalWidth="0" w:num="1">
            <w:col w:w="11260"/>
          </w:cols>
          <w:pgMar w:left="240" w:top="257" w:right="39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RIDER#</w:t>
      </w:r>
      <w:r>
        <w:rPr>
          <w:rFonts w:ascii="Arial" w:cs="Arial" w:eastAsia="Arial" w:hAnsi="Arial"/>
          <w:sz w:val="18"/>
          <w:szCs w:val="18"/>
          <w:b w:val="1"/>
          <w:bCs w:val="1"/>
          <w:color w:val="auto"/>
        </w:rPr>
        <w:t xml:space="preserve"> 14 (Continued)</w:t>
      </w:r>
    </w:p>
    <w:p>
      <w:pPr>
        <w:spacing w:after="0" w:line="177" w:lineRule="exact"/>
        <w:rPr>
          <w:sz w:val="20"/>
          <w:szCs w:val="20"/>
          <w:color w:val="auto"/>
        </w:rPr>
      </w:pPr>
    </w:p>
    <w:p>
      <w:pPr>
        <w:ind w:left="580" w:right="280"/>
        <w:spacing w:after="0" w:line="268" w:lineRule="auto"/>
        <w:rPr>
          <w:sz w:val="20"/>
          <w:szCs w:val="20"/>
          <w:color w:val="auto"/>
        </w:rPr>
      </w:pPr>
      <w:r>
        <w:rPr>
          <w:rFonts w:ascii="Arial" w:cs="Arial" w:eastAsia="Arial" w:hAnsi="Arial"/>
          <w:sz w:val="18"/>
          <w:szCs w:val="18"/>
          <w:color w:val="auto"/>
        </w:rPr>
        <w:t>Proof of loss for claim(s) under this Insuring Agreement must include electronic recordings of such voice instructions and the verification call-back, if such call was required.</w:t>
      </w:r>
    </w:p>
    <w:p>
      <w:pPr>
        <w:spacing w:after="0" w:line="51" w:lineRule="exact"/>
        <w:rPr>
          <w:sz w:val="20"/>
          <w:szCs w:val="20"/>
          <w:color w:val="auto"/>
        </w:rPr>
      </w:pPr>
    </w:p>
    <w:p>
      <w:pPr>
        <w:ind w:left="580" w:right="300" w:hanging="572"/>
        <w:spacing w:after="0" w:line="268" w:lineRule="auto"/>
        <w:tabs>
          <w:tab w:leader="none" w:pos="5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Solely for the purpose of the coverage provided by the VOICE INITIATED TRANSFER FRAUD Insuring Agreement, the following definitions shall apply:</w:t>
      </w:r>
    </w:p>
    <w:p>
      <w:pPr>
        <w:spacing w:after="0" w:line="50" w:lineRule="exact"/>
        <w:rPr>
          <w:rFonts w:ascii="Arial" w:cs="Arial" w:eastAsia="Arial" w:hAnsi="Arial"/>
          <w:sz w:val="18"/>
          <w:szCs w:val="18"/>
          <w:color w:val="auto"/>
        </w:rPr>
      </w:pPr>
    </w:p>
    <w:p>
      <w:pPr>
        <w:ind w:left="580" w:right="40"/>
        <w:spacing w:after="0" w:line="259" w:lineRule="auto"/>
        <w:rPr>
          <w:rFonts w:ascii="Arial" w:cs="Arial" w:eastAsia="Arial" w:hAnsi="Arial"/>
          <w:sz w:val="18"/>
          <w:szCs w:val="18"/>
          <w:color w:val="auto"/>
        </w:rPr>
      </w:pPr>
      <w:r>
        <w:rPr>
          <w:rFonts w:ascii="Arial" w:cs="Arial" w:eastAsia="Arial" w:hAnsi="Arial"/>
          <w:sz w:val="18"/>
          <w:szCs w:val="18"/>
          <w:color w:val="auto"/>
        </w:rPr>
        <w:t>“Customer” means an entity or individual which has a written agreement with the Insured authorizing the Insured to rely on voice instructions to make transfers and which has provided the Insured with the names of persons authorized to initiate such transfers and with which the Insured has established an instruction verification mechanism.</w:t>
      </w:r>
    </w:p>
    <w:p>
      <w:pPr>
        <w:spacing w:after="0" w:line="59"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“Funds” means Money on deposit in an account.</w:t>
      </w:r>
    </w:p>
    <w:p>
      <w:pPr>
        <w:spacing w:after="0" w:line="84" w:lineRule="exact"/>
        <w:rPr>
          <w:rFonts w:ascii="Arial" w:cs="Arial" w:eastAsia="Arial" w:hAnsi="Arial"/>
          <w:sz w:val="18"/>
          <w:szCs w:val="18"/>
          <w:color w:val="auto"/>
        </w:rPr>
      </w:pPr>
    </w:p>
    <w:p>
      <w:pPr>
        <w:ind w:left="580" w:right="320" w:hanging="572"/>
        <w:spacing w:after="0" w:line="275" w:lineRule="auto"/>
        <w:tabs>
          <w:tab w:leader="none" w:pos="5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Solely for the purpose of the coverage provided by this Insuring Agreement, Section 2. EXCLUSIONS of the </w:t>
      </w:r>
      <w:r>
        <w:rPr>
          <w:rFonts w:ascii="Arial" w:cs="Arial" w:eastAsia="Arial" w:hAnsi="Arial"/>
          <w:sz w:val="18"/>
          <w:szCs w:val="18"/>
          <w:b w:val="1"/>
          <w:bCs w:val="1"/>
          <w:color w:val="auto"/>
        </w:rPr>
        <w:t>CONDITIONS AND LIMITATIONS</w:t>
      </w:r>
      <w:r>
        <w:rPr>
          <w:rFonts w:ascii="Arial" w:cs="Arial" w:eastAsia="Arial" w:hAnsi="Arial"/>
          <w:sz w:val="18"/>
          <w:szCs w:val="18"/>
          <w:color w:val="auto"/>
        </w:rPr>
        <w:t xml:space="preserve"> Clause is amended to include the following exclusion at the end thereof:</w:t>
      </w:r>
    </w:p>
    <w:p>
      <w:pPr>
        <w:spacing w:after="0" w:line="44" w:lineRule="exact"/>
        <w:rPr>
          <w:rFonts w:ascii="Arial" w:cs="Arial" w:eastAsia="Arial" w:hAnsi="Arial"/>
          <w:sz w:val="18"/>
          <w:szCs w:val="18"/>
          <w:color w:val="auto"/>
        </w:rPr>
      </w:pPr>
    </w:p>
    <w:p>
      <w:pPr>
        <w:ind w:left="580" w:right="560"/>
        <w:spacing w:after="0" w:line="259" w:lineRule="auto"/>
        <w:rPr>
          <w:rFonts w:ascii="Arial" w:cs="Arial" w:eastAsia="Arial" w:hAnsi="Arial"/>
          <w:sz w:val="18"/>
          <w:szCs w:val="18"/>
          <w:color w:val="auto"/>
        </w:rPr>
      </w:pPr>
      <w:r>
        <w:rPr>
          <w:rFonts w:ascii="Arial" w:cs="Arial" w:eastAsia="Arial" w:hAnsi="Arial"/>
          <w:sz w:val="18"/>
          <w:szCs w:val="18"/>
          <w:color w:val="auto"/>
        </w:rPr>
        <w:t>loss alleging, arising out of, based upon or attributable to any actual or alleged contractual liability of any Insured under any express contract or agreement; provided, however, that this exclusion shall not apply to liability which would have attached in the absence of such express contract or agreement.</w:t>
      </w:r>
    </w:p>
    <w:p>
      <w:pPr>
        <w:spacing w:after="0" w:line="59" w:lineRule="exact"/>
        <w:rPr>
          <w:rFonts w:ascii="Arial" w:cs="Arial" w:eastAsia="Arial" w:hAnsi="Arial"/>
          <w:sz w:val="18"/>
          <w:szCs w:val="18"/>
          <w:color w:val="auto"/>
        </w:rPr>
      </w:pPr>
    </w:p>
    <w:p>
      <w:pPr>
        <w:ind w:left="580" w:hanging="572"/>
        <w:spacing w:after="0" w:line="268" w:lineRule="auto"/>
        <w:tabs>
          <w:tab w:leader="none" w:pos="5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Nothing contained here shall be held to vary, alter, waive or extend any of the terms, limitations, conditions, or agreements of the attached bond other than as above stated.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CONDITIONS AND EXCLUSIONS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139700</wp:posOffset>
            </wp:positionV>
            <wp:extent cx="2898775" cy="6000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9877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REPRESENTATIVE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101823 (6/09)</w:t>
      </w:r>
    </w:p>
    <w:p>
      <w:pPr>
        <w:sectPr>
          <w:pgSz w:w="11900" w:h="16838" w:orient="portrait"/>
          <w:cols w:equalWidth="0" w:num="1">
            <w:col w:w="11420"/>
          </w:cols>
          <w:pgMar w:left="240" w:top="274"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60" w:type="dxa"/>
            <w:vAlign w:val="bottom"/>
            <w:gridSpan w:val="2"/>
          </w:tcPr>
          <w:p>
            <w:pPr>
              <w:spacing w:after="0"/>
              <w:rPr>
                <w:sz w:val="20"/>
                <w:szCs w:val="20"/>
                <w:color w:val="auto"/>
              </w:rPr>
            </w:pPr>
            <w:r>
              <w:rPr>
                <w:rFonts w:ascii="Arial" w:cs="Arial" w:eastAsia="Arial" w:hAnsi="Arial"/>
                <w:sz w:val="18"/>
                <w:szCs w:val="18"/>
                <w:b w:val="1"/>
                <w:bCs w:val="1"/>
                <w:color w:val="auto"/>
              </w:rPr>
              <w:t>RIDER# 15</w:t>
            </w:r>
          </w:p>
        </w:tc>
      </w:tr>
      <w:tr>
        <w:trPr>
          <w:trHeight w:val="20"/>
        </w:trPr>
        <w:tc>
          <w:tcPr>
            <w:tcW w:w="48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31"/>
        </w:trPr>
        <w:tc>
          <w:tcPr>
            <w:tcW w:w="4860" w:type="dxa"/>
            <w:vAlign w:val="bottom"/>
            <w:gridSpan w:val="3"/>
          </w:tcPr>
          <w:p>
            <w:pPr>
              <w:spacing w:after="0"/>
              <w:rPr>
                <w:sz w:val="20"/>
                <w:szCs w:val="20"/>
                <w:color w:val="auto"/>
              </w:rPr>
            </w:pPr>
            <w:r>
              <w:rPr>
                <w:rFonts w:ascii="Arial" w:cs="Arial" w:eastAsia="Arial" w:hAnsi="Arial"/>
                <w:sz w:val="18"/>
                <w:szCs w:val="18"/>
                <w:color w:val="auto"/>
              </w:rPr>
              <w:t>This endorsement, effective 12:01 A.M</w:t>
            </w:r>
          </w:p>
        </w:tc>
        <w:tc>
          <w:tcPr>
            <w:tcW w:w="2280" w:type="dxa"/>
            <w:vAlign w:val="bottom"/>
            <w:gridSpan w:val="3"/>
          </w:tcPr>
          <w:p>
            <w:pPr>
              <w:ind w:left="180"/>
              <w:spacing w:after="0"/>
              <w:rPr>
                <w:sz w:val="20"/>
                <w:szCs w:val="20"/>
                <w:color w:val="auto"/>
              </w:rPr>
            </w:pPr>
            <w:r>
              <w:rPr>
                <w:rFonts w:ascii="Arial" w:cs="Arial" w:eastAsia="Arial" w:hAnsi="Arial"/>
                <w:sz w:val="18"/>
                <w:szCs w:val="18"/>
                <w:color w:val="auto"/>
                <w:w w:val="88"/>
              </w:rPr>
              <w:t>March 8, 2012 forms a part of</w:t>
            </w:r>
          </w:p>
        </w:tc>
      </w:tr>
      <w:tr>
        <w:trPr>
          <w:trHeight w:val="216"/>
        </w:trPr>
        <w:tc>
          <w:tcPr>
            <w:tcW w:w="1060" w:type="dxa"/>
            <w:vAlign w:val="bottom"/>
            <w:gridSpan w:val="2"/>
          </w:tcPr>
          <w:p>
            <w:pPr>
              <w:spacing w:after="0"/>
              <w:rPr>
                <w:sz w:val="20"/>
                <w:szCs w:val="20"/>
                <w:color w:val="auto"/>
              </w:rPr>
            </w:pPr>
            <w:r>
              <w:rPr>
                <w:rFonts w:ascii="Arial" w:cs="Arial" w:eastAsia="Arial" w:hAnsi="Arial"/>
                <w:sz w:val="18"/>
                <w:szCs w:val="18"/>
                <w:color w:val="auto"/>
              </w:rPr>
              <w:t>policy No.</w:t>
            </w:r>
          </w:p>
        </w:tc>
        <w:tc>
          <w:tcPr>
            <w:tcW w:w="3800" w:type="dxa"/>
            <w:vAlign w:val="bottom"/>
          </w:tcPr>
          <w:p>
            <w:pPr>
              <w:ind w:left="320"/>
              <w:spacing w:after="0"/>
              <w:rPr>
                <w:sz w:val="20"/>
                <w:szCs w:val="20"/>
                <w:color w:val="auto"/>
              </w:rPr>
            </w:pPr>
            <w:r>
              <w:rPr>
                <w:rFonts w:ascii="Arial" w:cs="Arial" w:eastAsia="Arial" w:hAnsi="Arial"/>
                <w:sz w:val="18"/>
                <w:szCs w:val="18"/>
                <w:color w:val="auto"/>
              </w:rPr>
              <w:t>01-615-75-34</w:t>
            </w: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2"/>
        </w:trPr>
        <w:tc>
          <w:tcPr>
            <w:tcW w:w="1060" w:type="dxa"/>
            <w:vAlign w:val="bottom"/>
            <w:gridSpan w:val="2"/>
          </w:tcPr>
          <w:p>
            <w:pPr>
              <w:spacing w:after="0"/>
              <w:rPr>
                <w:sz w:val="20"/>
                <w:szCs w:val="20"/>
                <w:color w:val="auto"/>
              </w:rPr>
            </w:pPr>
            <w:r>
              <w:rPr>
                <w:rFonts w:ascii="Arial" w:cs="Arial" w:eastAsia="Arial" w:hAnsi="Arial"/>
                <w:sz w:val="18"/>
                <w:szCs w:val="18"/>
                <w:color w:val="auto"/>
              </w:rPr>
              <w:t>issued to:</w:t>
            </w:r>
          </w:p>
        </w:tc>
        <w:tc>
          <w:tcPr>
            <w:tcW w:w="3800" w:type="dxa"/>
            <w:vAlign w:val="bottom"/>
          </w:tcPr>
          <w:p>
            <w:pPr>
              <w:ind w:left="320"/>
              <w:spacing w:after="0"/>
              <w:rPr>
                <w:sz w:val="20"/>
                <w:szCs w:val="20"/>
                <w:color w:val="auto"/>
              </w:rPr>
            </w:pPr>
            <w:r>
              <w:rPr>
                <w:rFonts w:ascii="Arial" w:cs="Arial" w:eastAsia="Arial" w:hAnsi="Arial"/>
                <w:sz w:val="18"/>
                <w:szCs w:val="18"/>
                <w:color w:val="auto"/>
              </w:rPr>
              <w:t>TPG SPECIALTY LENDING, INC.</w:t>
            </w: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19"/>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gridSpan w:val="2"/>
          </w:tcPr>
          <w:p>
            <w:pPr>
              <w:ind w:left="200"/>
              <w:spacing w:after="0"/>
              <w:rPr>
                <w:sz w:val="20"/>
                <w:szCs w:val="20"/>
                <w:color w:val="auto"/>
              </w:rPr>
            </w:pPr>
            <w:r>
              <w:rPr>
                <w:rFonts w:ascii="Arial" w:cs="Arial" w:eastAsia="Arial" w:hAnsi="Arial"/>
                <w:sz w:val="18"/>
                <w:szCs w:val="18"/>
                <w:color w:val="auto"/>
                <w:w w:val="91"/>
              </w:rPr>
              <w:t>National Union Fire Insurance Company of Pittsburgh, Pa.</w:t>
            </w: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pacing w:after="0" w:line="3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AMENDED DEFINITION OF EMPLOYEE</w:t>
      </w:r>
    </w:p>
    <w:p>
      <w:pPr>
        <w:spacing w:after="0" w:line="17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 consideration of the premium charged, it is hereby understood and agreed that in the CONDITIONS AND LIMITATIONS section, Definition (e) Employee is deleted in its entirety and replaced with the following:</w:t>
      </w:r>
    </w:p>
    <w:p>
      <w:pPr>
        <w:spacing w:after="0" w:line="51" w:lineRule="exact"/>
        <w:rPr>
          <w:sz w:val="20"/>
          <w:szCs w:val="20"/>
          <w:color w:val="auto"/>
        </w:rPr>
      </w:pPr>
    </w:p>
    <w:p>
      <w:pPr>
        <w:ind w:left="580" w:hanging="572"/>
        <w:spacing w:after="0"/>
        <w:tabs>
          <w:tab w:leader="none" w:pos="5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“Employee” means:</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any of the Insured’s officers, partners, or employees, and</w:t>
      </w:r>
    </w:p>
    <w:p>
      <w:pPr>
        <w:spacing w:after="0" w:line="90" w:lineRule="exact"/>
        <w:rPr>
          <w:rFonts w:ascii="Arial" w:cs="Arial" w:eastAsia="Arial" w:hAnsi="Arial"/>
          <w:sz w:val="18"/>
          <w:szCs w:val="18"/>
          <w:color w:val="auto"/>
        </w:rPr>
      </w:pPr>
    </w:p>
    <w:p>
      <w:pPr>
        <w:ind w:left="1140" w:right="120" w:hanging="565"/>
        <w:spacing w:after="0" w:line="268" w:lineRule="auto"/>
        <w:tabs>
          <w:tab w:leader="none" w:pos="114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any of the officers or employees of any predecessor of the Insured whose principal assets are acquired by the Insured by consolidation or merger with, or purchase of assets or capital stock of such predecessor. and</w:t>
      </w:r>
    </w:p>
    <w:p>
      <w:pPr>
        <w:spacing w:after="0" w:line="50" w:lineRule="exact"/>
        <w:rPr>
          <w:rFonts w:ascii="Arial" w:cs="Arial" w:eastAsia="Arial" w:hAnsi="Arial"/>
          <w:sz w:val="18"/>
          <w:szCs w:val="18"/>
          <w:color w:val="auto"/>
        </w:rPr>
      </w:pPr>
    </w:p>
    <w:p>
      <w:pPr>
        <w:ind w:left="1140" w:right="580" w:hanging="565"/>
        <w:spacing w:after="0" w:line="268" w:lineRule="auto"/>
        <w:tabs>
          <w:tab w:leader="none" w:pos="114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attorneys retained by the Insured to perform legal services for the Insured and the employees of such attorneys while such attorneys or the employees of such attorneys are performing such services for the Insured, and</w:t>
      </w:r>
    </w:p>
    <w:p>
      <w:pPr>
        <w:spacing w:after="0" w:line="50" w:lineRule="exact"/>
        <w:rPr>
          <w:rFonts w:ascii="Arial" w:cs="Arial" w:eastAsia="Arial" w:hAnsi="Arial"/>
          <w:sz w:val="18"/>
          <w:szCs w:val="18"/>
          <w:color w:val="auto"/>
        </w:rPr>
      </w:pPr>
    </w:p>
    <w:p>
      <w:pPr>
        <w:ind w:left="1140" w:hanging="565"/>
        <w:spacing w:after="0"/>
        <w:tabs>
          <w:tab w:leader="none" w:pos="1140" w:val="left"/>
        </w:tabs>
        <w:numPr>
          <w:ilvl w:val="1"/>
          <w:numId w:val="81"/>
        </w:numPr>
        <w:rPr>
          <w:rFonts w:ascii="Arial" w:cs="Arial" w:eastAsia="Arial" w:hAnsi="Arial"/>
          <w:sz w:val="18"/>
          <w:szCs w:val="18"/>
          <w:color w:val="auto"/>
        </w:rPr>
      </w:pPr>
      <w:r>
        <w:rPr>
          <w:rFonts w:ascii="Arial" w:cs="Arial" w:eastAsia="Arial" w:hAnsi="Arial"/>
          <w:sz w:val="18"/>
          <w:szCs w:val="18"/>
          <w:color w:val="auto"/>
        </w:rPr>
        <w:t>guest students pursuing their studies or duties in any of the Insured’s offices, and</w:t>
      </w:r>
    </w:p>
    <w:p>
      <w:pPr>
        <w:spacing w:after="0" w:line="90" w:lineRule="exact"/>
        <w:rPr>
          <w:rFonts w:ascii="Arial" w:cs="Arial" w:eastAsia="Arial" w:hAnsi="Arial"/>
          <w:sz w:val="18"/>
          <w:szCs w:val="18"/>
          <w:color w:val="auto"/>
        </w:rPr>
      </w:pPr>
    </w:p>
    <w:p>
      <w:pPr>
        <w:ind w:left="1140" w:hanging="565"/>
        <w:spacing w:after="0" w:line="256" w:lineRule="auto"/>
        <w:tabs>
          <w:tab w:leader="none" w:pos="114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directors or trustees of the Insured, the investment advisor, underwriter (distributor), transfer agent, or shareholder accounting record keeper, or administrator authorized by written agreement to keep financial and/or other required records, but only while performing acts coming within the scope of the usual duties of an officer or employee or while acting as a member of any committee duly elected or appointed to examine or audit or have custody of or access to the Property of the Insured, and</w:t>
      </w:r>
    </w:p>
    <w:p>
      <w:pPr>
        <w:spacing w:after="0" w:line="62" w:lineRule="exact"/>
        <w:rPr>
          <w:rFonts w:ascii="Arial" w:cs="Arial" w:eastAsia="Arial" w:hAnsi="Arial"/>
          <w:sz w:val="18"/>
          <w:szCs w:val="18"/>
          <w:color w:val="auto"/>
        </w:rPr>
      </w:pPr>
    </w:p>
    <w:p>
      <w:pPr>
        <w:ind w:left="1140" w:right="500" w:hanging="565"/>
        <w:spacing w:after="0" w:line="268" w:lineRule="auto"/>
        <w:tabs>
          <w:tab w:leader="none" w:pos="114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any individual or individuals assigned to perform the usual duties of an employee within the premises of the Insured, by contract, or by any agency furnishing temporary personnel on a contingent or part-time basis, and</w:t>
      </w:r>
    </w:p>
    <w:p>
      <w:pPr>
        <w:spacing w:after="0" w:line="50" w:lineRule="exact"/>
        <w:rPr>
          <w:rFonts w:ascii="Arial" w:cs="Arial" w:eastAsia="Arial" w:hAnsi="Arial"/>
          <w:sz w:val="18"/>
          <w:szCs w:val="18"/>
          <w:color w:val="auto"/>
        </w:rPr>
      </w:pPr>
    </w:p>
    <w:p>
      <w:pPr>
        <w:jc w:val="both"/>
        <w:ind w:left="1140" w:right="100" w:hanging="565"/>
        <w:spacing w:after="0" w:line="306" w:lineRule="auto"/>
        <w:tabs>
          <w:tab w:leader="none" w:pos="1140" w:val="left"/>
        </w:tabs>
        <w:numPr>
          <w:ilvl w:val="1"/>
          <w:numId w:val="81"/>
        </w:numPr>
        <w:rPr>
          <w:rFonts w:ascii="Arial" w:cs="Arial" w:eastAsia="Arial" w:hAnsi="Arial"/>
          <w:sz w:val="16"/>
          <w:szCs w:val="16"/>
          <w:color w:val="auto"/>
        </w:rPr>
      </w:pPr>
      <w:r>
        <w:rPr>
          <w:rFonts w:ascii="Arial" w:cs="Arial" w:eastAsia="Arial" w:hAnsi="Arial"/>
          <w:sz w:val="16"/>
          <w:szCs w:val="16"/>
          <w:color w:val="auto"/>
        </w:rPr>
        <w:t>each natural person, partnership or corporation authorized by written agreement with the Insured to perform services as electronic data processor of checks or other accounting records of the Insured, but excluding any such processor who acts as transfer agent or in any other agency capacity in issuing checks, drafts or securities for the Insured, unless included under Sub-section (9) hereof, and</w:t>
      </w:r>
    </w:p>
    <w:p>
      <w:pPr>
        <w:sectPr>
          <w:pgSz w:w="11900" w:h="16838" w:orient="portrait"/>
          <w:cols w:equalWidth="0" w:num="1">
            <w:col w:w="11420"/>
          </w:cols>
          <w:pgMar w:left="240" w:top="257" w:right="239" w:bottom="1440" w:gutter="0" w:footer="0" w:header="0"/>
        </w:sectPr>
      </w:pPr>
    </w:p>
    <w:bookmarkStart w:id="51" w:name="page52"/>
    <w:bookmarkEnd w:id="51"/>
    <w:p>
      <w:pPr>
        <w:jc w:val="center"/>
        <w:ind w:right="-1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RIDER#</w:t>
      </w:r>
      <w:r>
        <w:rPr>
          <w:rFonts w:ascii="Arial" w:cs="Arial" w:eastAsia="Arial" w:hAnsi="Arial"/>
          <w:sz w:val="18"/>
          <w:szCs w:val="18"/>
          <w:b w:val="1"/>
          <w:bCs w:val="1"/>
          <w:color w:val="auto"/>
        </w:rPr>
        <w:t xml:space="preserve"> 15 (Continued)</w:t>
      </w:r>
    </w:p>
    <w:p>
      <w:pPr>
        <w:spacing w:after="0" w:line="218" w:lineRule="exact"/>
        <w:rPr>
          <w:sz w:val="20"/>
          <w:szCs w:val="20"/>
          <w:color w:val="auto"/>
        </w:rPr>
      </w:pPr>
    </w:p>
    <w:p>
      <w:pPr>
        <w:ind w:left="1140" w:hanging="565"/>
        <w:spacing w:after="0"/>
        <w:tabs>
          <w:tab w:leader="none" w:pos="11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those persons so designated in Section 15, Central Handling of Securities, and</w:t>
      </w:r>
    </w:p>
    <w:p>
      <w:pPr>
        <w:spacing w:after="0" w:line="90" w:lineRule="exact"/>
        <w:rPr>
          <w:rFonts w:ascii="Arial" w:cs="Arial" w:eastAsia="Arial" w:hAnsi="Arial"/>
          <w:sz w:val="18"/>
          <w:szCs w:val="18"/>
          <w:color w:val="auto"/>
        </w:rPr>
      </w:pPr>
    </w:p>
    <w:p>
      <w:pPr>
        <w:ind w:left="1140" w:right="280" w:hanging="565"/>
        <w:spacing w:after="0" w:line="268" w:lineRule="auto"/>
        <w:tabs>
          <w:tab w:leader="none" w:pos="11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solely while in the course of performing duties for TPG Specialty Lending, any employee of (i) TSL Advisers, LLC; (ii) TPG Opportunities Partners,L.P.; or (iii) members of TPG Specialty Lending, Inc.’s Investment Review Committee.</w:t>
      </w:r>
    </w:p>
    <w:p>
      <w:pPr>
        <w:spacing w:after="0" w:line="50" w:lineRule="exact"/>
        <w:rPr>
          <w:rFonts w:ascii="Arial" w:cs="Arial" w:eastAsia="Arial" w:hAnsi="Arial"/>
          <w:sz w:val="18"/>
          <w:szCs w:val="18"/>
          <w:color w:val="auto"/>
        </w:rPr>
      </w:pPr>
    </w:p>
    <w:p>
      <w:pPr>
        <w:ind w:left="1140" w:hanging="565"/>
        <w:spacing w:after="0"/>
        <w:tabs>
          <w:tab w:leader="none" w:pos="11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officer, partner or Employee of</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 investment advisor,</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 underwriter (distributor),</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 transfer agent or shareholder accounting record-keeper, or</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 administrator authorized by written agreement to keep financial and/or other required records,</w:t>
      </w:r>
    </w:p>
    <w:p>
      <w:pPr>
        <w:spacing w:after="0" w:line="90" w:lineRule="exact"/>
        <w:rPr>
          <w:sz w:val="20"/>
          <w:szCs w:val="20"/>
          <w:color w:val="auto"/>
        </w:rPr>
      </w:pPr>
    </w:p>
    <w:p>
      <w:pPr>
        <w:ind w:left="580" w:right="60"/>
        <w:spacing w:after="0" w:line="291" w:lineRule="auto"/>
        <w:rPr>
          <w:sz w:val="20"/>
          <w:szCs w:val="20"/>
          <w:color w:val="auto"/>
        </w:rPr>
      </w:pPr>
      <w:r>
        <w:rPr>
          <w:rFonts w:ascii="Arial" w:cs="Arial" w:eastAsia="Arial" w:hAnsi="Arial"/>
          <w:sz w:val="16"/>
          <w:szCs w:val="16"/>
          <w:color w:val="auto"/>
        </w:rPr>
        <w:t>for an Investment Company named as Insured while performing acts coming within the scope of the usual duties of an officer or Employee of any Investment Company named as Insured herein, or while acting as a member of any committee duly elected or appointed to examine or audit or have custody of or access to the Property of any such Investment Company, provided that only Employees or partners of a transfer agent, shareholder accounting record-keeper or administrator which is an affiliated person as defined in the Investment Company Act of 1940, of an Investment Company named as Insured or is an affiliated person of the adviser, underwriter or administrator of such Investment Company, and which is not a bank, shall be included within the definition of Employee.</w:t>
      </w:r>
    </w:p>
    <w:p>
      <w:pPr>
        <w:spacing w:after="0" w:line="39" w:lineRule="exact"/>
        <w:rPr>
          <w:sz w:val="20"/>
          <w:szCs w:val="20"/>
          <w:color w:val="auto"/>
        </w:rPr>
      </w:pPr>
    </w:p>
    <w:p>
      <w:pPr>
        <w:ind w:left="580"/>
        <w:spacing w:after="0" w:line="332" w:lineRule="auto"/>
        <w:rPr>
          <w:sz w:val="20"/>
          <w:szCs w:val="20"/>
          <w:color w:val="auto"/>
        </w:rPr>
      </w:pPr>
      <w:r>
        <w:rPr>
          <w:rFonts w:ascii="Arial" w:cs="Arial" w:eastAsia="Arial" w:hAnsi="Arial"/>
          <w:sz w:val="16"/>
          <w:szCs w:val="16"/>
          <w:color w:val="auto"/>
        </w:rPr>
        <w:t>Each employer of temporary personnel or processors as set forth in Sub-Sections (6) and of Section 1(a) and their partners, officers and employees shall collectively be deemed to be one person for all the purposes of this bond, excepting, however, the last paragraph of Section 13.</w:t>
      </w:r>
    </w:p>
    <w:p>
      <w:pPr>
        <w:spacing w:after="0" w:line="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Brokers, or other agents under contract or representatives of the same general character shall not be considered Employees.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CONDITIONS AND EXCLUSIONS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139700</wp:posOffset>
            </wp:positionV>
            <wp:extent cx="2898775" cy="6000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9877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REPRESENTATIVE</w:t>
      </w:r>
    </w:p>
    <w:p>
      <w:pPr>
        <w:sectPr>
          <w:pgSz w:w="11900" w:h="16838" w:orient="portrait"/>
          <w:cols w:equalWidth="0" w:num="1">
            <w:col w:w="11260"/>
          </w:cols>
          <w:pgMar w:left="240" w:top="274" w:right="39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60" w:type="dxa"/>
            <w:vAlign w:val="bottom"/>
            <w:gridSpan w:val="2"/>
          </w:tcPr>
          <w:p>
            <w:pPr>
              <w:spacing w:after="0"/>
              <w:rPr>
                <w:sz w:val="20"/>
                <w:szCs w:val="20"/>
                <w:color w:val="auto"/>
              </w:rPr>
            </w:pPr>
            <w:r>
              <w:rPr>
                <w:rFonts w:ascii="Arial" w:cs="Arial" w:eastAsia="Arial" w:hAnsi="Arial"/>
                <w:sz w:val="18"/>
                <w:szCs w:val="18"/>
                <w:b w:val="1"/>
                <w:bCs w:val="1"/>
                <w:color w:val="auto"/>
              </w:rPr>
              <w:t>RIDER# 16</w:t>
            </w:r>
          </w:p>
        </w:tc>
      </w:tr>
      <w:tr>
        <w:trPr>
          <w:trHeight w:val="20"/>
        </w:trPr>
        <w:tc>
          <w:tcPr>
            <w:tcW w:w="48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31"/>
        </w:trPr>
        <w:tc>
          <w:tcPr>
            <w:tcW w:w="4860" w:type="dxa"/>
            <w:vAlign w:val="bottom"/>
            <w:gridSpan w:val="3"/>
          </w:tcPr>
          <w:p>
            <w:pPr>
              <w:spacing w:after="0"/>
              <w:rPr>
                <w:sz w:val="20"/>
                <w:szCs w:val="20"/>
                <w:color w:val="auto"/>
              </w:rPr>
            </w:pPr>
            <w:r>
              <w:rPr>
                <w:rFonts w:ascii="Arial" w:cs="Arial" w:eastAsia="Arial" w:hAnsi="Arial"/>
                <w:sz w:val="18"/>
                <w:szCs w:val="18"/>
                <w:color w:val="auto"/>
              </w:rPr>
              <w:t>This endorsement, effective 12:01 A.M</w:t>
            </w:r>
          </w:p>
        </w:tc>
        <w:tc>
          <w:tcPr>
            <w:tcW w:w="2280" w:type="dxa"/>
            <w:vAlign w:val="bottom"/>
            <w:gridSpan w:val="3"/>
          </w:tcPr>
          <w:p>
            <w:pPr>
              <w:ind w:left="180"/>
              <w:spacing w:after="0"/>
              <w:rPr>
                <w:sz w:val="20"/>
                <w:szCs w:val="20"/>
                <w:color w:val="auto"/>
              </w:rPr>
            </w:pPr>
            <w:r>
              <w:rPr>
                <w:rFonts w:ascii="Arial" w:cs="Arial" w:eastAsia="Arial" w:hAnsi="Arial"/>
                <w:sz w:val="18"/>
                <w:szCs w:val="18"/>
                <w:color w:val="auto"/>
                <w:w w:val="88"/>
              </w:rPr>
              <w:t>March 8, 2012 forms a part of</w:t>
            </w:r>
          </w:p>
        </w:tc>
      </w:tr>
      <w:tr>
        <w:trPr>
          <w:trHeight w:val="216"/>
        </w:trPr>
        <w:tc>
          <w:tcPr>
            <w:tcW w:w="1060" w:type="dxa"/>
            <w:vAlign w:val="bottom"/>
            <w:gridSpan w:val="2"/>
          </w:tcPr>
          <w:p>
            <w:pPr>
              <w:spacing w:after="0"/>
              <w:rPr>
                <w:sz w:val="20"/>
                <w:szCs w:val="20"/>
                <w:color w:val="auto"/>
              </w:rPr>
            </w:pPr>
            <w:r>
              <w:rPr>
                <w:rFonts w:ascii="Arial" w:cs="Arial" w:eastAsia="Arial" w:hAnsi="Arial"/>
                <w:sz w:val="18"/>
                <w:szCs w:val="18"/>
                <w:color w:val="auto"/>
              </w:rPr>
              <w:t>policy No.</w:t>
            </w:r>
          </w:p>
        </w:tc>
        <w:tc>
          <w:tcPr>
            <w:tcW w:w="3800" w:type="dxa"/>
            <w:vAlign w:val="bottom"/>
          </w:tcPr>
          <w:p>
            <w:pPr>
              <w:ind w:left="320"/>
              <w:spacing w:after="0"/>
              <w:rPr>
                <w:sz w:val="20"/>
                <w:szCs w:val="20"/>
                <w:color w:val="auto"/>
              </w:rPr>
            </w:pPr>
            <w:r>
              <w:rPr>
                <w:rFonts w:ascii="Arial" w:cs="Arial" w:eastAsia="Arial" w:hAnsi="Arial"/>
                <w:sz w:val="18"/>
                <w:szCs w:val="18"/>
                <w:color w:val="auto"/>
              </w:rPr>
              <w:t>01-615-75-34</w:t>
            </w: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2"/>
        </w:trPr>
        <w:tc>
          <w:tcPr>
            <w:tcW w:w="1060" w:type="dxa"/>
            <w:vAlign w:val="bottom"/>
            <w:gridSpan w:val="2"/>
          </w:tcPr>
          <w:p>
            <w:pPr>
              <w:spacing w:after="0"/>
              <w:rPr>
                <w:sz w:val="20"/>
                <w:szCs w:val="20"/>
                <w:color w:val="auto"/>
              </w:rPr>
            </w:pPr>
            <w:r>
              <w:rPr>
                <w:rFonts w:ascii="Arial" w:cs="Arial" w:eastAsia="Arial" w:hAnsi="Arial"/>
                <w:sz w:val="18"/>
                <w:szCs w:val="18"/>
                <w:color w:val="auto"/>
              </w:rPr>
              <w:t>issued to:</w:t>
            </w:r>
          </w:p>
        </w:tc>
        <w:tc>
          <w:tcPr>
            <w:tcW w:w="3800" w:type="dxa"/>
            <w:vAlign w:val="bottom"/>
          </w:tcPr>
          <w:p>
            <w:pPr>
              <w:ind w:left="320"/>
              <w:spacing w:after="0"/>
              <w:rPr>
                <w:sz w:val="20"/>
                <w:szCs w:val="20"/>
                <w:color w:val="auto"/>
              </w:rPr>
            </w:pPr>
            <w:r>
              <w:rPr>
                <w:rFonts w:ascii="Arial" w:cs="Arial" w:eastAsia="Arial" w:hAnsi="Arial"/>
                <w:sz w:val="18"/>
                <w:szCs w:val="18"/>
                <w:color w:val="auto"/>
              </w:rPr>
              <w:t>TPG SPECIALTY LENDING, INC.</w:t>
            </w: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19"/>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gridSpan w:val="2"/>
          </w:tcPr>
          <w:p>
            <w:pPr>
              <w:ind w:left="200"/>
              <w:spacing w:after="0"/>
              <w:rPr>
                <w:sz w:val="20"/>
                <w:szCs w:val="20"/>
                <w:color w:val="auto"/>
              </w:rPr>
            </w:pPr>
            <w:r>
              <w:rPr>
                <w:rFonts w:ascii="Arial" w:cs="Arial" w:eastAsia="Arial" w:hAnsi="Arial"/>
                <w:sz w:val="18"/>
                <w:szCs w:val="18"/>
                <w:color w:val="auto"/>
                <w:w w:val="91"/>
              </w:rPr>
              <w:t>National Union Fire Insurance Company of Pittsburgh, Pa.</w:t>
            </w: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3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NAMED INSURED AMENDED RIDER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(Subsidiary Greater Than 50%)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90" w:lineRule="exact"/>
        <w:rPr>
          <w:sz w:val="20"/>
          <w:szCs w:val="20"/>
          <w:color w:val="auto"/>
        </w:rPr>
      </w:pPr>
    </w:p>
    <w:p>
      <w:pPr>
        <w:ind w:left="580" w:right="80" w:hanging="572"/>
        <w:spacing w:after="0" w:line="259" w:lineRule="auto"/>
        <w:tabs>
          <w:tab w:leader="none" w:pos="5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Named of Insured stated in Item 1 of the Declarations (“Named Insured”) shall also include any subsidiary, or acquired company or corporation, or other business entity which is more than fifty percent (50%) owned by the Insured or any of its subsidiary companies covered hereunder all subject to the provisions of General Agreement B.</w:t>
      </w:r>
    </w:p>
    <w:p>
      <w:pPr>
        <w:spacing w:after="0" w:line="59" w:lineRule="exact"/>
        <w:rPr>
          <w:rFonts w:ascii="Arial" w:cs="Arial" w:eastAsia="Arial" w:hAnsi="Arial"/>
          <w:sz w:val="18"/>
          <w:szCs w:val="18"/>
          <w:color w:val="auto"/>
        </w:rPr>
      </w:pPr>
    </w:p>
    <w:p>
      <w:pPr>
        <w:ind w:left="580" w:hanging="572"/>
        <w:spacing w:after="0" w:line="268" w:lineRule="auto"/>
        <w:tabs>
          <w:tab w:leader="none" w:pos="5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Nothing contained here shall be held to vary, alter, waive or extend any of the terms, limitations, conditions, or agreements of the attached bond other than as above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114935</wp:posOffset>
            </wp:positionV>
            <wp:extent cx="2898775" cy="6000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89877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REPRESENTATIVE</w:t>
      </w:r>
    </w:p>
    <w:p>
      <w:pPr>
        <w:sectPr>
          <w:pgSz w:w="11900" w:h="16838" w:orient="portrait"/>
          <w:cols w:equalWidth="0" w:num="1">
            <w:col w:w="11420"/>
          </w:cols>
          <w:pgMar w:left="240" w:top="257"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07"/>
        </w:trPr>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60" w:type="dxa"/>
            <w:vAlign w:val="bottom"/>
            <w:gridSpan w:val="2"/>
          </w:tcPr>
          <w:p>
            <w:pPr>
              <w:spacing w:after="0"/>
              <w:rPr>
                <w:sz w:val="20"/>
                <w:szCs w:val="20"/>
                <w:color w:val="auto"/>
              </w:rPr>
            </w:pPr>
            <w:r>
              <w:rPr>
                <w:rFonts w:ascii="Arial" w:cs="Arial" w:eastAsia="Arial" w:hAnsi="Arial"/>
                <w:sz w:val="18"/>
                <w:szCs w:val="18"/>
                <w:b w:val="1"/>
                <w:bCs w:val="1"/>
                <w:color w:val="auto"/>
              </w:rPr>
              <w:t>RIDER# 17</w:t>
            </w:r>
          </w:p>
        </w:tc>
      </w:tr>
      <w:tr>
        <w:trPr>
          <w:trHeight w:val="20"/>
        </w:trPr>
        <w:tc>
          <w:tcPr>
            <w:tcW w:w="48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31"/>
        </w:trPr>
        <w:tc>
          <w:tcPr>
            <w:tcW w:w="4860" w:type="dxa"/>
            <w:vAlign w:val="bottom"/>
            <w:gridSpan w:val="3"/>
          </w:tcPr>
          <w:p>
            <w:pPr>
              <w:spacing w:after="0"/>
              <w:rPr>
                <w:sz w:val="20"/>
                <w:szCs w:val="20"/>
                <w:color w:val="auto"/>
              </w:rPr>
            </w:pPr>
            <w:r>
              <w:rPr>
                <w:rFonts w:ascii="Arial" w:cs="Arial" w:eastAsia="Arial" w:hAnsi="Arial"/>
                <w:sz w:val="18"/>
                <w:szCs w:val="18"/>
                <w:color w:val="auto"/>
              </w:rPr>
              <w:t>This endorsement, effective 12:01 A.M</w:t>
            </w:r>
          </w:p>
        </w:tc>
        <w:tc>
          <w:tcPr>
            <w:tcW w:w="2280" w:type="dxa"/>
            <w:vAlign w:val="bottom"/>
            <w:gridSpan w:val="3"/>
          </w:tcPr>
          <w:p>
            <w:pPr>
              <w:ind w:left="180"/>
              <w:spacing w:after="0"/>
              <w:rPr>
                <w:sz w:val="20"/>
                <w:szCs w:val="20"/>
                <w:color w:val="auto"/>
              </w:rPr>
            </w:pPr>
            <w:r>
              <w:rPr>
                <w:rFonts w:ascii="Arial" w:cs="Arial" w:eastAsia="Arial" w:hAnsi="Arial"/>
                <w:sz w:val="18"/>
                <w:szCs w:val="18"/>
                <w:color w:val="auto"/>
                <w:w w:val="88"/>
              </w:rPr>
              <w:t>March 8, 2012 forms a part of</w:t>
            </w:r>
          </w:p>
        </w:tc>
      </w:tr>
      <w:tr>
        <w:trPr>
          <w:trHeight w:val="216"/>
        </w:trPr>
        <w:tc>
          <w:tcPr>
            <w:tcW w:w="1060" w:type="dxa"/>
            <w:vAlign w:val="bottom"/>
            <w:gridSpan w:val="2"/>
          </w:tcPr>
          <w:p>
            <w:pPr>
              <w:spacing w:after="0"/>
              <w:rPr>
                <w:sz w:val="20"/>
                <w:szCs w:val="20"/>
                <w:color w:val="auto"/>
              </w:rPr>
            </w:pPr>
            <w:r>
              <w:rPr>
                <w:rFonts w:ascii="Arial" w:cs="Arial" w:eastAsia="Arial" w:hAnsi="Arial"/>
                <w:sz w:val="18"/>
                <w:szCs w:val="18"/>
                <w:color w:val="auto"/>
              </w:rPr>
              <w:t>policy No.</w:t>
            </w:r>
          </w:p>
        </w:tc>
        <w:tc>
          <w:tcPr>
            <w:tcW w:w="3800" w:type="dxa"/>
            <w:vAlign w:val="bottom"/>
          </w:tcPr>
          <w:p>
            <w:pPr>
              <w:ind w:left="320"/>
              <w:spacing w:after="0"/>
              <w:rPr>
                <w:sz w:val="20"/>
                <w:szCs w:val="20"/>
                <w:color w:val="auto"/>
              </w:rPr>
            </w:pPr>
            <w:r>
              <w:rPr>
                <w:rFonts w:ascii="Arial" w:cs="Arial" w:eastAsia="Arial" w:hAnsi="Arial"/>
                <w:sz w:val="18"/>
                <w:szCs w:val="18"/>
                <w:color w:val="auto"/>
              </w:rPr>
              <w:t>01-615-75-34</w:t>
            </w: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2"/>
        </w:trPr>
        <w:tc>
          <w:tcPr>
            <w:tcW w:w="1060" w:type="dxa"/>
            <w:vAlign w:val="bottom"/>
            <w:gridSpan w:val="2"/>
          </w:tcPr>
          <w:p>
            <w:pPr>
              <w:spacing w:after="0"/>
              <w:rPr>
                <w:sz w:val="20"/>
                <w:szCs w:val="20"/>
                <w:color w:val="auto"/>
              </w:rPr>
            </w:pPr>
            <w:r>
              <w:rPr>
                <w:rFonts w:ascii="Arial" w:cs="Arial" w:eastAsia="Arial" w:hAnsi="Arial"/>
                <w:sz w:val="18"/>
                <w:szCs w:val="18"/>
                <w:color w:val="auto"/>
              </w:rPr>
              <w:t>issued to:</w:t>
            </w:r>
          </w:p>
        </w:tc>
        <w:tc>
          <w:tcPr>
            <w:tcW w:w="3800" w:type="dxa"/>
            <w:vAlign w:val="bottom"/>
          </w:tcPr>
          <w:p>
            <w:pPr>
              <w:ind w:left="320"/>
              <w:spacing w:after="0"/>
              <w:rPr>
                <w:sz w:val="20"/>
                <w:szCs w:val="20"/>
                <w:color w:val="auto"/>
              </w:rPr>
            </w:pPr>
            <w:r>
              <w:rPr>
                <w:rFonts w:ascii="Arial" w:cs="Arial" w:eastAsia="Arial" w:hAnsi="Arial"/>
                <w:sz w:val="18"/>
                <w:szCs w:val="18"/>
                <w:color w:val="auto"/>
              </w:rPr>
              <w:t>TPG SPECIALTY LENDING, INC.</w:t>
            </w: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19"/>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gridSpan w:val="2"/>
          </w:tcPr>
          <w:p>
            <w:pPr>
              <w:ind w:left="200"/>
              <w:spacing w:after="0"/>
              <w:rPr>
                <w:sz w:val="20"/>
                <w:szCs w:val="20"/>
                <w:color w:val="auto"/>
              </w:rPr>
            </w:pPr>
            <w:r>
              <w:rPr>
                <w:rFonts w:ascii="Arial" w:cs="Arial" w:eastAsia="Arial" w:hAnsi="Arial"/>
                <w:sz w:val="18"/>
                <w:szCs w:val="18"/>
                <w:color w:val="auto"/>
                <w:w w:val="91"/>
              </w:rPr>
              <w:t>National Union Fire Insurance Company of Pittsburgh, Pa.</w:t>
            </w: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3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DISCOVERY AMENDED RIDER</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 SECTIONS)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84" w:lineRule="exact"/>
        <w:rPr>
          <w:sz w:val="20"/>
          <w:szCs w:val="20"/>
          <w:color w:val="auto"/>
        </w:rPr>
      </w:pPr>
    </w:p>
    <w:p>
      <w:pPr>
        <w:ind w:left="580" w:right="180" w:hanging="572"/>
        <w:spacing w:after="0" w:line="275" w:lineRule="auto"/>
        <w:tabs>
          <w:tab w:leader="none" w:pos="5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General Agreement F. NOTICE OF LEGAL PROCEEDINGS AGAINST INSURED - ELECTION TO DEFEND of the </w:t>
      </w:r>
      <w:r>
        <w:rPr>
          <w:rFonts w:ascii="Arial" w:cs="Arial" w:eastAsia="Arial" w:hAnsi="Arial"/>
          <w:sz w:val="18"/>
          <w:szCs w:val="18"/>
          <w:b w:val="1"/>
          <w:bCs w:val="1"/>
          <w:color w:val="auto"/>
        </w:rPr>
        <w:t>GENERAL AGREEMENTS</w:t>
      </w:r>
      <w:r>
        <w:rPr>
          <w:rFonts w:ascii="Arial" w:cs="Arial" w:eastAsia="Arial" w:hAnsi="Arial"/>
          <w:sz w:val="18"/>
          <w:szCs w:val="18"/>
          <w:color w:val="auto"/>
        </w:rPr>
        <w:t xml:space="preserve"> Clause is hereby amended by deleting the first paragraph in its entirety and replacing it with the following:</w:t>
      </w:r>
    </w:p>
    <w:p>
      <w:pPr>
        <w:spacing w:after="0" w:line="44" w:lineRule="exact"/>
        <w:rPr>
          <w:rFonts w:ascii="Arial" w:cs="Arial" w:eastAsia="Arial" w:hAnsi="Arial"/>
          <w:sz w:val="18"/>
          <w:szCs w:val="18"/>
          <w:color w:val="auto"/>
        </w:rPr>
      </w:pPr>
    </w:p>
    <w:p>
      <w:pPr>
        <w:ind w:left="580" w:right="60"/>
        <w:spacing w:after="0" w:line="256" w:lineRule="auto"/>
        <w:rPr>
          <w:rFonts w:ascii="Arial" w:cs="Arial" w:eastAsia="Arial" w:hAnsi="Arial"/>
          <w:sz w:val="18"/>
          <w:szCs w:val="18"/>
          <w:color w:val="auto"/>
        </w:rPr>
      </w:pPr>
      <w:r>
        <w:rPr>
          <w:rFonts w:ascii="Arial" w:cs="Arial" w:eastAsia="Arial" w:hAnsi="Arial"/>
          <w:sz w:val="18"/>
          <w:szCs w:val="18"/>
          <w:color w:val="auto"/>
        </w:rPr>
        <w:t>The General Counsel, Chief Financial Officer, or Risk Manager of the Insured shall notify the Underwriter at the earliest practicable moment, not to exceed 60 days after notice thereof, of any legal proceeding brought to determine the Insured’s liability for any loss, claim or damage, which, if established, would constitute a collectible loss under this bond. Contemporaneously with any such notice, the Insured shall furnish copies of all pleadings and pertinent papers to the Underwriter.</w:t>
      </w:r>
    </w:p>
    <w:p>
      <w:pPr>
        <w:spacing w:after="0" w:line="56" w:lineRule="exact"/>
        <w:rPr>
          <w:rFonts w:ascii="Arial" w:cs="Arial" w:eastAsia="Arial" w:hAnsi="Arial"/>
          <w:sz w:val="18"/>
          <w:szCs w:val="18"/>
          <w:color w:val="auto"/>
        </w:rPr>
      </w:pPr>
    </w:p>
    <w:p>
      <w:pPr>
        <w:ind w:left="580" w:hanging="572"/>
        <w:spacing w:after="0"/>
        <w:tabs>
          <w:tab w:leader="none" w:pos="5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 xml:space="preserve">Section </w:t>
      </w:r>
      <w:r>
        <w:rPr>
          <w:rFonts w:ascii="Arial" w:cs="Arial" w:eastAsia="Arial" w:hAnsi="Arial"/>
          <w:sz w:val="16"/>
          <w:szCs w:val="16"/>
          <w:b w:val="1"/>
          <w:bCs w:val="1"/>
          <w:color w:val="auto"/>
        </w:rPr>
        <w:t>3. DISCOVERY</w:t>
      </w:r>
      <w:r>
        <w:rPr>
          <w:rFonts w:ascii="Arial" w:cs="Arial" w:eastAsia="Arial" w:hAnsi="Arial"/>
          <w:sz w:val="16"/>
          <w:szCs w:val="16"/>
          <w:color w:val="auto"/>
        </w:rPr>
        <w:t xml:space="preserve">, of the </w:t>
      </w:r>
      <w:r>
        <w:rPr>
          <w:rFonts w:ascii="Arial" w:cs="Arial" w:eastAsia="Arial" w:hAnsi="Arial"/>
          <w:sz w:val="16"/>
          <w:szCs w:val="16"/>
          <w:b w:val="1"/>
          <w:bCs w:val="1"/>
          <w:color w:val="auto"/>
        </w:rPr>
        <w:t>CONDITIONS AND LIMITATIONS</w:t>
      </w:r>
      <w:r>
        <w:rPr>
          <w:rFonts w:ascii="Arial" w:cs="Arial" w:eastAsia="Arial" w:hAnsi="Arial"/>
          <w:sz w:val="16"/>
          <w:szCs w:val="16"/>
          <w:color w:val="auto"/>
        </w:rPr>
        <w:t xml:space="preserve"> section is hereby deleted in its entirety and replaced with the following:</w:t>
      </w:r>
    </w:p>
    <w:p>
      <w:pPr>
        <w:spacing w:after="0" w:line="119" w:lineRule="exact"/>
        <w:rPr>
          <w:rFonts w:ascii="Arial" w:cs="Arial" w:eastAsia="Arial" w:hAnsi="Arial"/>
          <w:sz w:val="16"/>
          <w:szCs w:val="16"/>
          <w:color w:val="auto"/>
        </w:rPr>
      </w:pPr>
    </w:p>
    <w:p>
      <w:pPr>
        <w:ind w:left="580"/>
        <w:spacing w:after="0" w:line="256" w:lineRule="auto"/>
        <w:rPr>
          <w:rFonts w:ascii="Arial" w:cs="Arial" w:eastAsia="Arial" w:hAnsi="Arial"/>
          <w:sz w:val="16"/>
          <w:szCs w:val="16"/>
          <w:color w:val="auto"/>
        </w:rPr>
      </w:pPr>
      <w:r>
        <w:rPr>
          <w:rFonts w:ascii="Arial" w:cs="Arial" w:eastAsia="Arial" w:hAnsi="Arial"/>
          <w:sz w:val="18"/>
          <w:szCs w:val="18"/>
          <w:color w:val="auto"/>
        </w:rPr>
        <w:t>This bond applies to loss discovered by the General Counsel, Chief Financial Officer, or Risk Manager during the Bond Period. Discovery occurs when the General Counsel, Chief Financial Officer, or Risk Manager first becomes aware of facts which would cause a reasonable person to assume that a loss of the type covered by this bond has been or will be incurred, regardless of when the act or acts causing or contributing to such loss occurred, even though the exact amount or details of loss may not then be known.</w:t>
      </w:r>
    </w:p>
    <w:p>
      <w:pPr>
        <w:spacing w:after="0" w:line="62" w:lineRule="exact"/>
        <w:rPr>
          <w:rFonts w:ascii="Arial" w:cs="Arial" w:eastAsia="Arial" w:hAnsi="Arial"/>
          <w:sz w:val="16"/>
          <w:szCs w:val="16"/>
          <w:color w:val="auto"/>
        </w:rPr>
      </w:pPr>
    </w:p>
    <w:p>
      <w:pPr>
        <w:ind w:left="580" w:right="220"/>
        <w:spacing w:after="0" w:line="330" w:lineRule="auto"/>
        <w:rPr>
          <w:rFonts w:ascii="Arial" w:cs="Arial" w:eastAsia="Arial" w:hAnsi="Arial"/>
          <w:sz w:val="16"/>
          <w:szCs w:val="16"/>
          <w:color w:val="auto"/>
        </w:rPr>
      </w:pPr>
      <w:r>
        <w:rPr>
          <w:rFonts w:ascii="Arial" w:cs="Arial" w:eastAsia="Arial" w:hAnsi="Arial"/>
          <w:sz w:val="16"/>
          <w:szCs w:val="16"/>
          <w:color w:val="auto"/>
        </w:rPr>
        <w:t>Discovery also occurs when the General Counsel, Chief Financial Officer, or Risk Manager receives notice of an actual or potential claim in which it is alleged that the Insured is liable to a third party under circumstances which, if true, would constitute a loss under this bond.</w:t>
      </w:r>
    </w:p>
    <w:p>
      <w:pPr>
        <w:spacing w:after="0" w:line="1" w:lineRule="exact"/>
        <w:rPr>
          <w:rFonts w:ascii="Arial" w:cs="Arial" w:eastAsia="Arial" w:hAnsi="Arial"/>
          <w:sz w:val="16"/>
          <w:szCs w:val="16"/>
          <w:color w:val="auto"/>
        </w:rPr>
      </w:pPr>
    </w:p>
    <w:p>
      <w:pPr>
        <w:ind w:left="580" w:right="400" w:hanging="572"/>
        <w:spacing w:after="0" w:line="275" w:lineRule="auto"/>
        <w:tabs>
          <w:tab w:leader="none" w:pos="5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Paragraph (a) Section 5. NOTICE/ PROOF—LEGAL PROCEEDINGS AGAINST UNDERWRITER of the </w:t>
      </w:r>
      <w:r>
        <w:rPr>
          <w:rFonts w:ascii="Arial" w:cs="Arial" w:eastAsia="Arial" w:hAnsi="Arial"/>
          <w:sz w:val="18"/>
          <w:szCs w:val="18"/>
          <w:b w:val="1"/>
          <w:bCs w:val="1"/>
          <w:color w:val="auto"/>
        </w:rPr>
        <w:t>CONDITIONS AND LIMITATIONS</w:t>
      </w:r>
      <w:r>
        <w:rPr>
          <w:rFonts w:ascii="Arial" w:cs="Arial" w:eastAsia="Arial" w:hAnsi="Arial"/>
          <w:sz w:val="18"/>
          <w:szCs w:val="18"/>
          <w:color w:val="auto"/>
        </w:rPr>
        <w:t xml:space="preserve"> Clause is deleted in its entirety and replace with the following:</w:t>
      </w:r>
    </w:p>
    <w:p>
      <w:pPr>
        <w:sectPr>
          <w:pgSz w:w="11900" w:h="16838" w:orient="portrait"/>
          <w:cols w:equalWidth="0" w:num="1">
            <w:col w:w="11420"/>
          </w:cols>
          <w:pgMar w:left="240" w:top="257"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RIDER#</w:t>
      </w:r>
      <w:r>
        <w:rPr>
          <w:rFonts w:ascii="Arial" w:cs="Arial" w:eastAsia="Arial" w:hAnsi="Arial"/>
          <w:sz w:val="18"/>
          <w:szCs w:val="18"/>
          <w:b w:val="1"/>
          <w:bCs w:val="1"/>
          <w:color w:val="auto"/>
        </w:rPr>
        <w:t xml:space="preserve"> 17 (Continued)</w:t>
      </w:r>
    </w:p>
    <w:p>
      <w:pPr>
        <w:spacing w:after="0" w:line="218" w:lineRule="exact"/>
        <w:rPr>
          <w:sz w:val="20"/>
          <w:szCs w:val="20"/>
          <w:color w:val="auto"/>
        </w:rPr>
      </w:pPr>
    </w:p>
    <w:p>
      <w:pPr>
        <w:ind w:left="1140" w:right="600" w:hanging="565"/>
        <w:spacing w:after="0" w:line="268" w:lineRule="auto"/>
        <w:tabs>
          <w:tab w:leader="none" w:pos="114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At the earliest practicable moment, not to exceed 60 days, after discovery of loss by the Office of the General Counsel, Risk Management Department, or Human Resources Department, the Insured shall give the Underwriter notice thereof.</w:t>
      </w:r>
    </w:p>
    <w:p>
      <w:pPr>
        <w:spacing w:after="0" w:line="50" w:lineRule="exact"/>
        <w:rPr>
          <w:rFonts w:ascii="Arial" w:cs="Arial" w:eastAsia="Arial" w:hAnsi="Arial"/>
          <w:sz w:val="18"/>
          <w:szCs w:val="18"/>
          <w:color w:val="auto"/>
        </w:rPr>
      </w:pPr>
    </w:p>
    <w:p>
      <w:pPr>
        <w:ind w:left="580" w:hanging="572"/>
        <w:spacing w:after="0" w:line="268" w:lineRule="auto"/>
        <w:tabs>
          <w:tab w:leader="none" w:pos="5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Nothing contained here shall be held to vary, alter, waive or extend any of the terms, limitations, conditions, or agreements of the attached bond other than as above stated.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CONDITIONS AND EXCLUSIONS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139700</wp:posOffset>
            </wp:positionV>
            <wp:extent cx="2898775" cy="5918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89877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REPRESENTATIVE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101781 (6/09)</w:t>
      </w:r>
    </w:p>
    <w:p>
      <w:pPr>
        <w:sectPr>
          <w:pgSz w:w="11900" w:h="16838" w:orient="portrait"/>
          <w:cols w:equalWidth="0" w:num="1">
            <w:col w:w="11420"/>
          </w:cols>
          <w:pgMar w:left="240" w:top="274" w:right="2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60" w:type="dxa"/>
            <w:vAlign w:val="bottom"/>
            <w:gridSpan w:val="2"/>
          </w:tcPr>
          <w:p>
            <w:pPr>
              <w:spacing w:after="0"/>
              <w:rPr>
                <w:sz w:val="20"/>
                <w:szCs w:val="20"/>
                <w:color w:val="auto"/>
              </w:rPr>
            </w:pPr>
            <w:r>
              <w:rPr>
                <w:rFonts w:ascii="Arial" w:cs="Arial" w:eastAsia="Arial" w:hAnsi="Arial"/>
                <w:sz w:val="18"/>
                <w:szCs w:val="18"/>
                <w:b w:val="1"/>
                <w:bCs w:val="1"/>
                <w:color w:val="auto"/>
              </w:rPr>
              <w:t>RIDER# 18</w:t>
            </w:r>
          </w:p>
        </w:tc>
      </w:tr>
      <w:tr>
        <w:trPr>
          <w:trHeight w:val="20"/>
        </w:trPr>
        <w:tc>
          <w:tcPr>
            <w:tcW w:w="48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31"/>
        </w:trPr>
        <w:tc>
          <w:tcPr>
            <w:tcW w:w="4860" w:type="dxa"/>
            <w:vAlign w:val="bottom"/>
            <w:gridSpan w:val="3"/>
          </w:tcPr>
          <w:p>
            <w:pPr>
              <w:spacing w:after="0"/>
              <w:rPr>
                <w:sz w:val="20"/>
                <w:szCs w:val="20"/>
                <w:color w:val="auto"/>
              </w:rPr>
            </w:pPr>
            <w:r>
              <w:rPr>
                <w:rFonts w:ascii="Arial" w:cs="Arial" w:eastAsia="Arial" w:hAnsi="Arial"/>
                <w:sz w:val="18"/>
                <w:szCs w:val="18"/>
                <w:color w:val="auto"/>
              </w:rPr>
              <w:t>This endorsement, effective 12:01 A.M</w:t>
            </w:r>
          </w:p>
        </w:tc>
        <w:tc>
          <w:tcPr>
            <w:tcW w:w="2280" w:type="dxa"/>
            <w:vAlign w:val="bottom"/>
            <w:gridSpan w:val="3"/>
          </w:tcPr>
          <w:p>
            <w:pPr>
              <w:ind w:left="180"/>
              <w:spacing w:after="0"/>
              <w:rPr>
                <w:sz w:val="20"/>
                <w:szCs w:val="20"/>
                <w:color w:val="auto"/>
              </w:rPr>
            </w:pPr>
            <w:r>
              <w:rPr>
                <w:rFonts w:ascii="Arial" w:cs="Arial" w:eastAsia="Arial" w:hAnsi="Arial"/>
                <w:sz w:val="18"/>
                <w:szCs w:val="18"/>
                <w:color w:val="auto"/>
                <w:w w:val="88"/>
              </w:rPr>
              <w:t>March 8, 2012 forms a part of</w:t>
            </w:r>
          </w:p>
        </w:tc>
      </w:tr>
      <w:tr>
        <w:trPr>
          <w:trHeight w:val="216"/>
        </w:trPr>
        <w:tc>
          <w:tcPr>
            <w:tcW w:w="1060" w:type="dxa"/>
            <w:vAlign w:val="bottom"/>
            <w:gridSpan w:val="2"/>
          </w:tcPr>
          <w:p>
            <w:pPr>
              <w:spacing w:after="0"/>
              <w:rPr>
                <w:sz w:val="20"/>
                <w:szCs w:val="20"/>
                <w:color w:val="auto"/>
              </w:rPr>
            </w:pPr>
            <w:r>
              <w:rPr>
                <w:rFonts w:ascii="Arial" w:cs="Arial" w:eastAsia="Arial" w:hAnsi="Arial"/>
                <w:sz w:val="18"/>
                <w:szCs w:val="18"/>
                <w:color w:val="auto"/>
              </w:rPr>
              <w:t>policy No.</w:t>
            </w:r>
          </w:p>
        </w:tc>
        <w:tc>
          <w:tcPr>
            <w:tcW w:w="3800" w:type="dxa"/>
            <w:vAlign w:val="bottom"/>
          </w:tcPr>
          <w:p>
            <w:pPr>
              <w:ind w:left="320"/>
              <w:spacing w:after="0"/>
              <w:rPr>
                <w:sz w:val="20"/>
                <w:szCs w:val="20"/>
                <w:color w:val="auto"/>
              </w:rPr>
            </w:pPr>
            <w:r>
              <w:rPr>
                <w:rFonts w:ascii="Arial" w:cs="Arial" w:eastAsia="Arial" w:hAnsi="Arial"/>
                <w:sz w:val="18"/>
                <w:szCs w:val="18"/>
                <w:color w:val="auto"/>
              </w:rPr>
              <w:t>01-615-75-34</w:t>
            </w: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2"/>
        </w:trPr>
        <w:tc>
          <w:tcPr>
            <w:tcW w:w="1060" w:type="dxa"/>
            <w:vAlign w:val="bottom"/>
            <w:gridSpan w:val="2"/>
          </w:tcPr>
          <w:p>
            <w:pPr>
              <w:spacing w:after="0"/>
              <w:rPr>
                <w:sz w:val="20"/>
                <w:szCs w:val="20"/>
                <w:color w:val="auto"/>
              </w:rPr>
            </w:pPr>
            <w:r>
              <w:rPr>
                <w:rFonts w:ascii="Arial" w:cs="Arial" w:eastAsia="Arial" w:hAnsi="Arial"/>
                <w:sz w:val="18"/>
                <w:szCs w:val="18"/>
                <w:color w:val="auto"/>
              </w:rPr>
              <w:t>issued to:</w:t>
            </w:r>
          </w:p>
        </w:tc>
        <w:tc>
          <w:tcPr>
            <w:tcW w:w="3800" w:type="dxa"/>
            <w:vAlign w:val="bottom"/>
          </w:tcPr>
          <w:p>
            <w:pPr>
              <w:ind w:left="320"/>
              <w:spacing w:after="0"/>
              <w:rPr>
                <w:sz w:val="20"/>
                <w:szCs w:val="20"/>
                <w:color w:val="auto"/>
              </w:rPr>
            </w:pPr>
            <w:r>
              <w:rPr>
                <w:rFonts w:ascii="Arial" w:cs="Arial" w:eastAsia="Arial" w:hAnsi="Arial"/>
                <w:sz w:val="18"/>
                <w:szCs w:val="18"/>
                <w:color w:val="auto"/>
              </w:rPr>
              <w:t>TPG SPECIALTY LENDING, INC.</w:t>
            </w: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19"/>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gridSpan w:val="2"/>
          </w:tcPr>
          <w:p>
            <w:pPr>
              <w:ind w:left="200"/>
              <w:spacing w:after="0"/>
              <w:rPr>
                <w:sz w:val="20"/>
                <w:szCs w:val="20"/>
                <w:color w:val="auto"/>
              </w:rPr>
            </w:pPr>
            <w:r>
              <w:rPr>
                <w:rFonts w:ascii="Arial" w:cs="Arial" w:eastAsia="Arial" w:hAnsi="Arial"/>
                <w:sz w:val="18"/>
                <w:szCs w:val="18"/>
                <w:color w:val="auto"/>
                <w:w w:val="91"/>
              </w:rPr>
              <w:t>National Union Fire Insurance Company of Pittsburgh, Pa.</w:t>
            </w: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3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b w:val="1"/>
          <w:bCs w:val="1"/>
          <w:color w:val="auto"/>
        </w:rPr>
        <w:t>CLAIMS EXPENSE INSURING AGREEMENT</w:t>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In consideration of the premium charged, it is hereby understood and agreed that the bond is amended by adding Insuring Agreement (X) to the bond as follows:</w:t>
      </w:r>
    </w:p>
    <w:p>
      <w:pPr>
        <w:spacing w:after="0" w:line="36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CLAIMS EXPENSE</w:t>
      </w:r>
    </w:p>
    <w:p>
      <w:pPr>
        <w:spacing w:after="0" w:line="218" w:lineRule="exact"/>
        <w:rPr>
          <w:sz w:val="20"/>
          <w:szCs w:val="20"/>
          <w:color w:val="auto"/>
        </w:rPr>
      </w:pPr>
    </w:p>
    <w:p>
      <w:pPr>
        <w:ind w:left="1140" w:hanging="565"/>
        <w:spacing w:after="0" w:line="253" w:lineRule="auto"/>
        <w:tabs>
          <w:tab w:leader="none" w:pos="11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Reasonable expenses (excluding the cost of services rendered by employees of the Insured) necessarily incurred and paid by the Insured in preparing any valid claim for loss, as defined in Insuring Agreements A, B, C, D, E, and F, and any other valid coverage added by rider, which loss exceeds the Single Loss Deductible Amount of $5,000 . If no loss is established herunder, then the Insured will bear all such expenses. The Underwriter’s maximum liability for such expenses paid by the Insured in preparing any one such claim shall be limited to $50,000 which is part of, and not in addition to, the Aggregate Limit of Liability stated on the Declaration Page of this bond. There shall be no coverage hereunder for any expenses arising out of any legal dispute, suit or arbitration with the Underwriter. This coverage is subject to a deductible of $50,000 each and every loss.</w:t>
      </w:r>
    </w:p>
    <w:p>
      <w:pPr>
        <w:spacing w:after="0" w:line="14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Solely for the purpose of the coverage afforded by this rider, Section 2. EXCLUSIONS, paragraph (u)(1) of the CONDITIONS AND LIMITATIONS section is hereby deleted in its entirety.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CONDITIONS AND EXCLUSIONS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139700</wp:posOffset>
            </wp:positionV>
            <wp:extent cx="2898775" cy="6000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89877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REPRESENTATIVE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99798 (8/08)</w:t>
      </w:r>
    </w:p>
    <w:p>
      <w:pPr>
        <w:sectPr>
          <w:pgSz w:w="11900" w:h="16838" w:orient="portrait"/>
          <w:cols w:equalWidth="0" w:num="1">
            <w:col w:w="11320"/>
          </w:cols>
          <w:pgMar w:left="240" w:top="257"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07"/>
        </w:trPr>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RIDER# </w:t>
            </w:r>
            <w:r>
              <w:rPr>
                <w:rFonts w:ascii="Arial" w:cs="Arial" w:eastAsia="Arial" w:hAnsi="Arial"/>
                <w:sz w:val="18"/>
                <w:szCs w:val="18"/>
                <w:color w:val="auto"/>
              </w:rPr>
              <w:t>19</w:t>
            </w:r>
          </w:p>
        </w:tc>
      </w:tr>
      <w:tr>
        <w:trPr>
          <w:trHeight w:val="20"/>
        </w:trPr>
        <w:tc>
          <w:tcPr>
            <w:tcW w:w="48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31"/>
        </w:trPr>
        <w:tc>
          <w:tcPr>
            <w:tcW w:w="4860" w:type="dxa"/>
            <w:vAlign w:val="bottom"/>
            <w:gridSpan w:val="3"/>
          </w:tcPr>
          <w:p>
            <w:pPr>
              <w:spacing w:after="0"/>
              <w:rPr>
                <w:sz w:val="20"/>
                <w:szCs w:val="20"/>
                <w:color w:val="auto"/>
              </w:rPr>
            </w:pPr>
            <w:r>
              <w:rPr>
                <w:rFonts w:ascii="Arial" w:cs="Arial" w:eastAsia="Arial" w:hAnsi="Arial"/>
                <w:sz w:val="18"/>
                <w:szCs w:val="18"/>
                <w:color w:val="auto"/>
              </w:rPr>
              <w:t>This endorsement, effective 12:01 A.M</w:t>
            </w:r>
          </w:p>
        </w:tc>
        <w:tc>
          <w:tcPr>
            <w:tcW w:w="2280" w:type="dxa"/>
            <w:vAlign w:val="bottom"/>
            <w:gridSpan w:val="3"/>
          </w:tcPr>
          <w:p>
            <w:pPr>
              <w:ind w:left="180"/>
              <w:spacing w:after="0"/>
              <w:rPr>
                <w:sz w:val="20"/>
                <w:szCs w:val="20"/>
                <w:color w:val="auto"/>
              </w:rPr>
            </w:pPr>
            <w:r>
              <w:rPr>
                <w:rFonts w:ascii="Arial" w:cs="Arial" w:eastAsia="Arial" w:hAnsi="Arial"/>
                <w:sz w:val="18"/>
                <w:szCs w:val="18"/>
                <w:color w:val="auto"/>
                <w:w w:val="88"/>
              </w:rPr>
              <w:t>March 8, 2012 forms a part of</w:t>
            </w:r>
          </w:p>
        </w:tc>
      </w:tr>
      <w:tr>
        <w:trPr>
          <w:trHeight w:val="216"/>
        </w:trPr>
        <w:tc>
          <w:tcPr>
            <w:tcW w:w="1060" w:type="dxa"/>
            <w:vAlign w:val="bottom"/>
            <w:gridSpan w:val="2"/>
          </w:tcPr>
          <w:p>
            <w:pPr>
              <w:spacing w:after="0"/>
              <w:rPr>
                <w:sz w:val="20"/>
                <w:szCs w:val="20"/>
                <w:color w:val="auto"/>
              </w:rPr>
            </w:pPr>
            <w:r>
              <w:rPr>
                <w:rFonts w:ascii="Arial" w:cs="Arial" w:eastAsia="Arial" w:hAnsi="Arial"/>
                <w:sz w:val="18"/>
                <w:szCs w:val="18"/>
                <w:color w:val="auto"/>
              </w:rPr>
              <w:t>policy No.</w:t>
            </w:r>
          </w:p>
        </w:tc>
        <w:tc>
          <w:tcPr>
            <w:tcW w:w="3800" w:type="dxa"/>
            <w:vAlign w:val="bottom"/>
          </w:tcPr>
          <w:p>
            <w:pPr>
              <w:ind w:left="320"/>
              <w:spacing w:after="0"/>
              <w:rPr>
                <w:sz w:val="20"/>
                <w:szCs w:val="20"/>
                <w:color w:val="auto"/>
              </w:rPr>
            </w:pPr>
            <w:r>
              <w:rPr>
                <w:rFonts w:ascii="Arial" w:cs="Arial" w:eastAsia="Arial" w:hAnsi="Arial"/>
                <w:sz w:val="18"/>
                <w:szCs w:val="18"/>
                <w:color w:val="auto"/>
              </w:rPr>
              <w:t>01-615-75-34</w:t>
            </w: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2"/>
        </w:trPr>
        <w:tc>
          <w:tcPr>
            <w:tcW w:w="1060" w:type="dxa"/>
            <w:vAlign w:val="bottom"/>
            <w:gridSpan w:val="2"/>
          </w:tcPr>
          <w:p>
            <w:pPr>
              <w:spacing w:after="0"/>
              <w:rPr>
                <w:sz w:val="20"/>
                <w:szCs w:val="20"/>
                <w:color w:val="auto"/>
              </w:rPr>
            </w:pPr>
            <w:r>
              <w:rPr>
                <w:rFonts w:ascii="Arial" w:cs="Arial" w:eastAsia="Arial" w:hAnsi="Arial"/>
                <w:sz w:val="18"/>
                <w:szCs w:val="18"/>
                <w:color w:val="auto"/>
              </w:rPr>
              <w:t>issued to:</w:t>
            </w:r>
          </w:p>
        </w:tc>
        <w:tc>
          <w:tcPr>
            <w:tcW w:w="3800" w:type="dxa"/>
            <w:vAlign w:val="bottom"/>
          </w:tcPr>
          <w:p>
            <w:pPr>
              <w:ind w:left="320"/>
              <w:spacing w:after="0"/>
              <w:rPr>
                <w:sz w:val="20"/>
                <w:szCs w:val="20"/>
                <w:color w:val="auto"/>
              </w:rPr>
            </w:pPr>
            <w:r>
              <w:rPr>
                <w:rFonts w:ascii="Arial" w:cs="Arial" w:eastAsia="Arial" w:hAnsi="Arial"/>
                <w:sz w:val="18"/>
                <w:szCs w:val="18"/>
                <w:color w:val="auto"/>
              </w:rPr>
              <w:t>TPG SPECIALTY LENDING, INC.</w:t>
            </w: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19"/>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gridSpan w:val="2"/>
          </w:tcPr>
          <w:p>
            <w:pPr>
              <w:ind w:left="200"/>
              <w:spacing w:after="0"/>
              <w:rPr>
                <w:sz w:val="20"/>
                <w:szCs w:val="20"/>
                <w:color w:val="auto"/>
              </w:rPr>
            </w:pPr>
            <w:r>
              <w:rPr>
                <w:rFonts w:ascii="Arial" w:cs="Arial" w:eastAsia="Arial" w:hAnsi="Arial"/>
                <w:sz w:val="18"/>
                <w:szCs w:val="18"/>
                <w:color w:val="auto"/>
                <w:w w:val="91"/>
              </w:rPr>
              <w:t>National Union Fire Insurance Company of Pittsburgh, Pa.</w:t>
            </w: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3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040"/>
        <w:spacing w:after="0"/>
        <w:rPr>
          <w:sz w:val="20"/>
          <w:szCs w:val="20"/>
          <w:color w:val="auto"/>
        </w:rPr>
      </w:pPr>
      <w:r>
        <w:rPr>
          <w:rFonts w:ascii="Arial" w:cs="Arial" w:eastAsia="Arial" w:hAnsi="Arial"/>
          <w:sz w:val="18"/>
          <w:szCs w:val="18"/>
          <w:b w:val="1"/>
          <w:bCs w:val="1"/>
          <w:color w:val="auto"/>
        </w:rPr>
        <w:t>COMPUTER CRIME COVERAGE RIDER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In consideration of the premium charged, it is hereby understood and agreed that bond is hereby amended as follows:</w:t>
      </w:r>
    </w:p>
    <w:p>
      <w:pPr>
        <w:spacing w:after="0" w:line="90" w:lineRule="exact"/>
        <w:rPr>
          <w:sz w:val="20"/>
          <w:szCs w:val="20"/>
          <w:color w:val="auto"/>
        </w:rPr>
      </w:pPr>
    </w:p>
    <w:p>
      <w:pPr>
        <w:ind w:left="580" w:hanging="572"/>
        <w:spacing w:after="0" w:line="268" w:lineRule="auto"/>
        <w:tabs>
          <w:tab w:leader="none" w:pos="5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All the terms and conditions of bond form 14 10/1987 shall apply to coverage as is afforded by this endorsement unless specifically stated otherwise herein or in any endorsement attached hereto.</w:t>
      </w:r>
    </w:p>
    <w:p>
      <w:pPr>
        <w:spacing w:after="0" w:line="50" w:lineRule="exact"/>
        <w:rPr>
          <w:rFonts w:ascii="Arial" w:cs="Arial" w:eastAsia="Arial" w:hAnsi="Arial"/>
          <w:sz w:val="18"/>
          <w:szCs w:val="18"/>
          <w:color w:val="auto"/>
        </w:rPr>
      </w:pPr>
    </w:p>
    <w:p>
      <w:pPr>
        <w:ind w:left="580" w:hanging="572"/>
        <w:spacing w:after="0"/>
        <w:tabs>
          <w:tab w:leader="none" w:pos="5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Items 4 of the Declarations is hereby amended by adding the following under Optional Insuring Agreements and Coverages: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75"/>
              <w:spacing w:after="0"/>
              <w:rPr>
                <w:sz w:val="20"/>
                <w:szCs w:val="20"/>
                <w:color w:val="auto"/>
              </w:rPr>
            </w:pPr>
            <w:r>
              <w:rPr>
                <w:rFonts w:ascii="Arial" w:cs="Arial" w:eastAsia="Arial" w:hAnsi="Arial"/>
                <w:sz w:val="14"/>
                <w:szCs w:val="14"/>
                <w:color w:val="auto"/>
                <w:w w:val="91"/>
              </w:rPr>
              <w:t>Single Loss</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color w:val="auto"/>
              </w:rPr>
              <w:t>Single Loss</w:t>
            </w:r>
          </w:p>
        </w:tc>
      </w:tr>
      <w:tr>
        <w:trPr>
          <w:trHeight w:val="159"/>
        </w:trPr>
        <w:tc>
          <w:tcPr>
            <w:tcW w:w="4500" w:type="dxa"/>
            <w:vAlign w:val="bottom"/>
          </w:tcPr>
          <w:p>
            <w:pPr>
              <w:spacing w:after="0"/>
              <w:rPr>
                <w:sz w:val="13"/>
                <w:szCs w:val="13"/>
                <w:color w:val="auto"/>
              </w:rPr>
            </w:pPr>
          </w:p>
        </w:tc>
        <w:tc>
          <w:tcPr>
            <w:tcW w:w="23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Limit of Liability</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Deductible</w:t>
            </w:r>
          </w:p>
        </w:tc>
      </w:tr>
      <w:tr>
        <w:trPr>
          <w:trHeight w:val="210"/>
        </w:trPr>
        <w:tc>
          <w:tcPr>
            <w:tcW w:w="4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Computer Systems Fraud</w:t>
            </w:r>
          </w:p>
        </w:tc>
        <w:tc>
          <w:tcPr>
            <w:tcW w:w="1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6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Data Processing Service Operations</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5,000,000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100,000 Voice</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Initiated Transfer Fraud</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Telefacsimile Transfer Fraud</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5,000,000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Destruction of Data or Programs by Hacker</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Destruction of Data or Programs by Virus</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5,000,000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Voice Computer Systems Fraud</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ind w:left="580" w:hanging="572"/>
        <w:spacing w:after="0"/>
        <w:tabs>
          <w:tab w:leader="none" w:pos="5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Declarations page is hereby amended by adding the following paragraph to the end thereof:</w:t>
      </w:r>
    </w:p>
    <w:p>
      <w:pPr>
        <w:spacing w:after="0" w:line="246"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Item 7.</w:t>
      </w:r>
    </w:p>
    <w:p>
      <w:pPr>
        <w:spacing w:after="0" w:line="90"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Voice Initiated Transfer Fraud</w:t>
      </w:r>
    </w:p>
    <w:p>
      <w:pPr>
        <w:spacing w:after="0" w:line="96" w:lineRule="exact"/>
        <w:rPr>
          <w:sz w:val="20"/>
          <w:szCs w:val="20"/>
          <w:color w:val="auto"/>
        </w:rPr>
      </w:pPr>
    </w:p>
    <w:p>
      <w:pPr>
        <w:ind w:left="1140" w:right="80"/>
        <w:spacing w:after="0" w:line="268" w:lineRule="auto"/>
        <w:rPr>
          <w:sz w:val="20"/>
          <w:szCs w:val="20"/>
          <w:color w:val="auto"/>
        </w:rPr>
      </w:pPr>
      <w:r>
        <w:rPr>
          <w:rFonts w:ascii="Arial" w:cs="Arial" w:eastAsia="Arial" w:hAnsi="Arial"/>
          <w:sz w:val="18"/>
          <w:szCs w:val="18"/>
          <w:color w:val="auto"/>
        </w:rPr>
        <w:t xml:space="preserve">Under the terms of the Voice Initiated Transfer Fraud Insuring Agreement, the Insured must place verification call-back for each transfer in excess of </w:t>
      </w:r>
      <w:r>
        <w:rPr>
          <w:rFonts w:ascii="Arial" w:cs="Arial" w:eastAsia="Arial" w:hAnsi="Arial"/>
          <w:sz w:val="18"/>
          <w:szCs w:val="18"/>
          <w:b w:val="1"/>
          <w:bCs w:val="1"/>
          <w:color w:val="auto"/>
        </w:rPr>
        <w:t>$100,000</w:t>
      </w:r>
    </w:p>
    <w:p>
      <w:pPr>
        <w:spacing w:after="0" w:line="207"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Telefacsimile Transfer Fraud</w:t>
      </w:r>
    </w:p>
    <w:p>
      <w:pPr>
        <w:spacing w:after="0" w:line="96" w:lineRule="exact"/>
        <w:rPr>
          <w:sz w:val="20"/>
          <w:szCs w:val="20"/>
          <w:color w:val="auto"/>
        </w:rPr>
      </w:pPr>
    </w:p>
    <w:p>
      <w:pPr>
        <w:ind w:left="1140" w:right="20"/>
        <w:spacing w:after="0" w:line="268" w:lineRule="auto"/>
        <w:rPr>
          <w:sz w:val="20"/>
          <w:szCs w:val="20"/>
          <w:color w:val="auto"/>
        </w:rPr>
      </w:pPr>
      <w:r>
        <w:rPr>
          <w:rFonts w:ascii="Arial" w:cs="Arial" w:eastAsia="Arial" w:hAnsi="Arial"/>
          <w:sz w:val="18"/>
          <w:szCs w:val="18"/>
          <w:color w:val="auto"/>
        </w:rPr>
        <w:t xml:space="preserve">Under the terms of the Telefacsimile Transfer Fraud Insuring Agreement, the Insured must place a Verification call-back for each transfer in excess of </w:t>
      </w:r>
      <w:r>
        <w:rPr>
          <w:rFonts w:ascii="Arial" w:cs="Arial" w:eastAsia="Arial" w:hAnsi="Arial"/>
          <w:sz w:val="18"/>
          <w:szCs w:val="18"/>
          <w:b w:val="1"/>
          <w:bCs w:val="1"/>
          <w:color w:val="auto"/>
        </w:rPr>
        <w:t>$100,000</w:t>
      </w:r>
      <w:r>
        <w:rPr>
          <w:rFonts w:ascii="Arial" w:cs="Arial" w:eastAsia="Arial" w:hAnsi="Arial"/>
          <w:sz w:val="18"/>
          <w:szCs w:val="18"/>
          <w:color w:val="auto"/>
        </w:rPr>
        <w:t>.</w:t>
      </w:r>
    </w:p>
    <w:p>
      <w:pPr>
        <w:sectPr>
          <w:pgSz w:w="11900" w:h="16838" w:orient="portrait"/>
          <w:cols w:equalWidth="0" w:num="1">
            <w:col w:w="11000"/>
          </w:cols>
          <w:pgMar w:left="240" w:top="257" w:right="659" w:bottom="1440" w:gutter="0" w:footer="0" w:header="0"/>
        </w:sectPr>
      </w:pPr>
    </w:p>
    <w:bookmarkStart w:id="57" w:name="page58"/>
    <w:bookmarkEnd w:id="57"/>
    <w:p>
      <w:pPr>
        <w:ind w:left="572" w:hanging="572"/>
        <w:spacing w:after="0"/>
        <w:tabs>
          <w:tab w:leader="none" w:pos="572" w:val="left"/>
        </w:tabs>
        <w:numPr>
          <w:ilvl w:val="0"/>
          <w:numId w:val="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Insuring Agreements are hereby amended by adding the following Insuring Agreements to the Bond:</w:t>
      </w:r>
    </w:p>
    <w:p>
      <w:pPr>
        <w:spacing w:after="0" w:line="327"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COMPUTER SYSTEMS FRAUD</w:t>
      </w:r>
    </w:p>
    <w:p>
      <w:pPr>
        <w:spacing w:after="0" w:line="218" w:lineRule="exact"/>
        <w:rPr>
          <w:sz w:val="20"/>
          <w:szCs w:val="20"/>
          <w:color w:val="auto"/>
        </w:rPr>
      </w:pPr>
    </w:p>
    <w:p>
      <w:pPr>
        <w:ind w:left="572" w:hanging="572"/>
        <w:spacing w:after="0"/>
        <w:tabs>
          <w:tab w:leader="none" w:pos="572" w:val="left"/>
        </w:tabs>
        <w:numPr>
          <w:ilvl w:val="0"/>
          <w:numId w:val="91"/>
        </w:numPr>
        <w:rPr>
          <w:rFonts w:ascii="Arial" w:cs="Arial" w:eastAsia="Arial" w:hAnsi="Arial"/>
          <w:sz w:val="18"/>
          <w:szCs w:val="18"/>
          <w:color w:val="auto"/>
        </w:rPr>
      </w:pPr>
      <w:r>
        <w:rPr>
          <w:rFonts w:ascii="Arial" w:cs="Arial" w:eastAsia="Arial" w:hAnsi="Arial"/>
          <w:sz w:val="18"/>
          <w:szCs w:val="18"/>
          <w:color w:val="auto"/>
        </w:rPr>
        <w:t>Loss resulting directly from a fraudulent:</w:t>
      </w:r>
    </w:p>
    <w:p>
      <w:pPr>
        <w:spacing w:after="0" w:line="90" w:lineRule="exact"/>
        <w:rPr>
          <w:rFonts w:ascii="Arial" w:cs="Arial" w:eastAsia="Arial" w:hAnsi="Arial"/>
          <w:sz w:val="18"/>
          <w:szCs w:val="18"/>
          <w:color w:val="auto"/>
        </w:rPr>
      </w:pPr>
    </w:p>
    <w:p>
      <w:pPr>
        <w:ind w:left="1132" w:hanging="565"/>
        <w:spacing w:after="0"/>
        <w:tabs>
          <w:tab w:leader="none" w:pos="1132" w:val="left"/>
        </w:tabs>
        <w:numPr>
          <w:ilvl w:val="1"/>
          <w:numId w:val="91"/>
        </w:numPr>
        <w:rPr>
          <w:rFonts w:ascii="Arial" w:cs="Arial" w:eastAsia="Arial" w:hAnsi="Arial"/>
          <w:sz w:val="18"/>
          <w:szCs w:val="18"/>
          <w:color w:val="auto"/>
        </w:rPr>
      </w:pPr>
      <w:r>
        <w:rPr>
          <w:rFonts w:ascii="Arial" w:cs="Arial" w:eastAsia="Arial" w:hAnsi="Arial"/>
          <w:sz w:val="18"/>
          <w:szCs w:val="18"/>
          <w:color w:val="auto"/>
        </w:rPr>
        <w:t>entry of Electronic Data or Computer Program into, or</w:t>
      </w:r>
    </w:p>
    <w:p>
      <w:pPr>
        <w:spacing w:after="0" w:line="90" w:lineRule="exact"/>
        <w:rPr>
          <w:rFonts w:ascii="Arial" w:cs="Arial" w:eastAsia="Arial" w:hAnsi="Arial"/>
          <w:sz w:val="18"/>
          <w:szCs w:val="18"/>
          <w:color w:val="auto"/>
        </w:rPr>
      </w:pPr>
    </w:p>
    <w:p>
      <w:pPr>
        <w:ind w:left="1132" w:hanging="565"/>
        <w:spacing w:after="0"/>
        <w:tabs>
          <w:tab w:leader="none" w:pos="1132" w:val="left"/>
        </w:tabs>
        <w:numPr>
          <w:ilvl w:val="1"/>
          <w:numId w:val="91"/>
        </w:numPr>
        <w:rPr>
          <w:rFonts w:ascii="Arial" w:cs="Arial" w:eastAsia="Arial" w:hAnsi="Arial"/>
          <w:sz w:val="18"/>
          <w:szCs w:val="18"/>
          <w:color w:val="auto"/>
        </w:rPr>
      </w:pPr>
      <w:r>
        <w:rPr>
          <w:rFonts w:ascii="Arial" w:cs="Arial" w:eastAsia="Arial" w:hAnsi="Arial"/>
          <w:sz w:val="18"/>
          <w:szCs w:val="18"/>
          <w:color w:val="auto"/>
        </w:rPr>
        <w:t>change of Electronic Data or Computer Program within</w:t>
      </w:r>
    </w:p>
    <w:p>
      <w:pPr>
        <w:spacing w:after="0" w:line="90" w:lineRule="exact"/>
        <w:rPr>
          <w:rFonts w:ascii="Arial" w:cs="Arial" w:eastAsia="Arial" w:hAnsi="Arial"/>
          <w:sz w:val="18"/>
          <w:szCs w:val="18"/>
          <w:color w:val="auto"/>
        </w:rPr>
      </w:pPr>
    </w:p>
    <w:p>
      <w:pPr>
        <w:ind w:left="1132"/>
        <w:spacing w:after="0" w:line="357" w:lineRule="auto"/>
        <w:rPr>
          <w:rFonts w:ascii="Arial" w:cs="Arial" w:eastAsia="Arial" w:hAnsi="Arial"/>
          <w:sz w:val="18"/>
          <w:szCs w:val="18"/>
          <w:color w:val="auto"/>
        </w:rPr>
      </w:pPr>
      <w:r>
        <w:rPr>
          <w:rFonts w:ascii="Arial" w:cs="Arial" w:eastAsia="Arial" w:hAnsi="Arial"/>
          <w:sz w:val="15"/>
          <w:szCs w:val="15"/>
          <w:color w:val="auto"/>
        </w:rPr>
        <w:t>any Computer System operated by the Insured, whether owned or leased; or any Computer System identified in the application for this bond; or a Computer System first used by the Insured during the bond period; as provided by General Agreement B; provided the entry or change causes:</w:t>
      </w:r>
    </w:p>
    <w:p>
      <w:pPr>
        <w:ind w:left="1812" w:hanging="678"/>
        <w:spacing w:after="0"/>
        <w:tabs>
          <w:tab w:leader="none" w:pos="1812" w:val="left"/>
        </w:tabs>
        <w:numPr>
          <w:ilvl w:val="2"/>
          <w:numId w:val="91"/>
        </w:numPr>
        <w:rPr>
          <w:rFonts w:ascii="Arial" w:cs="Arial" w:eastAsia="Arial" w:hAnsi="Arial"/>
          <w:sz w:val="18"/>
          <w:szCs w:val="18"/>
          <w:color w:val="auto"/>
        </w:rPr>
      </w:pPr>
      <w:r>
        <w:rPr>
          <w:rFonts w:ascii="Arial" w:cs="Arial" w:eastAsia="Arial" w:hAnsi="Arial"/>
          <w:sz w:val="18"/>
          <w:szCs w:val="18"/>
          <w:color w:val="auto"/>
        </w:rPr>
        <w:t>Property to be transferred, paid or delivered,</w:t>
      </w:r>
    </w:p>
    <w:p>
      <w:pPr>
        <w:spacing w:after="0" w:line="90" w:lineRule="exact"/>
        <w:rPr>
          <w:rFonts w:ascii="Arial" w:cs="Arial" w:eastAsia="Arial" w:hAnsi="Arial"/>
          <w:sz w:val="18"/>
          <w:szCs w:val="18"/>
          <w:color w:val="auto"/>
        </w:rPr>
      </w:pPr>
    </w:p>
    <w:p>
      <w:pPr>
        <w:ind w:left="1812" w:hanging="678"/>
        <w:spacing w:after="0"/>
        <w:tabs>
          <w:tab w:leader="none" w:pos="1812" w:val="left"/>
        </w:tabs>
        <w:numPr>
          <w:ilvl w:val="2"/>
          <w:numId w:val="91"/>
        </w:numPr>
        <w:rPr>
          <w:rFonts w:ascii="Arial" w:cs="Arial" w:eastAsia="Arial" w:hAnsi="Arial"/>
          <w:sz w:val="18"/>
          <w:szCs w:val="18"/>
          <w:color w:val="auto"/>
        </w:rPr>
      </w:pPr>
      <w:r>
        <w:rPr>
          <w:rFonts w:ascii="Arial" w:cs="Arial" w:eastAsia="Arial" w:hAnsi="Arial"/>
          <w:sz w:val="18"/>
          <w:szCs w:val="18"/>
          <w:color w:val="auto"/>
        </w:rPr>
        <w:t>an account of the Insured, or of its customer, to be added, deleted, debited or credited, or</w:t>
      </w:r>
    </w:p>
    <w:p>
      <w:pPr>
        <w:spacing w:after="0" w:line="90" w:lineRule="exact"/>
        <w:rPr>
          <w:rFonts w:ascii="Arial" w:cs="Arial" w:eastAsia="Arial" w:hAnsi="Arial"/>
          <w:sz w:val="18"/>
          <w:szCs w:val="18"/>
          <w:color w:val="auto"/>
        </w:rPr>
      </w:pPr>
    </w:p>
    <w:p>
      <w:pPr>
        <w:ind w:left="1812" w:hanging="678"/>
        <w:spacing w:after="0"/>
        <w:tabs>
          <w:tab w:leader="none" w:pos="1812" w:val="left"/>
        </w:tabs>
        <w:numPr>
          <w:ilvl w:val="2"/>
          <w:numId w:val="91"/>
        </w:numPr>
        <w:rPr>
          <w:rFonts w:ascii="Arial" w:cs="Arial" w:eastAsia="Arial" w:hAnsi="Arial"/>
          <w:sz w:val="18"/>
          <w:szCs w:val="18"/>
          <w:color w:val="auto"/>
        </w:rPr>
      </w:pPr>
      <w:r>
        <w:rPr>
          <w:rFonts w:ascii="Arial" w:cs="Arial" w:eastAsia="Arial" w:hAnsi="Arial"/>
          <w:sz w:val="18"/>
          <w:szCs w:val="18"/>
          <w:color w:val="auto"/>
        </w:rPr>
        <w:t>an unauthorized account or a fictitious account to be debited or credited.</w:t>
      </w:r>
    </w:p>
    <w:p>
      <w:pPr>
        <w:spacing w:after="0" w:line="90" w:lineRule="exact"/>
        <w:rPr>
          <w:sz w:val="20"/>
          <w:szCs w:val="20"/>
          <w:color w:val="auto"/>
        </w:rPr>
      </w:pPr>
    </w:p>
    <w:p>
      <w:pPr>
        <w:ind w:left="572"/>
        <w:spacing w:after="0"/>
        <w:rPr>
          <w:sz w:val="20"/>
          <w:szCs w:val="20"/>
          <w:color w:val="auto"/>
        </w:rPr>
      </w:pPr>
      <w:r>
        <w:rPr>
          <w:rFonts w:ascii="Arial" w:cs="Arial" w:eastAsia="Arial" w:hAnsi="Arial"/>
          <w:sz w:val="16"/>
          <w:szCs w:val="16"/>
          <w:color w:val="auto"/>
        </w:rPr>
        <w:t>In this Insuring Agreement, fraudulent entry or change shall include such entry or change made by an Employee of the Insured acting in good faith:</w:t>
      </w:r>
    </w:p>
    <w:p>
      <w:pPr>
        <w:spacing w:after="0" w:line="113" w:lineRule="exact"/>
        <w:rPr>
          <w:sz w:val="20"/>
          <w:szCs w:val="20"/>
          <w:color w:val="auto"/>
        </w:rPr>
      </w:pPr>
    </w:p>
    <w:p>
      <w:pPr>
        <w:ind w:left="1812" w:right="20" w:hanging="678"/>
        <w:spacing w:after="0" w:line="268" w:lineRule="auto"/>
        <w:tabs>
          <w:tab w:leader="none" w:pos="1812" w:val="left"/>
        </w:tabs>
        <w:numPr>
          <w:ilvl w:val="0"/>
          <w:numId w:val="92"/>
        </w:numPr>
        <w:rPr>
          <w:rFonts w:ascii="Arial" w:cs="Arial" w:eastAsia="Arial" w:hAnsi="Arial"/>
          <w:sz w:val="18"/>
          <w:szCs w:val="18"/>
          <w:color w:val="auto"/>
        </w:rPr>
      </w:pPr>
      <w:r>
        <w:rPr>
          <w:rFonts w:ascii="Arial" w:cs="Arial" w:eastAsia="Arial" w:hAnsi="Arial"/>
          <w:sz w:val="18"/>
          <w:szCs w:val="18"/>
          <w:color w:val="auto"/>
        </w:rPr>
        <w:t>on an instruction from a software contractor who has a written agreement with the Insured to design, implement or service programs for a Computer System covered by this Insuring Agreement, or</w:t>
      </w:r>
    </w:p>
    <w:p>
      <w:pPr>
        <w:spacing w:after="0" w:line="50" w:lineRule="exact"/>
        <w:rPr>
          <w:rFonts w:ascii="Arial" w:cs="Arial" w:eastAsia="Arial" w:hAnsi="Arial"/>
          <w:sz w:val="18"/>
          <w:szCs w:val="18"/>
          <w:color w:val="auto"/>
        </w:rPr>
      </w:pPr>
    </w:p>
    <w:p>
      <w:pPr>
        <w:ind w:left="1812" w:right="480" w:hanging="678"/>
        <w:spacing w:after="0" w:line="268" w:lineRule="auto"/>
        <w:tabs>
          <w:tab w:leader="none" w:pos="1812" w:val="left"/>
        </w:tabs>
        <w:numPr>
          <w:ilvl w:val="0"/>
          <w:numId w:val="92"/>
        </w:numPr>
        <w:rPr>
          <w:rFonts w:ascii="Arial" w:cs="Arial" w:eastAsia="Arial" w:hAnsi="Arial"/>
          <w:sz w:val="18"/>
          <w:szCs w:val="18"/>
          <w:color w:val="auto"/>
        </w:rPr>
      </w:pPr>
      <w:r>
        <w:rPr>
          <w:rFonts w:ascii="Arial" w:cs="Arial" w:eastAsia="Arial" w:hAnsi="Arial"/>
          <w:sz w:val="18"/>
          <w:szCs w:val="18"/>
          <w:color w:val="auto"/>
        </w:rPr>
        <w:t>on an instruction transmitted by Tested telex or similar means of Tested communication identified in the application for this bond purportedly sent by a customer, financial institution or automated clearing house.</w:t>
      </w:r>
    </w:p>
    <w:p>
      <w:pPr>
        <w:spacing w:after="0" w:line="288"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DATA PROCESSING SERVICE OPERATIONS</w:t>
      </w:r>
    </w:p>
    <w:p>
      <w:pPr>
        <w:spacing w:after="0" w:line="218" w:lineRule="exact"/>
        <w:rPr>
          <w:sz w:val="20"/>
          <w:szCs w:val="20"/>
          <w:color w:val="auto"/>
        </w:rPr>
      </w:pPr>
    </w:p>
    <w:p>
      <w:pPr>
        <w:ind w:left="572" w:hanging="572"/>
        <w:spacing w:after="0"/>
        <w:tabs>
          <w:tab w:leader="none" w:pos="572" w:val="left"/>
        </w:tabs>
        <w:numPr>
          <w:ilvl w:val="0"/>
          <w:numId w:val="93"/>
        </w:numPr>
        <w:rPr>
          <w:rFonts w:ascii="Arial" w:cs="Arial" w:eastAsia="Arial" w:hAnsi="Arial"/>
          <w:sz w:val="18"/>
          <w:szCs w:val="18"/>
          <w:color w:val="auto"/>
        </w:rPr>
      </w:pPr>
      <w:r>
        <w:rPr>
          <w:rFonts w:ascii="Arial" w:cs="Arial" w:eastAsia="Arial" w:hAnsi="Arial"/>
          <w:sz w:val="18"/>
          <w:szCs w:val="18"/>
          <w:color w:val="auto"/>
        </w:rPr>
        <w:t>Loss sustained by a Client of the Insured resulting directly from a fraudulent:</w:t>
      </w:r>
    </w:p>
    <w:p>
      <w:pPr>
        <w:spacing w:after="0" w:line="90" w:lineRule="exact"/>
        <w:rPr>
          <w:rFonts w:ascii="Arial" w:cs="Arial" w:eastAsia="Arial" w:hAnsi="Arial"/>
          <w:sz w:val="18"/>
          <w:szCs w:val="18"/>
          <w:color w:val="auto"/>
        </w:rPr>
      </w:pPr>
    </w:p>
    <w:p>
      <w:pPr>
        <w:ind w:left="1132" w:hanging="565"/>
        <w:spacing w:after="0"/>
        <w:tabs>
          <w:tab w:leader="none" w:pos="1132" w:val="left"/>
        </w:tabs>
        <w:numPr>
          <w:ilvl w:val="1"/>
          <w:numId w:val="93"/>
        </w:numPr>
        <w:rPr>
          <w:rFonts w:ascii="Arial" w:cs="Arial" w:eastAsia="Arial" w:hAnsi="Arial"/>
          <w:sz w:val="18"/>
          <w:szCs w:val="18"/>
          <w:color w:val="auto"/>
        </w:rPr>
      </w:pPr>
      <w:r>
        <w:rPr>
          <w:rFonts w:ascii="Arial" w:cs="Arial" w:eastAsia="Arial" w:hAnsi="Arial"/>
          <w:sz w:val="18"/>
          <w:szCs w:val="18"/>
          <w:color w:val="auto"/>
        </w:rPr>
        <w:t>entry of Electronic Data or a Computer Program into, or</w:t>
      </w:r>
    </w:p>
    <w:p>
      <w:pPr>
        <w:spacing w:after="0" w:line="90" w:lineRule="exact"/>
        <w:rPr>
          <w:rFonts w:ascii="Arial" w:cs="Arial" w:eastAsia="Arial" w:hAnsi="Arial"/>
          <w:sz w:val="18"/>
          <w:szCs w:val="18"/>
          <w:color w:val="auto"/>
        </w:rPr>
      </w:pPr>
    </w:p>
    <w:p>
      <w:pPr>
        <w:ind w:left="1132" w:hanging="565"/>
        <w:spacing w:after="0"/>
        <w:tabs>
          <w:tab w:leader="none" w:pos="1132" w:val="left"/>
        </w:tabs>
        <w:numPr>
          <w:ilvl w:val="1"/>
          <w:numId w:val="93"/>
        </w:numPr>
        <w:rPr>
          <w:rFonts w:ascii="Arial" w:cs="Arial" w:eastAsia="Arial" w:hAnsi="Arial"/>
          <w:sz w:val="18"/>
          <w:szCs w:val="18"/>
          <w:color w:val="auto"/>
        </w:rPr>
      </w:pPr>
      <w:r>
        <w:rPr>
          <w:rFonts w:ascii="Arial" w:cs="Arial" w:eastAsia="Arial" w:hAnsi="Arial"/>
          <w:sz w:val="18"/>
          <w:szCs w:val="18"/>
          <w:color w:val="auto"/>
        </w:rPr>
        <w:t>change of Electronic Data or a Computer Program within</w:t>
      </w:r>
    </w:p>
    <w:p>
      <w:pPr>
        <w:spacing w:after="0" w:line="84" w:lineRule="exact"/>
        <w:rPr>
          <w:sz w:val="20"/>
          <w:szCs w:val="20"/>
          <w:color w:val="auto"/>
        </w:rPr>
      </w:pPr>
    </w:p>
    <w:p>
      <w:pPr>
        <w:ind w:left="572"/>
        <w:spacing w:after="0"/>
        <w:rPr>
          <w:sz w:val="20"/>
          <w:szCs w:val="20"/>
          <w:color w:val="auto"/>
        </w:rPr>
      </w:pPr>
      <w:r>
        <w:rPr>
          <w:rFonts w:ascii="Arial" w:cs="Arial" w:eastAsia="Arial" w:hAnsi="Arial"/>
          <w:sz w:val="18"/>
          <w:szCs w:val="18"/>
          <w:color w:val="auto"/>
        </w:rPr>
        <w:t xml:space="preserve">a Computer System covered under the terms of the </w:t>
      </w:r>
      <w:r>
        <w:rPr>
          <w:rFonts w:ascii="Arial" w:cs="Arial" w:eastAsia="Arial" w:hAnsi="Arial"/>
          <w:sz w:val="18"/>
          <w:szCs w:val="18"/>
          <w:b w:val="1"/>
          <w:bCs w:val="1"/>
          <w:color w:val="auto"/>
        </w:rPr>
        <w:t>COMPUTER SYSTEMS FRAUD</w:t>
      </w:r>
      <w:r>
        <w:rPr>
          <w:rFonts w:ascii="Arial" w:cs="Arial" w:eastAsia="Arial" w:hAnsi="Arial"/>
          <w:sz w:val="18"/>
          <w:szCs w:val="18"/>
          <w:color w:val="auto"/>
        </w:rPr>
        <w:t xml:space="preserve"> Insuring Agreement, or</w:t>
      </w:r>
    </w:p>
    <w:p>
      <w:pPr>
        <w:spacing w:after="0" w:line="96" w:lineRule="exact"/>
        <w:rPr>
          <w:sz w:val="20"/>
          <w:szCs w:val="20"/>
          <w:color w:val="auto"/>
        </w:rPr>
      </w:pPr>
    </w:p>
    <w:p>
      <w:pPr>
        <w:ind w:left="1132" w:right="400" w:hanging="565"/>
        <w:spacing w:after="0" w:line="268" w:lineRule="auto"/>
        <w:tabs>
          <w:tab w:leader="none" w:pos="1132" w:val="left"/>
        </w:tabs>
        <w:numPr>
          <w:ilvl w:val="0"/>
          <w:numId w:val="94"/>
        </w:numPr>
        <w:rPr>
          <w:rFonts w:ascii="Arial" w:cs="Arial" w:eastAsia="Arial" w:hAnsi="Arial"/>
          <w:sz w:val="18"/>
          <w:szCs w:val="18"/>
          <w:color w:val="auto"/>
        </w:rPr>
      </w:pPr>
      <w:r>
        <w:rPr>
          <w:rFonts w:ascii="Arial" w:cs="Arial" w:eastAsia="Arial" w:hAnsi="Arial"/>
          <w:sz w:val="18"/>
          <w:szCs w:val="18"/>
          <w:color w:val="auto"/>
        </w:rPr>
        <w:t>entry or change of Electronic Data during electronic transmission or physical transit from the Insured to its Client, provided that the entry or change causes:</w:t>
      </w:r>
    </w:p>
    <w:p>
      <w:pPr>
        <w:spacing w:after="0" w:line="50" w:lineRule="exact"/>
        <w:rPr>
          <w:rFonts w:ascii="Arial" w:cs="Arial" w:eastAsia="Arial" w:hAnsi="Arial"/>
          <w:sz w:val="18"/>
          <w:szCs w:val="18"/>
          <w:color w:val="auto"/>
        </w:rPr>
      </w:pPr>
    </w:p>
    <w:p>
      <w:pPr>
        <w:ind w:left="1812" w:hanging="678"/>
        <w:spacing w:after="0"/>
        <w:tabs>
          <w:tab w:leader="none" w:pos="1812" w:val="left"/>
        </w:tabs>
        <w:numPr>
          <w:ilvl w:val="1"/>
          <w:numId w:val="94"/>
        </w:numPr>
        <w:rPr>
          <w:rFonts w:ascii="Arial" w:cs="Arial" w:eastAsia="Arial" w:hAnsi="Arial"/>
          <w:sz w:val="18"/>
          <w:szCs w:val="18"/>
          <w:color w:val="auto"/>
        </w:rPr>
      </w:pPr>
      <w:r>
        <w:rPr>
          <w:rFonts w:ascii="Arial" w:cs="Arial" w:eastAsia="Arial" w:hAnsi="Arial"/>
          <w:sz w:val="18"/>
          <w:szCs w:val="18"/>
          <w:color w:val="auto"/>
        </w:rPr>
        <w:t>Property to be transferred, paid or delivered,</w:t>
      </w:r>
    </w:p>
    <w:p>
      <w:pPr>
        <w:spacing w:after="0" w:line="90" w:lineRule="exact"/>
        <w:rPr>
          <w:rFonts w:ascii="Arial" w:cs="Arial" w:eastAsia="Arial" w:hAnsi="Arial"/>
          <w:sz w:val="18"/>
          <w:szCs w:val="18"/>
          <w:color w:val="auto"/>
        </w:rPr>
      </w:pPr>
    </w:p>
    <w:p>
      <w:pPr>
        <w:ind w:left="1812" w:hanging="678"/>
        <w:spacing w:after="0"/>
        <w:tabs>
          <w:tab w:leader="none" w:pos="1812" w:val="left"/>
        </w:tabs>
        <w:numPr>
          <w:ilvl w:val="1"/>
          <w:numId w:val="94"/>
        </w:numPr>
        <w:rPr>
          <w:rFonts w:ascii="Arial" w:cs="Arial" w:eastAsia="Arial" w:hAnsi="Arial"/>
          <w:sz w:val="18"/>
          <w:szCs w:val="18"/>
          <w:color w:val="auto"/>
        </w:rPr>
      </w:pPr>
      <w:r>
        <w:rPr>
          <w:rFonts w:ascii="Arial" w:cs="Arial" w:eastAsia="Arial" w:hAnsi="Arial"/>
          <w:sz w:val="18"/>
          <w:szCs w:val="18"/>
          <w:color w:val="auto"/>
        </w:rPr>
        <w:t>an account of the Client, or a customer of the Client, to be added, deleted, debited or credited, or</w:t>
      </w:r>
    </w:p>
    <w:p>
      <w:pPr>
        <w:spacing w:after="0" w:line="90" w:lineRule="exact"/>
        <w:rPr>
          <w:rFonts w:ascii="Arial" w:cs="Arial" w:eastAsia="Arial" w:hAnsi="Arial"/>
          <w:sz w:val="18"/>
          <w:szCs w:val="18"/>
          <w:color w:val="auto"/>
        </w:rPr>
      </w:pPr>
    </w:p>
    <w:p>
      <w:pPr>
        <w:ind w:left="1812" w:hanging="678"/>
        <w:spacing w:after="0"/>
        <w:tabs>
          <w:tab w:leader="none" w:pos="1812" w:val="left"/>
        </w:tabs>
        <w:numPr>
          <w:ilvl w:val="1"/>
          <w:numId w:val="94"/>
        </w:numPr>
        <w:rPr>
          <w:rFonts w:ascii="Arial" w:cs="Arial" w:eastAsia="Arial" w:hAnsi="Arial"/>
          <w:sz w:val="18"/>
          <w:szCs w:val="18"/>
          <w:color w:val="auto"/>
        </w:rPr>
      </w:pPr>
      <w:r>
        <w:rPr>
          <w:rFonts w:ascii="Arial" w:cs="Arial" w:eastAsia="Arial" w:hAnsi="Arial"/>
          <w:sz w:val="18"/>
          <w:szCs w:val="18"/>
          <w:color w:val="auto"/>
        </w:rPr>
        <w:t>an unauthorized account or a fictitious account to be debited or credited,</w:t>
      </w:r>
    </w:p>
    <w:p>
      <w:pPr>
        <w:spacing w:after="0" w:line="90" w:lineRule="exact"/>
        <w:rPr>
          <w:sz w:val="20"/>
          <w:szCs w:val="20"/>
          <w:color w:val="auto"/>
        </w:rPr>
      </w:pPr>
    </w:p>
    <w:p>
      <w:pPr>
        <w:ind w:left="1132"/>
        <w:spacing w:after="0"/>
        <w:rPr>
          <w:sz w:val="20"/>
          <w:szCs w:val="20"/>
          <w:color w:val="auto"/>
        </w:rPr>
      </w:pPr>
      <w:r>
        <w:rPr>
          <w:rFonts w:ascii="Arial" w:cs="Arial" w:eastAsia="Arial" w:hAnsi="Arial"/>
          <w:sz w:val="18"/>
          <w:szCs w:val="18"/>
          <w:color w:val="auto"/>
        </w:rPr>
        <w:t>and for which loss the Insured is legally liable to the Client as a provider of data processing services for such Client.</w:t>
      </w:r>
    </w:p>
    <w:p>
      <w:pPr>
        <w:sectPr>
          <w:pgSz w:w="11900" w:h="16838" w:orient="portrait"/>
          <w:cols w:equalWidth="0" w:num="1">
            <w:col w:w="11372"/>
          </w:cols>
          <w:pgMar w:left="248" w:top="280" w:right="279" w:bottom="1440" w:gutter="0" w:footer="0" w:header="0"/>
        </w:sectPr>
      </w:pPr>
    </w:p>
    <w:bookmarkStart w:id="58" w:name="page59"/>
    <w:bookmarkEnd w:id="58"/>
    <w:p>
      <w:pPr>
        <w:ind w:left="572"/>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this Insuring Agreement, fraudulent entry or change shall include such entry or change made by an Employee of the Insured acting in good faith:</w:t>
      </w:r>
    </w:p>
    <w:p>
      <w:pPr>
        <w:spacing w:after="0" w:line="113" w:lineRule="exact"/>
        <w:rPr>
          <w:sz w:val="20"/>
          <w:szCs w:val="20"/>
          <w:color w:val="auto"/>
        </w:rPr>
      </w:pPr>
    </w:p>
    <w:p>
      <w:pPr>
        <w:ind w:left="1812" w:right="60" w:hanging="678"/>
        <w:spacing w:after="0" w:line="268" w:lineRule="auto"/>
        <w:tabs>
          <w:tab w:leader="none" w:pos="1812" w:val="left"/>
        </w:tabs>
        <w:numPr>
          <w:ilvl w:val="0"/>
          <w:numId w:val="95"/>
        </w:numPr>
        <w:rPr>
          <w:rFonts w:ascii="Arial" w:cs="Arial" w:eastAsia="Arial" w:hAnsi="Arial"/>
          <w:sz w:val="18"/>
          <w:szCs w:val="18"/>
          <w:color w:val="auto"/>
        </w:rPr>
      </w:pPr>
      <w:r>
        <w:rPr>
          <w:rFonts w:ascii="Arial" w:cs="Arial" w:eastAsia="Arial" w:hAnsi="Arial"/>
          <w:sz w:val="18"/>
          <w:szCs w:val="18"/>
          <w:color w:val="auto"/>
        </w:rPr>
        <w:t>on an instruction from a software contractor who has a written agreement with the Insured to design, implement or service programs for a Computer System covered by this Insuring Agreement, or</w:t>
      </w:r>
    </w:p>
    <w:p>
      <w:pPr>
        <w:spacing w:after="0" w:line="50" w:lineRule="exact"/>
        <w:rPr>
          <w:rFonts w:ascii="Arial" w:cs="Arial" w:eastAsia="Arial" w:hAnsi="Arial"/>
          <w:sz w:val="18"/>
          <w:szCs w:val="18"/>
          <w:color w:val="auto"/>
        </w:rPr>
      </w:pPr>
    </w:p>
    <w:p>
      <w:pPr>
        <w:ind w:left="1812" w:right="520" w:hanging="678"/>
        <w:spacing w:after="0" w:line="268" w:lineRule="auto"/>
        <w:tabs>
          <w:tab w:leader="none" w:pos="1812" w:val="left"/>
        </w:tabs>
        <w:numPr>
          <w:ilvl w:val="0"/>
          <w:numId w:val="95"/>
        </w:numPr>
        <w:rPr>
          <w:rFonts w:ascii="Arial" w:cs="Arial" w:eastAsia="Arial" w:hAnsi="Arial"/>
          <w:sz w:val="18"/>
          <w:szCs w:val="18"/>
          <w:color w:val="auto"/>
        </w:rPr>
      </w:pPr>
      <w:r>
        <w:rPr>
          <w:rFonts w:ascii="Arial" w:cs="Arial" w:eastAsia="Arial" w:hAnsi="Arial"/>
          <w:sz w:val="18"/>
          <w:szCs w:val="18"/>
          <w:color w:val="auto"/>
        </w:rPr>
        <w:t>on an instruction transmitted by Tested telex or similar means of Tested communication identified in the application for this bond purportedly sent by a customer, financial institution or automated clearing house.</w:t>
      </w:r>
    </w:p>
    <w:p>
      <w:pPr>
        <w:spacing w:after="0" w:line="51" w:lineRule="exact"/>
        <w:rPr>
          <w:sz w:val="20"/>
          <w:szCs w:val="20"/>
          <w:color w:val="auto"/>
        </w:rPr>
      </w:pPr>
    </w:p>
    <w:p>
      <w:pPr>
        <w:ind w:left="572"/>
        <w:spacing w:after="0"/>
        <w:rPr>
          <w:sz w:val="20"/>
          <w:szCs w:val="20"/>
          <w:color w:val="auto"/>
        </w:rPr>
      </w:pPr>
      <w:r>
        <w:rPr>
          <w:rFonts w:ascii="Arial" w:cs="Arial" w:eastAsia="Arial" w:hAnsi="Arial"/>
          <w:sz w:val="16"/>
          <w:szCs w:val="16"/>
          <w:color w:val="auto"/>
        </w:rPr>
        <w:t>In this Insuring Agreement, Client means an entity for which the Insured serves as data processor under the terms of a written agreement.</w:t>
      </w:r>
    </w:p>
    <w:p>
      <w:pPr>
        <w:spacing w:after="0" w:line="350"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VOICE INITIATED TRANSFER FRAUD</w:t>
      </w:r>
    </w:p>
    <w:p>
      <w:pPr>
        <w:spacing w:after="0" w:line="218" w:lineRule="exact"/>
        <w:rPr>
          <w:sz w:val="20"/>
          <w:szCs w:val="20"/>
          <w:color w:val="auto"/>
        </w:rPr>
      </w:pPr>
    </w:p>
    <w:p>
      <w:pPr>
        <w:jc w:val="both"/>
        <w:ind w:left="572" w:right="180" w:hanging="572"/>
        <w:spacing w:after="0" w:line="259" w:lineRule="auto"/>
        <w:tabs>
          <w:tab w:leader="none" w:pos="572"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Loss resulting directly from the Insured having, in good faith, transferred Funds from a Customer’s account through a Computer System covered under the terms of the </w:t>
      </w:r>
      <w:r>
        <w:rPr>
          <w:rFonts w:ascii="Arial" w:cs="Arial" w:eastAsia="Arial" w:hAnsi="Arial"/>
          <w:sz w:val="18"/>
          <w:szCs w:val="18"/>
          <w:b w:val="1"/>
          <w:bCs w:val="1"/>
          <w:color w:val="auto"/>
        </w:rPr>
        <w:t>COMPUTER SYSTEMS FRAUD</w:t>
      </w:r>
      <w:r>
        <w:rPr>
          <w:rFonts w:ascii="Arial" w:cs="Arial" w:eastAsia="Arial" w:hAnsi="Arial"/>
          <w:sz w:val="18"/>
          <w:szCs w:val="18"/>
          <w:color w:val="auto"/>
        </w:rPr>
        <w:t xml:space="preserve"> Insuring Agreement in reliance upon a fraudulent voice instruction transmitted by telephone which was purported to be from:</w:t>
      </w:r>
    </w:p>
    <w:p>
      <w:pPr>
        <w:spacing w:after="0" w:line="59" w:lineRule="exact"/>
        <w:rPr>
          <w:rFonts w:ascii="Arial" w:cs="Arial" w:eastAsia="Arial" w:hAnsi="Arial"/>
          <w:sz w:val="18"/>
          <w:szCs w:val="18"/>
          <w:color w:val="auto"/>
        </w:rPr>
      </w:pPr>
    </w:p>
    <w:p>
      <w:pPr>
        <w:ind w:left="1132" w:right="220" w:hanging="565"/>
        <w:spacing w:after="0" w:line="268" w:lineRule="auto"/>
        <w:tabs>
          <w:tab w:leader="none" w:pos="1132" w:val="left"/>
        </w:tabs>
        <w:numPr>
          <w:ilvl w:val="1"/>
          <w:numId w:val="96"/>
        </w:numPr>
        <w:rPr>
          <w:rFonts w:ascii="Arial" w:cs="Arial" w:eastAsia="Arial" w:hAnsi="Arial"/>
          <w:sz w:val="18"/>
          <w:szCs w:val="18"/>
          <w:color w:val="auto"/>
        </w:rPr>
      </w:pPr>
      <w:r>
        <w:rPr>
          <w:rFonts w:ascii="Arial" w:cs="Arial" w:eastAsia="Arial" w:hAnsi="Arial"/>
          <w:sz w:val="18"/>
          <w:szCs w:val="18"/>
          <w:color w:val="auto"/>
        </w:rPr>
        <w:t>an officer, director, partner or employee of a Customer of the Insured who was authorized by the Customer to instruct the Insured to make such transfer,</w:t>
      </w:r>
    </w:p>
    <w:p>
      <w:pPr>
        <w:spacing w:after="0" w:line="50" w:lineRule="exact"/>
        <w:rPr>
          <w:rFonts w:ascii="Arial" w:cs="Arial" w:eastAsia="Arial" w:hAnsi="Arial"/>
          <w:sz w:val="18"/>
          <w:szCs w:val="18"/>
          <w:color w:val="auto"/>
        </w:rPr>
      </w:pPr>
    </w:p>
    <w:p>
      <w:pPr>
        <w:ind w:left="1132" w:hanging="565"/>
        <w:spacing w:after="0"/>
        <w:tabs>
          <w:tab w:leader="none" w:pos="1132" w:val="left"/>
        </w:tabs>
        <w:numPr>
          <w:ilvl w:val="1"/>
          <w:numId w:val="96"/>
        </w:numPr>
        <w:rPr>
          <w:rFonts w:ascii="Arial" w:cs="Arial" w:eastAsia="Arial" w:hAnsi="Arial"/>
          <w:sz w:val="18"/>
          <w:szCs w:val="18"/>
          <w:color w:val="auto"/>
        </w:rPr>
      </w:pPr>
      <w:r>
        <w:rPr>
          <w:rFonts w:ascii="Arial" w:cs="Arial" w:eastAsia="Arial" w:hAnsi="Arial"/>
          <w:sz w:val="18"/>
          <w:szCs w:val="18"/>
          <w:color w:val="auto"/>
        </w:rPr>
        <w:t>an individual person who is a Customer of the Insured, or</w:t>
      </w:r>
    </w:p>
    <w:p>
      <w:pPr>
        <w:spacing w:after="0" w:line="90" w:lineRule="exact"/>
        <w:rPr>
          <w:rFonts w:ascii="Arial" w:cs="Arial" w:eastAsia="Arial" w:hAnsi="Arial"/>
          <w:sz w:val="18"/>
          <w:szCs w:val="18"/>
          <w:color w:val="auto"/>
        </w:rPr>
      </w:pPr>
    </w:p>
    <w:p>
      <w:pPr>
        <w:ind w:left="1132" w:right="440" w:hanging="565"/>
        <w:spacing w:after="0" w:line="268" w:lineRule="auto"/>
        <w:tabs>
          <w:tab w:leader="none" w:pos="1132" w:val="left"/>
        </w:tabs>
        <w:numPr>
          <w:ilvl w:val="1"/>
          <w:numId w:val="96"/>
        </w:numPr>
        <w:rPr>
          <w:rFonts w:ascii="Arial" w:cs="Arial" w:eastAsia="Arial" w:hAnsi="Arial"/>
          <w:sz w:val="18"/>
          <w:szCs w:val="18"/>
          <w:color w:val="auto"/>
        </w:rPr>
      </w:pPr>
      <w:r>
        <w:rPr>
          <w:rFonts w:ascii="Arial" w:cs="Arial" w:eastAsia="Arial" w:hAnsi="Arial"/>
          <w:sz w:val="18"/>
          <w:szCs w:val="18"/>
          <w:color w:val="auto"/>
        </w:rPr>
        <w:t>an Employee of the Insured in another office of the Insured who was authorized by the Insured to instruct other Employees of the Insured to transfer Funds,</w:t>
      </w:r>
    </w:p>
    <w:p>
      <w:pPr>
        <w:spacing w:after="0" w:line="51" w:lineRule="exact"/>
        <w:rPr>
          <w:sz w:val="20"/>
          <w:szCs w:val="20"/>
          <w:color w:val="auto"/>
        </w:rPr>
      </w:pPr>
    </w:p>
    <w:p>
      <w:pPr>
        <w:ind w:left="572" w:right="120"/>
        <w:spacing w:after="0" w:line="268" w:lineRule="auto"/>
        <w:rPr>
          <w:sz w:val="20"/>
          <w:szCs w:val="20"/>
          <w:color w:val="auto"/>
        </w:rPr>
      </w:pPr>
      <w:r>
        <w:rPr>
          <w:rFonts w:ascii="Arial" w:cs="Arial" w:eastAsia="Arial" w:hAnsi="Arial"/>
          <w:sz w:val="18"/>
          <w:szCs w:val="18"/>
          <w:color w:val="auto"/>
        </w:rPr>
        <w:t>and was received by an Employee of the Insured specifically designated to receive and act upon such instructions, but the voice instruction was not from a person described in (1), (2) or (3) above, provided that:</w:t>
      </w:r>
    </w:p>
    <w:p>
      <w:pPr>
        <w:spacing w:after="0" w:line="51" w:lineRule="exact"/>
        <w:rPr>
          <w:sz w:val="20"/>
          <w:szCs w:val="20"/>
          <w:color w:val="auto"/>
        </w:rPr>
      </w:pPr>
    </w:p>
    <w:p>
      <w:pPr>
        <w:ind w:left="1132" w:hanging="565"/>
        <w:spacing w:after="0"/>
        <w:tabs>
          <w:tab w:leader="none" w:pos="1132" w:val="left"/>
        </w:tabs>
        <w:numPr>
          <w:ilvl w:val="0"/>
          <w:numId w:val="97"/>
        </w:numPr>
        <w:rPr>
          <w:rFonts w:ascii="Arial" w:cs="Arial" w:eastAsia="Arial" w:hAnsi="Arial"/>
          <w:sz w:val="18"/>
          <w:szCs w:val="18"/>
          <w:color w:val="auto"/>
        </w:rPr>
      </w:pPr>
      <w:r>
        <w:rPr>
          <w:rFonts w:ascii="Arial" w:cs="Arial" w:eastAsia="Arial" w:hAnsi="Arial"/>
          <w:sz w:val="18"/>
          <w:szCs w:val="18"/>
          <w:color w:val="auto"/>
        </w:rPr>
        <w:t>such voice instruction was electronically recorded by the Insured and required password(s) or code word(s) given; and</w:t>
      </w:r>
    </w:p>
    <w:p>
      <w:pPr>
        <w:spacing w:after="0" w:line="90" w:lineRule="exact"/>
        <w:rPr>
          <w:rFonts w:ascii="Arial" w:cs="Arial" w:eastAsia="Arial" w:hAnsi="Arial"/>
          <w:sz w:val="18"/>
          <w:szCs w:val="18"/>
          <w:color w:val="auto"/>
        </w:rPr>
      </w:pPr>
    </w:p>
    <w:p>
      <w:pPr>
        <w:ind w:left="1132" w:right="160" w:hanging="565"/>
        <w:spacing w:after="0" w:line="268" w:lineRule="auto"/>
        <w:tabs>
          <w:tab w:leader="none" w:pos="1132" w:val="left"/>
        </w:tabs>
        <w:numPr>
          <w:ilvl w:val="0"/>
          <w:numId w:val="97"/>
        </w:numPr>
        <w:rPr>
          <w:rFonts w:ascii="Arial" w:cs="Arial" w:eastAsia="Arial" w:hAnsi="Arial"/>
          <w:sz w:val="18"/>
          <w:szCs w:val="18"/>
          <w:color w:val="auto"/>
        </w:rPr>
      </w:pPr>
      <w:r>
        <w:rPr>
          <w:rFonts w:ascii="Arial" w:cs="Arial" w:eastAsia="Arial" w:hAnsi="Arial"/>
          <w:sz w:val="18"/>
          <w:szCs w:val="18"/>
          <w:color w:val="auto"/>
        </w:rPr>
        <w:t>if the transfer was in excess of the amount shown on the Declarations Page as the verification call-back amount for this Insuring Agreement, the voice instruction was verified by a call-back according to a prearranged procedure.</w:t>
      </w:r>
    </w:p>
    <w:p>
      <w:pPr>
        <w:spacing w:after="0" w:line="51" w:lineRule="exact"/>
        <w:rPr>
          <w:sz w:val="20"/>
          <w:szCs w:val="20"/>
          <w:color w:val="auto"/>
        </w:rPr>
      </w:pPr>
    </w:p>
    <w:p>
      <w:pPr>
        <w:ind w:left="572" w:right="60"/>
        <w:spacing w:after="0" w:line="259" w:lineRule="auto"/>
        <w:rPr>
          <w:sz w:val="20"/>
          <w:szCs w:val="20"/>
          <w:color w:val="auto"/>
        </w:rPr>
      </w:pPr>
      <w:r>
        <w:rPr>
          <w:rFonts w:ascii="Arial" w:cs="Arial" w:eastAsia="Arial" w:hAnsi="Arial"/>
          <w:sz w:val="18"/>
          <w:szCs w:val="18"/>
          <w:color w:val="auto"/>
        </w:rPr>
        <w:t>As used in this Insuring Agreement, Customer means an entity or individual which has a written agreement with the Insured authorizing the Insured to rely on voice instructions to initiate transfers and has provided the Insured with the names of persons authorized to initiate such transfers, and with which the Insured has established an instruction verification mechanism.</w:t>
      </w:r>
    </w:p>
    <w:p>
      <w:pPr>
        <w:spacing w:after="0" w:line="296"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TELEFACSIMILE TRANSFER FRAUD</w:t>
      </w:r>
    </w:p>
    <w:p>
      <w:pPr>
        <w:spacing w:after="0" w:line="218" w:lineRule="exact"/>
        <w:rPr>
          <w:sz w:val="20"/>
          <w:szCs w:val="20"/>
          <w:color w:val="auto"/>
        </w:rPr>
      </w:pPr>
    </w:p>
    <w:p>
      <w:pPr>
        <w:ind w:left="572" w:hanging="572"/>
        <w:spacing w:after="0"/>
        <w:tabs>
          <w:tab w:leader="none" w:pos="572" w:val="left"/>
        </w:tabs>
        <w:numPr>
          <w:ilvl w:val="0"/>
          <w:numId w:val="98"/>
        </w:numPr>
        <w:rPr>
          <w:rFonts w:ascii="Arial" w:cs="Arial" w:eastAsia="Arial" w:hAnsi="Arial"/>
          <w:sz w:val="16"/>
          <w:szCs w:val="16"/>
          <w:color w:val="auto"/>
        </w:rPr>
      </w:pPr>
      <w:r>
        <w:rPr>
          <w:rFonts w:ascii="Arial" w:cs="Arial" w:eastAsia="Arial" w:hAnsi="Arial"/>
          <w:sz w:val="16"/>
          <w:szCs w:val="16"/>
          <w:color w:val="auto"/>
        </w:rPr>
        <w:t>Loss resulting directly from the Insured having, in good faith, transferred or delivered Funds, Certificated Securities or Uncertificated Securities through a</w:t>
      </w:r>
    </w:p>
    <w:p>
      <w:pPr>
        <w:sectPr>
          <w:pgSz w:w="11900" w:h="16838" w:orient="portrait"/>
          <w:cols w:equalWidth="0" w:num="1">
            <w:col w:w="11412"/>
          </w:cols>
          <w:pgMar w:left="248" w:top="280" w:right="239" w:bottom="1440" w:gutter="0" w:footer="0" w:header="0"/>
        </w:sectPr>
      </w:pPr>
    </w:p>
    <w:bookmarkStart w:id="59" w:name="page60"/>
    <w:bookmarkEnd w:id="59"/>
    <w:p>
      <w:pPr>
        <w:ind w:left="572" w:right="42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Computer System covered under the terms of the </w:t>
      </w:r>
      <w:r>
        <w:rPr>
          <w:rFonts w:ascii="Arial" w:cs="Arial" w:eastAsia="Arial" w:hAnsi="Arial"/>
          <w:sz w:val="18"/>
          <w:szCs w:val="18"/>
          <w:b w:val="1"/>
          <w:bCs w:val="1"/>
          <w:color w:val="auto"/>
        </w:rPr>
        <w:t>COMPUTER SYSTEMS FRAUD</w:t>
      </w:r>
      <w:r>
        <w:rPr>
          <w:rFonts w:ascii="Arial" w:cs="Arial" w:eastAsia="Arial" w:hAnsi="Arial"/>
          <w:sz w:val="18"/>
          <w:szCs w:val="18"/>
          <w:color w:val="auto"/>
        </w:rPr>
        <w:t xml:space="preserve"> Insuring Agreement in reliance upon a fraudulent instruction received through a Telefacsimile Device, and which instruction:</w:t>
      </w:r>
    </w:p>
    <w:p>
      <w:pPr>
        <w:spacing w:after="0" w:line="45" w:lineRule="exact"/>
        <w:rPr>
          <w:sz w:val="20"/>
          <w:szCs w:val="20"/>
          <w:color w:val="auto"/>
        </w:rPr>
      </w:pPr>
    </w:p>
    <w:p>
      <w:pPr>
        <w:ind w:left="1132" w:hanging="565"/>
        <w:spacing w:after="0"/>
        <w:tabs>
          <w:tab w:leader="none" w:pos="1132" w:val="left"/>
        </w:tabs>
        <w:numPr>
          <w:ilvl w:val="0"/>
          <w:numId w:val="99"/>
        </w:numPr>
        <w:rPr>
          <w:rFonts w:ascii="Arial" w:cs="Arial" w:eastAsia="Arial" w:hAnsi="Arial"/>
          <w:sz w:val="18"/>
          <w:szCs w:val="18"/>
          <w:color w:val="auto"/>
        </w:rPr>
      </w:pPr>
      <w:r>
        <w:rPr>
          <w:rFonts w:ascii="Arial" w:cs="Arial" w:eastAsia="Arial" w:hAnsi="Arial"/>
          <w:sz w:val="18"/>
          <w:szCs w:val="18"/>
          <w:color w:val="auto"/>
        </w:rPr>
        <w:t>purports and reasonably appears to have originated from:</w:t>
      </w:r>
    </w:p>
    <w:p>
      <w:pPr>
        <w:spacing w:after="0" w:line="90" w:lineRule="exact"/>
        <w:rPr>
          <w:rFonts w:ascii="Arial" w:cs="Arial" w:eastAsia="Arial" w:hAnsi="Arial"/>
          <w:sz w:val="18"/>
          <w:szCs w:val="18"/>
          <w:color w:val="auto"/>
        </w:rPr>
      </w:pPr>
    </w:p>
    <w:p>
      <w:pPr>
        <w:ind w:left="1812" w:hanging="678"/>
        <w:spacing w:after="0"/>
        <w:tabs>
          <w:tab w:leader="none" w:pos="1812" w:val="left"/>
        </w:tabs>
        <w:numPr>
          <w:ilvl w:val="1"/>
          <w:numId w:val="99"/>
        </w:numPr>
        <w:rPr>
          <w:rFonts w:ascii="Arial" w:cs="Arial" w:eastAsia="Arial" w:hAnsi="Arial"/>
          <w:sz w:val="18"/>
          <w:szCs w:val="18"/>
          <w:color w:val="auto"/>
        </w:rPr>
      </w:pPr>
      <w:r>
        <w:rPr>
          <w:rFonts w:ascii="Arial" w:cs="Arial" w:eastAsia="Arial" w:hAnsi="Arial"/>
          <w:sz w:val="18"/>
          <w:szCs w:val="18"/>
          <w:color w:val="auto"/>
        </w:rPr>
        <w:t>a Customer of the Insured,</w:t>
      </w:r>
    </w:p>
    <w:p>
      <w:pPr>
        <w:spacing w:after="0" w:line="90" w:lineRule="exact"/>
        <w:rPr>
          <w:rFonts w:ascii="Arial" w:cs="Arial" w:eastAsia="Arial" w:hAnsi="Arial"/>
          <w:sz w:val="18"/>
          <w:szCs w:val="18"/>
          <w:color w:val="auto"/>
        </w:rPr>
      </w:pPr>
    </w:p>
    <w:p>
      <w:pPr>
        <w:ind w:left="1812" w:hanging="678"/>
        <w:spacing w:after="0"/>
        <w:tabs>
          <w:tab w:leader="none" w:pos="1812" w:val="left"/>
        </w:tabs>
        <w:numPr>
          <w:ilvl w:val="1"/>
          <w:numId w:val="99"/>
        </w:numPr>
        <w:rPr>
          <w:rFonts w:ascii="Arial" w:cs="Arial" w:eastAsia="Arial" w:hAnsi="Arial"/>
          <w:sz w:val="18"/>
          <w:szCs w:val="18"/>
          <w:color w:val="auto"/>
        </w:rPr>
      </w:pPr>
      <w:r>
        <w:rPr>
          <w:rFonts w:ascii="Arial" w:cs="Arial" w:eastAsia="Arial" w:hAnsi="Arial"/>
          <w:sz w:val="18"/>
          <w:szCs w:val="18"/>
          <w:color w:val="auto"/>
        </w:rPr>
        <w:t>another financial institution, or</w:t>
      </w:r>
    </w:p>
    <w:p>
      <w:pPr>
        <w:spacing w:after="0" w:line="90" w:lineRule="exact"/>
        <w:rPr>
          <w:rFonts w:ascii="Arial" w:cs="Arial" w:eastAsia="Arial" w:hAnsi="Arial"/>
          <w:sz w:val="18"/>
          <w:szCs w:val="18"/>
          <w:color w:val="auto"/>
        </w:rPr>
      </w:pPr>
    </w:p>
    <w:p>
      <w:pPr>
        <w:ind w:left="1812" w:hanging="678"/>
        <w:spacing w:after="0"/>
        <w:tabs>
          <w:tab w:leader="none" w:pos="1812" w:val="left"/>
        </w:tabs>
        <w:numPr>
          <w:ilvl w:val="1"/>
          <w:numId w:val="99"/>
        </w:numPr>
        <w:rPr>
          <w:rFonts w:ascii="Arial" w:cs="Arial" w:eastAsia="Arial" w:hAnsi="Arial"/>
          <w:sz w:val="18"/>
          <w:szCs w:val="18"/>
          <w:color w:val="auto"/>
        </w:rPr>
      </w:pPr>
      <w:r>
        <w:rPr>
          <w:rFonts w:ascii="Arial" w:cs="Arial" w:eastAsia="Arial" w:hAnsi="Arial"/>
          <w:sz w:val="18"/>
          <w:szCs w:val="18"/>
          <w:color w:val="auto"/>
        </w:rPr>
        <w:t>another office of the Insured</w:t>
      </w:r>
    </w:p>
    <w:p>
      <w:pPr>
        <w:spacing w:after="0" w:line="90" w:lineRule="exact"/>
        <w:rPr>
          <w:sz w:val="20"/>
          <w:szCs w:val="20"/>
          <w:color w:val="auto"/>
        </w:rPr>
      </w:pPr>
    </w:p>
    <w:p>
      <w:pPr>
        <w:ind w:left="1132"/>
        <w:spacing w:after="0"/>
        <w:rPr>
          <w:sz w:val="20"/>
          <w:szCs w:val="20"/>
          <w:color w:val="auto"/>
        </w:rPr>
      </w:pPr>
      <w:r>
        <w:rPr>
          <w:rFonts w:ascii="Arial" w:cs="Arial" w:eastAsia="Arial" w:hAnsi="Arial"/>
          <w:sz w:val="18"/>
          <w:szCs w:val="18"/>
          <w:color w:val="auto"/>
        </w:rPr>
        <w:t>but, in fact, was not originated by the Customer or entity whose identification it bears, and</w:t>
      </w:r>
    </w:p>
    <w:p>
      <w:pPr>
        <w:spacing w:after="0" w:line="90" w:lineRule="exact"/>
        <w:rPr>
          <w:sz w:val="20"/>
          <w:szCs w:val="20"/>
          <w:color w:val="auto"/>
        </w:rPr>
      </w:pPr>
    </w:p>
    <w:p>
      <w:pPr>
        <w:ind w:left="1132" w:hanging="565"/>
        <w:spacing w:after="0"/>
        <w:tabs>
          <w:tab w:leader="none" w:pos="113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contains a valid test code which proves to have been used by a person who was not authorized to make use of it, and</w:t>
      </w:r>
    </w:p>
    <w:p>
      <w:pPr>
        <w:spacing w:after="0" w:line="90" w:lineRule="exact"/>
        <w:rPr>
          <w:rFonts w:ascii="Arial" w:cs="Arial" w:eastAsia="Arial" w:hAnsi="Arial"/>
          <w:sz w:val="18"/>
          <w:szCs w:val="18"/>
          <w:color w:val="auto"/>
        </w:rPr>
      </w:pPr>
    </w:p>
    <w:p>
      <w:pPr>
        <w:ind w:left="1132" w:hanging="565"/>
        <w:spacing w:after="0"/>
        <w:tabs>
          <w:tab w:leader="none" w:pos="113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contains the name of a person authorized to initiate such transfer;</w:t>
      </w:r>
    </w:p>
    <w:p>
      <w:pPr>
        <w:spacing w:after="0" w:line="90" w:lineRule="exact"/>
        <w:rPr>
          <w:sz w:val="20"/>
          <w:szCs w:val="20"/>
          <w:color w:val="auto"/>
        </w:rPr>
      </w:pPr>
    </w:p>
    <w:p>
      <w:pPr>
        <w:ind w:left="572"/>
        <w:spacing w:after="0" w:line="268" w:lineRule="auto"/>
        <w:rPr>
          <w:sz w:val="20"/>
          <w:szCs w:val="20"/>
          <w:color w:val="auto"/>
        </w:rPr>
      </w:pPr>
      <w:r>
        <w:rPr>
          <w:rFonts w:ascii="Arial" w:cs="Arial" w:eastAsia="Arial" w:hAnsi="Arial"/>
          <w:sz w:val="18"/>
          <w:szCs w:val="18"/>
          <w:color w:val="auto"/>
        </w:rPr>
        <w:t>provided that, if the transfer was in excess of the amount shown on the Declarations as the verification call-back amount for this Insuring Agreement, the instructions was verified by a call-back according to a prearranged procedure.</w:t>
      </w:r>
    </w:p>
    <w:p>
      <w:pPr>
        <w:spacing w:after="0" w:line="51" w:lineRule="exact"/>
        <w:rPr>
          <w:sz w:val="20"/>
          <w:szCs w:val="20"/>
          <w:color w:val="auto"/>
        </w:rPr>
      </w:pPr>
    </w:p>
    <w:p>
      <w:pPr>
        <w:ind w:left="572" w:right="20"/>
        <w:spacing w:after="0" w:line="259" w:lineRule="auto"/>
        <w:rPr>
          <w:sz w:val="20"/>
          <w:szCs w:val="20"/>
          <w:color w:val="auto"/>
        </w:rPr>
      </w:pPr>
      <w:r>
        <w:rPr>
          <w:rFonts w:ascii="Arial" w:cs="Arial" w:eastAsia="Arial" w:hAnsi="Arial"/>
          <w:sz w:val="18"/>
          <w:szCs w:val="18"/>
          <w:color w:val="auto"/>
        </w:rPr>
        <w:t>As used in this Insuring Agreement, Customer means an entity or individual which has a written agreement with the Insured authorizing the Insured to rely on Telefacsimile Device instructions to initiate transfers and has provided the Insured with the names of persons authorized to initiate such transfers, and with which the Insured has established an instruction verification mechanism.</w:t>
      </w:r>
    </w:p>
    <w:p>
      <w:pPr>
        <w:spacing w:after="0" w:line="296"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DESTRUCTION OF DATA OR PROGRAMS BY HACKER</w:t>
      </w:r>
    </w:p>
    <w:p>
      <w:pPr>
        <w:spacing w:after="0" w:line="218" w:lineRule="exact"/>
        <w:rPr>
          <w:sz w:val="20"/>
          <w:szCs w:val="20"/>
          <w:color w:val="auto"/>
        </w:rPr>
      </w:pPr>
    </w:p>
    <w:p>
      <w:pPr>
        <w:ind w:left="572" w:right="20" w:hanging="572"/>
        <w:spacing w:after="0" w:line="332" w:lineRule="auto"/>
        <w:tabs>
          <w:tab w:leader="none" w:pos="572" w:val="left"/>
        </w:tabs>
        <w:numPr>
          <w:ilvl w:val="0"/>
          <w:numId w:val="101"/>
        </w:numPr>
        <w:rPr>
          <w:rFonts w:ascii="Arial" w:cs="Arial" w:eastAsia="Arial" w:hAnsi="Arial"/>
          <w:sz w:val="16"/>
          <w:szCs w:val="16"/>
          <w:color w:val="auto"/>
        </w:rPr>
      </w:pPr>
      <w:r>
        <w:rPr>
          <w:rFonts w:ascii="Arial" w:cs="Arial" w:eastAsia="Arial" w:hAnsi="Arial"/>
          <w:sz w:val="16"/>
          <w:szCs w:val="16"/>
          <w:color w:val="auto"/>
        </w:rPr>
        <w:t xml:space="preserve">Loss resulting directly from the malicious destruction of, or damage to, Electronic Data or Computer Programs owned by the Insured or for which the Insured is legally liable while stored within a Computer System covered under the terms of the </w:t>
      </w:r>
      <w:r>
        <w:rPr>
          <w:rFonts w:ascii="Arial" w:cs="Arial" w:eastAsia="Arial" w:hAnsi="Arial"/>
          <w:sz w:val="16"/>
          <w:szCs w:val="16"/>
          <w:b w:val="1"/>
          <w:bCs w:val="1"/>
          <w:color w:val="auto"/>
        </w:rPr>
        <w:t>COMPUTER SYSTEMS FRAUD</w:t>
      </w:r>
      <w:r>
        <w:rPr>
          <w:rFonts w:ascii="Arial" w:cs="Arial" w:eastAsia="Arial" w:hAnsi="Arial"/>
          <w:sz w:val="16"/>
          <w:szCs w:val="16"/>
          <w:color w:val="auto"/>
        </w:rPr>
        <w:t xml:space="preserve"> Insuring Agreement.</w:t>
      </w:r>
    </w:p>
    <w:p>
      <w:pPr>
        <w:spacing w:after="0" w:line="4" w:lineRule="exact"/>
        <w:rPr>
          <w:rFonts w:ascii="Arial" w:cs="Arial" w:eastAsia="Arial" w:hAnsi="Arial"/>
          <w:sz w:val="16"/>
          <w:szCs w:val="16"/>
          <w:color w:val="auto"/>
        </w:rPr>
      </w:pPr>
    </w:p>
    <w:p>
      <w:pPr>
        <w:ind w:left="572" w:right="340"/>
        <w:spacing w:after="0" w:line="268" w:lineRule="auto"/>
        <w:rPr>
          <w:rFonts w:ascii="Arial" w:cs="Arial" w:eastAsia="Arial" w:hAnsi="Arial"/>
          <w:sz w:val="16"/>
          <w:szCs w:val="16"/>
          <w:color w:val="auto"/>
        </w:rPr>
      </w:pPr>
      <w:r>
        <w:rPr>
          <w:rFonts w:ascii="Arial" w:cs="Arial" w:eastAsia="Arial" w:hAnsi="Arial"/>
          <w:sz w:val="18"/>
          <w:szCs w:val="18"/>
          <w:color w:val="auto"/>
        </w:rPr>
        <w:t>The liability of the Company shall be limited to the cost of duplication of such Electronic Data or Computer Programs from other Electronic Data or Computer Programs which shall have been furnished by the Insured.</w:t>
      </w:r>
    </w:p>
    <w:p>
      <w:pPr>
        <w:spacing w:after="0" w:line="50" w:lineRule="exact"/>
        <w:rPr>
          <w:rFonts w:ascii="Arial" w:cs="Arial" w:eastAsia="Arial" w:hAnsi="Arial"/>
          <w:sz w:val="16"/>
          <w:szCs w:val="16"/>
          <w:color w:val="auto"/>
        </w:rPr>
      </w:pPr>
    </w:p>
    <w:p>
      <w:pPr>
        <w:ind w:left="572" w:right="180"/>
        <w:spacing w:after="0" w:line="259" w:lineRule="auto"/>
        <w:rPr>
          <w:rFonts w:ascii="Arial" w:cs="Arial" w:eastAsia="Arial" w:hAnsi="Arial"/>
          <w:sz w:val="16"/>
          <w:szCs w:val="16"/>
          <w:color w:val="auto"/>
        </w:rPr>
      </w:pPr>
      <w:r>
        <w:rPr>
          <w:rFonts w:ascii="Arial" w:cs="Arial" w:eastAsia="Arial" w:hAnsi="Arial"/>
          <w:sz w:val="18"/>
          <w:szCs w:val="18"/>
          <w:color w:val="auto"/>
        </w:rPr>
        <w:t>In the event, however, that destroyed or damaged Computer Programs cannot be duplicated from other Computer Programs, the Company will pay the cost incurred for computer time, computer programmers, consultants or other technical specialists as is reasonable necessary to restore the Computer Programs to substantially the previous level of operational capability.</w:t>
      </w:r>
    </w:p>
    <w:p>
      <w:pPr>
        <w:spacing w:after="0" w:line="296"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DESTRUCTION OF DATA OR PROGRAMS BY VIRUS</w:t>
      </w:r>
    </w:p>
    <w:p>
      <w:pPr>
        <w:spacing w:after="0" w:line="218" w:lineRule="exact"/>
        <w:rPr>
          <w:sz w:val="20"/>
          <w:szCs w:val="20"/>
          <w:color w:val="auto"/>
        </w:rPr>
      </w:pPr>
    </w:p>
    <w:p>
      <w:pPr>
        <w:ind w:left="572" w:right="60" w:hanging="572"/>
        <w:spacing w:after="0" w:line="259" w:lineRule="auto"/>
        <w:tabs>
          <w:tab w:leader="none" w:pos="572"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Loss resulting directly from the malicious destruction of, or damage to, Electronic Data or Computer Programs owned by the Insured or for which the Insured is legally liable while stored within a Computer System covered under the terms of the </w:t>
      </w:r>
      <w:r>
        <w:rPr>
          <w:rFonts w:ascii="Arial" w:cs="Arial" w:eastAsia="Arial" w:hAnsi="Arial"/>
          <w:sz w:val="18"/>
          <w:szCs w:val="18"/>
          <w:b w:val="1"/>
          <w:bCs w:val="1"/>
          <w:color w:val="auto"/>
        </w:rPr>
        <w:t>COMPUTER SYSTEMS FRAUD</w:t>
      </w:r>
      <w:r>
        <w:rPr>
          <w:rFonts w:ascii="Arial" w:cs="Arial" w:eastAsia="Arial" w:hAnsi="Arial"/>
          <w:sz w:val="18"/>
          <w:szCs w:val="18"/>
          <w:color w:val="auto"/>
        </w:rPr>
        <w:t xml:space="preserve"> Insuring Agreement if such destruction or damage was caused by a computer program or similar instruction</w:t>
      </w:r>
    </w:p>
    <w:p>
      <w:pPr>
        <w:sectPr>
          <w:pgSz w:w="11900" w:h="16838" w:orient="portrait"/>
          <w:cols w:equalWidth="0" w:num="1">
            <w:col w:w="11332"/>
          </w:cols>
          <w:pgMar w:left="248" w:top="274" w:right="319" w:bottom="1440" w:gutter="0" w:footer="0" w:header="0"/>
        </w:sectPr>
      </w:pPr>
    </w:p>
    <w:bookmarkStart w:id="60" w:name="page61"/>
    <w:bookmarkEnd w:id="60"/>
    <w:p>
      <w:pPr>
        <w:ind w:left="572"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which was written or altered to incorporate a hidden instruction designed to destroy or damage Electronic Data or Computer Programs in the Computer System in which the computer program or instruction so written or so altered is used.</w:t>
      </w:r>
    </w:p>
    <w:p>
      <w:pPr>
        <w:spacing w:after="0" w:line="51" w:lineRule="exact"/>
        <w:rPr>
          <w:sz w:val="20"/>
          <w:szCs w:val="20"/>
          <w:color w:val="auto"/>
        </w:rPr>
      </w:pPr>
    </w:p>
    <w:p>
      <w:pPr>
        <w:ind w:left="572" w:right="400"/>
        <w:spacing w:after="0" w:line="268" w:lineRule="auto"/>
        <w:rPr>
          <w:sz w:val="20"/>
          <w:szCs w:val="20"/>
          <w:color w:val="auto"/>
        </w:rPr>
      </w:pPr>
      <w:r>
        <w:rPr>
          <w:rFonts w:ascii="Arial" w:cs="Arial" w:eastAsia="Arial" w:hAnsi="Arial"/>
          <w:sz w:val="18"/>
          <w:szCs w:val="18"/>
          <w:color w:val="auto"/>
        </w:rPr>
        <w:t>The liability of the Company shall be limited to the cost of duplication of such Electronic Data or Computer Programs from other Electronic Data or Computer Programs which shall have been furnished by the Insured.</w:t>
      </w:r>
    </w:p>
    <w:p>
      <w:pPr>
        <w:spacing w:after="0" w:line="51" w:lineRule="exact"/>
        <w:rPr>
          <w:sz w:val="20"/>
          <w:szCs w:val="20"/>
          <w:color w:val="auto"/>
        </w:rPr>
      </w:pPr>
    </w:p>
    <w:p>
      <w:pPr>
        <w:ind w:left="572" w:right="240"/>
        <w:spacing w:after="0" w:line="259" w:lineRule="auto"/>
        <w:rPr>
          <w:sz w:val="20"/>
          <w:szCs w:val="20"/>
          <w:color w:val="auto"/>
        </w:rPr>
      </w:pPr>
      <w:r>
        <w:rPr>
          <w:rFonts w:ascii="Arial" w:cs="Arial" w:eastAsia="Arial" w:hAnsi="Arial"/>
          <w:sz w:val="18"/>
          <w:szCs w:val="18"/>
          <w:color w:val="auto"/>
        </w:rPr>
        <w:t>In the event, however, that destroyed or damaged Computer Programs cannot be duplicated from other Computer Programs, the Company will pay the cost incurred for computer time, computer programmers, consultants or other technical specialists as is reasonably necessary to restore the Computer Programs to substantially the previous level of operational capability.</w:t>
      </w:r>
    </w:p>
    <w:p>
      <w:pPr>
        <w:spacing w:after="0" w:line="53" w:lineRule="exact"/>
        <w:rPr>
          <w:sz w:val="20"/>
          <w:szCs w:val="20"/>
          <w:color w:val="auto"/>
        </w:rPr>
      </w:pPr>
    </w:p>
    <w:p>
      <w:pPr>
        <w:ind w:left="572"/>
        <w:spacing w:after="0" w:line="262" w:lineRule="auto"/>
        <w:rPr>
          <w:sz w:val="20"/>
          <w:szCs w:val="20"/>
          <w:color w:val="auto"/>
        </w:rPr>
      </w:pPr>
      <w:r>
        <w:rPr>
          <w:rFonts w:ascii="Arial" w:cs="Arial" w:eastAsia="Arial" w:hAnsi="Arial"/>
          <w:sz w:val="18"/>
          <w:szCs w:val="18"/>
          <w:b w:val="1"/>
          <w:bCs w:val="1"/>
          <w:color w:val="auto"/>
        </w:rPr>
        <w:t xml:space="preserve">Special Condition: </w:t>
      </w:r>
      <w:r>
        <w:rPr>
          <w:rFonts w:ascii="Arial" w:cs="Arial" w:eastAsia="Arial" w:hAnsi="Arial"/>
          <w:sz w:val="18"/>
          <w:szCs w:val="18"/>
          <w:color w:val="auto"/>
        </w:rPr>
        <w:t>Under this Insuring Agreement, “Single Loss” means all covered costs incurred by the Insured between the time destruction or</w:t>
      </w:r>
      <w:r>
        <w:rPr>
          <w:rFonts w:ascii="Arial" w:cs="Arial" w:eastAsia="Arial" w:hAnsi="Arial"/>
          <w:sz w:val="18"/>
          <w:szCs w:val="18"/>
          <w:b w:val="1"/>
          <w:bCs w:val="1"/>
          <w:color w:val="auto"/>
        </w:rPr>
        <w:t xml:space="preserve"> </w:t>
      </w:r>
      <w:r>
        <w:rPr>
          <w:rFonts w:ascii="Arial" w:cs="Arial" w:eastAsia="Arial" w:hAnsi="Arial"/>
          <w:sz w:val="18"/>
          <w:szCs w:val="18"/>
          <w:color w:val="auto"/>
        </w:rPr>
        <w:t>damage is discovered and the time the Computer System is restored to substantially the previous level of operational capability. Recurrence of destruction or damage after the Computer System is restored shall constitute a separate “Single Loss.”</w:t>
      </w:r>
    </w:p>
    <w:p>
      <w:pPr>
        <w:spacing w:after="0" w:line="295"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VOICE COMPUTER SYSTEM FRAUD</w:t>
      </w:r>
    </w:p>
    <w:p>
      <w:pPr>
        <w:spacing w:after="0" w:line="96" w:lineRule="exact"/>
        <w:rPr>
          <w:sz w:val="20"/>
          <w:szCs w:val="20"/>
          <w:color w:val="auto"/>
        </w:rPr>
      </w:pPr>
    </w:p>
    <w:p>
      <w:pPr>
        <w:ind w:left="572" w:right="40" w:hanging="572"/>
        <w:spacing w:after="0" w:line="256" w:lineRule="auto"/>
        <w:tabs>
          <w:tab w:leader="none" w:pos="572" w:val="left"/>
        </w:tabs>
        <w:numPr>
          <w:ilvl w:val="0"/>
          <w:numId w:val="103"/>
        </w:numPr>
        <w:rPr>
          <w:rFonts w:ascii="Arial" w:cs="Arial" w:eastAsia="Arial" w:hAnsi="Arial"/>
          <w:sz w:val="18"/>
          <w:szCs w:val="18"/>
          <w:color w:val="auto"/>
        </w:rPr>
      </w:pPr>
      <w:r>
        <w:rPr>
          <w:rFonts w:ascii="Arial" w:cs="Arial" w:eastAsia="Arial" w:hAnsi="Arial"/>
          <w:sz w:val="18"/>
          <w:szCs w:val="18"/>
          <w:color w:val="auto"/>
        </w:rPr>
        <w:t>Loss resulting directly from charges for voice telephone long-distance toll calls which were incurred due to the fraudulent use or fraudulent manipulation of an Account Code or System Password required to obtain access to a Voice Computer System owned or leased by the Insured, installed on the Insured’s premises, whose System Administration is performed and controlled by the Insured; provided, however, that the unauthorized access was not made possible by</w:t>
      </w:r>
    </w:p>
    <w:p>
      <w:pPr>
        <w:spacing w:after="0" w:line="62" w:lineRule="exact"/>
        <w:rPr>
          <w:rFonts w:ascii="Arial" w:cs="Arial" w:eastAsia="Arial" w:hAnsi="Arial"/>
          <w:sz w:val="18"/>
          <w:szCs w:val="18"/>
          <w:color w:val="auto"/>
        </w:rPr>
      </w:pPr>
    </w:p>
    <w:p>
      <w:pPr>
        <w:ind w:left="1132" w:hanging="565"/>
        <w:spacing w:after="0"/>
        <w:tabs>
          <w:tab w:leader="none" w:pos="1132" w:val="left"/>
        </w:tabs>
        <w:numPr>
          <w:ilvl w:val="1"/>
          <w:numId w:val="103"/>
        </w:numPr>
        <w:rPr>
          <w:rFonts w:ascii="Arial" w:cs="Arial" w:eastAsia="Arial" w:hAnsi="Arial"/>
          <w:sz w:val="16"/>
          <w:szCs w:val="16"/>
          <w:color w:val="auto"/>
        </w:rPr>
      </w:pPr>
      <w:r>
        <w:rPr>
          <w:rFonts w:ascii="Arial" w:cs="Arial" w:eastAsia="Arial" w:hAnsi="Arial"/>
          <w:sz w:val="16"/>
          <w:szCs w:val="16"/>
          <w:color w:val="auto"/>
        </w:rPr>
        <w:t>failure to incorporate a System Password feature or failure to change the System Password at least once every 30 days thereafter, or</w:t>
      </w:r>
    </w:p>
    <w:p>
      <w:pPr>
        <w:spacing w:after="0" w:line="113" w:lineRule="exact"/>
        <w:rPr>
          <w:rFonts w:ascii="Arial" w:cs="Arial" w:eastAsia="Arial" w:hAnsi="Arial"/>
          <w:sz w:val="16"/>
          <w:szCs w:val="16"/>
          <w:color w:val="auto"/>
        </w:rPr>
      </w:pPr>
    </w:p>
    <w:p>
      <w:pPr>
        <w:ind w:left="1132" w:right="320" w:hanging="565"/>
        <w:spacing w:after="0" w:line="268" w:lineRule="auto"/>
        <w:tabs>
          <w:tab w:leader="none" w:pos="1132" w:val="left"/>
        </w:tabs>
        <w:numPr>
          <w:ilvl w:val="1"/>
          <w:numId w:val="103"/>
        </w:numPr>
        <w:rPr>
          <w:rFonts w:ascii="Arial" w:cs="Arial" w:eastAsia="Arial" w:hAnsi="Arial"/>
          <w:sz w:val="18"/>
          <w:szCs w:val="18"/>
          <w:color w:val="auto"/>
        </w:rPr>
      </w:pPr>
      <w:r>
        <w:rPr>
          <w:rFonts w:ascii="Arial" w:cs="Arial" w:eastAsia="Arial" w:hAnsi="Arial"/>
          <w:sz w:val="18"/>
          <w:szCs w:val="18"/>
          <w:color w:val="auto"/>
        </w:rPr>
        <w:t>failure to have a call-disconnect feature in operation to automatically terminate a caller’s access to the Voice Computer System after not more than three unsuccessful attempts to input an Account Code.</w:t>
      </w:r>
    </w:p>
    <w:p>
      <w:pPr>
        <w:spacing w:after="0" w:line="45" w:lineRule="exact"/>
        <w:rPr>
          <w:sz w:val="20"/>
          <w:szCs w:val="20"/>
          <w:color w:val="auto"/>
        </w:rPr>
      </w:pPr>
    </w:p>
    <w:p>
      <w:pPr>
        <w:ind w:left="572" w:right="260"/>
        <w:spacing w:after="0" w:line="262" w:lineRule="auto"/>
        <w:rPr>
          <w:sz w:val="20"/>
          <w:szCs w:val="20"/>
          <w:color w:val="auto"/>
        </w:rPr>
      </w:pPr>
      <w:r>
        <w:rPr>
          <w:rFonts w:ascii="Arial" w:cs="Arial" w:eastAsia="Arial" w:hAnsi="Arial"/>
          <w:sz w:val="18"/>
          <w:szCs w:val="18"/>
          <w:b w:val="1"/>
          <w:bCs w:val="1"/>
          <w:color w:val="auto"/>
        </w:rPr>
        <w:t xml:space="preserve">Special Condition: </w:t>
      </w:r>
      <w:r>
        <w:rPr>
          <w:rFonts w:ascii="Arial" w:cs="Arial" w:eastAsia="Arial" w:hAnsi="Arial"/>
          <w:sz w:val="18"/>
          <w:szCs w:val="18"/>
          <w:color w:val="auto"/>
        </w:rPr>
        <w:t>Under this Insuring Agreement, “Single Loss” means loss resulting from toll call charges made only on telephone lines directly</w:t>
      </w:r>
      <w:r>
        <w:rPr>
          <w:rFonts w:ascii="Arial" w:cs="Arial" w:eastAsia="Arial" w:hAnsi="Arial"/>
          <w:sz w:val="18"/>
          <w:szCs w:val="18"/>
          <w:b w:val="1"/>
          <w:bCs w:val="1"/>
          <w:color w:val="auto"/>
        </w:rPr>
        <w:t xml:space="preserve"> </w:t>
      </w:r>
      <w:r>
        <w:rPr>
          <w:rFonts w:ascii="Arial" w:cs="Arial" w:eastAsia="Arial" w:hAnsi="Arial"/>
          <w:sz w:val="18"/>
          <w:szCs w:val="18"/>
          <w:color w:val="auto"/>
        </w:rPr>
        <w:t>controlled by one Voice Computer System and only toll call charges occurring for a period of not more than 30 days inclusive of the date on which the first such toll call charge was made.</w:t>
      </w:r>
    </w:p>
    <w:p>
      <w:pPr>
        <w:spacing w:after="0" w:line="57" w:lineRule="exact"/>
        <w:rPr>
          <w:sz w:val="20"/>
          <w:szCs w:val="20"/>
          <w:color w:val="auto"/>
        </w:rPr>
      </w:pPr>
    </w:p>
    <w:p>
      <w:pPr>
        <w:ind w:left="572" w:right="80" w:hanging="572"/>
        <w:spacing w:after="0" w:line="268" w:lineRule="auto"/>
        <w:tabs>
          <w:tab w:leader="none" w:pos="57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GENERAL AGREEMENTS B. ADDITIONAL OFFICES OR EMPLOYEES–CONSOLIDATION, MERGER OR PURCHASE OF ASSETS–NOTICE is hereby deleted in its entirety and is replaced with the following:</w:t>
      </w:r>
    </w:p>
    <w:p>
      <w:pPr>
        <w:spacing w:after="0" w:line="51" w:lineRule="exact"/>
        <w:rPr>
          <w:sz w:val="20"/>
          <w:szCs w:val="20"/>
          <w:color w:val="auto"/>
        </w:rPr>
      </w:pPr>
    </w:p>
    <w:p>
      <w:pPr>
        <w:ind w:left="692" w:right="60" w:firstLine="429"/>
        <w:spacing w:after="0" w:line="268" w:lineRule="auto"/>
        <w:rPr>
          <w:sz w:val="20"/>
          <w:szCs w:val="20"/>
          <w:color w:val="auto"/>
        </w:rPr>
      </w:pPr>
      <w:r>
        <w:rPr>
          <w:rFonts w:ascii="Arial" w:cs="Arial" w:eastAsia="Arial" w:hAnsi="Arial"/>
          <w:sz w:val="18"/>
          <w:szCs w:val="18"/>
          <w:color w:val="auto"/>
        </w:rPr>
        <w:t>ADDITIONAL OFFICES OR EMPLOYEES OR COMPUTER SYSTEMS – CONSOLIDATION, MERGER OR PURCHASE OF ASSETS OR COMPUTER SYSTEMS</w:t>
      </w:r>
    </w:p>
    <w:p>
      <w:pPr>
        <w:spacing w:after="0" w:line="51" w:lineRule="exact"/>
        <w:rPr>
          <w:sz w:val="20"/>
          <w:szCs w:val="20"/>
          <w:color w:val="auto"/>
        </w:rPr>
      </w:pPr>
    </w:p>
    <w:p>
      <w:pPr>
        <w:ind w:left="1132" w:hanging="565"/>
        <w:spacing w:after="0"/>
        <w:tabs>
          <w:tab w:leader="none" w:pos="1132"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If the Insured shall, while this bond is in force, establish any additional offices, other than by consolidation or merger with, or purchase or</w:t>
      </w:r>
    </w:p>
    <w:p>
      <w:pPr>
        <w:sectPr>
          <w:pgSz w:w="11900" w:h="16838" w:orient="portrait"/>
          <w:cols w:equalWidth="0" w:num="1">
            <w:col w:w="11392"/>
          </w:cols>
          <w:pgMar w:left="248" w:top="280" w:right="259" w:bottom="1440" w:gutter="0" w:footer="0" w:header="0"/>
        </w:sectPr>
      </w:pPr>
    </w:p>
    <w:bookmarkStart w:id="61" w:name="page62"/>
    <w:bookmarkEnd w:id="61"/>
    <w:p>
      <w:pPr>
        <w:ind w:left="1132"/>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acquisition of assets or liabilities or computer systems of, another institution, such offices and computer systems shall be automatically covered hereunder from the date of such establishment without the requirement of notice to the Underwriter or the payment of additional premium for the remainder of the premium period.</w:t>
      </w:r>
    </w:p>
    <w:p>
      <w:pPr>
        <w:spacing w:after="0" w:line="59" w:lineRule="exact"/>
        <w:rPr>
          <w:sz w:val="20"/>
          <w:szCs w:val="20"/>
          <w:color w:val="auto"/>
        </w:rPr>
      </w:pPr>
    </w:p>
    <w:p>
      <w:pPr>
        <w:ind w:left="1132" w:right="340"/>
        <w:spacing w:after="0" w:line="332" w:lineRule="auto"/>
        <w:rPr>
          <w:sz w:val="20"/>
          <w:szCs w:val="20"/>
          <w:color w:val="auto"/>
        </w:rPr>
      </w:pPr>
      <w:r>
        <w:rPr>
          <w:rFonts w:ascii="Arial" w:cs="Arial" w:eastAsia="Arial" w:hAnsi="Arial"/>
          <w:sz w:val="16"/>
          <w:szCs w:val="16"/>
          <w:color w:val="auto"/>
        </w:rPr>
        <w:t>If the Insured shall, while this bond is in force, consolidate or merge with, or purchase or acquire assets or liabilities or computer systems of, another institution, the Insured shall not have such coverage as is afforded under this bond for loss which:</w:t>
      </w:r>
    </w:p>
    <w:p>
      <w:pPr>
        <w:spacing w:after="0" w:line="4" w:lineRule="exact"/>
        <w:rPr>
          <w:sz w:val="20"/>
          <w:szCs w:val="20"/>
          <w:color w:val="auto"/>
        </w:rPr>
      </w:pPr>
    </w:p>
    <w:p>
      <w:pPr>
        <w:ind w:left="1812" w:hanging="678"/>
        <w:spacing w:after="0"/>
        <w:tabs>
          <w:tab w:leader="none" w:pos="1812" w:val="left"/>
        </w:tabs>
        <w:numPr>
          <w:ilvl w:val="2"/>
          <w:numId w:val="106"/>
        </w:numPr>
        <w:rPr>
          <w:rFonts w:ascii="Arial" w:cs="Arial" w:eastAsia="Arial" w:hAnsi="Arial"/>
          <w:sz w:val="18"/>
          <w:szCs w:val="18"/>
          <w:color w:val="auto"/>
        </w:rPr>
      </w:pPr>
      <w:r>
        <w:rPr>
          <w:rFonts w:ascii="Arial" w:cs="Arial" w:eastAsia="Arial" w:hAnsi="Arial"/>
          <w:sz w:val="18"/>
          <w:szCs w:val="18"/>
          <w:color w:val="auto"/>
        </w:rPr>
        <w:t>has occurred or will occur in offices or premises or computer systems, or</w:t>
      </w:r>
    </w:p>
    <w:p>
      <w:pPr>
        <w:spacing w:after="0" w:line="90" w:lineRule="exact"/>
        <w:rPr>
          <w:rFonts w:ascii="Arial" w:cs="Arial" w:eastAsia="Arial" w:hAnsi="Arial"/>
          <w:sz w:val="18"/>
          <w:szCs w:val="18"/>
          <w:color w:val="auto"/>
        </w:rPr>
      </w:pPr>
    </w:p>
    <w:p>
      <w:pPr>
        <w:ind w:left="1812" w:hanging="678"/>
        <w:spacing w:after="0"/>
        <w:tabs>
          <w:tab w:leader="none" w:pos="1812" w:val="left"/>
        </w:tabs>
        <w:numPr>
          <w:ilvl w:val="2"/>
          <w:numId w:val="106"/>
        </w:numPr>
        <w:rPr>
          <w:rFonts w:ascii="Arial" w:cs="Arial" w:eastAsia="Arial" w:hAnsi="Arial"/>
          <w:sz w:val="18"/>
          <w:szCs w:val="18"/>
          <w:color w:val="auto"/>
        </w:rPr>
      </w:pPr>
      <w:r>
        <w:rPr>
          <w:rFonts w:ascii="Arial" w:cs="Arial" w:eastAsia="Arial" w:hAnsi="Arial"/>
          <w:sz w:val="18"/>
          <w:szCs w:val="18"/>
          <w:color w:val="auto"/>
        </w:rPr>
        <w:t>has been caused or will be caused by an employee or employees of such institution, or</w:t>
      </w:r>
    </w:p>
    <w:p>
      <w:pPr>
        <w:spacing w:after="0" w:line="90" w:lineRule="exact"/>
        <w:rPr>
          <w:rFonts w:ascii="Arial" w:cs="Arial" w:eastAsia="Arial" w:hAnsi="Arial"/>
          <w:sz w:val="18"/>
          <w:szCs w:val="18"/>
          <w:color w:val="auto"/>
        </w:rPr>
      </w:pPr>
    </w:p>
    <w:p>
      <w:pPr>
        <w:ind w:left="1812" w:right="380" w:hanging="678"/>
        <w:spacing w:after="0" w:line="268" w:lineRule="auto"/>
        <w:tabs>
          <w:tab w:leader="none" w:pos="1812" w:val="left"/>
        </w:tabs>
        <w:numPr>
          <w:ilvl w:val="2"/>
          <w:numId w:val="106"/>
        </w:numPr>
        <w:rPr>
          <w:rFonts w:ascii="Arial" w:cs="Arial" w:eastAsia="Arial" w:hAnsi="Arial"/>
          <w:sz w:val="18"/>
          <w:szCs w:val="18"/>
          <w:color w:val="auto"/>
        </w:rPr>
      </w:pPr>
      <w:r>
        <w:rPr>
          <w:rFonts w:ascii="Arial" w:cs="Arial" w:eastAsia="Arial" w:hAnsi="Arial"/>
          <w:sz w:val="18"/>
          <w:szCs w:val="18"/>
          <w:color w:val="auto"/>
        </w:rPr>
        <w:t>has arisen or will arise out of the assets or liabilities or computer systems acquired by the Insured as a result of such consolidation, merger or purchase of assets or liabilities or computer systems unless the Insured shall:</w:t>
      </w:r>
    </w:p>
    <w:p>
      <w:pPr>
        <w:spacing w:after="0" w:line="50" w:lineRule="exact"/>
        <w:rPr>
          <w:rFonts w:ascii="Arial" w:cs="Arial" w:eastAsia="Arial" w:hAnsi="Arial"/>
          <w:sz w:val="18"/>
          <w:szCs w:val="18"/>
          <w:color w:val="auto"/>
        </w:rPr>
      </w:pPr>
    </w:p>
    <w:p>
      <w:pPr>
        <w:ind w:left="2392" w:right="500" w:hanging="569"/>
        <w:spacing w:after="0" w:line="268" w:lineRule="auto"/>
        <w:tabs>
          <w:tab w:leader="none" w:pos="2392" w:val="left"/>
        </w:tabs>
        <w:numPr>
          <w:ilvl w:val="3"/>
          <w:numId w:val="106"/>
        </w:numPr>
        <w:rPr>
          <w:rFonts w:ascii="Arial" w:cs="Arial" w:eastAsia="Arial" w:hAnsi="Arial"/>
          <w:sz w:val="18"/>
          <w:szCs w:val="18"/>
          <w:color w:val="auto"/>
        </w:rPr>
      </w:pPr>
      <w:r>
        <w:rPr>
          <w:rFonts w:ascii="Arial" w:cs="Arial" w:eastAsia="Arial" w:hAnsi="Arial"/>
          <w:sz w:val="18"/>
          <w:szCs w:val="18"/>
          <w:color w:val="auto"/>
        </w:rPr>
        <w:t>give the Underwriter written notice of the proposed consolidation, merger or purchase of assets or liabilities or computer systems prior to the proposed effective date of such action; and</w:t>
      </w:r>
    </w:p>
    <w:p>
      <w:pPr>
        <w:spacing w:after="0" w:line="50" w:lineRule="exact"/>
        <w:rPr>
          <w:rFonts w:ascii="Arial" w:cs="Arial" w:eastAsia="Arial" w:hAnsi="Arial"/>
          <w:sz w:val="18"/>
          <w:szCs w:val="18"/>
          <w:color w:val="auto"/>
        </w:rPr>
      </w:pPr>
    </w:p>
    <w:p>
      <w:pPr>
        <w:ind w:left="2392" w:right="580" w:hanging="569"/>
        <w:spacing w:after="0" w:line="268" w:lineRule="auto"/>
        <w:tabs>
          <w:tab w:leader="none" w:pos="2392" w:val="left"/>
        </w:tabs>
        <w:numPr>
          <w:ilvl w:val="3"/>
          <w:numId w:val="106"/>
        </w:numPr>
        <w:rPr>
          <w:rFonts w:ascii="Arial" w:cs="Arial" w:eastAsia="Arial" w:hAnsi="Arial"/>
          <w:sz w:val="18"/>
          <w:szCs w:val="18"/>
          <w:color w:val="auto"/>
        </w:rPr>
      </w:pPr>
      <w:r>
        <w:rPr>
          <w:rFonts w:ascii="Arial" w:cs="Arial" w:eastAsia="Arial" w:hAnsi="Arial"/>
          <w:sz w:val="18"/>
          <w:szCs w:val="18"/>
          <w:color w:val="auto"/>
        </w:rPr>
        <w:t>obtain the written consent of the Underwriter to extend the coverage provided by this bond to such additional offices or premises or computer systems, Employees and other exposures; and</w:t>
      </w:r>
    </w:p>
    <w:p>
      <w:pPr>
        <w:spacing w:after="0" w:line="50" w:lineRule="exact"/>
        <w:rPr>
          <w:rFonts w:ascii="Arial" w:cs="Arial" w:eastAsia="Arial" w:hAnsi="Arial"/>
          <w:sz w:val="18"/>
          <w:szCs w:val="18"/>
          <w:color w:val="auto"/>
        </w:rPr>
      </w:pPr>
    </w:p>
    <w:p>
      <w:pPr>
        <w:ind w:left="2392" w:hanging="569"/>
        <w:spacing w:after="0"/>
        <w:tabs>
          <w:tab w:leader="none" w:pos="2392" w:val="left"/>
        </w:tabs>
        <w:numPr>
          <w:ilvl w:val="3"/>
          <w:numId w:val="106"/>
        </w:numPr>
        <w:rPr>
          <w:rFonts w:ascii="Arial" w:cs="Arial" w:eastAsia="Arial" w:hAnsi="Arial"/>
          <w:sz w:val="18"/>
          <w:szCs w:val="18"/>
          <w:color w:val="auto"/>
        </w:rPr>
      </w:pPr>
      <w:r>
        <w:rPr>
          <w:rFonts w:ascii="Arial" w:cs="Arial" w:eastAsia="Arial" w:hAnsi="Arial"/>
          <w:sz w:val="18"/>
          <w:szCs w:val="18"/>
          <w:color w:val="auto"/>
        </w:rPr>
        <w:t>upon obtaining such consent, pay to the Underwriter an additional premium.</w:t>
      </w:r>
    </w:p>
    <w:p>
      <w:pPr>
        <w:spacing w:after="0" w:line="90" w:lineRule="exact"/>
        <w:rPr>
          <w:rFonts w:ascii="Arial" w:cs="Arial" w:eastAsia="Arial" w:hAnsi="Arial"/>
          <w:sz w:val="18"/>
          <w:szCs w:val="18"/>
          <w:color w:val="auto"/>
        </w:rPr>
      </w:pPr>
    </w:p>
    <w:p>
      <w:pPr>
        <w:ind w:left="572" w:right="260" w:hanging="572"/>
        <w:spacing w:after="0" w:line="268" w:lineRule="auto"/>
        <w:tabs>
          <w:tab w:leader="none" w:pos="572"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Solely for the coverage provided by this rider, Section 1. DEFINITIONS (o) “Property” of the CONDITIONS AND LIMITATIONS section is hereby amended to include Electronic Data and Computer Programs.</w:t>
      </w:r>
    </w:p>
    <w:p>
      <w:pPr>
        <w:spacing w:after="0" w:line="50" w:lineRule="exact"/>
        <w:rPr>
          <w:rFonts w:ascii="Arial" w:cs="Arial" w:eastAsia="Arial" w:hAnsi="Arial"/>
          <w:sz w:val="18"/>
          <w:szCs w:val="18"/>
          <w:color w:val="auto"/>
        </w:rPr>
      </w:pPr>
    </w:p>
    <w:p>
      <w:pPr>
        <w:ind w:left="572" w:right="420" w:hanging="572"/>
        <w:spacing w:after="0" w:line="268" w:lineRule="auto"/>
        <w:tabs>
          <w:tab w:leader="none" w:pos="572"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Solely for the coverage provided by this rider, Section 1. DEFINITIONS of the CONDITIONS AND LIMITATIONS section is hereby amended by adding the following definitions to the end thereof:</w:t>
      </w:r>
    </w:p>
    <w:p>
      <w:pPr>
        <w:spacing w:after="0" w:line="50" w:lineRule="exact"/>
        <w:rPr>
          <w:rFonts w:ascii="Arial" w:cs="Arial" w:eastAsia="Arial" w:hAnsi="Arial"/>
          <w:sz w:val="18"/>
          <w:szCs w:val="18"/>
          <w:color w:val="auto"/>
        </w:rPr>
      </w:pPr>
    </w:p>
    <w:p>
      <w:pPr>
        <w:ind w:left="1132" w:right="160" w:hanging="565"/>
        <w:spacing w:after="0" w:line="259" w:lineRule="auto"/>
        <w:tabs>
          <w:tab w:leader="none" w:pos="1132"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Account Code means a confidential and protected string of characters which identifies or authenticates a person and permits that person to gain access to a Voice Computer System for the purpose of making toll calls or utilizing voice mail box messaging capabilities or other similar functional features of the System;</w:t>
      </w:r>
    </w:p>
    <w:p>
      <w:pPr>
        <w:spacing w:after="0" w:line="59" w:lineRule="exact"/>
        <w:rPr>
          <w:rFonts w:ascii="Arial" w:cs="Arial" w:eastAsia="Arial" w:hAnsi="Arial"/>
          <w:sz w:val="18"/>
          <w:szCs w:val="18"/>
          <w:color w:val="auto"/>
        </w:rPr>
      </w:pPr>
    </w:p>
    <w:p>
      <w:pPr>
        <w:ind w:left="1132" w:right="40" w:hanging="565"/>
        <w:spacing w:after="0" w:line="268" w:lineRule="auto"/>
        <w:tabs>
          <w:tab w:leader="none" w:pos="1132" w:val="left"/>
        </w:tabs>
        <w:numPr>
          <w:ilvl w:val="1"/>
          <w:numId w:val="107"/>
        </w:numPr>
        <w:rPr>
          <w:rFonts w:ascii="Arial" w:cs="Arial" w:eastAsia="Arial" w:hAnsi="Arial"/>
          <w:sz w:val="18"/>
          <w:szCs w:val="18"/>
          <w:color w:val="auto"/>
        </w:rPr>
      </w:pPr>
      <w:r>
        <w:rPr>
          <w:rFonts w:ascii="Arial" w:cs="Arial" w:eastAsia="Arial" w:hAnsi="Arial"/>
          <w:sz w:val="18"/>
          <w:szCs w:val="18"/>
          <w:color w:val="auto"/>
        </w:rPr>
        <w:t>Computer Program means a set of related electronic instructions which direct the operations and functions of a computer or devices connected to it which enable the computer or devices to receive, process, store or send Electronic Data;</w:t>
      </w:r>
    </w:p>
    <w:p>
      <w:pPr>
        <w:spacing w:after="0" w:line="50" w:lineRule="exact"/>
        <w:rPr>
          <w:rFonts w:ascii="Arial" w:cs="Arial" w:eastAsia="Arial" w:hAnsi="Arial"/>
          <w:sz w:val="18"/>
          <w:szCs w:val="18"/>
          <w:color w:val="auto"/>
        </w:rPr>
      </w:pPr>
    </w:p>
    <w:p>
      <w:pPr>
        <w:ind w:left="1132" w:hanging="565"/>
        <w:spacing w:after="0"/>
        <w:tabs>
          <w:tab w:leader="none" w:pos="1132" w:val="left"/>
        </w:tabs>
        <w:numPr>
          <w:ilvl w:val="1"/>
          <w:numId w:val="107"/>
        </w:numPr>
        <w:rPr>
          <w:rFonts w:ascii="Arial" w:cs="Arial" w:eastAsia="Arial" w:hAnsi="Arial"/>
          <w:sz w:val="18"/>
          <w:szCs w:val="18"/>
          <w:color w:val="auto"/>
        </w:rPr>
      </w:pPr>
      <w:r>
        <w:rPr>
          <w:rFonts w:ascii="Arial" w:cs="Arial" w:eastAsia="Arial" w:hAnsi="Arial"/>
          <w:sz w:val="18"/>
          <w:szCs w:val="18"/>
          <w:color w:val="auto"/>
        </w:rPr>
        <w:t>Computer System means:</w:t>
      </w:r>
    </w:p>
    <w:p>
      <w:pPr>
        <w:spacing w:after="0" w:line="90" w:lineRule="exact"/>
        <w:rPr>
          <w:sz w:val="20"/>
          <w:szCs w:val="20"/>
          <w:color w:val="auto"/>
        </w:rPr>
      </w:pPr>
    </w:p>
    <w:p>
      <w:pPr>
        <w:ind w:left="1812" w:hanging="678"/>
        <w:spacing w:after="0"/>
        <w:tabs>
          <w:tab w:leader="none" w:pos="1812"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computers with related peripheral components, including storage components wherever located;</w:t>
      </w:r>
    </w:p>
    <w:p>
      <w:pPr>
        <w:sectPr>
          <w:pgSz w:w="11900" w:h="16838" w:orient="portrait"/>
          <w:cols w:equalWidth="0" w:num="1">
            <w:col w:w="11352"/>
          </w:cols>
          <w:pgMar w:left="248" w:top="280" w:right="299" w:bottom="1440" w:gutter="0" w:footer="0" w:header="0"/>
        </w:sectPr>
      </w:pPr>
    </w:p>
    <w:bookmarkStart w:id="62" w:name="page63"/>
    <w:bookmarkEnd w:id="62"/>
    <w:p>
      <w:pPr>
        <w:ind w:left="1245" w:hanging="678"/>
        <w:spacing w:after="0"/>
        <w:tabs>
          <w:tab w:leader="none" w:pos="1245" w:val="left"/>
        </w:tabs>
        <w:numPr>
          <w:ilvl w:val="0"/>
          <w:numId w:val="1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systems and applications software;</w:t>
      </w:r>
    </w:p>
    <w:p>
      <w:pPr>
        <w:spacing w:after="0" w:line="90" w:lineRule="exact"/>
        <w:rPr>
          <w:rFonts w:ascii="Arial" w:cs="Arial" w:eastAsia="Arial" w:hAnsi="Arial"/>
          <w:sz w:val="18"/>
          <w:szCs w:val="18"/>
          <w:color w:val="auto"/>
        </w:rPr>
      </w:pPr>
    </w:p>
    <w:p>
      <w:pPr>
        <w:ind w:left="1245" w:hanging="678"/>
        <w:spacing w:after="0"/>
        <w:tabs>
          <w:tab w:leader="none" w:pos="124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terminal devices; and</w:t>
      </w:r>
    </w:p>
    <w:p>
      <w:pPr>
        <w:spacing w:after="0" w:line="90" w:lineRule="exact"/>
        <w:rPr>
          <w:rFonts w:ascii="Arial" w:cs="Arial" w:eastAsia="Arial" w:hAnsi="Arial"/>
          <w:sz w:val="18"/>
          <w:szCs w:val="18"/>
          <w:color w:val="auto"/>
        </w:rPr>
      </w:pPr>
    </w:p>
    <w:p>
      <w:pPr>
        <w:ind w:left="1245" w:hanging="678"/>
        <w:spacing w:after="0"/>
        <w:tabs>
          <w:tab w:leader="none" w:pos="124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related communication networks, including the internet</w:t>
      </w:r>
    </w:p>
    <w:p>
      <w:pPr>
        <w:spacing w:after="0" w:line="90" w:lineRule="exact"/>
        <w:rPr>
          <w:sz w:val="20"/>
          <w:szCs w:val="20"/>
          <w:color w:val="auto"/>
        </w:rPr>
      </w:pPr>
    </w:p>
    <w:p>
      <w:pPr>
        <w:ind w:left="565"/>
        <w:spacing w:after="0"/>
        <w:rPr>
          <w:sz w:val="20"/>
          <w:szCs w:val="20"/>
          <w:color w:val="auto"/>
        </w:rPr>
      </w:pPr>
      <w:r>
        <w:rPr>
          <w:rFonts w:ascii="Arial" w:cs="Arial" w:eastAsia="Arial" w:hAnsi="Arial"/>
          <w:sz w:val="18"/>
          <w:szCs w:val="18"/>
          <w:color w:val="auto"/>
        </w:rPr>
        <w:t>by which Electronic Data are electronically collected, transmitted, processed, stored and retrieved;</w:t>
      </w:r>
    </w:p>
    <w:p>
      <w:pPr>
        <w:spacing w:after="0" w:line="90" w:lineRule="exact"/>
        <w:rPr>
          <w:sz w:val="20"/>
          <w:szCs w:val="20"/>
          <w:color w:val="auto"/>
        </w:rPr>
      </w:pPr>
    </w:p>
    <w:p>
      <w:pPr>
        <w:ind w:left="565" w:right="420" w:hanging="565"/>
        <w:spacing w:after="0" w:line="268" w:lineRule="auto"/>
        <w:tabs>
          <w:tab w:leader="none" w:pos="56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Electronic Data means facts or information converted to a form usable in a Computer System by Computer Programs and which is stored on magnetic tapes or disks, or optical storage disks or other bulk media;</w:t>
      </w:r>
    </w:p>
    <w:p>
      <w:pPr>
        <w:spacing w:after="0" w:line="50" w:lineRule="exact"/>
        <w:rPr>
          <w:rFonts w:ascii="Arial" w:cs="Arial" w:eastAsia="Arial" w:hAnsi="Arial"/>
          <w:sz w:val="18"/>
          <w:szCs w:val="18"/>
          <w:color w:val="auto"/>
        </w:rPr>
      </w:pPr>
    </w:p>
    <w:p>
      <w:pPr>
        <w:ind w:left="565" w:hanging="565"/>
        <w:spacing w:after="0"/>
        <w:tabs>
          <w:tab w:leader="none" w:pos="56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Funds means Money on deposit in an account;</w:t>
      </w:r>
    </w:p>
    <w:p>
      <w:pPr>
        <w:spacing w:after="0" w:line="90" w:lineRule="exact"/>
        <w:rPr>
          <w:rFonts w:ascii="Arial" w:cs="Arial" w:eastAsia="Arial" w:hAnsi="Arial"/>
          <w:sz w:val="18"/>
          <w:szCs w:val="18"/>
          <w:color w:val="auto"/>
        </w:rPr>
      </w:pPr>
    </w:p>
    <w:p>
      <w:pPr>
        <w:ind w:left="565" w:hanging="565"/>
        <w:spacing w:after="0" w:line="294" w:lineRule="auto"/>
        <w:tabs>
          <w:tab w:leader="none" w:pos="565" w:val="left"/>
        </w:tabs>
        <w:numPr>
          <w:ilvl w:val="0"/>
          <w:numId w:val="110"/>
        </w:numPr>
        <w:rPr>
          <w:rFonts w:ascii="Arial" w:cs="Arial" w:eastAsia="Arial" w:hAnsi="Arial"/>
          <w:sz w:val="16"/>
          <w:szCs w:val="16"/>
          <w:color w:val="auto"/>
        </w:rPr>
      </w:pPr>
      <w:r>
        <w:rPr>
          <w:rFonts w:ascii="Arial" w:cs="Arial" w:eastAsia="Arial" w:hAnsi="Arial"/>
          <w:sz w:val="16"/>
          <w:szCs w:val="16"/>
          <w:color w:val="auto"/>
        </w:rPr>
        <w:t>System Administration means the performance of security functions including but not limited to defining authorized persons to access a Voice Computer System and adding, changing and deleting Account Codes or passwords in connection therewith; and invoking or revoking a System option which directs telephone call routing or which adds, moves or drops telephone lines or which performs any other similar activity allowed by a hardware or software-based System option that has been incorporated by a manufacturer or vendor into a System or any component thereof provided said System option is not intended for the sole use of such manufacturer or vendor;</w:t>
      </w:r>
    </w:p>
    <w:p>
      <w:pPr>
        <w:spacing w:after="0" w:line="34" w:lineRule="exact"/>
        <w:rPr>
          <w:rFonts w:ascii="Arial" w:cs="Arial" w:eastAsia="Arial" w:hAnsi="Arial"/>
          <w:sz w:val="16"/>
          <w:szCs w:val="16"/>
          <w:color w:val="auto"/>
        </w:rPr>
      </w:pPr>
    </w:p>
    <w:p>
      <w:pPr>
        <w:ind w:left="565" w:right="320" w:hanging="565"/>
        <w:spacing w:after="0" w:line="259" w:lineRule="auto"/>
        <w:tabs>
          <w:tab w:leader="none" w:pos="56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System Maintenance means the performance of hardware and software installation, diagnostics and corrections and similar activities that are performed in the usual custom and practice by a manufacturer or vendor to establish or maintain the basic operational functionality of a Voice Computer System or any component thereof;</w:t>
      </w:r>
    </w:p>
    <w:p>
      <w:pPr>
        <w:spacing w:after="0" w:line="59" w:lineRule="exact"/>
        <w:rPr>
          <w:rFonts w:ascii="Arial" w:cs="Arial" w:eastAsia="Arial" w:hAnsi="Arial"/>
          <w:sz w:val="18"/>
          <w:szCs w:val="18"/>
          <w:color w:val="auto"/>
        </w:rPr>
      </w:pPr>
    </w:p>
    <w:p>
      <w:pPr>
        <w:jc w:val="both"/>
        <w:ind w:left="565" w:right="340" w:hanging="565"/>
        <w:spacing w:after="0" w:line="259" w:lineRule="auto"/>
        <w:tabs>
          <w:tab w:leader="none" w:pos="56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System Password means a confidential and protected string of characters which identifies or authenticates a person and permits that person to gain access to a Voice Computer System or any portion thereof for the purpose of performing System Administration or System Maintenance activities;</w:t>
      </w:r>
    </w:p>
    <w:p>
      <w:pPr>
        <w:spacing w:after="0" w:line="59" w:lineRule="exact"/>
        <w:rPr>
          <w:rFonts w:ascii="Arial" w:cs="Arial" w:eastAsia="Arial" w:hAnsi="Arial"/>
          <w:sz w:val="18"/>
          <w:szCs w:val="18"/>
          <w:color w:val="auto"/>
        </w:rPr>
      </w:pPr>
    </w:p>
    <w:p>
      <w:pPr>
        <w:ind w:left="565" w:right="660" w:hanging="565"/>
        <w:spacing w:after="0" w:line="268" w:lineRule="auto"/>
        <w:tabs>
          <w:tab w:leader="none" w:pos="56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Telefacsimile Device means a machine capable of sending or receiving a duplicate image of a document by means of electronic impulses transmitted through a telephone line and which reproduces the duplicate image on paper;</w:t>
      </w:r>
    </w:p>
    <w:p>
      <w:pPr>
        <w:spacing w:after="0" w:line="50" w:lineRule="exact"/>
        <w:rPr>
          <w:rFonts w:ascii="Arial" w:cs="Arial" w:eastAsia="Arial" w:hAnsi="Arial"/>
          <w:sz w:val="18"/>
          <w:szCs w:val="18"/>
          <w:color w:val="auto"/>
        </w:rPr>
      </w:pPr>
    </w:p>
    <w:p>
      <w:pPr>
        <w:ind w:left="565" w:right="20" w:hanging="565"/>
        <w:spacing w:after="0" w:line="259" w:lineRule="auto"/>
        <w:tabs>
          <w:tab w:leader="none" w:pos="56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Tested means a method of authenticating the contents of a communication by placing a valid test key on it which has been agreed upon by the Insured and a customer, automated clearing house, or another financial institution for the purpose of protecting the integrity of the communication in the ordinary course of business;</w:t>
      </w:r>
    </w:p>
    <w:p>
      <w:pPr>
        <w:spacing w:after="0" w:line="59" w:lineRule="exact"/>
        <w:rPr>
          <w:rFonts w:ascii="Arial" w:cs="Arial" w:eastAsia="Arial" w:hAnsi="Arial"/>
          <w:sz w:val="18"/>
          <w:szCs w:val="18"/>
          <w:color w:val="auto"/>
        </w:rPr>
      </w:pPr>
    </w:p>
    <w:p>
      <w:pPr>
        <w:ind w:left="565" w:right="260" w:hanging="565"/>
        <w:spacing w:after="0" w:line="268" w:lineRule="auto"/>
        <w:tabs>
          <w:tab w:leader="none" w:pos="56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Uncertificated Security means a share, participation or other interest in property of, or an enterprise of, the issuer or an obligation of the issuer, which is:</w:t>
      </w:r>
    </w:p>
    <w:p>
      <w:pPr>
        <w:spacing w:after="0" w:line="50" w:lineRule="exact"/>
        <w:rPr>
          <w:rFonts w:ascii="Arial" w:cs="Arial" w:eastAsia="Arial" w:hAnsi="Arial"/>
          <w:sz w:val="18"/>
          <w:szCs w:val="18"/>
          <w:color w:val="auto"/>
        </w:rPr>
      </w:pPr>
    </w:p>
    <w:p>
      <w:pPr>
        <w:ind w:left="1245" w:right="200" w:hanging="678"/>
        <w:spacing w:after="0" w:line="268" w:lineRule="auto"/>
        <w:tabs>
          <w:tab w:leader="none" w:pos="1245" w:val="left"/>
        </w:tabs>
        <w:numPr>
          <w:ilvl w:val="1"/>
          <w:numId w:val="110"/>
        </w:numPr>
        <w:rPr>
          <w:rFonts w:ascii="Arial" w:cs="Arial" w:eastAsia="Arial" w:hAnsi="Arial"/>
          <w:sz w:val="18"/>
          <w:szCs w:val="18"/>
          <w:color w:val="auto"/>
        </w:rPr>
      </w:pPr>
      <w:r>
        <w:rPr>
          <w:rFonts w:ascii="Arial" w:cs="Arial" w:eastAsia="Arial" w:hAnsi="Arial"/>
          <w:sz w:val="18"/>
          <w:szCs w:val="18"/>
          <w:color w:val="auto"/>
        </w:rPr>
        <w:t>not represented by an instrument and the transfer of which is registered upon books maintained for that purpose by or on behalf of the issuer;</w:t>
      </w:r>
    </w:p>
    <w:p>
      <w:pPr>
        <w:spacing w:after="0" w:line="50" w:lineRule="exact"/>
        <w:rPr>
          <w:rFonts w:ascii="Arial" w:cs="Arial" w:eastAsia="Arial" w:hAnsi="Arial"/>
          <w:sz w:val="18"/>
          <w:szCs w:val="18"/>
          <w:color w:val="auto"/>
        </w:rPr>
      </w:pPr>
    </w:p>
    <w:p>
      <w:pPr>
        <w:ind w:left="1245" w:hanging="678"/>
        <w:spacing w:after="0"/>
        <w:tabs>
          <w:tab w:leader="none" w:pos="1245" w:val="left"/>
        </w:tabs>
        <w:numPr>
          <w:ilvl w:val="1"/>
          <w:numId w:val="110"/>
        </w:numPr>
        <w:rPr>
          <w:rFonts w:ascii="Arial" w:cs="Arial" w:eastAsia="Arial" w:hAnsi="Arial"/>
          <w:sz w:val="18"/>
          <w:szCs w:val="18"/>
          <w:color w:val="auto"/>
        </w:rPr>
      </w:pPr>
      <w:r>
        <w:rPr>
          <w:rFonts w:ascii="Arial" w:cs="Arial" w:eastAsia="Arial" w:hAnsi="Arial"/>
          <w:sz w:val="18"/>
          <w:szCs w:val="18"/>
          <w:color w:val="auto"/>
        </w:rPr>
        <w:t>of a type commonly dealt in securities, exchanges or markets; and</w:t>
      </w:r>
    </w:p>
    <w:p>
      <w:pPr>
        <w:spacing w:after="0" w:line="90" w:lineRule="exact"/>
        <w:rPr>
          <w:rFonts w:ascii="Arial" w:cs="Arial" w:eastAsia="Arial" w:hAnsi="Arial"/>
          <w:sz w:val="18"/>
          <w:szCs w:val="18"/>
          <w:color w:val="auto"/>
        </w:rPr>
      </w:pPr>
    </w:p>
    <w:p>
      <w:pPr>
        <w:ind w:left="1245" w:hanging="678"/>
        <w:spacing w:after="0"/>
        <w:tabs>
          <w:tab w:leader="none" w:pos="1245" w:val="left"/>
        </w:tabs>
        <w:numPr>
          <w:ilvl w:val="1"/>
          <w:numId w:val="110"/>
        </w:numPr>
        <w:rPr>
          <w:rFonts w:ascii="Arial" w:cs="Arial" w:eastAsia="Arial" w:hAnsi="Arial"/>
          <w:sz w:val="16"/>
          <w:szCs w:val="16"/>
          <w:color w:val="auto"/>
        </w:rPr>
      </w:pPr>
      <w:r>
        <w:rPr>
          <w:rFonts w:ascii="Arial" w:cs="Arial" w:eastAsia="Arial" w:hAnsi="Arial"/>
          <w:sz w:val="16"/>
          <w:szCs w:val="16"/>
          <w:color w:val="auto"/>
        </w:rPr>
        <w:t>either one of a class or series or by its terms divisible into a class or series of shares, participations, interests or obligations;</w:t>
      </w:r>
    </w:p>
    <w:p>
      <w:pPr>
        <w:sectPr>
          <w:pgSz w:w="11900" w:h="16838" w:orient="portrait"/>
          <w:cols w:equalWidth="0" w:num="1">
            <w:col w:w="10845"/>
          </w:cols>
          <w:pgMar w:left="815" w:top="280" w:right="239" w:bottom="1440" w:gutter="0" w:footer="0" w:header="0"/>
        </w:sectPr>
      </w:pPr>
    </w:p>
    <w:bookmarkStart w:id="63" w:name="page64"/>
    <w:bookmarkEnd w:id="63"/>
    <w:p>
      <w:pPr>
        <w:ind w:left="1132" w:right="60" w:hanging="565"/>
        <w:spacing w:after="0" w:line="259" w:lineRule="auto"/>
        <w:tabs>
          <w:tab w:leader="none" w:pos="1132" w:val="left"/>
        </w:tabs>
        <w:numPr>
          <w:ilvl w:val="1"/>
          <w:numId w:val="1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Voice Computer System means a Computer System installed in one location which functions as a private branch exchange (PBX), voice mail processor, automated call attendant or provides a similar capability used for the direction or routing of telephone calls in a voice communications network.</w:t>
      </w:r>
    </w:p>
    <w:p>
      <w:pPr>
        <w:spacing w:after="0" w:line="59" w:lineRule="exact"/>
        <w:rPr>
          <w:rFonts w:ascii="Arial" w:cs="Arial" w:eastAsia="Arial" w:hAnsi="Arial"/>
          <w:sz w:val="18"/>
          <w:szCs w:val="18"/>
          <w:color w:val="auto"/>
        </w:rPr>
      </w:pPr>
    </w:p>
    <w:p>
      <w:pPr>
        <w:ind w:left="572" w:right="460" w:hanging="572"/>
        <w:spacing w:after="0" w:line="268" w:lineRule="auto"/>
        <w:tabs>
          <w:tab w:leader="none" w:pos="57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Solely for the coverage provided by this rider, Section 2. EXCLUSIONS of the CONDITIONS AND LIMITATIONS section is hereby amended by adding the following definitions to the end thereof:</w:t>
      </w:r>
    </w:p>
    <w:p>
      <w:pPr>
        <w:spacing w:after="0" w:line="50" w:lineRule="exact"/>
        <w:rPr>
          <w:rFonts w:ascii="Arial" w:cs="Arial" w:eastAsia="Arial" w:hAnsi="Arial"/>
          <w:sz w:val="18"/>
          <w:szCs w:val="18"/>
          <w:color w:val="auto"/>
        </w:rPr>
      </w:pPr>
    </w:p>
    <w:p>
      <w:pPr>
        <w:ind w:left="1132" w:right="360" w:hanging="565"/>
        <w:spacing w:after="0" w:line="268" w:lineRule="auto"/>
        <w:tabs>
          <w:tab w:leader="none" w:pos="1132"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any loss of the type or kind covered by any other Insuring Agreement provided in this financial institution bond, regardless of any deductible amount or limit of liability;</w:t>
      </w:r>
    </w:p>
    <w:p>
      <w:pPr>
        <w:spacing w:after="0" w:line="50" w:lineRule="exact"/>
        <w:rPr>
          <w:rFonts w:ascii="Arial" w:cs="Arial" w:eastAsia="Arial" w:hAnsi="Arial"/>
          <w:sz w:val="18"/>
          <w:szCs w:val="18"/>
          <w:color w:val="auto"/>
        </w:rPr>
      </w:pPr>
    </w:p>
    <w:p>
      <w:pPr>
        <w:ind w:left="1132" w:hanging="565"/>
        <w:spacing w:after="0" w:line="259" w:lineRule="auto"/>
        <w:tabs>
          <w:tab w:leader="none" w:pos="1132" w:val="left"/>
        </w:tabs>
        <w:numPr>
          <w:ilvl w:val="1"/>
          <w:numId w:val="112"/>
        </w:numPr>
        <w:rPr>
          <w:rFonts w:ascii="Arial" w:cs="Arial" w:eastAsia="Arial" w:hAnsi="Arial"/>
          <w:sz w:val="18"/>
          <w:szCs w:val="18"/>
          <w:color w:val="auto"/>
        </w:rPr>
      </w:pPr>
      <w:r>
        <w:rPr>
          <w:rFonts w:ascii="Arial" w:cs="Arial" w:eastAsia="Arial" w:hAnsi="Arial"/>
          <w:sz w:val="18"/>
          <w:szCs w:val="18"/>
          <w:color w:val="auto"/>
        </w:rPr>
        <w:t>loss caused by a director or Employee of the Insured or by a person in collusion with any director or Employee of the Insured; (Collusion shall include the willful withholding of knowledge from the Insured by any director or Employee that a fraudulent act by a person not an Employee has been or will be perpetrated against the Insured.);</w:t>
      </w:r>
    </w:p>
    <w:p>
      <w:pPr>
        <w:spacing w:after="0" w:line="59" w:lineRule="exact"/>
        <w:rPr>
          <w:rFonts w:ascii="Arial" w:cs="Arial" w:eastAsia="Arial" w:hAnsi="Arial"/>
          <w:sz w:val="18"/>
          <w:szCs w:val="18"/>
          <w:color w:val="auto"/>
        </w:rPr>
      </w:pPr>
    </w:p>
    <w:p>
      <w:pPr>
        <w:ind w:left="1132" w:right="160" w:hanging="565"/>
        <w:spacing w:after="0" w:line="332" w:lineRule="auto"/>
        <w:tabs>
          <w:tab w:leader="none" w:pos="1132" w:val="left"/>
        </w:tabs>
        <w:numPr>
          <w:ilvl w:val="1"/>
          <w:numId w:val="112"/>
        </w:numPr>
        <w:rPr>
          <w:rFonts w:ascii="Arial" w:cs="Arial" w:eastAsia="Arial" w:hAnsi="Arial"/>
          <w:sz w:val="16"/>
          <w:szCs w:val="16"/>
          <w:color w:val="auto"/>
        </w:rPr>
      </w:pPr>
      <w:r>
        <w:rPr>
          <w:rFonts w:ascii="Arial" w:cs="Arial" w:eastAsia="Arial" w:hAnsi="Arial"/>
          <w:sz w:val="16"/>
          <w:szCs w:val="16"/>
          <w:color w:val="auto"/>
        </w:rPr>
        <w:t xml:space="preserve">loss resulting directly or indirectly from entry or change of Electronic Data or Computer Programs in a Computer System, unless covered under the </w:t>
      </w:r>
      <w:r>
        <w:rPr>
          <w:rFonts w:ascii="Arial" w:cs="Arial" w:eastAsia="Arial" w:hAnsi="Arial"/>
          <w:sz w:val="16"/>
          <w:szCs w:val="16"/>
          <w:b w:val="1"/>
          <w:bCs w:val="1"/>
          <w:color w:val="auto"/>
        </w:rPr>
        <w:t>COMPUTER SYSTEMS FRAUD</w:t>
      </w:r>
      <w:r>
        <w:rPr>
          <w:rFonts w:ascii="Arial" w:cs="Arial" w:eastAsia="Arial" w:hAnsi="Arial"/>
          <w:sz w:val="16"/>
          <w:szCs w:val="16"/>
          <w:color w:val="auto"/>
        </w:rPr>
        <w:t xml:space="preserve"> or </w:t>
      </w:r>
      <w:r>
        <w:rPr>
          <w:rFonts w:ascii="Arial" w:cs="Arial" w:eastAsia="Arial" w:hAnsi="Arial"/>
          <w:sz w:val="16"/>
          <w:szCs w:val="16"/>
          <w:b w:val="1"/>
          <w:bCs w:val="1"/>
          <w:color w:val="auto"/>
        </w:rPr>
        <w:t>DATA PROCESSING SERVICE OPERATIONS</w:t>
      </w:r>
      <w:r>
        <w:rPr>
          <w:rFonts w:ascii="Arial" w:cs="Arial" w:eastAsia="Arial" w:hAnsi="Arial"/>
          <w:sz w:val="16"/>
          <w:szCs w:val="16"/>
          <w:color w:val="auto"/>
        </w:rPr>
        <w:t xml:space="preserve"> Insuring Agreements;</w:t>
      </w:r>
    </w:p>
    <w:p>
      <w:pPr>
        <w:spacing w:after="0" w:line="4" w:lineRule="exact"/>
        <w:rPr>
          <w:rFonts w:ascii="Arial" w:cs="Arial" w:eastAsia="Arial" w:hAnsi="Arial"/>
          <w:sz w:val="16"/>
          <w:szCs w:val="16"/>
          <w:color w:val="auto"/>
        </w:rPr>
      </w:pPr>
    </w:p>
    <w:p>
      <w:pPr>
        <w:ind w:left="1132" w:right="320" w:hanging="565"/>
        <w:spacing w:after="0" w:line="268" w:lineRule="auto"/>
        <w:tabs>
          <w:tab w:leader="none" w:pos="1132" w:val="left"/>
        </w:tabs>
        <w:numPr>
          <w:ilvl w:val="1"/>
          <w:numId w:val="112"/>
        </w:numPr>
        <w:rPr>
          <w:rFonts w:ascii="Arial" w:cs="Arial" w:eastAsia="Arial" w:hAnsi="Arial"/>
          <w:sz w:val="18"/>
          <w:szCs w:val="18"/>
          <w:color w:val="auto"/>
        </w:rPr>
      </w:pPr>
      <w:r>
        <w:rPr>
          <w:rFonts w:ascii="Arial" w:cs="Arial" w:eastAsia="Arial" w:hAnsi="Arial"/>
          <w:sz w:val="18"/>
          <w:szCs w:val="18"/>
          <w:color w:val="auto"/>
        </w:rPr>
        <w:t xml:space="preserve">loss resulting directly or indirectly from the Insured having transferred Funds in reliance on the validity of a voice instruction, unless covered under the </w:t>
      </w:r>
      <w:r>
        <w:rPr>
          <w:rFonts w:ascii="Arial" w:cs="Arial" w:eastAsia="Arial" w:hAnsi="Arial"/>
          <w:sz w:val="18"/>
          <w:szCs w:val="18"/>
          <w:b w:val="1"/>
          <w:bCs w:val="1"/>
          <w:color w:val="auto"/>
        </w:rPr>
        <w:t>COMPUTER SYSTEMS FRAUD</w:t>
      </w:r>
      <w:r>
        <w:rPr>
          <w:rFonts w:ascii="Arial" w:cs="Arial" w:eastAsia="Arial" w:hAnsi="Arial"/>
          <w:sz w:val="18"/>
          <w:szCs w:val="18"/>
          <w:color w:val="auto"/>
        </w:rPr>
        <w:t xml:space="preserve"> or </w:t>
      </w:r>
      <w:r>
        <w:rPr>
          <w:rFonts w:ascii="Arial" w:cs="Arial" w:eastAsia="Arial" w:hAnsi="Arial"/>
          <w:sz w:val="18"/>
          <w:szCs w:val="18"/>
          <w:b w:val="1"/>
          <w:bCs w:val="1"/>
          <w:color w:val="auto"/>
        </w:rPr>
        <w:t>VOICE INITIATED TRANSFER FRAUD</w:t>
      </w:r>
      <w:r>
        <w:rPr>
          <w:rFonts w:ascii="Arial" w:cs="Arial" w:eastAsia="Arial" w:hAnsi="Arial"/>
          <w:sz w:val="18"/>
          <w:szCs w:val="18"/>
          <w:color w:val="auto"/>
        </w:rPr>
        <w:t xml:space="preserve"> Insuring Agreements;</w:t>
      </w:r>
    </w:p>
    <w:p>
      <w:pPr>
        <w:spacing w:after="0" w:line="50" w:lineRule="exact"/>
        <w:rPr>
          <w:rFonts w:ascii="Arial" w:cs="Arial" w:eastAsia="Arial" w:hAnsi="Arial"/>
          <w:sz w:val="18"/>
          <w:szCs w:val="18"/>
          <w:color w:val="auto"/>
        </w:rPr>
      </w:pPr>
    </w:p>
    <w:p>
      <w:pPr>
        <w:ind w:left="1132" w:hanging="565"/>
        <w:spacing w:after="0" w:line="259" w:lineRule="auto"/>
        <w:tabs>
          <w:tab w:leader="none" w:pos="1132" w:val="left"/>
        </w:tabs>
        <w:numPr>
          <w:ilvl w:val="1"/>
          <w:numId w:val="112"/>
        </w:numPr>
        <w:rPr>
          <w:rFonts w:ascii="Arial" w:cs="Arial" w:eastAsia="Arial" w:hAnsi="Arial"/>
          <w:sz w:val="18"/>
          <w:szCs w:val="18"/>
          <w:color w:val="auto"/>
        </w:rPr>
      </w:pPr>
      <w:r>
        <w:rPr>
          <w:rFonts w:ascii="Arial" w:cs="Arial" w:eastAsia="Arial" w:hAnsi="Arial"/>
          <w:sz w:val="18"/>
          <w:szCs w:val="18"/>
          <w:color w:val="auto"/>
        </w:rPr>
        <w:t xml:space="preserve">loss resulting directly or indirectly by the Insured having transferred or delivered Funds, Certificated Securities or Uncertificated Securities in reliance on an instruction received through a Telefacsimile Device, unless covered under the </w:t>
      </w:r>
      <w:r>
        <w:rPr>
          <w:rFonts w:ascii="Arial" w:cs="Arial" w:eastAsia="Arial" w:hAnsi="Arial"/>
          <w:sz w:val="18"/>
          <w:szCs w:val="18"/>
          <w:b w:val="1"/>
          <w:bCs w:val="1"/>
          <w:color w:val="auto"/>
        </w:rPr>
        <w:t>TELEFACSIMILE TRANSFER FRAUD</w:t>
      </w:r>
      <w:r>
        <w:rPr>
          <w:rFonts w:ascii="Arial" w:cs="Arial" w:eastAsia="Arial" w:hAnsi="Arial"/>
          <w:sz w:val="18"/>
          <w:szCs w:val="18"/>
          <w:color w:val="auto"/>
        </w:rPr>
        <w:t xml:space="preserve"> Insuring Agreement;</w:t>
      </w:r>
    </w:p>
    <w:p>
      <w:pPr>
        <w:spacing w:after="0" w:line="59" w:lineRule="exact"/>
        <w:rPr>
          <w:rFonts w:ascii="Arial" w:cs="Arial" w:eastAsia="Arial" w:hAnsi="Arial"/>
          <w:sz w:val="18"/>
          <w:szCs w:val="18"/>
          <w:color w:val="auto"/>
        </w:rPr>
      </w:pPr>
    </w:p>
    <w:p>
      <w:pPr>
        <w:ind w:left="1132" w:hanging="565"/>
        <w:spacing w:after="0"/>
        <w:tabs>
          <w:tab w:leader="none" w:pos="1132" w:val="left"/>
        </w:tabs>
        <w:numPr>
          <w:ilvl w:val="1"/>
          <w:numId w:val="112"/>
        </w:numPr>
        <w:rPr>
          <w:rFonts w:ascii="Arial" w:cs="Arial" w:eastAsia="Arial" w:hAnsi="Arial"/>
          <w:sz w:val="18"/>
          <w:szCs w:val="18"/>
          <w:color w:val="auto"/>
        </w:rPr>
      </w:pPr>
      <w:r>
        <w:rPr>
          <w:rFonts w:ascii="Arial" w:cs="Arial" w:eastAsia="Arial" w:hAnsi="Arial"/>
          <w:sz w:val="18"/>
          <w:szCs w:val="18"/>
          <w:color w:val="auto"/>
        </w:rPr>
        <w:t>loss resulting directly or indirectly from theft of confidential information;</w:t>
      </w:r>
    </w:p>
    <w:p>
      <w:pPr>
        <w:spacing w:after="0" w:line="90" w:lineRule="exact"/>
        <w:rPr>
          <w:rFonts w:ascii="Arial" w:cs="Arial" w:eastAsia="Arial" w:hAnsi="Arial"/>
          <w:sz w:val="18"/>
          <w:szCs w:val="18"/>
          <w:color w:val="auto"/>
        </w:rPr>
      </w:pPr>
    </w:p>
    <w:p>
      <w:pPr>
        <w:ind w:left="1132" w:right="280" w:hanging="565"/>
        <w:spacing w:after="0" w:line="268" w:lineRule="auto"/>
        <w:tabs>
          <w:tab w:leader="none" w:pos="1132" w:val="left"/>
        </w:tabs>
        <w:numPr>
          <w:ilvl w:val="1"/>
          <w:numId w:val="112"/>
        </w:numPr>
        <w:rPr>
          <w:rFonts w:ascii="Arial" w:cs="Arial" w:eastAsia="Arial" w:hAnsi="Arial"/>
          <w:sz w:val="18"/>
          <w:szCs w:val="18"/>
          <w:color w:val="auto"/>
        </w:rPr>
      </w:pPr>
      <w:r>
        <w:rPr>
          <w:rFonts w:ascii="Arial" w:cs="Arial" w:eastAsia="Arial" w:hAnsi="Arial"/>
          <w:sz w:val="18"/>
          <w:szCs w:val="18"/>
          <w:color w:val="auto"/>
        </w:rPr>
        <w:t>loss resulting directly or indirectly from the assumption of liability by the Insured by contract unless the liability arises from a loss covered by this rider and would be imposed on the Insured regardless of the existence of the contract;</w:t>
      </w:r>
    </w:p>
    <w:p>
      <w:pPr>
        <w:spacing w:after="0" w:line="44" w:lineRule="exact"/>
        <w:rPr>
          <w:rFonts w:ascii="Arial" w:cs="Arial" w:eastAsia="Arial" w:hAnsi="Arial"/>
          <w:sz w:val="18"/>
          <w:szCs w:val="18"/>
          <w:color w:val="auto"/>
        </w:rPr>
      </w:pPr>
    </w:p>
    <w:p>
      <w:pPr>
        <w:ind w:left="1132" w:right="80" w:hanging="565"/>
        <w:spacing w:after="0" w:line="275" w:lineRule="auto"/>
        <w:tabs>
          <w:tab w:leader="none" w:pos="1132" w:val="left"/>
        </w:tabs>
        <w:numPr>
          <w:ilvl w:val="1"/>
          <w:numId w:val="112"/>
        </w:numPr>
        <w:rPr>
          <w:rFonts w:ascii="Arial" w:cs="Arial" w:eastAsia="Arial" w:hAnsi="Arial"/>
          <w:sz w:val="18"/>
          <w:szCs w:val="18"/>
          <w:color w:val="auto"/>
        </w:rPr>
      </w:pPr>
      <w:r>
        <w:rPr>
          <w:rFonts w:ascii="Arial" w:cs="Arial" w:eastAsia="Arial" w:hAnsi="Arial"/>
          <w:sz w:val="18"/>
          <w:szCs w:val="18"/>
          <w:color w:val="auto"/>
        </w:rPr>
        <w:t xml:space="preserve">the cost of duplication of Electronic Data or Computer Programs, unless covered under the </w:t>
      </w:r>
      <w:r>
        <w:rPr>
          <w:rFonts w:ascii="Arial" w:cs="Arial" w:eastAsia="Arial" w:hAnsi="Arial"/>
          <w:sz w:val="18"/>
          <w:szCs w:val="18"/>
          <w:b w:val="1"/>
          <w:bCs w:val="1"/>
          <w:color w:val="auto"/>
        </w:rPr>
        <w:t>DESTRUCTION OF DATA OR PROGRAMS BY</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HACKER </w:t>
      </w:r>
      <w:r>
        <w:rPr>
          <w:rFonts w:ascii="Arial" w:cs="Arial" w:eastAsia="Arial" w:hAnsi="Arial"/>
          <w:sz w:val="18"/>
          <w:szCs w:val="18"/>
          <w:color w:val="auto"/>
        </w:rPr>
        <w:t>or</w:t>
      </w:r>
      <w:r>
        <w:rPr>
          <w:rFonts w:ascii="Arial" w:cs="Arial" w:eastAsia="Arial" w:hAnsi="Arial"/>
          <w:sz w:val="18"/>
          <w:szCs w:val="18"/>
          <w:b w:val="1"/>
          <w:bCs w:val="1"/>
          <w:color w:val="auto"/>
        </w:rPr>
        <w:t xml:space="preserve"> DESTRUCTION OF DATA OR PROGRAMS BY VIRUS </w:t>
      </w:r>
      <w:r>
        <w:rPr>
          <w:rFonts w:ascii="Arial" w:cs="Arial" w:eastAsia="Arial" w:hAnsi="Arial"/>
          <w:sz w:val="18"/>
          <w:szCs w:val="18"/>
          <w:color w:val="auto"/>
        </w:rPr>
        <w:t>Insuring Agreements;</w:t>
      </w:r>
    </w:p>
    <w:p>
      <w:pPr>
        <w:spacing w:after="0" w:line="38" w:lineRule="exact"/>
        <w:rPr>
          <w:rFonts w:ascii="Arial" w:cs="Arial" w:eastAsia="Arial" w:hAnsi="Arial"/>
          <w:sz w:val="18"/>
          <w:szCs w:val="18"/>
          <w:color w:val="auto"/>
        </w:rPr>
      </w:pPr>
    </w:p>
    <w:p>
      <w:pPr>
        <w:ind w:left="1132" w:hanging="565"/>
        <w:spacing w:after="0"/>
        <w:tabs>
          <w:tab w:leader="none" w:pos="1132" w:val="left"/>
        </w:tabs>
        <w:numPr>
          <w:ilvl w:val="1"/>
          <w:numId w:val="112"/>
        </w:numPr>
        <w:rPr>
          <w:rFonts w:ascii="Arial" w:cs="Arial" w:eastAsia="Arial" w:hAnsi="Arial"/>
          <w:sz w:val="18"/>
          <w:szCs w:val="18"/>
          <w:color w:val="auto"/>
        </w:rPr>
      </w:pPr>
      <w:r>
        <w:rPr>
          <w:rFonts w:ascii="Arial" w:cs="Arial" w:eastAsia="Arial" w:hAnsi="Arial"/>
          <w:sz w:val="18"/>
          <w:szCs w:val="18"/>
          <w:color w:val="auto"/>
        </w:rPr>
        <w:t xml:space="preserve">loss involving a Voice Computer System, unless covered under the </w:t>
      </w:r>
      <w:r>
        <w:rPr>
          <w:rFonts w:ascii="Arial" w:cs="Arial" w:eastAsia="Arial" w:hAnsi="Arial"/>
          <w:sz w:val="18"/>
          <w:szCs w:val="18"/>
          <w:b w:val="1"/>
          <w:bCs w:val="1"/>
          <w:color w:val="auto"/>
        </w:rPr>
        <w:t>VOICE COMPUTER SYSTEM FRAUD</w:t>
      </w:r>
      <w:r>
        <w:rPr>
          <w:rFonts w:ascii="Arial" w:cs="Arial" w:eastAsia="Arial" w:hAnsi="Arial"/>
          <w:sz w:val="18"/>
          <w:szCs w:val="18"/>
          <w:color w:val="auto"/>
        </w:rPr>
        <w:t xml:space="preserve"> Insuring Agreement;</w:t>
      </w:r>
    </w:p>
    <w:p>
      <w:pPr>
        <w:spacing w:after="0" w:line="96" w:lineRule="exact"/>
        <w:rPr>
          <w:rFonts w:ascii="Arial" w:cs="Arial" w:eastAsia="Arial" w:hAnsi="Arial"/>
          <w:sz w:val="18"/>
          <w:szCs w:val="18"/>
          <w:color w:val="auto"/>
        </w:rPr>
      </w:pPr>
    </w:p>
    <w:p>
      <w:pPr>
        <w:ind w:left="1132" w:hanging="565"/>
        <w:spacing w:after="0"/>
        <w:tabs>
          <w:tab w:leader="none" w:pos="1132" w:val="left"/>
        </w:tabs>
        <w:numPr>
          <w:ilvl w:val="1"/>
          <w:numId w:val="112"/>
        </w:numPr>
        <w:rPr>
          <w:rFonts w:ascii="Arial" w:cs="Arial" w:eastAsia="Arial" w:hAnsi="Arial"/>
          <w:sz w:val="18"/>
          <w:szCs w:val="18"/>
          <w:color w:val="auto"/>
        </w:rPr>
      </w:pPr>
      <w:r>
        <w:rPr>
          <w:rFonts w:ascii="Arial" w:cs="Arial" w:eastAsia="Arial" w:hAnsi="Arial"/>
          <w:sz w:val="18"/>
          <w:szCs w:val="18"/>
          <w:color w:val="auto"/>
        </w:rPr>
        <w:t>loss resulting directly or indirectly from:</w:t>
      </w:r>
    </w:p>
    <w:p>
      <w:pPr>
        <w:spacing w:after="0" w:line="90" w:lineRule="exact"/>
        <w:rPr>
          <w:rFonts w:ascii="Arial" w:cs="Arial" w:eastAsia="Arial" w:hAnsi="Arial"/>
          <w:sz w:val="18"/>
          <w:szCs w:val="18"/>
          <w:color w:val="auto"/>
        </w:rPr>
      </w:pPr>
    </w:p>
    <w:p>
      <w:pPr>
        <w:ind w:left="1812" w:hanging="678"/>
        <w:spacing w:after="0"/>
        <w:tabs>
          <w:tab w:leader="none" w:pos="1812" w:val="left"/>
        </w:tabs>
        <w:numPr>
          <w:ilvl w:val="2"/>
          <w:numId w:val="112"/>
        </w:numPr>
        <w:rPr>
          <w:rFonts w:ascii="Arial" w:cs="Arial" w:eastAsia="Arial" w:hAnsi="Arial"/>
          <w:sz w:val="18"/>
          <w:szCs w:val="18"/>
          <w:color w:val="auto"/>
        </w:rPr>
      </w:pPr>
      <w:r>
        <w:rPr>
          <w:rFonts w:ascii="Arial" w:cs="Arial" w:eastAsia="Arial" w:hAnsi="Arial"/>
          <w:sz w:val="18"/>
          <w:szCs w:val="18"/>
          <w:color w:val="auto"/>
        </w:rPr>
        <w:t>written instructions or advices, or</w:t>
      </w:r>
    </w:p>
    <w:p>
      <w:pPr>
        <w:sectPr>
          <w:pgSz w:w="11900" w:h="16838" w:orient="portrait"/>
          <w:cols w:equalWidth="0" w:num="1">
            <w:col w:w="11392"/>
          </w:cols>
          <w:pgMar w:left="248" w:top="280" w:right="259" w:bottom="1440" w:gutter="0" w:footer="0" w:header="0"/>
        </w:sectPr>
      </w:pPr>
    </w:p>
    <w:bookmarkStart w:id="64" w:name="page65"/>
    <w:bookmarkEnd w:id="64"/>
    <w:p>
      <w:pPr>
        <w:ind w:left="1245" w:hanging="678"/>
        <w:spacing w:after="0"/>
        <w:tabs>
          <w:tab w:leader="none" w:pos="1245" w:val="left"/>
        </w:tabs>
        <w:numPr>
          <w:ilvl w:val="0"/>
          <w:numId w:val="1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telegraphic or cable instructions or advices;</w:t>
      </w:r>
    </w:p>
    <w:p>
      <w:pPr>
        <w:spacing w:after="0" w:line="84" w:lineRule="exact"/>
        <w:rPr>
          <w:sz w:val="20"/>
          <w:szCs w:val="20"/>
          <w:color w:val="auto"/>
        </w:rPr>
      </w:pPr>
    </w:p>
    <w:p>
      <w:pPr>
        <w:ind w:left="565" w:right="360"/>
        <w:spacing w:after="0" w:line="275" w:lineRule="auto"/>
        <w:rPr>
          <w:sz w:val="20"/>
          <w:szCs w:val="20"/>
          <w:color w:val="auto"/>
        </w:rPr>
      </w:pPr>
      <w:r>
        <w:rPr>
          <w:rFonts w:ascii="Arial" w:cs="Arial" w:eastAsia="Arial" w:hAnsi="Arial"/>
          <w:sz w:val="18"/>
          <w:szCs w:val="18"/>
          <w:color w:val="auto"/>
        </w:rPr>
        <w:t xml:space="preserve">unless the instructions or advices are Tested and the loss is covered under the </w:t>
      </w:r>
      <w:r>
        <w:rPr>
          <w:rFonts w:ascii="Arial" w:cs="Arial" w:eastAsia="Arial" w:hAnsi="Arial"/>
          <w:sz w:val="18"/>
          <w:szCs w:val="18"/>
          <w:b w:val="1"/>
          <w:bCs w:val="1"/>
          <w:color w:val="auto"/>
        </w:rPr>
        <w:t>COMPUTER SYSTEMS FRAUD</w:t>
      </w:r>
      <w:r>
        <w:rPr>
          <w:rFonts w:ascii="Arial" w:cs="Arial" w:eastAsia="Arial" w:hAnsi="Arial"/>
          <w:sz w:val="18"/>
          <w:szCs w:val="18"/>
          <w:color w:val="auto"/>
        </w:rPr>
        <w:t xml:space="preserve"> or </w:t>
      </w:r>
      <w:r>
        <w:rPr>
          <w:rFonts w:ascii="Arial" w:cs="Arial" w:eastAsia="Arial" w:hAnsi="Arial"/>
          <w:sz w:val="18"/>
          <w:szCs w:val="18"/>
          <w:b w:val="1"/>
          <w:bCs w:val="1"/>
          <w:color w:val="auto"/>
        </w:rPr>
        <w:t>DATA PROCESSING</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SERVICE OPERATIONS </w:t>
      </w:r>
      <w:r>
        <w:rPr>
          <w:rFonts w:ascii="Arial" w:cs="Arial" w:eastAsia="Arial" w:hAnsi="Arial"/>
          <w:sz w:val="18"/>
          <w:szCs w:val="18"/>
          <w:color w:val="auto"/>
        </w:rPr>
        <w:t>Insuring Agreements;</w:t>
      </w:r>
    </w:p>
    <w:p>
      <w:pPr>
        <w:spacing w:after="0" w:line="45" w:lineRule="exact"/>
        <w:rPr>
          <w:sz w:val="20"/>
          <w:szCs w:val="20"/>
          <w:color w:val="auto"/>
        </w:rPr>
      </w:pPr>
    </w:p>
    <w:p>
      <w:pPr>
        <w:ind w:left="565" w:right="40" w:hanging="565"/>
        <w:spacing w:after="0" w:line="259" w:lineRule="auto"/>
        <w:tabs>
          <w:tab w:leader="none" w:pos="56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loss resulting directly or indirectly from negotiable instruments, securities, documents or other written instruments which bear a forged signature, or are counterfeit, altered or otherwise fraudulent and which are used as source documentation in the preparation of Electronic Data or manually keyed into a data terminal;</w:t>
      </w:r>
    </w:p>
    <w:p>
      <w:pPr>
        <w:spacing w:after="0" w:line="59" w:lineRule="exact"/>
        <w:rPr>
          <w:rFonts w:ascii="Arial" w:cs="Arial" w:eastAsia="Arial" w:hAnsi="Arial"/>
          <w:sz w:val="18"/>
          <w:szCs w:val="18"/>
          <w:color w:val="auto"/>
        </w:rPr>
      </w:pPr>
    </w:p>
    <w:p>
      <w:pPr>
        <w:ind w:left="565" w:right="200" w:hanging="565"/>
        <w:spacing w:after="0" w:line="268" w:lineRule="auto"/>
        <w:tabs>
          <w:tab w:leader="none" w:pos="56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loss resulting directly or indirectly from the fraudulent preparation, or fraudulent modification of Computer Programs unless covered under the </w:t>
      </w:r>
      <w:r>
        <w:rPr>
          <w:rFonts w:ascii="Arial" w:cs="Arial" w:eastAsia="Arial" w:hAnsi="Arial"/>
          <w:sz w:val="18"/>
          <w:szCs w:val="18"/>
          <w:b w:val="1"/>
          <w:bCs w:val="1"/>
          <w:color w:val="auto"/>
        </w:rPr>
        <w:t xml:space="preserve">COMPUTER SYSTEMS FRAUD </w:t>
      </w:r>
      <w:r>
        <w:rPr>
          <w:rFonts w:ascii="Arial" w:cs="Arial" w:eastAsia="Arial" w:hAnsi="Arial"/>
          <w:sz w:val="18"/>
          <w:szCs w:val="18"/>
          <w:color w:val="auto"/>
        </w:rPr>
        <w:t>or</w:t>
      </w:r>
      <w:r>
        <w:rPr>
          <w:rFonts w:ascii="Arial" w:cs="Arial" w:eastAsia="Arial" w:hAnsi="Arial"/>
          <w:sz w:val="18"/>
          <w:szCs w:val="18"/>
          <w:b w:val="1"/>
          <w:bCs w:val="1"/>
          <w:color w:val="auto"/>
        </w:rPr>
        <w:t xml:space="preserve"> DATA PROCESSING SERVICE OPERATIONS </w:t>
      </w:r>
      <w:r>
        <w:rPr>
          <w:rFonts w:ascii="Arial" w:cs="Arial" w:eastAsia="Arial" w:hAnsi="Arial"/>
          <w:sz w:val="18"/>
          <w:szCs w:val="18"/>
          <w:color w:val="auto"/>
        </w:rPr>
        <w:t>Insuring Agreements;</w:t>
      </w:r>
    </w:p>
    <w:p>
      <w:pPr>
        <w:spacing w:after="0" w:line="50" w:lineRule="exact"/>
        <w:rPr>
          <w:rFonts w:ascii="Arial" w:cs="Arial" w:eastAsia="Arial" w:hAnsi="Arial"/>
          <w:sz w:val="18"/>
          <w:szCs w:val="18"/>
          <w:color w:val="auto"/>
        </w:rPr>
      </w:pPr>
    </w:p>
    <w:p>
      <w:pPr>
        <w:ind w:left="565" w:hanging="565"/>
        <w:spacing w:after="0"/>
        <w:tabs>
          <w:tab w:leader="none" w:pos="56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loss resulting directly or indirectly from:</w:t>
      </w:r>
    </w:p>
    <w:p>
      <w:pPr>
        <w:spacing w:after="0" w:line="90" w:lineRule="exact"/>
        <w:rPr>
          <w:rFonts w:ascii="Arial" w:cs="Arial" w:eastAsia="Arial" w:hAnsi="Arial"/>
          <w:sz w:val="18"/>
          <w:szCs w:val="18"/>
          <w:color w:val="auto"/>
        </w:rPr>
      </w:pPr>
    </w:p>
    <w:p>
      <w:pPr>
        <w:ind w:left="1245" w:right="220" w:hanging="678"/>
        <w:spacing w:after="0" w:line="268" w:lineRule="auto"/>
        <w:tabs>
          <w:tab w:leader="none" w:pos="1245" w:val="left"/>
        </w:tabs>
        <w:numPr>
          <w:ilvl w:val="1"/>
          <w:numId w:val="114"/>
        </w:numPr>
        <w:rPr>
          <w:rFonts w:ascii="Arial" w:cs="Arial" w:eastAsia="Arial" w:hAnsi="Arial"/>
          <w:sz w:val="18"/>
          <w:szCs w:val="18"/>
          <w:color w:val="auto"/>
        </w:rPr>
      </w:pPr>
      <w:r>
        <w:rPr>
          <w:rFonts w:ascii="Arial" w:cs="Arial" w:eastAsia="Arial" w:hAnsi="Arial"/>
          <w:sz w:val="18"/>
          <w:szCs w:val="18"/>
          <w:color w:val="auto"/>
        </w:rPr>
        <w:t>mechanical failure, faulty construction, error in design, latent defect, fire, wear or tear, gradual deterioration, electrical disturbance or electrical surge which affects a Computer System; or</w:t>
      </w:r>
    </w:p>
    <w:p>
      <w:pPr>
        <w:spacing w:after="0" w:line="50" w:lineRule="exact"/>
        <w:rPr>
          <w:rFonts w:ascii="Arial" w:cs="Arial" w:eastAsia="Arial" w:hAnsi="Arial"/>
          <w:sz w:val="18"/>
          <w:szCs w:val="18"/>
          <w:color w:val="auto"/>
        </w:rPr>
      </w:pPr>
    </w:p>
    <w:p>
      <w:pPr>
        <w:ind w:left="1245" w:hanging="678"/>
        <w:spacing w:after="0"/>
        <w:tabs>
          <w:tab w:leader="none" w:pos="1245" w:val="left"/>
        </w:tabs>
        <w:numPr>
          <w:ilvl w:val="1"/>
          <w:numId w:val="114"/>
        </w:numPr>
        <w:rPr>
          <w:rFonts w:ascii="Arial" w:cs="Arial" w:eastAsia="Arial" w:hAnsi="Arial"/>
          <w:sz w:val="18"/>
          <w:szCs w:val="18"/>
          <w:color w:val="auto"/>
        </w:rPr>
      </w:pPr>
      <w:r>
        <w:rPr>
          <w:rFonts w:ascii="Arial" w:cs="Arial" w:eastAsia="Arial" w:hAnsi="Arial"/>
          <w:sz w:val="18"/>
          <w:szCs w:val="18"/>
          <w:color w:val="auto"/>
        </w:rPr>
        <w:t>failure or breakdown of electronic data processing media; or</w:t>
      </w:r>
    </w:p>
    <w:p>
      <w:pPr>
        <w:spacing w:after="0" w:line="90" w:lineRule="exact"/>
        <w:rPr>
          <w:rFonts w:ascii="Arial" w:cs="Arial" w:eastAsia="Arial" w:hAnsi="Arial"/>
          <w:sz w:val="18"/>
          <w:szCs w:val="18"/>
          <w:color w:val="auto"/>
        </w:rPr>
      </w:pPr>
    </w:p>
    <w:p>
      <w:pPr>
        <w:ind w:left="1245" w:hanging="678"/>
        <w:spacing w:after="0"/>
        <w:tabs>
          <w:tab w:leader="none" w:pos="1245" w:val="left"/>
        </w:tabs>
        <w:numPr>
          <w:ilvl w:val="1"/>
          <w:numId w:val="114"/>
        </w:numPr>
        <w:rPr>
          <w:rFonts w:ascii="Arial" w:cs="Arial" w:eastAsia="Arial" w:hAnsi="Arial"/>
          <w:sz w:val="18"/>
          <w:szCs w:val="18"/>
          <w:color w:val="auto"/>
        </w:rPr>
      </w:pPr>
      <w:r>
        <w:rPr>
          <w:rFonts w:ascii="Arial" w:cs="Arial" w:eastAsia="Arial" w:hAnsi="Arial"/>
          <w:sz w:val="18"/>
          <w:szCs w:val="18"/>
          <w:color w:val="auto"/>
        </w:rPr>
        <w:t>error or omission in programming or processing;</w:t>
      </w:r>
    </w:p>
    <w:p>
      <w:pPr>
        <w:spacing w:after="0" w:line="90" w:lineRule="exact"/>
        <w:rPr>
          <w:rFonts w:ascii="Arial" w:cs="Arial" w:eastAsia="Arial" w:hAnsi="Arial"/>
          <w:sz w:val="18"/>
          <w:szCs w:val="18"/>
          <w:color w:val="auto"/>
        </w:rPr>
      </w:pPr>
    </w:p>
    <w:p>
      <w:pPr>
        <w:ind w:left="565" w:hanging="565"/>
        <w:spacing w:after="0"/>
        <w:tabs>
          <w:tab w:leader="none" w:pos="56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loss as a result of a threat to Computer System operations;</w:t>
      </w:r>
    </w:p>
    <w:p>
      <w:pPr>
        <w:spacing w:after="0" w:line="90" w:lineRule="exact"/>
        <w:rPr>
          <w:rFonts w:ascii="Arial" w:cs="Arial" w:eastAsia="Arial" w:hAnsi="Arial"/>
          <w:sz w:val="18"/>
          <w:szCs w:val="18"/>
          <w:color w:val="auto"/>
        </w:rPr>
      </w:pPr>
    </w:p>
    <w:p>
      <w:pPr>
        <w:ind w:left="565" w:right="200" w:hanging="565"/>
        <w:spacing w:after="0" w:line="268" w:lineRule="auto"/>
        <w:tabs>
          <w:tab w:leader="none" w:pos="56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loss resulting directly or indirectly from the use of a telephone credit, debit, charge, identification or similar card to gain access to the Insured’s Voice Computer System;</w:t>
      </w:r>
    </w:p>
    <w:p>
      <w:pPr>
        <w:spacing w:after="0" w:line="50" w:lineRule="exact"/>
        <w:rPr>
          <w:rFonts w:ascii="Arial" w:cs="Arial" w:eastAsia="Arial" w:hAnsi="Arial"/>
          <w:sz w:val="18"/>
          <w:szCs w:val="18"/>
          <w:color w:val="auto"/>
        </w:rPr>
      </w:pPr>
    </w:p>
    <w:p>
      <w:pPr>
        <w:ind w:left="565" w:hanging="565"/>
        <w:spacing w:after="0" w:line="332" w:lineRule="auto"/>
        <w:tabs>
          <w:tab w:leader="none" w:pos="565" w:val="left"/>
        </w:tabs>
        <w:numPr>
          <w:ilvl w:val="0"/>
          <w:numId w:val="114"/>
        </w:numPr>
        <w:rPr>
          <w:rFonts w:ascii="Arial" w:cs="Arial" w:eastAsia="Arial" w:hAnsi="Arial"/>
          <w:sz w:val="16"/>
          <w:szCs w:val="16"/>
          <w:color w:val="auto"/>
        </w:rPr>
      </w:pPr>
      <w:r>
        <w:rPr>
          <w:rFonts w:ascii="Arial" w:cs="Arial" w:eastAsia="Arial" w:hAnsi="Arial"/>
          <w:sz w:val="16"/>
          <w:szCs w:val="16"/>
          <w:color w:val="auto"/>
        </w:rPr>
        <w:t>loss resulting directly or indirectly from the input of Electronic Data into a Computer System terminal device either on the premises of a customer of the Insured or under the control of such customer by a person who had authorized access to the customer’s authentication mechanism.</w:t>
      </w:r>
    </w:p>
    <w:p>
      <w:pPr>
        <w:spacing w:after="0" w:line="4" w:lineRule="exact"/>
        <w:rPr>
          <w:rFonts w:ascii="Arial" w:cs="Arial" w:eastAsia="Arial" w:hAnsi="Arial"/>
          <w:sz w:val="16"/>
          <w:szCs w:val="16"/>
          <w:color w:val="auto"/>
        </w:rPr>
      </w:pPr>
    </w:p>
    <w:p>
      <w:pPr>
        <w:ind w:left="565" w:right="420" w:hanging="565"/>
        <w:spacing w:after="0" w:line="268" w:lineRule="auto"/>
        <w:tabs>
          <w:tab w:leader="none" w:pos="56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loss resulting directly or indirectly from payments made or withdrawals from a depositor’s account involving items of deposit which are not finally paid for any reason;</w:t>
      </w:r>
    </w:p>
    <w:p>
      <w:pPr>
        <w:spacing w:after="0" w:line="50" w:lineRule="exact"/>
        <w:rPr>
          <w:rFonts w:ascii="Arial" w:cs="Arial" w:eastAsia="Arial" w:hAnsi="Arial"/>
          <w:sz w:val="18"/>
          <w:szCs w:val="18"/>
          <w:color w:val="auto"/>
        </w:rPr>
      </w:pPr>
    </w:p>
    <w:p>
      <w:pPr>
        <w:ind w:left="605" w:hanging="605"/>
        <w:spacing w:after="0"/>
        <w:tabs>
          <w:tab w:leader="none" w:pos="60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loss of potential income, including but not limited to interest and dividends;</w:t>
      </w:r>
    </w:p>
    <w:p>
      <w:pPr>
        <w:spacing w:after="0" w:line="90" w:lineRule="exact"/>
        <w:rPr>
          <w:rFonts w:ascii="Arial" w:cs="Arial" w:eastAsia="Arial" w:hAnsi="Arial"/>
          <w:sz w:val="18"/>
          <w:szCs w:val="18"/>
          <w:color w:val="auto"/>
        </w:rPr>
      </w:pPr>
    </w:p>
    <w:p>
      <w:pPr>
        <w:ind w:left="565" w:right="460" w:hanging="565"/>
        <w:spacing w:after="0" w:line="268" w:lineRule="auto"/>
        <w:tabs>
          <w:tab w:leader="none" w:pos="56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loss of any type for which the Insured is legally liable, except compensatory damages, but not multiples thereof, arising directly from a loss covered under this policy;</w:t>
      </w:r>
    </w:p>
    <w:p>
      <w:pPr>
        <w:spacing w:after="0" w:line="50" w:lineRule="exact"/>
        <w:rPr>
          <w:rFonts w:ascii="Arial" w:cs="Arial" w:eastAsia="Arial" w:hAnsi="Arial"/>
          <w:sz w:val="18"/>
          <w:szCs w:val="18"/>
          <w:color w:val="auto"/>
        </w:rPr>
      </w:pPr>
    </w:p>
    <w:p>
      <w:pPr>
        <w:ind w:left="565" w:hanging="565"/>
        <w:spacing w:after="0"/>
        <w:tabs>
          <w:tab w:leader="none" w:pos="56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fees, costs and expenses incurred by the Insured;</w:t>
      </w:r>
    </w:p>
    <w:p>
      <w:pPr>
        <w:spacing w:after="0" w:line="90" w:lineRule="exact"/>
        <w:rPr>
          <w:rFonts w:ascii="Arial" w:cs="Arial" w:eastAsia="Arial" w:hAnsi="Arial"/>
          <w:sz w:val="18"/>
          <w:szCs w:val="18"/>
          <w:color w:val="auto"/>
        </w:rPr>
      </w:pPr>
    </w:p>
    <w:p>
      <w:pPr>
        <w:ind w:left="565" w:hanging="565"/>
        <w:spacing w:after="0"/>
        <w:tabs>
          <w:tab w:leader="none" w:pos="56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indirect or consequential loss of any nature;</w:t>
      </w:r>
    </w:p>
    <w:p>
      <w:pPr>
        <w:sectPr>
          <w:pgSz w:w="11900" w:h="16838" w:orient="portrait"/>
          <w:cols w:equalWidth="0" w:num="1">
            <w:col w:w="10825"/>
          </w:cols>
          <w:pgMar w:left="815" w:top="280" w:right="259" w:bottom="1440" w:gutter="0" w:footer="0" w:header="0"/>
        </w:sectPr>
      </w:pPr>
    </w:p>
    <w:bookmarkStart w:id="65" w:name="page66"/>
    <w:bookmarkEnd w:id="65"/>
    <w:p>
      <w:pPr>
        <w:ind w:left="1132" w:right="360" w:hanging="565"/>
        <w:spacing w:after="0" w:line="268" w:lineRule="auto"/>
        <w:tabs>
          <w:tab w:leader="none" w:pos="1132" w:val="left"/>
        </w:tabs>
        <w:numPr>
          <w:ilvl w:val="0"/>
          <w:numId w:val="1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loss involving automated mechanical devices which on behalf of the Insured, disburse money, accept deposits, cash checks, drafts or similar written instruments, or make credit card loans;</w:t>
      </w:r>
    </w:p>
    <w:p>
      <w:pPr>
        <w:spacing w:after="0" w:line="50" w:lineRule="exact"/>
        <w:rPr>
          <w:rFonts w:ascii="Arial" w:cs="Arial" w:eastAsia="Arial" w:hAnsi="Arial"/>
          <w:sz w:val="18"/>
          <w:szCs w:val="18"/>
          <w:color w:val="auto"/>
        </w:rPr>
      </w:pPr>
    </w:p>
    <w:p>
      <w:pPr>
        <w:ind w:left="1132" w:hanging="565"/>
        <w:spacing w:after="0"/>
        <w:tabs>
          <w:tab w:leader="none" w:pos="113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loss due to riot or civil commotion or loss due to military, naval or usurped power, war or insurrection;</w:t>
      </w:r>
    </w:p>
    <w:p>
      <w:pPr>
        <w:spacing w:after="0" w:line="90" w:lineRule="exact"/>
        <w:rPr>
          <w:rFonts w:ascii="Arial" w:cs="Arial" w:eastAsia="Arial" w:hAnsi="Arial"/>
          <w:sz w:val="18"/>
          <w:szCs w:val="18"/>
          <w:color w:val="auto"/>
        </w:rPr>
      </w:pPr>
    </w:p>
    <w:p>
      <w:pPr>
        <w:ind w:left="1132" w:right="160" w:hanging="565"/>
        <w:spacing w:after="0" w:line="268" w:lineRule="auto"/>
        <w:tabs>
          <w:tab w:leader="none" w:pos="113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loss resulting directly or indirectly from the effects of nuclear fission or fusion or radioactivity; provided, however, that this exclusion shall not apply to loss resulting from industrial uses of nuclear energy; and</w:t>
      </w:r>
    </w:p>
    <w:p>
      <w:pPr>
        <w:spacing w:after="0" w:line="50" w:lineRule="exact"/>
        <w:rPr>
          <w:rFonts w:ascii="Arial" w:cs="Arial" w:eastAsia="Arial" w:hAnsi="Arial"/>
          <w:sz w:val="18"/>
          <w:szCs w:val="18"/>
          <w:color w:val="auto"/>
        </w:rPr>
      </w:pPr>
    </w:p>
    <w:p>
      <w:pPr>
        <w:ind w:left="1132" w:hanging="565"/>
        <w:spacing w:after="0"/>
        <w:tabs>
          <w:tab w:leader="none" w:pos="113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loss as a result of a threat</w:t>
      </w:r>
    </w:p>
    <w:p>
      <w:pPr>
        <w:spacing w:after="0" w:line="90" w:lineRule="exact"/>
        <w:rPr>
          <w:rFonts w:ascii="Arial" w:cs="Arial" w:eastAsia="Arial" w:hAnsi="Arial"/>
          <w:sz w:val="18"/>
          <w:szCs w:val="18"/>
          <w:color w:val="auto"/>
        </w:rPr>
      </w:pPr>
    </w:p>
    <w:p>
      <w:pPr>
        <w:ind w:left="1812" w:hanging="678"/>
        <w:spacing w:after="0"/>
        <w:tabs>
          <w:tab w:leader="none" w:pos="1812"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to do bodily harm to any person;</w:t>
      </w:r>
    </w:p>
    <w:p>
      <w:pPr>
        <w:spacing w:after="0" w:line="90" w:lineRule="exact"/>
        <w:rPr>
          <w:rFonts w:ascii="Arial" w:cs="Arial" w:eastAsia="Arial" w:hAnsi="Arial"/>
          <w:sz w:val="18"/>
          <w:szCs w:val="18"/>
          <w:color w:val="auto"/>
        </w:rPr>
      </w:pPr>
    </w:p>
    <w:p>
      <w:pPr>
        <w:ind w:left="1812" w:hanging="678"/>
        <w:spacing w:after="0"/>
        <w:tabs>
          <w:tab w:leader="none" w:pos="1812"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to do damage to the premises or property of the Insured; or</w:t>
      </w:r>
    </w:p>
    <w:p>
      <w:pPr>
        <w:spacing w:after="0" w:line="90" w:lineRule="exact"/>
        <w:rPr>
          <w:rFonts w:ascii="Arial" w:cs="Arial" w:eastAsia="Arial" w:hAnsi="Arial"/>
          <w:sz w:val="18"/>
          <w:szCs w:val="18"/>
          <w:color w:val="auto"/>
        </w:rPr>
      </w:pPr>
    </w:p>
    <w:p>
      <w:pPr>
        <w:ind w:left="1812" w:hanging="678"/>
        <w:spacing w:after="0"/>
        <w:tabs>
          <w:tab w:leader="none" w:pos="1812"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to Computer Systems operations;</w:t>
      </w:r>
    </w:p>
    <w:p>
      <w:pPr>
        <w:spacing w:after="0" w:line="90" w:lineRule="exact"/>
        <w:rPr>
          <w:sz w:val="20"/>
          <w:szCs w:val="20"/>
          <w:color w:val="auto"/>
        </w:rPr>
      </w:pPr>
    </w:p>
    <w:p>
      <w:pPr>
        <w:ind w:left="572" w:right="900" w:hanging="572"/>
        <w:spacing w:after="0" w:line="332" w:lineRule="auto"/>
        <w:tabs>
          <w:tab w:leader="none" w:pos="572" w:val="left"/>
        </w:tabs>
        <w:numPr>
          <w:ilvl w:val="0"/>
          <w:numId w:val="116"/>
        </w:numPr>
        <w:rPr>
          <w:rFonts w:ascii="Arial" w:cs="Arial" w:eastAsia="Arial" w:hAnsi="Arial"/>
          <w:sz w:val="16"/>
          <w:szCs w:val="16"/>
          <w:color w:val="auto"/>
        </w:rPr>
      </w:pPr>
      <w:r>
        <w:rPr>
          <w:rFonts w:ascii="Arial" w:cs="Arial" w:eastAsia="Arial" w:hAnsi="Arial"/>
          <w:sz w:val="16"/>
          <w:szCs w:val="16"/>
          <w:color w:val="auto"/>
        </w:rPr>
        <w:t>Solely for the coverage provided by this rider, Section 5. NOTICE/PROOF – LEGAL PROCEEDINGS AGAINST UNDERWRITER of the CONDITIONS AND LIMITATIONS section is hereby amended by adding the following section to the end thereof:</w:t>
      </w:r>
    </w:p>
    <w:p>
      <w:pPr>
        <w:spacing w:after="0" w:line="4" w:lineRule="exact"/>
        <w:rPr>
          <w:rFonts w:ascii="Arial" w:cs="Arial" w:eastAsia="Arial" w:hAnsi="Arial"/>
          <w:sz w:val="16"/>
          <w:szCs w:val="16"/>
          <w:color w:val="auto"/>
        </w:rPr>
      </w:pPr>
    </w:p>
    <w:p>
      <w:pPr>
        <w:ind w:left="1132" w:hanging="565"/>
        <w:spacing w:after="0" w:line="268" w:lineRule="auto"/>
        <w:tabs>
          <w:tab w:leader="none" w:pos="1132" w:val="left"/>
        </w:tabs>
        <w:numPr>
          <w:ilvl w:val="1"/>
          <w:numId w:val="116"/>
        </w:numPr>
        <w:rPr>
          <w:rFonts w:ascii="Arial" w:cs="Arial" w:eastAsia="Arial" w:hAnsi="Arial"/>
          <w:sz w:val="18"/>
          <w:szCs w:val="18"/>
          <w:color w:val="auto"/>
        </w:rPr>
      </w:pPr>
      <w:r>
        <w:rPr>
          <w:rFonts w:ascii="Arial" w:cs="Arial" w:eastAsia="Arial" w:hAnsi="Arial"/>
          <w:sz w:val="18"/>
          <w:szCs w:val="18"/>
          <w:color w:val="auto"/>
        </w:rPr>
        <w:t>Proof of loss for claim under the Voice Initiated Transfer Fraud Insuring Agreement must include electronic recordings of such voice instructions and the verification call-back, if such call-back was required.</w:t>
      </w:r>
    </w:p>
    <w:p>
      <w:pPr>
        <w:spacing w:after="0" w:line="50" w:lineRule="exact"/>
        <w:rPr>
          <w:rFonts w:ascii="Arial" w:cs="Arial" w:eastAsia="Arial" w:hAnsi="Arial"/>
          <w:sz w:val="18"/>
          <w:szCs w:val="18"/>
          <w:color w:val="auto"/>
        </w:rPr>
      </w:pPr>
    </w:p>
    <w:p>
      <w:pPr>
        <w:ind w:left="1132" w:right="440" w:hanging="565"/>
        <w:spacing w:after="0" w:line="268" w:lineRule="auto"/>
        <w:tabs>
          <w:tab w:leader="none" w:pos="1132" w:val="left"/>
        </w:tabs>
        <w:numPr>
          <w:ilvl w:val="1"/>
          <w:numId w:val="116"/>
        </w:numPr>
        <w:rPr>
          <w:rFonts w:ascii="Arial" w:cs="Arial" w:eastAsia="Arial" w:hAnsi="Arial"/>
          <w:sz w:val="18"/>
          <w:szCs w:val="18"/>
          <w:color w:val="auto"/>
        </w:rPr>
      </w:pPr>
      <w:r>
        <w:rPr>
          <w:rFonts w:ascii="Arial" w:cs="Arial" w:eastAsia="Arial" w:hAnsi="Arial"/>
          <w:sz w:val="18"/>
          <w:szCs w:val="18"/>
          <w:color w:val="auto"/>
        </w:rPr>
        <w:t>Proof of loss for claim under the Telefacsimile Transfer Fraud Insuring Agreement must include a copy of the document reproduced by the Telefacsimile Device.</w:t>
      </w:r>
    </w:p>
    <w:p>
      <w:pPr>
        <w:spacing w:after="0" w:line="50" w:lineRule="exact"/>
        <w:rPr>
          <w:rFonts w:ascii="Arial" w:cs="Arial" w:eastAsia="Arial" w:hAnsi="Arial"/>
          <w:sz w:val="18"/>
          <w:szCs w:val="18"/>
          <w:color w:val="auto"/>
        </w:rPr>
      </w:pPr>
    </w:p>
    <w:p>
      <w:pPr>
        <w:ind w:left="1132"/>
        <w:spacing w:after="0"/>
        <w:rPr>
          <w:rFonts w:ascii="Arial" w:cs="Arial" w:eastAsia="Arial" w:hAnsi="Arial"/>
          <w:sz w:val="18"/>
          <w:szCs w:val="18"/>
          <w:color w:val="auto"/>
        </w:rPr>
      </w:pPr>
      <w:r>
        <w:rPr>
          <w:rFonts w:ascii="Arial" w:cs="Arial" w:eastAsia="Arial" w:hAnsi="Arial"/>
          <w:sz w:val="18"/>
          <w:szCs w:val="18"/>
          <w:color w:val="auto"/>
        </w:rPr>
        <w:t>ALL OTHER TERMS, CONDITIONS AND EXCLUSIONS REMAIN UNCHANGED.</w:t>
      </w:r>
    </w:p>
    <w:p>
      <w:pPr>
        <w:spacing w:after="0" w:line="171"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 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139700</wp:posOffset>
            </wp:positionV>
            <wp:extent cx="2898775" cy="5918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89877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AUTHORIZED REPRESENTATIVE</w:t>
      </w:r>
    </w:p>
    <w:p>
      <w:pPr>
        <w:sectPr>
          <w:pgSz w:w="11900" w:h="16838" w:orient="portrait"/>
          <w:cols w:equalWidth="0" w:num="1">
            <w:col w:w="11332"/>
          </w:cols>
          <w:pgMar w:left="248" w:top="280" w:right="31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This endorsement, effective 12:01 A.M</w:t>
      </w:r>
    </w:p>
    <w:p>
      <w:pPr>
        <w:spacing w:after="0" w:line="1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policy No.</w:t>
      </w:r>
      <w:r>
        <w:rPr>
          <w:sz w:val="20"/>
          <w:szCs w:val="20"/>
          <w:color w:val="auto"/>
        </w:rPr>
        <w:tab/>
      </w:r>
      <w:r>
        <w:rPr>
          <w:rFonts w:ascii="Arial" w:cs="Arial" w:eastAsia="Arial" w:hAnsi="Arial"/>
          <w:sz w:val="16"/>
          <w:szCs w:val="16"/>
          <w:color w:val="auto"/>
        </w:rPr>
        <w:t>01-615-75-34</w:t>
      </w:r>
    </w:p>
    <w:p>
      <w:pPr>
        <w:spacing w:after="0" w:line="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issued to:</w:t>
      </w:r>
      <w:r>
        <w:rPr>
          <w:sz w:val="20"/>
          <w:szCs w:val="20"/>
          <w:color w:val="auto"/>
        </w:rPr>
        <w:tab/>
      </w:r>
      <w:r>
        <w:rPr>
          <w:rFonts w:ascii="Arial" w:cs="Arial" w:eastAsia="Arial" w:hAnsi="Arial"/>
          <w:sz w:val="16"/>
          <w:szCs w:val="16"/>
          <w:color w:val="auto"/>
        </w:rPr>
        <w:t>TPG SPECIALTY LENDING,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March 8, 2012 forms a part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-3207385</wp:posOffset>
            </wp:positionH>
            <wp:positionV relativeFrom="paragraph">
              <wp:posOffset>-205105</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620" w:lineRule="exact"/>
        <w:rPr>
          <w:sz w:val="20"/>
          <w:szCs w:val="20"/>
          <w:color w:val="auto"/>
        </w:rPr>
      </w:pPr>
    </w:p>
    <w:p>
      <w:pPr>
        <w:sectPr>
          <w:pgSz w:w="11900" w:h="16838" w:orient="portrait"/>
          <w:cols w:equalWidth="0" w:num="2">
            <w:col w:w="4320" w:space="720"/>
            <w:col w:w="6380"/>
          </w:cols>
          <w:pgMar w:left="240" w:top="280" w:right="239" w:bottom="1440" w:gutter="0" w:footer="0" w:header="0"/>
        </w:sectPr>
      </w:pPr>
    </w:p>
    <w:p>
      <w:pPr>
        <w:ind w:left="5280"/>
        <w:spacing w:after="0"/>
        <w:rPr>
          <w:sz w:val="20"/>
          <w:szCs w:val="20"/>
          <w:color w:val="auto"/>
        </w:rPr>
      </w:pPr>
      <w:r>
        <w:rPr>
          <w:rFonts w:ascii="Arial" w:cs="Arial" w:eastAsia="Arial" w:hAnsi="Arial"/>
          <w:sz w:val="18"/>
          <w:szCs w:val="18"/>
          <w:b w:val="1"/>
          <w:bCs w:val="1"/>
          <w:u w:val="single" w:color="auto"/>
          <w:color w:val="auto"/>
        </w:rPr>
        <w:t>RIDER#</w:t>
      </w:r>
      <w:r>
        <w:rPr>
          <w:rFonts w:ascii="Arial" w:cs="Arial" w:eastAsia="Arial" w:hAnsi="Arial"/>
          <w:sz w:val="18"/>
          <w:szCs w:val="18"/>
          <w:b w:val="1"/>
          <w:bCs w:val="1"/>
          <w:color w:val="auto"/>
        </w:rPr>
        <w:t xml:space="preserve"> 20</w:t>
      </w:r>
    </w:p>
    <w:p>
      <w:pPr>
        <w:spacing w:after="0" w:line="17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STATE AMENDATORY INCONSISTENT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In consideration of the premium charged, it is hereby understood and agreed as follows:</w:t>
      </w:r>
    </w:p>
    <w:p>
      <w:pPr>
        <w:spacing w:after="0" w:line="90" w:lineRule="exact"/>
        <w:rPr>
          <w:sz w:val="20"/>
          <w:szCs w:val="20"/>
          <w:color w:val="auto"/>
        </w:rPr>
      </w:pPr>
    </w:p>
    <w:p>
      <w:pPr>
        <w:jc w:val="both"/>
        <w:ind w:left="580" w:hanging="572"/>
        <w:spacing w:after="0" w:line="306" w:lineRule="auto"/>
        <w:tabs>
          <w:tab w:leader="none" w:pos="58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In the event that there is an inconsistency between any: (a) state amendatory attached to this policy, or any other wording attached to this policy to comply with applicable law; and (b) any other term, condition or limitation of this policy; then, to the extent permitted by law, subject to the limitations below, the Insurer will resolve the inconsistency by applying the terms, conditions or limitations that are more favorable to the policyholder.</w:t>
      </w:r>
    </w:p>
    <w:p>
      <w:pPr>
        <w:spacing w:after="0" w:line="25" w:lineRule="exact"/>
        <w:rPr>
          <w:rFonts w:ascii="Arial" w:cs="Arial" w:eastAsia="Arial" w:hAnsi="Arial"/>
          <w:sz w:val="16"/>
          <w:szCs w:val="16"/>
          <w:color w:val="auto"/>
        </w:rPr>
      </w:pPr>
    </w:p>
    <w:p>
      <w:pPr>
        <w:ind w:left="580" w:right="40" w:hanging="572"/>
        <w:spacing w:after="0" w:line="259" w:lineRule="auto"/>
        <w:tabs>
          <w:tab w:leader="none" w:pos="5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This endorsement shall not apply to the extent that: (a) any state amendatory or other wording expressly limits coverage in order to comply with applicable law, or (b) any such amendatory or other compliance wording amends language applicable to premium. In such events, the state amendatory or other compliance wording will govern over any other term, condition or limitation of the policy.</w:t>
      </w:r>
    </w:p>
    <w:p>
      <w:pPr>
        <w:spacing w:after="0" w:line="59" w:lineRule="exact"/>
        <w:rPr>
          <w:rFonts w:ascii="Arial" w:cs="Arial" w:eastAsia="Arial" w:hAnsi="Arial"/>
          <w:sz w:val="18"/>
          <w:szCs w:val="18"/>
          <w:color w:val="auto"/>
        </w:rPr>
      </w:pPr>
    </w:p>
    <w:p>
      <w:pPr>
        <w:ind w:left="580" w:right="760" w:hanging="572"/>
        <w:spacing w:after="0" w:line="268" w:lineRule="auto"/>
        <w:tabs>
          <w:tab w:leader="none" w:pos="5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“Policyholder” means the first Named Entity, Named Organization, Named Corporation, Named Sponsor, Named Insured or other policyholder designated in Item 1 of the Declarations of this policy.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CONDITIONS AND EXCLUSIONS REMAIN UNCHANGED.</w:t>
      </w:r>
    </w:p>
    <w:p>
      <w:pPr>
        <w:spacing w:after="0" w:line="17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 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276860</wp:posOffset>
            </wp:positionV>
            <wp:extent cx="289877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AUTHORIZED REPRESENTATIVE</w:t>
      </w:r>
    </w:p>
    <w:p>
      <w:pPr>
        <w:sectPr>
          <w:pgSz w:w="11900" w:h="16838" w:orient="portrait"/>
          <w:cols w:equalWidth="0" w:num="1">
            <w:col w:w="11420"/>
          </w:cols>
          <w:pgMar w:left="240" w:top="280" w:right="239" w:bottom="1440" w:gutter="0" w:footer="0" w:header="0"/>
          <w:type w:val="continuous"/>
        </w:sectPr>
      </w:pPr>
    </w:p>
    <w:bookmarkStart w:id="67" w:name="page68"/>
    <w:bookmarkEnd w:id="67"/>
    <w:tbl>
      <w:tblPr>
        <w:tblLayout w:type="fixed"/>
        <w:tblInd w:w="0" w:type="dxa"/>
        <w:tblCellMar>
          <w:top w:w="0" w:type="dxa"/>
          <w:left w:w="0" w:type="dxa"/>
          <w:bottom w:w="0" w:type="dxa"/>
          <w:right w:w="0" w:type="dxa"/>
        </w:tblCellMar>
      </w:tblPr>
      <w:tr>
        <w:trPr>
          <w:trHeight w:val="207"/>
        </w:trPr>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60" w:type="dxa"/>
            <w:vAlign w:val="bottom"/>
            <w:gridSpan w:val="2"/>
          </w:tcPr>
          <w:p>
            <w:pPr>
              <w:spacing w:after="0"/>
              <w:rPr>
                <w:sz w:val="20"/>
                <w:szCs w:val="20"/>
                <w:color w:val="auto"/>
              </w:rPr>
            </w:pPr>
            <w:r>
              <w:rPr>
                <w:rFonts w:ascii="Arial" w:cs="Arial" w:eastAsia="Arial" w:hAnsi="Arial"/>
                <w:sz w:val="18"/>
                <w:szCs w:val="18"/>
                <w:b w:val="1"/>
                <w:bCs w:val="1"/>
                <w:color w:val="auto"/>
              </w:rPr>
              <w:t>RIDER# 21</w:t>
            </w:r>
          </w:p>
        </w:tc>
      </w:tr>
      <w:tr>
        <w:trPr>
          <w:trHeight w:val="20"/>
        </w:trPr>
        <w:tc>
          <w:tcPr>
            <w:tcW w:w="48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31"/>
        </w:trPr>
        <w:tc>
          <w:tcPr>
            <w:tcW w:w="4860" w:type="dxa"/>
            <w:vAlign w:val="bottom"/>
            <w:gridSpan w:val="3"/>
          </w:tcPr>
          <w:p>
            <w:pPr>
              <w:spacing w:after="0"/>
              <w:rPr>
                <w:sz w:val="20"/>
                <w:szCs w:val="20"/>
                <w:color w:val="auto"/>
              </w:rPr>
            </w:pPr>
            <w:r>
              <w:rPr>
                <w:rFonts w:ascii="Arial" w:cs="Arial" w:eastAsia="Arial" w:hAnsi="Arial"/>
                <w:sz w:val="18"/>
                <w:szCs w:val="18"/>
                <w:color w:val="auto"/>
              </w:rPr>
              <w:t>This endorsement, effective 12:01 A.M</w:t>
            </w:r>
          </w:p>
        </w:tc>
        <w:tc>
          <w:tcPr>
            <w:tcW w:w="2280" w:type="dxa"/>
            <w:vAlign w:val="bottom"/>
            <w:gridSpan w:val="3"/>
          </w:tcPr>
          <w:p>
            <w:pPr>
              <w:ind w:left="180"/>
              <w:spacing w:after="0"/>
              <w:rPr>
                <w:sz w:val="20"/>
                <w:szCs w:val="20"/>
                <w:color w:val="auto"/>
              </w:rPr>
            </w:pPr>
            <w:r>
              <w:rPr>
                <w:rFonts w:ascii="Arial" w:cs="Arial" w:eastAsia="Arial" w:hAnsi="Arial"/>
                <w:sz w:val="18"/>
                <w:szCs w:val="18"/>
                <w:color w:val="auto"/>
                <w:w w:val="88"/>
              </w:rPr>
              <w:t>March 8, 2012 forms a part of</w:t>
            </w:r>
          </w:p>
        </w:tc>
      </w:tr>
      <w:tr>
        <w:trPr>
          <w:trHeight w:val="216"/>
        </w:trPr>
        <w:tc>
          <w:tcPr>
            <w:tcW w:w="1060" w:type="dxa"/>
            <w:vAlign w:val="bottom"/>
            <w:gridSpan w:val="2"/>
          </w:tcPr>
          <w:p>
            <w:pPr>
              <w:spacing w:after="0"/>
              <w:rPr>
                <w:sz w:val="20"/>
                <w:szCs w:val="20"/>
                <w:color w:val="auto"/>
              </w:rPr>
            </w:pPr>
            <w:r>
              <w:rPr>
                <w:rFonts w:ascii="Arial" w:cs="Arial" w:eastAsia="Arial" w:hAnsi="Arial"/>
                <w:sz w:val="18"/>
                <w:szCs w:val="18"/>
                <w:color w:val="auto"/>
              </w:rPr>
              <w:t>policy No.</w:t>
            </w:r>
          </w:p>
        </w:tc>
        <w:tc>
          <w:tcPr>
            <w:tcW w:w="3800" w:type="dxa"/>
            <w:vAlign w:val="bottom"/>
          </w:tcPr>
          <w:p>
            <w:pPr>
              <w:ind w:left="320"/>
              <w:spacing w:after="0"/>
              <w:rPr>
                <w:sz w:val="20"/>
                <w:szCs w:val="20"/>
                <w:color w:val="auto"/>
              </w:rPr>
            </w:pPr>
            <w:r>
              <w:rPr>
                <w:rFonts w:ascii="Arial" w:cs="Arial" w:eastAsia="Arial" w:hAnsi="Arial"/>
                <w:sz w:val="18"/>
                <w:szCs w:val="18"/>
                <w:color w:val="auto"/>
              </w:rPr>
              <w:t>01-615-75-34</w:t>
            </w: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2"/>
        </w:trPr>
        <w:tc>
          <w:tcPr>
            <w:tcW w:w="1060" w:type="dxa"/>
            <w:vAlign w:val="bottom"/>
            <w:gridSpan w:val="2"/>
          </w:tcPr>
          <w:p>
            <w:pPr>
              <w:spacing w:after="0"/>
              <w:rPr>
                <w:sz w:val="20"/>
                <w:szCs w:val="20"/>
                <w:color w:val="auto"/>
              </w:rPr>
            </w:pPr>
            <w:r>
              <w:rPr>
                <w:rFonts w:ascii="Arial" w:cs="Arial" w:eastAsia="Arial" w:hAnsi="Arial"/>
                <w:sz w:val="18"/>
                <w:szCs w:val="18"/>
                <w:color w:val="auto"/>
              </w:rPr>
              <w:t>issued to:</w:t>
            </w:r>
          </w:p>
        </w:tc>
        <w:tc>
          <w:tcPr>
            <w:tcW w:w="3800" w:type="dxa"/>
            <w:vAlign w:val="bottom"/>
          </w:tcPr>
          <w:p>
            <w:pPr>
              <w:ind w:left="320"/>
              <w:spacing w:after="0"/>
              <w:rPr>
                <w:sz w:val="20"/>
                <w:szCs w:val="20"/>
                <w:color w:val="auto"/>
              </w:rPr>
            </w:pPr>
            <w:r>
              <w:rPr>
                <w:rFonts w:ascii="Arial" w:cs="Arial" w:eastAsia="Arial" w:hAnsi="Arial"/>
                <w:sz w:val="18"/>
                <w:szCs w:val="18"/>
                <w:color w:val="auto"/>
              </w:rPr>
              <w:t>TPG SPECIALTY LENDING, INC.</w:t>
            </w: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19"/>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gridSpan w:val="2"/>
          </w:tcPr>
          <w:p>
            <w:pPr>
              <w:ind w:left="200"/>
              <w:spacing w:after="0"/>
              <w:rPr>
                <w:sz w:val="20"/>
                <w:szCs w:val="20"/>
                <w:color w:val="auto"/>
              </w:rPr>
            </w:pPr>
            <w:r>
              <w:rPr>
                <w:rFonts w:ascii="Arial" w:cs="Arial" w:eastAsia="Arial" w:hAnsi="Arial"/>
                <w:sz w:val="18"/>
                <w:szCs w:val="18"/>
                <w:color w:val="auto"/>
                <w:w w:val="91"/>
              </w:rPr>
              <w:t>National Union Fire Insurance Company of Pittsburgh, Pa.</w:t>
            </w: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3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380"/>
        <w:spacing w:after="0"/>
        <w:rPr>
          <w:sz w:val="20"/>
          <w:szCs w:val="20"/>
          <w:color w:val="auto"/>
        </w:rPr>
      </w:pPr>
      <w:r>
        <w:rPr>
          <w:rFonts w:ascii="Arial" w:cs="Arial" w:eastAsia="Arial" w:hAnsi="Arial"/>
          <w:sz w:val="18"/>
          <w:szCs w:val="18"/>
          <w:b w:val="1"/>
          <w:bCs w:val="1"/>
          <w:color w:val="auto"/>
        </w:rPr>
        <w:t>FORMS INDEX ENDORSEMENT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contents of the Policy is comprised of the following forms: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20"/>
                <w:szCs w:val="20"/>
                <w:color w:val="auto"/>
              </w:rPr>
            </w:pPr>
            <w:r>
              <w:rPr>
                <w:rFonts w:ascii="Arial" w:cs="Arial" w:eastAsia="Arial" w:hAnsi="Arial"/>
                <w:sz w:val="14"/>
                <w:szCs w:val="14"/>
                <w:color w:val="auto"/>
              </w:rPr>
              <w:t>FORM NUMBER</w:t>
            </w:r>
          </w:p>
        </w:tc>
        <w:tc>
          <w:tcPr>
            <w:tcW w:w="1440" w:type="dxa"/>
            <w:vAlign w:val="bottom"/>
          </w:tcPr>
          <w:p>
            <w:pPr>
              <w:ind w:left="240"/>
              <w:spacing w:after="0"/>
              <w:rPr>
                <w:sz w:val="20"/>
                <w:szCs w:val="20"/>
                <w:color w:val="auto"/>
              </w:rPr>
            </w:pPr>
            <w:r>
              <w:rPr>
                <w:rFonts w:ascii="Arial" w:cs="Arial" w:eastAsia="Arial" w:hAnsi="Arial"/>
                <w:sz w:val="14"/>
                <w:szCs w:val="14"/>
                <w:color w:val="auto"/>
              </w:rPr>
              <w:t>EDITION DATE</w:t>
            </w:r>
          </w:p>
        </w:tc>
        <w:tc>
          <w:tcPr>
            <w:tcW w:w="6680" w:type="dxa"/>
            <w:vAlign w:val="bottom"/>
          </w:tcPr>
          <w:p>
            <w:pPr>
              <w:ind w:left="280"/>
              <w:spacing w:after="0"/>
              <w:rPr>
                <w:sz w:val="20"/>
                <w:szCs w:val="20"/>
                <w:color w:val="auto"/>
              </w:rPr>
            </w:pPr>
            <w:r>
              <w:rPr>
                <w:rFonts w:ascii="Arial" w:cs="Arial" w:eastAsia="Arial" w:hAnsi="Arial"/>
                <w:sz w:val="14"/>
                <w:szCs w:val="14"/>
                <w:color w:val="auto"/>
              </w:rPr>
              <w:t>FORM TITLE</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46726</w:t>
            </w:r>
          </w:p>
        </w:tc>
        <w:tc>
          <w:tcPr>
            <w:tcW w:w="1440" w:type="dxa"/>
            <w:vAlign w:val="bottom"/>
          </w:tcPr>
          <w:p>
            <w:pPr>
              <w:ind w:left="240"/>
              <w:spacing w:after="0"/>
              <w:rPr>
                <w:sz w:val="20"/>
                <w:szCs w:val="20"/>
                <w:color w:val="auto"/>
              </w:rPr>
            </w:pPr>
            <w:r>
              <w:rPr>
                <w:rFonts w:ascii="Arial" w:cs="Arial" w:eastAsia="Arial" w:hAnsi="Arial"/>
                <w:sz w:val="18"/>
                <w:szCs w:val="18"/>
                <w:color w:val="auto"/>
              </w:rPr>
              <w:t>12/87</w:t>
            </w:r>
          </w:p>
        </w:tc>
        <w:tc>
          <w:tcPr>
            <w:tcW w:w="6680" w:type="dxa"/>
            <w:vAlign w:val="bottom"/>
          </w:tcPr>
          <w:p>
            <w:pPr>
              <w:ind w:left="280"/>
              <w:spacing w:after="0"/>
              <w:rPr>
                <w:sz w:val="20"/>
                <w:szCs w:val="20"/>
                <w:color w:val="auto"/>
              </w:rPr>
            </w:pPr>
            <w:r>
              <w:rPr>
                <w:rFonts w:ascii="Arial" w:cs="Arial" w:eastAsia="Arial" w:hAnsi="Arial"/>
                <w:sz w:val="18"/>
                <w:szCs w:val="18"/>
                <w:color w:val="auto"/>
              </w:rPr>
              <w:t>FINANCIAL INSTITUTION BOND – FORM #14 DEC-PAGE</w:t>
            </w:r>
          </w:p>
        </w:tc>
      </w:tr>
      <w:tr>
        <w:trPr>
          <w:trHeight w:val="216"/>
        </w:trPr>
        <w:tc>
          <w:tcPr>
            <w:tcW w:w="1260" w:type="dxa"/>
            <w:vAlign w:val="bottom"/>
          </w:tcPr>
          <w:p>
            <w:pPr>
              <w:spacing w:after="0"/>
              <w:rPr>
                <w:sz w:val="18"/>
                <w:szCs w:val="18"/>
                <w:color w:val="auto"/>
              </w:rPr>
            </w:pPr>
          </w:p>
        </w:tc>
        <w:tc>
          <w:tcPr>
            <w:tcW w:w="1440" w:type="dxa"/>
            <w:vAlign w:val="bottom"/>
          </w:tcPr>
          <w:p>
            <w:pPr>
              <w:ind w:left="240"/>
              <w:spacing w:after="0"/>
              <w:rPr>
                <w:sz w:val="20"/>
                <w:szCs w:val="20"/>
                <w:color w:val="auto"/>
              </w:rPr>
            </w:pPr>
            <w:r>
              <w:rPr>
                <w:rFonts w:ascii="Arial" w:cs="Arial" w:eastAsia="Arial" w:hAnsi="Arial"/>
                <w:sz w:val="18"/>
                <w:szCs w:val="18"/>
                <w:color w:val="auto"/>
              </w:rPr>
              <w:t>08/88</w:t>
            </w:r>
          </w:p>
        </w:tc>
        <w:tc>
          <w:tcPr>
            <w:tcW w:w="6680" w:type="dxa"/>
            <w:vAlign w:val="bottom"/>
          </w:tcPr>
          <w:p>
            <w:pPr>
              <w:ind w:left="280"/>
              <w:spacing w:after="0"/>
              <w:rPr>
                <w:sz w:val="20"/>
                <w:szCs w:val="20"/>
                <w:color w:val="auto"/>
              </w:rPr>
            </w:pPr>
            <w:r>
              <w:rPr>
                <w:rFonts w:ascii="Arial" w:cs="Arial" w:eastAsia="Arial" w:hAnsi="Arial"/>
                <w:sz w:val="18"/>
                <w:szCs w:val="18"/>
                <w:color w:val="auto"/>
              </w:rPr>
              <w:t>FINANCIAL INSTITUTION FORM 14 GUTS</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89644</w:t>
            </w:r>
          </w:p>
        </w:tc>
        <w:tc>
          <w:tcPr>
            <w:tcW w:w="1440" w:type="dxa"/>
            <w:vAlign w:val="bottom"/>
          </w:tcPr>
          <w:p>
            <w:pPr>
              <w:ind w:left="240"/>
              <w:spacing w:after="0"/>
              <w:rPr>
                <w:sz w:val="20"/>
                <w:szCs w:val="20"/>
                <w:color w:val="auto"/>
              </w:rPr>
            </w:pPr>
            <w:r>
              <w:rPr>
                <w:rFonts w:ascii="Arial" w:cs="Arial" w:eastAsia="Arial" w:hAnsi="Arial"/>
                <w:sz w:val="18"/>
                <w:szCs w:val="18"/>
                <w:color w:val="auto"/>
              </w:rPr>
              <w:t>07/05</w:t>
            </w:r>
          </w:p>
        </w:tc>
        <w:tc>
          <w:tcPr>
            <w:tcW w:w="6680" w:type="dxa"/>
            <w:vAlign w:val="bottom"/>
          </w:tcPr>
          <w:p>
            <w:pPr>
              <w:ind w:left="280"/>
              <w:spacing w:after="0"/>
              <w:rPr>
                <w:sz w:val="20"/>
                <w:szCs w:val="20"/>
                <w:color w:val="auto"/>
              </w:rPr>
            </w:pPr>
            <w:r>
              <w:rPr>
                <w:rFonts w:ascii="Arial" w:cs="Arial" w:eastAsia="Arial" w:hAnsi="Arial"/>
                <w:sz w:val="18"/>
                <w:szCs w:val="18"/>
                <w:color w:val="auto"/>
              </w:rPr>
              <w:t>COVERAGE TERRITORY ENDORSEMENT (OFAC)</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99758</w:t>
            </w:r>
          </w:p>
        </w:tc>
        <w:tc>
          <w:tcPr>
            <w:tcW w:w="1440" w:type="dxa"/>
            <w:vAlign w:val="bottom"/>
          </w:tcPr>
          <w:p>
            <w:pPr>
              <w:ind w:left="240"/>
              <w:spacing w:after="0"/>
              <w:rPr>
                <w:sz w:val="20"/>
                <w:szCs w:val="20"/>
                <w:color w:val="auto"/>
              </w:rPr>
            </w:pPr>
            <w:r>
              <w:rPr>
                <w:rFonts w:ascii="Arial" w:cs="Arial" w:eastAsia="Arial" w:hAnsi="Arial"/>
                <w:sz w:val="18"/>
                <w:szCs w:val="18"/>
                <w:color w:val="auto"/>
              </w:rPr>
              <w:t>08/08</w:t>
            </w:r>
          </w:p>
        </w:tc>
        <w:tc>
          <w:tcPr>
            <w:tcW w:w="6680" w:type="dxa"/>
            <w:vAlign w:val="bottom"/>
          </w:tcPr>
          <w:p>
            <w:pPr>
              <w:ind w:left="280"/>
              <w:spacing w:after="0"/>
              <w:rPr>
                <w:sz w:val="20"/>
                <w:szCs w:val="20"/>
                <w:color w:val="auto"/>
              </w:rPr>
            </w:pPr>
            <w:r>
              <w:rPr>
                <w:rFonts w:ascii="Arial" w:cs="Arial" w:eastAsia="Arial" w:hAnsi="Arial"/>
                <w:sz w:val="18"/>
                <w:szCs w:val="18"/>
                <w:color w:val="auto"/>
              </w:rPr>
              <w:t>NOTICE OF CLAIM (REPORTING BY E-MAIL)</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101776</w:t>
            </w:r>
          </w:p>
        </w:tc>
        <w:tc>
          <w:tcPr>
            <w:tcW w:w="1440" w:type="dxa"/>
            <w:vAlign w:val="bottom"/>
          </w:tcPr>
          <w:p>
            <w:pPr>
              <w:ind w:left="240"/>
              <w:spacing w:after="0"/>
              <w:rPr>
                <w:sz w:val="20"/>
                <w:szCs w:val="20"/>
                <w:color w:val="auto"/>
              </w:rPr>
            </w:pPr>
            <w:r>
              <w:rPr>
                <w:rFonts w:ascii="Arial" w:cs="Arial" w:eastAsia="Arial" w:hAnsi="Arial"/>
                <w:sz w:val="18"/>
                <w:szCs w:val="18"/>
                <w:color w:val="auto"/>
              </w:rPr>
              <w:t>06/09</w:t>
            </w:r>
          </w:p>
        </w:tc>
        <w:tc>
          <w:tcPr>
            <w:tcW w:w="6680" w:type="dxa"/>
            <w:vAlign w:val="bottom"/>
          </w:tcPr>
          <w:p>
            <w:pPr>
              <w:ind w:left="280"/>
              <w:spacing w:after="0"/>
              <w:rPr>
                <w:sz w:val="20"/>
                <w:szCs w:val="20"/>
                <w:color w:val="auto"/>
              </w:rPr>
            </w:pPr>
            <w:r>
              <w:rPr>
                <w:rFonts w:ascii="Arial" w:cs="Arial" w:eastAsia="Arial" w:hAnsi="Arial"/>
                <w:sz w:val="18"/>
                <w:szCs w:val="18"/>
                <w:color w:val="auto"/>
              </w:rPr>
              <w:t>AMEND EXCLUSION (J) – RICO RIDER (ALLEGED TO ADJUDICATED)</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74802</w:t>
            </w:r>
          </w:p>
        </w:tc>
        <w:tc>
          <w:tcPr>
            <w:tcW w:w="1440" w:type="dxa"/>
            <w:vAlign w:val="bottom"/>
          </w:tcPr>
          <w:p>
            <w:pPr>
              <w:ind w:left="240"/>
              <w:spacing w:after="0"/>
              <w:rPr>
                <w:sz w:val="20"/>
                <w:szCs w:val="20"/>
                <w:color w:val="auto"/>
              </w:rPr>
            </w:pPr>
            <w:r>
              <w:rPr>
                <w:rFonts w:ascii="Arial" w:cs="Arial" w:eastAsia="Arial" w:hAnsi="Arial"/>
                <w:sz w:val="18"/>
                <w:szCs w:val="18"/>
                <w:color w:val="auto"/>
              </w:rPr>
              <w:t>07/11</w:t>
            </w:r>
          </w:p>
        </w:tc>
        <w:tc>
          <w:tcPr>
            <w:tcW w:w="6680" w:type="dxa"/>
            <w:vAlign w:val="bottom"/>
          </w:tcPr>
          <w:p>
            <w:pPr>
              <w:ind w:left="280"/>
              <w:spacing w:after="0"/>
              <w:rPr>
                <w:sz w:val="20"/>
                <w:szCs w:val="20"/>
                <w:color w:val="auto"/>
              </w:rPr>
            </w:pPr>
            <w:r>
              <w:rPr>
                <w:rFonts w:ascii="Arial" w:cs="Arial" w:eastAsia="Arial" w:hAnsi="Arial"/>
                <w:sz w:val="18"/>
                <w:szCs w:val="18"/>
                <w:color w:val="auto"/>
                <w:w w:val="94"/>
              </w:rPr>
              <w:t>TEXAS AMENDATORY ENDORSEMENT – CANCELLATION/NONRENEWAL57643</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57643</w:t>
            </w:r>
          </w:p>
        </w:tc>
        <w:tc>
          <w:tcPr>
            <w:tcW w:w="1440" w:type="dxa"/>
            <w:vAlign w:val="bottom"/>
          </w:tcPr>
          <w:p>
            <w:pPr>
              <w:ind w:left="240"/>
              <w:spacing w:after="0"/>
              <w:rPr>
                <w:sz w:val="20"/>
                <w:szCs w:val="20"/>
                <w:color w:val="auto"/>
              </w:rPr>
            </w:pPr>
            <w:r>
              <w:rPr>
                <w:rFonts w:ascii="Arial" w:cs="Arial" w:eastAsia="Arial" w:hAnsi="Arial"/>
                <w:sz w:val="18"/>
                <w:szCs w:val="18"/>
                <w:color w:val="auto"/>
              </w:rPr>
              <w:t>06/93</w:t>
            </w:r>
          </w:p>
        </w:tc>
        <w:tc>
          <w:tcPr>
            <w:tcW w:w="6680" w:type="dxa"/>
            <w:vAlign w:val="bottom"/>
          </w:tcPr>
          <w:p>
            <w:pPr>
              <w:ind w:left="280"/>
              <w:spacing w:after="0"/>
              <w:rPr>
                <w:sz w:val="20"/>
                <w:szCs w:val="20"/>
                <w:color w:val="auto"/>
              </w:rPr>
            </w:pPr>
            <w:r>
              <w:rPr>
                <w:rFonts w:ascii="Arial" w:cs="Arial" w:eastAsia="Arial" w:hAnsi="Arial"/>
                <w:sz w:val="18"/>
                <w:szCs w:val="18"/>
                <w:color w:val="auto"/>
              </w:rPr>
              <w:t>AMEND COUNTERFEIT CURRENCY</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101779</w:t>
            </w:r>
          </w:p>
        </w:tc>
        <w:tc>
          <w:tcPr>
            <w:tcW w:w="1440" w:type="dxa"/>
            <w:vAlign w:val="bottom"/>
          </w:tcPr>
          <w:p>
            <w:pPr>
              <w:ind w:left="240"/>
              <w:spacing w:after="0"/>
              <w:rPr>
                <w:sz w:val="20"/>
                <w:szCs w:val="20"/>
                <w:color w:val="auto"/>
              </w:rPr>
            </w:pPr>
            <w:r>
              <w:rPr>
                <w:rFonts w:ascii="Arial" w:cs="Arial" w:eastAsia="Arial" w:hAnsi="Arial"/>
                <w:sz w:val="18"/>
                <w:szCs w:val="18"/>
                <w:color w:val="auto"/>
              </w:rPr>
              <w:t>06/09</w:t>
            </w:r>
          </w:p>
        </w:tc>
        <w:tc>
          <w:tcPr>
            <w:tcW w:w="6680" w:type="dxa"/>
            <w:vAlign w:val="bottom"/>
          </w:tcPr>
          <w:p>
            <w:pPr>
              <w:ind w:left="280"/>
              <w:spacing w:after="0"/>
              <w:rPr>
                <w:sz w:val="20"/>
                <w:szCs w:val="20"/>
                <w:color w:val="auto"/>
              </w:rPr>
            </w:pPr>
            <w:r>
              <w:rPr>
                <w:rFonts w:ascii="Arial" w:cs="Arial" w:eastAsia="Arial" w:hAnsi="Arial"/>
                <w:sz w:val="18"/>
                <w:szCs w:val="18"/>
                <w:color w:val="auto"/>
              </w:rPr>
              <w:t>AUDIT EXPENSE RIDER</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101918</w:t>
            </w:r>
          </w:p>
        </w:tc>
        <w:tc>
          <w:tcPr>
            <w:tcW w:w="1440" w:type="dxa"/>
            <w:vAlign w:val="bottom"/>
          </w:tcPr>
          <w:p>
            <w:pPr>
              <w:ind w:left="240"/>
              <w:spacing w:after="0"/>
              <w:rPr>
                <w:sz w:val="20"/>
                <w:szCs w:val="20"/>
                <w:color w:val="auto"/>
              </w:rPr>
            </w:pPr>
            <w:r>
              <w:rPr>
                <w:rFonts w:ascii="Arial" w:cs="Arial" w:eastAsia="Arial" w:hAnsi="Arial"/>
                <w:sz w:val="18"/>
                <w:szCs w:val="18"/>
                <w:color w:val="auto"/>
              </w:rPr>
              <w:t>06/09</w:t>
            </w:r>
          </w:p>
        </w:tc>
        <w:tc>
          <w:tcPr>
            <w:tcW w:w="6680" w:type="dxa"/>
            <w:vAlign w:val="bottom"/>
          </w:tcPr>
          <w:p>
            <w:pPr>
              <w:ind w:left="280"/>
              <w:spacing w:after="0"/>
              <w:rPr>
                <w:sz w:val="20"/>
                <w:szCs w:val="20"/>
                <w:color w:val="auto"/>
              </w:rPr>
            </w:pPr>
            <w:r>
              <w:rPr>
                <w:rFonts w:ascii="Arial" w:cs="Arial" w:eastAsia="Arial" w:hAnsi="Arial"/>
                <w:sz w:val="18"/>
                <w:szCs w:val="18"/>
                <w:color w:val="auto"/>
              </w:rPr>
              <w:t>CENTRAL HANDLING OF SECURITIES RIDER</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101929</w:t>
            </w:r>
          </w:p>
        </w:tc>
        <w:tc>
          <w:tcPr>
            <w:tcW w:w="1440" w:type="dxa"/>
            <w:vAlign w:val="bottom"/>
          </w:tcPr>
          <w:p>
            <w:pPr>
              <w:ind w:left="240"/>
              <w:spacing w:after="0"/>
              <w:rPr>
                <w:sz w:val="20"/>
                <w:szCs w:val="20"/>
                <w:color w:val="auto"/>
              </w:rPr>
            </w:pPr>
            <w:r>
              <w:rPr>
                <w:rFonts w:ascii="Arial" w:cs="Arial" w:eastAsia="Arial" w:hAnsi="Arial"/>
                <w:sz w:val="18"/>
                <w:szCs w:val="18"/>
                <w:color w:val="auto"/>
              </w:rPr>
              <w:t>06/09</w:t>
            </w:r>
          </w:p>
        </w:tc>
        <w:tc>
          <w:tcPr>
            <w:tcW w:w="6680" w:type="dxa"/>
            <w:vAlign w:val="bottom"/>
          </w:tcPr>
          <w:p>
            <w:pPr>
              <w:ind w:left="280"/>
              <w:spacing w:after="0"/>
              <w:rPr>
                <w:sz w:val="20"/>
                <w:szCs w:val="20"/>
                <w:color w:val="auto"/>
              </w:rPr>
            </w:pPr>
            <w:r>
              <w:rPr>
                <w:rFonts w:ascii="Arial" w:cs="Arial" w:eastAsia="Arial" w:hAnsi="Arial"/>
                <w:sz w:val="18"/>
                <w:szCs w:val="18"/>
                <w:color w:val="auto"/>
              </w:rPr>
              <w:t>ERISA RIDER</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101777</w:t>
            </w:r>
          </w:p>
        </w:tc>
        <w:tc>
          <w:tcPr>
            <w:tcW w:w="1440" w:type="dxa"/>
            <w:vAlign w:val="bottom"/>
          </w:tcPr>
          <w:p>
            <w:pPr>
              <w:ind w:left="240"/>
              <w:spacing w:after="0"/>
              <w:rPr>
                <w:sz w:val="20"/>
                <w:szCs w:val="20"/>
                <w:color w:val="auto"/>
              </w:rPr>
            </w:pPr>
            <w:r>
              <w:rPr>
                <w:rFonts w:ascii="Arial" w:cs="Arial" w:eastAsia="Arial" w:hAnsi="Arial"/>
                <w:sz w:val="18"/>
                <w:szCs w:val="18"/>
                <w:color w:val="auto"/>
              </w:rPr>
              <w:t>06/09</w:t>
            </w:r>
          </w:p>
        </w:tc>
        <w:tc>
          <w:tcPr>
            <w:tcW w:w="6680" w:type="dxa"/>
            <w:vAlign w:val="bottom"/>
          </w:tcPr>
          <w:p>
            <w:pPr>
              <w:ind w:left="280"/>
              <w:spacing w:after="0"/>
              <w:rPr>
                <w:sz w:val="20"/>
                <w:szCs w:val="20"/>
                <w:color w:val="auto"/>
              </w:rPr>
            </w:pPr>
            <w:r>
              <w:rPr>
                <w:rFonts w:ascii="Arial" w:cs="Arial" w:eastAsia="Arial" w:hAnsi="Arial"/>
                <w:sz w:val="18"/>
                <w:szCs w:val="18"/>
                <w:color w:val="auto"/>
              </w:rPr>
              <w:t>FACSIMILE SIGNATURES RIDER</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101793</w:t>
            </w:r>
          </w:p>
        </w:tc>
        <w:tc>
          <w:tcPr>
            <w:tcW w:w="1440" w:type="dxa"/>
            <w:vAlign w:val="bottom"/>
          </w:tcPr>
          <w:p>
            <w:pPr>
              <w:ind w:left="240"/>
              <w:spacing w:after="0"/>
              <w:rPr>
                <w:sz w:val="20"/>
                <w:szCs w:val="20"/>
                <w:color w:val="auto"/>
              </w:rPr>
            </w:pPr>
            <w:r>
              <w:rPr>
                <w:rFonts w:ascii="Arial" w:cs="Arial" w:eastAsia="Arial" w:hAnsi="Arial"/>
                <w:sz w:val="18"/>
                <w:szCs w:val="18"/>
                <w:color w:val="auto"/>
              </w:rPr>
              <w:t>06/09</w:t>
            </w:r>
          </w:p>
        </w:tc>
        <w:tc>
          <w:tcPr>
            <w:tcW w:w="6680" w:type="dxa"/>
            <w:vAlign w:val="bottom"/>
          </w:tcPr>
          <w:p>
            <w:pPr>
              <w:ind w:left="280"/>
              <w:spacing w:after="0"/>
              <w:rPr>
                <w:sz w:val="20"/>
                <w:szCs w:val="20"/>
                <w:color w:val="auto"/>
              </w:rPr>
            </w:pPr>
            <w:r>
              <w:rPr>
                <w:rFonts w:ascii="Arial" w:cs="Arial" w:eastAsia="Arial" w:hAnsi="Arial"/>
                <w:sz w:val="18"/>
                <w:szCs w:val="18"/>
                <w:color w:val="auto"/>
              </w:rPr>
              <w:t>GENERAL AGREEMENT D AMENDED RIDER</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101821</w:t>
            </w:r>
          </w:p>
        </w:tc>
        <w:tc>
          <w:tcPr>
            <w:tcW w:w="1440" w:type="dxa"/>
            <w:vAlign w:val="bottom"/>
          </w:tcPr>
          <w:p>
            <w:pPr>
              <w:ind w:left="240"/>
              <w:spacing w:after="0"/>
              <w:rPr>
                <w:sz w:val="20"/>
                <w:szCs w:val="20"/>
                <w:color w:val="auto"/>
              </w:rPr>
            </w:pPr>
            <w:r>
              <w:rPr>
                <w:rFonts w:ascii="Arial" w:cs="Arial" w:eastAsia="Arial" w:hAnsi="Arial"/>
                <w:sz w:val="18"/>
                <w:szCs w:val="18"/>
                <w:color w:val="auto"/>
              </w:rPr>
              <w:t>06/09</w:t>
            </w:r>
          </w:p>
        </w:tc>
        <w:tc>
          <w:tcPr>
            <w:tcW w:w="6680" w:type="dxa"/>
            <w:vAlign w:val="bottom"/>
          </w:tcPr>
          <w:p>
            <w:pPr>
              <w:ind w:left="280"/>
              <w:spacing w:after="0"/>
              <w:rPr>
                <w:sz w:val="20"/>
                <w:szCs w:val="20"/>
                <w:color w:val="auto"/>
              </w:rPr>
            </w:pPr>
            <w:r>
              <w:rPr>
                <w:rFonts w:ascii="Arial" w:cs="Arial" w:eastAsia="Arial" w:hAnsi="Arial"/>
                <w:sz w:val="18"/>
                <w:szCs w:val="18"/>
                <w:color w:val="auto"/>
              </w:rPr>
              <w:t>TELEFACSIMILE TRANSFER RIDER</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101822</w:t>
            </w:r>
          </w:p>
        </w:tc>
        <w:tc>
          <w:tcPr>
            <w:tcW w:w="1440" w:type="dxa"/>
            <w:vAlign w:val="bottom"/>
          </w:tcPr>
          <w:p>
            <w:pPr>
              <w:ind w:left="240"/>
              <w:spacing w:after="0"/>
              <w:rPr>
                <w:sz w:val="20"/>
                <w:szCs w:val="20"/>
                <w:color w:val="auto"/>
              </w:rPr>
            </w:pPr>
            <w:r>
              <w:rPr>
                <w:rFonts w:ascii="Arial" w:cs="Arial" w:eastAsia="Arial" w:hAnsi="Arial"/>
                <w:sz w:val="18"/>
                <w:szCs w:val="18"/>
                <w:color w:val="auto"/>
              </w:rPr>
              <w:t>06/09</w:t>
            </w:r>
          </w:p>
        </w:tc>
        <w:tc>
          <w:tcPr>
            <w:tcW w:w="6680" w:type="dxa"/>
            <w:vAlign w:val="bottom"/>
          </w:tcPr>
          <w:p>
            <w:pPr>
              <w:ind w:left="280"/>
              <w:spacing w:after="0"/>
              <w:rPr>
                <w:sz w:val="20"/>
                <w:szCs w:val="20"/>
                <w:color w:val="auto"/>
              </w:rPr>
            </w:pPr>
            <w:r>
              <w:rPr>
                <w:rFonts w:ascii="Arial" w:cs="Arial" w:eastAsia="Arial" w:hAnsi="Arial"/>
                <w:sz w:val="18"/>
                <w:szCs w:val="18"/>
                <w:color w:val="auto"/>
              </w:rPr>
              <w:t>UNAUTHORIZED SIGNATURES RIDER</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101778</w:t>
            </w:r>
          </w:p>
        </w:tc>
        <w:tc>
          <w:tcPr>
            <w:tcW w:w="1440" w:type="dxa"/>
            <w:vAlign w:val="bottom"/>
          </w:tcPr>
          <w:p>
            <w:pPr>
              <w:ind w:left="240"/>
              <w:spacing w:after="0"/>
              <w:rPr>
                <w:sz w:val="20"/>
                <w:szCs w:val="20"/>
                <w:color w:val="auto"/>
              </w:rPr>
            </w:pPr>
            <w:r>
              <w:rPr>
                <w:rFonts w:ascii="Arial" w:cs="Arial" w:eastAsia="Arial" w:hAnsi="Arial"/>
                <w:sz w:val="18"/>
                <w:szCs w:val="18"/>
                <w:color w:val="auto"/>
              </w:rPr>
              <w:t>06/09</w:t>
            </w:r>
          </w:p>
        </w:tc>
        <w:tc>
          <w:tcPr>
            <w:tcW w:w="6680" w:type="dxa"/>
            <w:vAlign w:val="bottom"/>
          </w:tcPr>
          <w:p>
            <w:pPr>
              <w:ind w:left="280"/>
              <w:spacing w:after="0"/>
              <w:rPr>
                <w:sz w:val="20"/>
                <w:szCs w:val="20"/>
                <w:color w:val="auto"/>
              </w:rPr>
            </w:pPr>
            <w:r>
              <w:rPr>
                <w:rFonts w:ascii="Arial" w:cs="Arial" w:eastAsia="Arial" w:hAnsi="Arial"/>
                <w:sz w:val="18"/>
                <w:szCs w:val="18"/>
                <w:color w:val="auto"/>
              </w:rPr>
              <w:t>UNCERTIFICATED SECURITIES RIDER</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101823</w:t>
            </w:r>
          </w:p>
        </w:tc>
        <w:tc>
          <w:tcPr>
            <w:tcW w:w="1440" w:type="dxa"/>
            <w:vAlign w:val="bottom"/>
          </w:tcPr>
          <w:p>
            <w:pPr>
              <w:ind w:left="240"/>
              <w:spacing w:after="0"/>
              <w:rPr>
                <w:sz w:val="20"/>
                <w:szCs w:val="20"/>
                <w:color w:val="auto"/>
              </w:rPr>
            </w:pPr>
            <w:r>
              <w:rPr>
                <w:rFonts w:ascii="Arial" w:cs="Arial" w:eastAsia="Arial" w:hAnsi="Arial"/>
                <w:sz w:val="18"/>
                <w:szCs w:val="18"/>
                <w:color w:val="auto"/>
              </w:rPr>
              <w:t>06/09</w:t>
            </w:r>
          </w:p>
        </w:tc>
        <w:tc>
          <w:tcPr>
            <w:tcW w:w="6680" w:type="dxa"/>
            <w:vAlign w:val="bottom"/>
          </w:tcPr>
          <w:p>
            <w:pPr>
              <w:ind w:left="280"/>
              <w:spacing w:after="0"/>
              <w:rPr>
                <w:sz w:val="20"/>
                <w:szCs w:val="20"/>
                <w:color w:val="auto"/>
              </w:rPr>
            </w:pPr>
            <w:r>
              <w:rPr>
                <w:rFonts w:ascii="Arial" w:cs="Arial" w:eastAsia="Arial" w:hAnsi="Arial"/>
                <w:sz w:val="18"/>
                <w:szCs w:val="18"/>
                <w:color w:val="auto"/>
              </w:rPr>
              <w:t>VOICE INITIATED TRANSFER FRAUD RIDER</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MNSCPT</w:t>
            </w:r>
          </w:p>
        </w:tc>
        <w:tc>
          <w:tcPr>
            <w:tcW w:w="1440" w:type="dxa"/>
            <w:vAlign w:val="bottom"/>
          </w:tcPr>
          <w:p>
            <w:pPr>
              <w:ind w:left="240"/>
              <w:spacing w:after="0"/>
              <w:rPr>
                <w:sz w:val="20"/>
                <w:szCs w:val="20"/>
                <w:color w:val="auto"/>
              </w:rPr>
            </w:pPr>
            <w:r>
              <w:rPr>
                <w:rFonts w:ascii="Arial" w:cs="Arial" w:eastAsia="Arial" w:hAnsi="Arial"/>
                <w:sz w:val="18"/>
                <w:szCs w:val="18"/>
                <w:color w:val="auto"/>
              </w:rPr>
              <w:t>MNSCPT</w:t>
            </w:r>
          </w:p>
        </w:tc>
        <w:tc>
          <w:tcPr>
            <w:tcW w:w="6680" w:type="dxa"/>
            <w:vAlign w:val="bottom"/>
          </w:tcPr>
          <w:p>
            <w:pPr>
              <w:ind w:left="280"/>
              <w:spacing w:after="0"/>
              <w:rPr>
                <w:sz w:val="20"/>
                <w:szCs w:val="20"/>
                <w:color w:val="auto"/>
              </w:rPr>
            </w:pPr>
            <w:r>
              <w:rPr>
                <w:rFonts w:ascii="Arial" w:cs="Arial" w:eastAsia="Arial" w:hAnsi="Arial"/>
                <w:sz w:val="18"/>
                <w:szCs w:val="18"/>
                <w:color w:val="auto"/>
              </w:rPr>
              <w:t>AMENDED DEFINITION F EMPLOYEE</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MNSCPT</w:t>
            </w:r>
          </w:p>
        </w:tc>
        <w:tc>
          <w:tcPr>
            <w:tcW w:w="1440" w:type="dxa"/>
            <w:vAlign w:val="bottom"/>
          </w:tcPr>
          <w:p>
            <w:pPr>
              <w:ind w:left="240"/>
              <w:spacing w:after="0"/>
              <w:rPr>
                <w:sz w:val="20"/>
                <w:szCs w:val="20"/>
                <w:color w:val="auto"/>
              </w:rPr>
            </w:pPr>
            <w:r>
              <w:rPr>
                <w:rFonts w:ascii="Arial" w:cs="Arial" w:eastAsia="Arial" w:hAnsi="Arial"/>
                <w:sz w:val="18"/>
                <w:szCs w:val="18"/>
                <w:color w:val="auto"/>
              </w:rPr>
              <w:t>MNSCPT</w:t>
            </w:r>
          </w:p>
        </w:tc>
        <w:tc>
          <w:tcPr>
            <w:tcW w:w="6680" w:type="dxa"/>
            <w:vAlign w:val="bottom"/>
          </w:tcPr>
          <w:p>
            <w:pPr>
              <w:ind w:left="280"/>
              <w:spacing w:after="0"/>
              <w:rPr>
                <w:sz w:val="20"/>
                <w:szCs w:val="20"/>
                <w:color w:val="auto"/>
              </w:rPr>
            </w:pPr>
            <w:r>
              <w:rPr>
                <w:rFonts w:ascii="Arial" w:cs="Arial" w:eastAsia="Arial" w:hAnsi="Arial"/>
                <w:sz w:val="18"/>
                <w:szCs w:val="18"/>
                <w:color w:val="auto"/>
              </w:rPr>
              <w:t>NAMED INSURED AMENDED RIDER</w:t>
            </w:r>
          </w:p>
        </w:tc>
      </w:tr>
      <w:tr>
        <w:trPr>
          <w:trHeight w:val="222"/>
        </w:trPr>
        <w:tc>
          <w:tcPr>
            <w:tcW w:w="1260" w:type="dxa"/>
            <w:vAlign w:val="bottom"/>
          </w:tcPr>
          <w:p>
            <w:pPr>
              <w:spacing w:after="0"/>
              <w:rPr>
                <w:sz w:val="20"/>
                <w:szCs w:val="20"/>
                <w:color w:val="auto"/>
              </w:rPr>
            </w:pPr>
            <w:r>
              <w:rPr>
                <w:rFonts w:ascii="Arial" w:cs="Arial" w:eastAsia="Arial" w:hAnsi="Arial"/>
                <w:sz w:val="18"/>
                <w:szCs w:val="18"/>
                <w:color w:val="auto"/>
              </w:rPr>
              <w:t>101781</w:t>
            </w:r>
          </w:p>
        </w:tc>
        <w:tc>
          <w:tcPr>
            <w:tcW w:w="1440" w:type="dxa"/>
            <w:vAlign w:val="bottom"/>
          </w:tcPr>
          <w:p>
            <w:pPr>
              <w:ind w:left="240"/>
              <w:spacing w:after="0"/>
              <w:rPr>
                <w:sz w:val="20"/>
                <w:szCs w:val="20"/>
                <w:color w:val="auto"/>
              </w:rPr>
            </w:pPr>
            <w:r>
              <w:rPr>
                <w:rFonts w:ascii="Arial" w:cs="Arial" w:eastAsia="Arial" w:hAnsi="Arial"/>
                <w:sz w:val="18"/>
                <w:szCs w:val="18"/>
                <w:color w:val="auto"/>
              </w:rPr>
              <w:t>06/09</w:t>
            </w:r>
          </w:p>
        </w:tc>
        <w:tc>
          <w:tcPr>
            <w:tcW w:w="6680" w:type="dxa"/>
            <w:vAlign w:val="bottom"/>
          </w:tcPr>
          <w:p>
            <w:pPr>
              <w:ind w:left="280"/>
              <w:spacing w:after="0"/>
              <w:rPr>
                <w:sz w:val="20"/>
                <w:szCs w:val="20"/>
                <w:color w:val="auto"/>
              </w:rPr>
            </w:pPr>
            <w:r>
              <w:rPr>
                <w:rFonts w:ascii="Arial" w:cs="Arial" w:eastAsia="Arial" w:hAnsi="Arial"/>
                <w:sz w:val="18"/>
                <w:szCs w:val="18"/>
                <w:color w:val="auto"/>
              </w:rPr>
              <w:t>DISCOVERY AMENDED RIDER (ALL SECTIONS)</w:t>
            </w:r>
          </w:p>
        </w:tc>
      </w:tr>
    </w:tbl>
    <w:p>
      <w:pPr>
        <w:sectPr>
          <w:pgSz w:w="11900" w:h="16838" w:orient="portrait"/>
          <w:cols w:equalWidth="0" w:num="1">
            <w:col w:w="10219"/>
          </w:cols>
          <w:pgMar w:left="240" w:top="257" w:right="1440" w:bottom="1440" w:gutter="0" w:footer="0" w:header="0"/>
        </w:sectPr>
      </w:pPr>
    </w:p>
    <w:bookmarkStart w:id="68" w:name="page69"/>
    <w:bookmarkEnd w:id="6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060" w:type="dxa"/>
            <w:vAlign w:val="bottom"/>
            <w:gridSpan w:val="2"/>
          </w:tcPr>
          <w:p>
            <w:pPr>
              <w:spacing w:after="0"/>
              <w:rPr>
                <w:sz w:val="20"/>
                <w:szCs w:val="20"/>
                <w:color w:val="auto"/>
              </w:rPr>
            </w:pPr>
            <w:r>
              <w:rPr>
                <w:rFonts w:ascii="Arial" w:cs="Arial" w:eastAsia="Arial" w:hAnsi="Arial"/>
                <w:sz w:val="18"/>
                <w:szCs w:val="18"/>
                <w:b w:val="1"/>
                <w:bCs w:val="1"/>
                <w:color w:val="auto"/>
              </w:rPr>
              <w:t>RIDER# 21 (Continued)</w:t>
            </w:r>
          </w:p>
        </w:tc>
      </w:tr>
      <w:tr>
        <w:trPr>
          <w:trHeight w:val="20"/>
        </w:trPr>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431"/>
        </w:trPr>
        <w:tc>
          <w:tcPr>
            <w:tcW w:w="940" w:type="dxa"/>
            <w:vAlign w:val="bottom"/>
          </w:tcPr>
          <w:p>
            <w:pPr>
              <w:spacing w:after="0"/>
              <w:rPr>
                <w:sz w:val="20"/>
                <w:szCs w:val="20"/>
                <w:color w:val="auto"/>
              </w:rPr>
            </w:pPr>
            <w:r>
              <w:rPr>
                <w:rFonts w:ascii="Arial" w:cs="Arial" w:eastAsia="Arial" w:hAnsi="Arial"/>
                <w:sz w:val="18"/>
                <w:szCs w:val="18"/>
                <w:color w:val="auto"/>
              </w:rPr>
              <w:t>99798</w:t>
            </w:r>
          </w:p>
        </w:tc>
        <w:tc>
          <w:tcPr>
            <w:tcW w:w="1140" w:type="dxa"/>
            <w:vAlign w:val="bottom"/>
          </w:tcPr>
          <w:p>
            <w:pPr>
              <w:ind w:left="220"/>
              <w:spacing w:after="0"/>
              <w:rPr>
                <w:sz w:val="20"/>
                <w:szCs w:val="20"/>
                <w:color w:val="auto"/>
              </w:rPr>
            </w:pPr>
            <w:r>
              <w:rPr>
                <w:rFonts w:ascii="Arial" w:cs="Arial" w:eastAsia="Arial" w:hAnsi="Arial"/>
                <w:sz w:val="18"/>
                <w:szCs w:val="18"/>
                <w:color w:val="auto"/>
              </w:rPr>
              <w:t>08/08</w:t>
            </w:r>
          </w:p>
        </w:tc>
        <w:tc>
          <w:tcPr>
            <w:tcW w:w="4780" w:type="dxa"/>
            <w:vAlign w:val="bottom"/>
            <w:gridSpan w:val="3"/>
          </w:tcPr>
          <w:p>
            <w:pPr>
              <w:ind w:left="220"/>
              <w:spacing w:after="0"/>
              <w:rPr>
                <w:sz w:val="20"/>
                <w:szCs w:val="20"/>
                <w:color w:val="auto"/>
              </w:rPr>
            </w:pPr>
            <w:r>
              <w:rPr>
                <w:rFonts w:ascii="Arial" w:cs="Arial" w:eastAsia="Arial" w:hAnsi="Arial"/>
                <w:sz w:val="18"/>
                <w:szCs w:val="18"/>
                <w:color w:val="auto"/>
              </w:rPr>
              <w:t>CLAIMS EXPENSING INSURING</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78859</w:t>
            </w:r>
          </w:p>
        </w:tc>
        <w:tc>
          <w:tcPr>
            <w:tcW w:w="1140" w:type="dxa"/>
            <w:vAlign w:val="bottom"/>
          </w:tcPr>
          <w:p>
            <w:pPr>
              <w:ind w:left="220"/>
              <w:spacing w:after="0"/>
              <w:rPr>
                <w:sz w:val="20"/>
                <w:szCs w:val="20"/>
                <w:color w:val="auto"/>
              </w:rPr>
            </w:pPr>
            <w:r>
              <w:rPr>
                <w:rFonts w:ascii="Arial" w:cs="Arial" w:eastAsia="Arial" w:hAnsi="Arial"/>
                <w:sz w:val="18"/>
                <w:szCs w:val="18"/>
                <w:color w:val="auto"/>
              </w:rPr>
              <w:t>10/01</w:t>
            </w:r>
          </w:p>
        </w:tc>
        <w:tc>
          <w:tcPr>
            <w:tcW w:w="4780" w:type="dxa"/>
            <w:vAlign w:val="bottom"/>
            <w:gridSpan w:val="3"/>
          </w:tcPr>
          <w:p>
            <w:pPr>
              <w:ind w:left="220"/>
              <w:spacing w:after="0"/>
              <w:rPr>
                <w:sz w:val="20"/>
                <w:szCs w:val="20"/>
                <w:color w:val="auto"/>
              </w:rPr>
            </w:pPr>
            <w:r>
              <w:rPr>
                <w:rFonts w:ascii="Arial" w:cs="Arial" w:eastAsia="Arial" w:hAnsi="Arial"/>
                <w:sz w:val="18"/>
                <w:szCs w:val="18"/>
                <w:color w:val="auto"/>
              </w:rPr>
              <w:t>FORMS INDEX ENDORSEMENT</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53365</w:t>
            </w:r>
          </w:p>
        </w:tc>
        <w:tc>
          <w:tcPr>
            <w:tcW w:w="1140" w:type="dxa"/>
            <w:vAlign w:val="bottom"/>
          </w:tcPr>
          <w:p>
            <w:pPr>
              <w:ind w:left="220"/>
              <w:spacing w:after="0"/>
              <w:rPr>
                <w:sz w:val="20"/>
                <w:szCs w:val="20"/>
                <w:color w:val="auto"/>
              </w:rPr>
            </w:pPr>
            <w:r>
              <w:rPr>
                <w:rFonts w:ascii="Arial" w:cs="Arial" w:eastAsia="Arial" w:hAnsi="Arial"/>
                <w:sz w:val="18"/>
                <w:szCs w:val="18"/>
                <w:color w:val="auto"/>
              </w:rPr>
              <w:t>07/96</w:t>
            </w:r>
          </w:p>
        </w:tc>
        <w:tc>
          <w:tcPr>
            <w:tcW w:w="4780" w:type="dxa"/>
            <w:vAlign w:val="bottom"/>
            <w:gridSpan w:val="3"/>
          </w:tcPr>
          <w:p>
            <w:pPr>
              <w:ind w:left="220"/>
              <w:spacing w:after="0"/>
              <w:rPr>
                <w:sz w:val="20"/>
                <w:szCs w:val="20"/>
                <w:color w:val="auto"/>
              </w:rPr>
            </w:pPr>
            <w:r>
              <w:rPr>
                <w:rFonts w:ascii="Arial" w:cs="Arial" w:eastAsia="Arial" w:hAnsi="Arial"/>
                <w:sz w:val="18"/>
                <w:szCs w:val="18"/>
                <w:color w:val="auto"/>
              </w:rPr>
              <w:t>TEXAS NOTICE – LOSS CONTROL</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94396</w:t>
            </w:r>
          </w:p>
        </w:tc>
        <w:tc>
          <w:tcPr>
            <w:tcW w:w="1140" w:type="dxa"/>
            <w:vAlign w:val="bottom"/>
          </w:tcPr>
          <w:p>
            <w:pPr>
              <w:ind w:left="220"/>
              <w:spacing w:after="0"/>
              <w:rPr>
                <w:sz w:val="20"/>
                <w:szCs w:val="20"/>
                <w:color w:val="auto"/>
              </w:rPr>
            </w:pPr>
            <w:r>
              <w:rPr>
                <w:rFonts w:ascii="Arial" w:cs="Arial" w:eastAsia="Arial" w:hAnsi="Arial"/>
                <w:sz w:val="18"/>
                <w:szCs w:val="18"/>
                <w:color w:val="auto"/>
              </w:rPr>
              <w:t>01/10</w:t>
            </w:r>
          </w:p>
        </w:tc>
        <w:tc>
          <w:tcPr>
            <w:tcW w:w="4780" w:type="dxa"/>
            <w:vAlign w:val="bottom"/>
            <w:gridSpan w:val="3"/>
          </w:tcPr>
          <w:p>
            <w:pPr>
              <w:ind w:left="220"/>
              <w:spacing w:after="0"/>
              <w:rPr>
                <w:sz w:val="20"/>
                <w:szCs w:val="20"/>
                <w:color w:val="auto"/>
              </w:rPr>
            </w:pPr>
            <w:r>
              <w:rPr>
                <w:rFonts w:ascii="Arial" w:cs="Arial" w:eastAsia="Arial" w:hAnsi="Arial"/>
                <w:sz w:val="18"/>
                <w:szCs w:val="18"/>
                <w:color w:val="auto"/>
                <w:w w:val="93"/>
              </w:rPr>
              <w:t>TEXAS COMPLAINT NOTICE FOR ADMITTED PAPER CO.</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100107</w:t>
            </w:r>
          </w:p>
        </w:tc>
        <w:tc>
          <w:tcPr>
            <w:tcW w:w="1140" w:type="dxa"/>
            <w:vAlign w:val="bottom"/>
          </w:tcPr>
          <w:p>
            <w:pPr>
              <w:ind w:left="220"/>
              <w:spacing w:after="0"/>
              <w:rPr>
                <w:sz w:val="20"/>
                <w:szCs w:val="20"/>
                <w:color w:val="auto"/>
              </w:rPr>
            </w:pPr>
            <w:r>
              <w:rPr>
                <w:rFonts w:ascii="Arial" w:cs="Arial" w:eastAsia="Arial" w:hAnsi="Arial"/>
                <w:sz w:val="18"/>
                <w:szCs w:val="18"/>
                <w:color w:val="auto"/>
              </w:rPr>
              <w:t>9/08</w:t>
            </w:r>
          </w:p>
        </w:tc>
        <w:tc>
          <w:tcPr>
            <w:tcW w:w="4780" w:type="dxa"/>
            <w:vAlign w:val="bottom"/>
            <w:gridSpan w:val="3"/>
          </w:tcPr>
          <w:p>
            <w:pPr>
              <w:ind w:left="220"/>
              <w:spacing w:after="0"/>
              <w:rPr>
                <w:sz w:val="20"/>
                <w:szCs w:val="20"/>
                <w:color w:val="auto"/>
              </w:rPr>
            </w:pPr>
            <w:r>
              <w:rPr>
                <w:rFonts w:ascii="Arial" w:cs="Arial" w:eastAsia="Arial" w:hAnsi="Arial"/>
                <w:sz w:val="18"/>
                <w:szCs w:val="18"/>
                <w:color w:val="auto"/>
              </w:rPr>
              <w:t>COMPUTER CRIME COVERAGE RIDER</w:t>
            </w:r>
          </w:p>
        </w:tc>
      </w:tr>
      <w:tr>
        <w:trPr>
          <w:trHeight w:val="222"/>
        </w:trPr>
        <w:tc>
          <w:tcPr>
            <w:tcW w:w="940" w:type="dxa"/>
            <w:vAlign w:val="bottom"/>
          </w:tcPr>
          <w:p>
            <w:pPr>
              <w:spacing w:after="0"/>
              <w:rPr>
                <w:sz w:val="20"/>
                <w:szCs w:val="20"/>
                <w:color w:val="auto"/>
              </w:rPr>
            </w:pPr>
            <w:r>
              <w:rPr>
                <w:rFonts w:ascii="Arial" w:cs="Arial" w:eastAsia="Arial" w:hAnsi="Arial"/>
                <w:sz w:val="18"/>
                <w:szCs w:val="18"/>
                <w:color w:val="auto"/>
              </w:rPr>
              <w:t>MNSCPT</w:t>
            </w:r>
          </w:p>
        </w:tc>
        <w:tc>
          <w:tcPr>
            <w:tcW w:w="1140" w:type="dxa"/>
            <w:vAlign w:val="bottom"/>
          </w:tcPr>
          <w:p>
            <w:pPr>
              <w:ind w:left="220"/>
              <w:spacing w:after="0"/>
              <w:rPr>
                <w:sz w:val="20"/>
                <w:szCs w:val="20"/>
                <w:color w:val="auto"/>
              </w:rPr>
            </w:pPr>
            <w:r>
              <w:rPr>
                <w:rFonts w:ascii="Arial" w:cs="Arial" w:eastAsia="Arial" w:hAnsi="Arial"/>
                <w:sz w:val="18"/>
                <w:szCs w:val="18"/>
                <w:color w:val="auto"/>
              </w:rPr>
              <w:t>MNSCPT</w:t>
            </w:r>
          </w:p>
        </w:tc>
        <w:tc>
          <w:tcPr>
            <w:tcW w:w="4780" w:type="dxa"/>
            <w:vAlign w:val="bottom"/>
            <w:gridSpan w:val="3"/>
          </w:tcPr>
          <w:p>
            <w:pPr>
              <w:ind w:left="220"/>
              <w:spacing w:after="0"/>
              <w:rPr>
                <w:sz w:val="20"/>
                <w:szCs w:val="20"/>
                <w:color w:val="auto"/>
              </w:rPr>
            </w:pPr>
            <w:r>
              <w:rPr>
                <w:rFonts w:ascii="Arial" w:cs="Arial" w:eastAsia="Arial" w:hAnsi="Arial"/>
                <w:sz w:val="18"/>
                <w:szCs w:val="18"/>
                <w:color w:val="auto"/>
              </w:rPr>
              <w:t>STATE AMENDATORY INCONSISTENT</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CONDITIONS AND EXCLUSIONS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139700</wp:posOffset>
            </wp:positionV>
            <wp:extent cx="2898775" cy="5918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89877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ind w:right="719"/>
        <w:spacing w:after="0"/>
        <w:rPr>
          <w:sz w:val="20"/>
          <w:szCs w:val="20"/>
          <w:color w:val="auto"/>
        </w:rPr>
      </w:pPr>
      <w:r>
        <w:rPr>
          <w:rFonts w:ascii="Arial" w:cs="Arial" w:eastAsia="Arial" w:hAnsi="Arial"/>
          <w:sz w:val="18"/>
          <w:szCs w:val="18"/>
          <w:color w:val="auto"/>
        </w:rPr>
        <w:t>AUTHORIZED REPRESENTATIVE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78859 (10/01)</w:t>
      </w:r>
    </w:p>
    <w:p>
      <w:pPr>
        <w:sectPr>
          <w:pgSz w:w="11900" w:h="16838" w:orient="portrait"/>
          <w:cols w:equalWidth="0" w:num="1">
            <w:col w:w="10219"/>
          </w:cols>
          <w:pgMar w:left="240" w:top="257" w:right="1440" w:bottom="1440" w:gutter="0" w:footer="0" w:header="0"/>
        </w:sectPr>
      </w:pPr>
    </w:p>
    <w:bookmarkStart w:id="69" w:name="page70"/>
    <w:bookmarkEnd w:id="69"/>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 TO POLICYHOLDER OF</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National Union Fire Insurance Company of Pittsburgh, 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This notice is to inform you of our loss control programs available in the State of Texas.</w:t>
      </w:r>
    </w:p>
    <w:p>
      <w:pPr>
        <w:spacing w:after="0" w:line="17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have Field Safety Representatives with the experience and expertise to provide accident/loss prevention services reasonably commensurate with the hazard, loss experience, size and nature of your business operation.</w:t>
      </w:r>
    </w:p>
    <w:p>
      <w:pPr>
        <w:spacing w:after="0" w:line="132" w:lineRule="exact"/>
        <w:rPr>
          <w:sz w:val="20"/>
          <w:szCs w:val="20"/>
          <w:color w:val="auto"/>
        </w:rPr>
      </w:pPr>
    </w:p>
    <w:p>
      <w:pPr>
        <w:ind w:right="640"/>
        <w:spacing w:after="0" w:line="332" w:lineRule="auto"/>
        <w:rPr>
          <w:sz w:val="20"/>
          <w:szCs w:val="20"/>
          <w:color w:val="auto"/>
        </w:rPr>
      </w:pPr>
      <w:r>
        <w:rPr>
          <w:rFonts w:ascii="Arial" w:cs="Arial" w:eastAsia="Arial" w:hAnsi="Arial"/>
          <w:sz w:val="16"/>
          <w:szCs w:val="16"/>
          <w:color w:val="auto"/>
        </w:rPr>
        <w:t>Our services may include loss prevention surveys, risk exposure analysis, staff training, counseling, accident and loss analysis, worker health and safety evaluations, risk improvement recommendations, educational material and literature related to your specific profession or industry.</w:t>
      </w:r>
    </w:p>
    <w:p>
      <w:pPr>
        <w:spacing w:after="0" w:line="85"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In the event you decide not to utilize our loss control services and opt to use your own safety department or hire an outside contractor, the service must be provided by qualified loss prevention representatives who are recognized by the State of Texas.</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If you elect not to utilize our loss control services we require you to provide us with the following information (on your company letterhead stationary, signed by an officer of your firm):</w:t>
      </w:r>
    </w:p>
    <w:p>
      <w:pPr>
        <w:spacing w:after="0" w:line="51" w:lineRule="exact"/>
        <w:rPr>
          <w:sz w:val="20"/>
          <w:szCs w:val="20"/>
          <w:color w:val="auto"/>
        </w:rPr>
      </w:pPr>
    </w:p>
    <w:p>
      <w:pPr>
        <w:ind w:left="1480" w:hanging="446"/>
        <w:spacing w:after="0"/>
        <w:tabs>
          <w:tab w:leader="none" w:pos="14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Acknowledgement of our offer of loss control services and your written rejection.</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Your reasons for selection of an alternative.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Your alternative loss control program, which must be reasonably commensurate with the risk.</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Verification of the qualification of those who will be performing your loss control services.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Acknowledgment that quarterly summaries of activities outlined in your loss control program will be submitted to us for review.</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If you have any questions or wish to discuss this matter, contact our Texas Loss Control Service Coordinating Unit, AIG Consultants, Inc. at 1-800-221-0651.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53365 (07/96)</w:t>
      </w:r>
    </w:p>
    <w:p>
      <w:pPr>
        <w:sectPr>
          <w:pgSz w:w="11900" w:h="16838" w:orient="portrait"/>
          <w:cols w:equalWidth="0" w:num="1">
            <w:col w:w="11320"/>
          </w:cols>
          <w:pgMar w:left="240" w:top="274" w:right="339" w:bottom="1440" w:gutter="0" w:footer="0" w:header="0"/>
        </w:sectPr>
      </w:pPr>
    </w:p>
    <w:bookmarkStart w:id="70" w:name="page71"/>
    <w:bookmarkEnd w:id="70"/>
    <w:p>
      <w:pPr>
        <w:ind w:left="2080"/>
        <w:spacing w:after="0"/>
        <w:rPr>
          <w:sz w:val="20"/>
          <w:szCs w:val="20"/>
          <w:color w:val="auto"/>
        </w:rPr>
      </w:pPr>
      <w:r>
        <w:rPr>
          <w:rFonts w:ascii="Arial" w:cs="Arial" w:eastAsia="Arial" w:hAnsi="Arial"/>
          <w:sz w:val="18"/>
          <w:szCs w:val="18"/>
          <w:b w:val="1"/>
          <w:bCs w:val="1"/>
          <w:color w:val="auto"/>
        </w:rPr>
        <w:t>TEXAS NOTICE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NOTICE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To obtain information or make a complaint:</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You may call the Company’s toll-free telephone number for information or to make a complaint at:</w:t>
      </w:r>
    </w:p>
    <w:p>
      <w:pPr>
        <w:spacing w:after="0" w:line="132"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1-877-541-9748</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You may contact the Texas Department of Insurance to obtain information on companies, coverages, rights or complaints at:</w:t>
      </w:r>
    </w:p>
    <w:p>
      <w:pPr>
        <w:spacing w:after="0" w:line="132"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1-800-252-3439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You may write the Texas Department of Insurance: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P.O. Box 149104</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Austin, TX 78714-9104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(512) 475-1771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Web: </w:t>
      </w:r>
      <w:r>
        <w:rPr>
          <w:rFonts w:ascii="Arial" w:cs="Arial" w:eastAsia="Arial" w:hAnsi="Arial"/>
          <w:sz w:val="18"/>
          <w:szCs w:val="18"/>
          <w:u w:val="single" w:color="auto"/>
          <w:color w:val="auto"/>
        </w:rPr>
        <w:t>http://www.tdi.state.tx.us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ConsumerProtection@tdi.state.tx.us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PREMIUM OR CLAIM DISPUTES:</w:t>
      </w:r>
    </w:p>
    <w:p>
      <w:pPr>
        <w:spacing w:after="0" w:line="9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Should you have a dispute concerning your premium or about a claim you should contact the agent first. If the dispute is not resolved, you may contact the Texas Department of Insurance.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ATTACH THIS NOTICE TO YOUR POLICY:</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This notice is for information only and does not become a part of the attached document.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94396 (1/10)</w:t>
      </w:r>
    </w:p>
    <w:p>
      <w:pPr>
        <w:spacing w:after="0" w:line="20" w:lineRule="exact"/>
        <w:rPr>
          <w:sz w:val="20"/>
          <w:szCs w:val="20"/>
          <w:color w:val="auto"/>
        </w:rPr>
      </w:pPr>
      <w:r>
        <w:rPr>
          <w:sz w:val="20"/>
          <w:szCs w:val="20"/>
          <w:color w:val="auto"/>
        </w:rPr>
        <w:br w:type="column"/>
      </w:r>
    </w:p>
    <w:p>
      <w:pPr>
        <w:jc w:val="right"/>
        <w:ind w:right="1760"/>
        <w:spacing w:after="0"/>
        <w:rPr>
          <w:sz w:val="20"/>
          <w:szCs w:val="20"/>
          <w:color w:val="auto"/>
        </w:rPr>
      </w:pPr>
      <w:r>
        <w:rPr>
          <w:rFonts w:ascii="Arial" w:cs="Arial" w:eastAsia="Arial" w:hAnsi="Arial"/>
          <w:sz w:val="18"/>
          <w:szCs w:val="18"/>
          <w:b w:val="1"/>
          <w:bCs w:val="1"/>
          <w:color w:val="auto"/>
        </w:rPr>
        <w:t>AVISO IMPORTANTE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-241935</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76" w:lineRule="exact"/>
        <w:rPr>
          <w:sz w:val="20"/>
          <w:szCs w:val="20"/>
          <w:color w:val="auto"/>
        </w:rPr>
      </w:pPr>
    </w:p>
    <w:p>
      <w:pPr>
        <w:jc w:val="right"/>
        <w:ind w:right="1740"/>
        <w:spacing w:after="0"/>
        <w:rPr>
          <w:sz w:val="20"/>
          <w:szCs w:val="20"/>
          <w:color w:val="auto"/>
        </w:rPr>
      </w:pPr>
      <w:r>
        <w:rPr>
          <w:rFonts w:ascii="Arial" w:cs="Arial" w:eastAsia="Arial" w:hAnsi="Arial"/>
          <w:sz w:val="15"/>
          <w:szCs w:val="15"/>
          <w:color w:val="auto"/>
        </w:rPr>
        <w:t>Para obtener informacion o para someter una queja:</w:t>
      </w:r>
    </w:p>
    <w:p>
      <w:pPr>
        <w:spacing w:after="0" w:line="20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Usted puede llamar al numero de teléfono gratis de la compania para informacion o para someter una queja al:</w:t>
      </w:r>
    </w:p>
    <w:p>
      <w:pPr>
        <w:spacing w:after="0" w:line="13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1-877-541-9748</w:t>
      </w:r>
    </w:p>
    <w:p>
      <w:pPr>
        <w:spacing w:after="0" w:line="171" w:lineRule="exact"/>
        <w:rPr>
          <w:sz w:val="20"/>
          <w:szCs w:val="20"/>
          <w:color w:val="auto"/>
        </w:rPr>
      </w:pPr>
    </w:p>
    <w:p>
      <w:pPr>
        <w:ind w:right="120"/>
        <w:spacing w:after="0" w:line="370" w:lineRule="auto"/>
        <w:rPr>
          <w:sz w:val="20"/>
          <w:szCs w:val="20"/>
          <w:color w:val="auto"/>
        </w:rPr>
      </w:pPr>
      <w:r>
        <w:rPr>
          <w:rFonts w:ascii="Arial" w:cs="Arial" w:eastAsia="Arial" w:hAnsi="Arial"/>
          <w:sz w:val="15"/>
          <w:szCs w:val="15"/>
          <w:color w:val="auto"/>
        </w:rPr>
        <w:t>Puede comunicarse con el Departamento de Seguros de Texas para obtener informacion acerca de companias, coberturas, derechos o quejas al:</w:t>
      </w:r>
    </w:p>
    <w:p>
      <w:pPr>
        <w:spacing w:after="0" w:line="62"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1-800-252-3439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Puede escribir al Departamento de Seguros de Texas: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P.O. Box 149104</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Austin, TX 78714-9104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(512) 475-1771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Web: </w:t>
      </w:r>
      <w:r>
        <w:rPr>
          <w:rFonts w:ascii="Arial" w:cs="Arial" w:eastAsia="Arial" w:hAnsi="Arial"/>
          <w:sz w:val="18"/>
          <w:szCs w:val="18"/>
          <w:u w:val="single" w:color="auto"/>
          <w:color w:val="auto"/>
        </w:rPr>
        <w:t>http://www.tdi.state.tx.us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ConsumerProtection@tdi.state.tx.us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DISPUTAS SOBRE PRIMAS O RECLAMOS:</w:t>
      </w:r>
    </w:p>
    <w:p>
      <w:pPr>
        <w:spacing w:after="0" w:line="96" w:lineRule="exact"/>
        <w:rPr>
          <w:sz w:val="20"/>
          <w:szCs w:val="20"/>
          <w:color w:val="auto"/>
        </w:rPr>
      </w:pPr>
    </w:p>
    <w:p>
      <w:pPr>
        <w:ind w:right="420"/>
        <w:spacing w:after="0" w:line="306" w:lineRule="auto"/>
        <w:rPr>
          <w:sz w:val="20"/>
          <w:szCs w:val="20"/>
          <w:color w:val="auto"/>
        </w:rPr>
      </w:pPr>
      <w:r>
        <w:rPr>
          <w:rFonts w:ascii="Arial" w:cs="Arial" w:eastAsia="Arial" w:hAnsi="Arial"/>
          <w:sz w:val="16"/>
          <w:szCs w:val="16"/>
          <w:color w:val="auto"/>
        </w:rPr>
        <w:t>Si tiene una disputa concerniente a su prima o a un reclamo, debe comunicarse con el agente primero. Si no se resuelve la disputa, puede entonces comunicarse con el departamento (TDI).</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 ESTE A VISO A SU POLIZA:</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Este aviso es solo para proposito de informacion y no se convierte en parte o condicion del documentp</w:t>
      </w:r>
    </w:p>
    <w:sectPr>
      <w:pgSz w:w="11900" w:h="16838" w:orient="portrait"/>
      <w:cols w:equalWidth="0" w:num="2">
        <w:col w:w="5460" w:space="360"/>
        <w:col w:w="5380"/>
      </w:cols>
      <w:pgMar w:left="240" w:top="31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5B5AF5C"/>
    <w:multiLevelType w:val="hybridMultilevel"/>
    <w:lvl w:ilvl="0">
      <w:lvlJc w:val="left"/>
      <w:lvlText w:val="%1."/>
      <w:numFmt w:val="decimal"/>
      <w:start w:val="1"/>
    </w:lvl>
  </w:abstractNum>
  <w:abstractNum w:abstractNumId="1">
    <w:nsid w:val="741226BB"/>
    <w:multiLevelType w:val="hybridMultilevel"/>
    <w:lvl w:ilvl="0">
      <w:lvlJc w:val="left"/>
      <w:lvlText w:val="%1."/>
      <w:numFmt w:val="decimal"/>
      <w:start w:val="1"/>
    </w:lvl>
  </w:abstractNum>
  <w:abstractNum w:abstractNumId="2">
    <w:nsid w:val="D34B6A8"/>
    <w:multiLevelType w:val="hybridMultilevel"/>
    <w:lvl w:ilvl="0">
      <w:lvlJc w:val="left"/>
      <w:lvlText w:val="(%1)"/>
      <w:numFmt w:val="upperLetter"/>
      <w:start w:val="1"/>
    </w:lvl>
    <w:lvl w:ilvl="1">
      <w:lvlJc w:val="left"/>
      <w:lvlText w:val="(%2)"/>
      <w:numFmt w:val="lowerLetter"/>
      <w:start w:val="1"/>
    </w:lvl>
  </w:abstractNum>
  <w:abstractNum w:abstractNumId="3">
    <w:nsid w:val="10233C99"/>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4">
    <w:nsid w:val="3F6AB60F"/>
    <w:multiLevelType w:val="hybridMultilevel"/>
    <w:lvl w:ilvl="0">
      <w:lvlJc w:val="left"/>
      <w:lvlText w:val="(%1)"/>
      <w:numFmt w:val="lowerRoman"/>
      <w:start w:val="1"/>
    </w:lvl>
  </w:abstractNum>
  <w:abstractNum w:abstractNumId="5">
    <w:nsid w:val="61574095"/>
    <w:multiLevelType w:val="hybridMultilevel"/>
    <w:lvl w:ilvl="0">
      <w:lvlJc w:val="left"/>
      <w:lvlText w:val="(%1)"/>
      <w:numFmt w:val="lowerRoman"/>
      <w:start w:val="2"/>
    </w:lvl>
  </w:abstractNum>
  <w:abstractNum w:abstractNumId="6">
    <w:nsid w:val="7E0C57B1"/>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1"/>
    </w:lvl>
  </w:abstractNum>
  <w:abstractNum w:abstractNumId="7">
    <w:nsid w:val="77AE35EB"/>
    <w:multiLevelType w:val="hybridMultilevel"/>
    <w:lvl w:ilvl="0">
      <w:lvlJc w:val="left"/>
      <w:lvlText w:val="(%1)"/>
      <w:numFmt w:val="upperLetter"/>
      <w:start w:val="4"/>
    </w:lvl>
    <w:lvl w:ilvl="1">
      <w:lvlJc w:val="left"/>
      <w:lvlText w:val="(%2)"/>
      <w:numFmt w:val="decimal"/>
      <w:start w:val="1"/>
    </w:lvl>
  </w:abstractNum>
  <w:abstractNum w:abstractNumId="8">
    <w:nsid w:val="579BE4F1"/>
    <w:multiLevelType w:val="hybridMultilevel"/>
    <w:lvl w:ilvl="0">
      <w:lvlJc w:val="left"/>
      <w:lvlText w:val="(%1)"/>
      <w:numFmt w:val="upperLetter"/>
      <w:start w:val="5"/>
    </w:lvl>
    <w:lvl w:ilvl="1">
      <w:lvlJc w:val="left"/>
      <w:lvlText w:val="(%2)"/>
      <w:numFmt w:val="decimal"/>
      <w:start w:val="1"/>
    </w:lvl>
    <w:lvl w:ilvl="2">
      <w:lvlJc w:val="left"/>
      <w:lvlText w:val="(%3)"/>
      <w:numFmt w:val="lowerLetter"/>
      <w:start w:val="1"/>
    </w:lvl>
  </w:abstractNum>
  <w:abstractNum w:abstractNumId="9">
    <w:nsid w:val="310C50B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0">
    <w:nsid w:val="5FF87E05"/>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1">
    <w:nsid w:val="2F305DEF"/>
    <w:multiLevelType w:val="hybridMultilevel"/>
    <w:lvl w:ilvl="0">
      <w:lvlJc w:val="left"/>
      <w:lvlText w:val="(%1)"/>
      <w:numFmt w:val="upperLetter"/>
      <w:start w:val="6"/>
    </w:lvl>
  </w:abstractNum>
  <w:abstractNum w:abstractNumId="12">
    <w:nsid w:val="25A70BF7"/>
    <w:multiLevelType w:val="hybridMultilevel"/>
    <w:lvl w:ilvl="0">
      <w:lvlJc w:val="left"/>
      <w:lvlText w:val="%1."/>
      <w:numFmt w:val="upperLetter"/>
      <w:start w:val="1"/>
    </w:lvl>
  </w:abstractNum>
  <w:abstractNum w:abstractNumId="13">
    <w:nsid w:val="1DBABF00"/>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14">
    <w:nsid w:val="4AD084E9"/>
    <w:multiLevelType w:val="hybridMultilevel"/>
    <w:lvl w:ilvl="0">
      <w:lvlJc w:val="left"/>
      <w:lvlText w:val="(%1)"/>
      <w:numFmt w:val="lowerRoman"/>
      <w:start w:val="3"/>
    </w:lvl>
  </w:abstractNum>
  <w:abstractNum w:abstractNumId="15">
    <w:nsid w:val="1F48EAA1"/>
    <w:multiLevelType w:val="hybridMultilevel"/>
    <w:lvl w:ilvl="0">
      <w:lvlJc w:val="left"/>
      <w:lvlText w:val="%1."/>
      <w:numFmt w:val="upperLetter"/>
      <w:start w:val="3"/>
    </w:lvl>
  </w:abstractNum>
  <w:abstractNum w:abstractNumId="16">
    <w:nsid w:val="1381823A"/>
    <w:multiLevelType w:val="hybridMultilevel"/>
    <w:lvl w:ilvl="0">
      <w:lvlJc w:val="left"/>
      <w:lvlText w:val="%1."/>
      <w:numFmt w:val="upperLetter"/>
      <w:start w:val="4"/>
    </w:lvl>
  </w:abstractNum>
  <w:abstractNum w:abstractNumId="17">
    <w:nsid w:val="5DB70AE5"/>
    <w:multiLevelType w:val="hybridMultilevel"/>
    <w:lvl w:ilvl="0">
      <w:lvlJc w:val="left"/>
      <w:lvlText w:val="%1."/>
      <w:numFmt w:val="upperLetter"/>
      <w:start w:val="5"/>
    </w:lvl>
  </w:abstractNum>
  <w:abstractNum w:abstractNumId="18">
    <w:nsid w:val="100F8FCA"/>
    <w:multiLevelType w:val="hybridMultilevel"/>
    <w:lvl w:ilvl="0">
      <w:lvlJc w:val="left"/>
      <w:lvlText w:val="%1."/>
      <w:numFmt w:val="upperLetter"/>
      <w:start w:val="6"/>
    </w:lvl>
  </w:abstractNum>
  <w:abstractNum w:abstractNumId="19">
    <w:nsid w:val="6590700B"/>
    <w:multiLevelType w:val="hybridMultilevel"/>
    <w:lvl w:ilvl="0">
      <w:lvlJc w:val="left"/>
      <w:lvlText w:val="(%1)"/>
      <w:numFmt w:val="lowerLetter"/>
      <w:start w:val="1"/>
    </w:lvl>
    <w:lvl w:ilvl="1">
      <w:lvlJc w:val="left"/>
      <w:lvlText w:val="(%2)"/>
      <w:numFmt w:val="decimal"/>
      <w:start w:val="1"/>
    </w:lvl>
  </w:abstractNum>
  <w:abstractNum w:abstractNumId="20">
    <w:nsid w:val="15014ACB"/>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21">
    <w:nsid w:val="5F5E7FD0"/>
    <w:multiLevelType w:val="hybridMultilevel"/>
    <w:lvl w:ilvl="0">
      <w:lvlJc w:val="left"/>
      <w:lvlText w:val="(%1)"/>
      <w:numFmt w:val="lowerLetter"/>
      <w:start w:val="4"/>
    </w:lvl>
    <w:lvl w:ilvl="1">
      <w:lvlJc w:val="left"/>
      <w:lvlText w:val="(%2)"/>
      <w:numFmt w:val="decimal"/>
      <w:start w:val="1"/>
    </w:lvl>
    <w:lvl w:ilvl="2">
      <w:lvlJc w:val="left"/>
      <w:lvlText w:val="(%3)"/>
      <w:numFmt w:val="lowerLetter"/>
      <w:start w:val="1"/>
    </w:lvl>
  </w:abstractNum>
  <w:abstractNum w:abstractNumId="22">
    <w:nsid w:val="98A3148"/>
    <w:multiLevelType w:val="hybridMultilevel"/>
    <w:lvl w:ilvl="0">
      <w:lvlJc w:val="left"/>
      <w:lvlText w:val="(%1)"/>
      <w:numFmt w:val="lowerLetter"/>
      <w:start w:val="2"/>
    </w:lvl>
  </w:abstractNum>
  <w:abstractNum w:abstractNumId="23">
    <w:nsid w:val="799D0247"/>
    <w:multiLevelType w:val="hybridMultilevel"/>
    <w:lvl w:ilvl="0">
      <w:lvlJc w:val="left"/>
      <w:lvlText w:val="%1"/>
      <w:numFmt w:val="lowerLetter"/>
      <w:start w:val="1"/>
    </w:lvl>
    <w:lvl w:ilvl="1">
      <w:lvlJc w:val="left"/>
      <w:lvlText w:val="(%2)"/>
      <w:numFmt w:val="decimal"/>
      <w:start w:val="2"/>
    </w:lvl>
  </w:abstractNum>
  <w:abstractNum w:abstractNumId="24">
    <w:nsid w:val="6B94764"/>
    <w:multiLevelType w:val="hybridMultilevel"/>
    <w:lvl w:ilvl="0">
      <w:lvlJc w:val="left"/>
      <w:lvlText w:val="(%1)"/>
      <w:numFmt w:val="lowerLetter"/>
      <w:start w:val="8"/>
    </w:lvl>
    <w:lvl w:ilvl="1">
      <w:lvlJc w:val="left"/>
      <w:lvlText w:val="%2"/>
      <w:numFmt w:val="decimal"/>
      <w:start w:val="1"/>
    </w:lvl>
  </w:abstractNum>
  <w:abstractNum w:abstractNumId="25">
    <w:nsid w:val="42C296BD"/>
    <w:multiLevelType w:val="hybridMultilevel"/>
    <w:lvl w:ilvl="0">
      <w:lvlJc w:val="left"/>
      <w:lvlText w:val="(%1)"/>
      <w:numFmt w:val="lowerLetter"/>
      <w:start w:val="10"/>
    </w:lvl>
    <w:lvl w:ilvl="1">
      <w:lvlJc w:val="left"/>
      <w:lvlText w:val="(%2)"/>
      <w:numFmt w:val="decimal"/>
      <w:start w:val="1"/>
    </w:lvl>
  </w:abstractNum>
  <w:abstractNum w:abstractNumId="26">
    <w:nsid w:val="168E121F"/>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27">
    <w:nsid w:val="1EBA5D23"/>
    <w:multiLevelType w:val="hybridMultilevel"/>
    <w:lvl w:ilvl="0">
      <w:lvlJc w:val="left"/>
      <w:lvlText w:val="(%1)"/>
      <w:numFmt w:val="lowerLetter"/>
      <w:start w:val="17"/>
    </w:lvl>
    <w:lvl w:ilvl="1">
      <w:lvlJc w:val="left"/>
      <w:lvlText w:val="(%2)"/>
      <w:numFmt w:val="decimal"/>
      <w:start w:val="1"/>
    </w:lvl>
    <w:lvl w:ilvl="2">
      <w:lvlJc w:val="left"/>
      <w:lvlText w:val="%3"/>
      <w:numFmt w:val="lowerLetter"/>
      <w:start w:val="1"/>
    </w:lvl>
  </w:abstractNum>
  <w:abstractNum w:abstractNumId="28">
    <w:nsid w:val="661E3F1E"/>
    <w:multiLevelType w:val="hybridMultilevel"/>
    <w:lvl w:ilvl="0">
      <w:lvlJc w:val="left"/>
      <w:lvlText w:val="(%1)"/>
      <w:numFmt w:val="lowerLetter"/>
      <w:start w:val="1"/>
    </w:lvl>
    <w:lvl w:ilvl="1">
      <w:lvlJc w:val="left"/>
      <w:lvlText w:val="(%2)"/>
      <w:numFmt w:val="decimal"/>
      <w:start w:val="1"/>
    </w:lvl>
  </w:abstractNum>
  <w:abstractNum w:abstractNumId="29">
    <w:nsid w:val="5DC79EA8"/>
    <w:multiLevelType w:val="hybridMultilevel"/>
    <w:lvl w:ilvl="0">
      <w:lvlJc w:val="left"/>
      <w:lvlText w:val="(%1)"/>
      <w:numFmt w:val="lowerLetter"/>
      <w:start w:val="7"/>
    </w:lvl>
    <w:lvl w:ilvl="1">
      <w:lvlJc w:val="left"/>
      <w:lvlText w:val="(%2)"/>
      <w:numFmt w:val="decimal"/>
      <w:start w:val="1"/>
    </w:lvl>
  </w:abstractNum>
  <w:abstractNum w:abstractNumId="30">
    <w:nsid w:val="540A471C"/>
    <w:multiLevelType w:val="hybridMultilevel"/>
    <w:lvl w:ilvl="0">
      <w:lvlJc w:val="left"/>
      <w:lvlText w:val="(%1)"/>
      <w:numFmt w:val="lowerLetter"/>
      <w:start w:val="13"/>
    </w:lvl>
    <w:lvl w:ilvl="1">
      <w:lvlJc w:val="left"/>
      <w:lvlText w:val="(%2)"/>
      <w:numFmt w:val="decimal"/>
      <w:start w:val="1"/>
    </w:lvl>
  </w:abstractNum>
  <w:abstractNum w:abstractNumId="31">
    <w:nsid w:val="7BD3EE7B"/>
    <w:multiLevelType w:val="hybridMultilevel"/>
    <w:lvl w:ilvl="0">
      <w:lvlJc w:val="left"/>
      <w:lvlText w:val="(%1)"/>
      <w:numFmt w:val="lowerLetter"/>
      <w:start w:val="19"/>
    </w:lvl>
  </w:abstractNum>
  <w:abstractNum w:abstractNumId="32">
    <w:nsid w:val="51D9C564"/>
    <w:multiLevelType w:val="hybridMultilevel"/>
    <w:lvl w:ilvl="0">
      <w:lvlJc w:val="left"/>
      <w:lvlText w:val="(%1)"/>
      <w:numFmt w:val="lowerLetter"/>
      <w:start w:val="21"/>
    </w:lvl>
    <w:lvl w:ilvl="1">
      <w:lvlJc w:val="left"/>
      <w:lvlText w:val="(%2)"/>
      <w:numFmt w:val="decimal"/>
      <w:start w:val="1"/>
    </w:lvl>
  </w:abstractNum>
  <w:abstractNum w:abstractNumId="33">
    <w:nsid w:val="613EFDC5"/>
    <w:multiLevelType w:val="hybridMultilevel"/>
    <w:lvl w:ilvl="0">
      <w:lvlJc w:val="left"/>
      <w:lvlText w:val="(%1)"/>
      <w:numFmt w:val="lowerLetter"/>
      <w:start w:val="27"/>
    </w:lvl>
  </w:abstractNum>
  <w:abstractNum w:abstractNumId="34">
    <w:nsid w:val="BF72B14"/>
    <w:multiLevelType w:val="hybridMultilevel"/>
    <w:lvl w:ilvl="0">
      <w:lvlJc w:val="left"/>
      <w:lvlText w:val="(%1)"/>
      <w:numFmt w:val="lowerLetter"/>
      <w:start w:val="1"/>
    </w:lvl>
  </w:abstractNum>
  <w:abstractNum w:abstractNumId="35">
    <w:nsid w:val="11447B73"/>
    <w:multiLevelType w:val="hybridMultilevel"/>
    <w:lvl w:ilvl="0">
      <w:lvlJc w:val="left"/>
      <w:lvlText w:val="(%1)"/>
      <w:numFmt w:val="lowerLetter"/>
      <w:start w:val="1"/>
    </w:lvl>
  </w:abstractNum>
  <w:abstractNum w:abstractNumId="36">
    <w:nsid w:val="42963E5A"/>
    <w:multiLevelType w:val="hybridMultilevel"/>
    <w:lvl w:ilvl="0">
      <w:lvlJc w:val="left"/>
      <w:lvlText w:val="(%1)"/>
      <w:numFmt w:val="lowerLetter"/>
      <w:start w:val="1"/>
    </w:lvl>
  </w:abstractNum>
  <w:abstractNum w:abstractNumId="37">
    <w:nsid w:val="A0382C5"/>
    <w:multiLevelType w:val="hybridMultilevel"/>
    <w:lvl w:ilvl="0">
      <w:lvlJc w:val="left"/>
      <w:lvlText w:val="(%1)"/>
      <w:numFmt w:val="lowerLetter"/>
      <w:start w:val="1"/>
    </w:lvl>
  </w:abstractNum>
  <w:abstractNum w:abstractNumId="38">
    <w:nsid w:val="8F2B15E"/>
    <w:multiLevelType w:val="hybridMultilevel"/>
    <w:lvl w:ilvl="0">
      <w:lvlJc w:val="left"/>
      <w:lvlText w:val="(%1)"/>
      <w:numFmt w:val="lowerLetter"/>
      <w:start w:val="3"/>
    </w:lvl>
    <w:lvl w:ilvl="1">
      <w:lvlJc w:val="left"/>
      <w:lvlText w:val="(%2)"/>
      <w:numFmt w:val="decimal"/>
      <w:start w:val="1"/>
    </w:lvl>
  </w:abstractNum>
  <w:abstractNum w:abstractNumId="39">
    <w:nsid w:val="1A32234B"/>
    <w:multiLevelType w:val="hybridMultilevel"/>
    <w:lvl w:ilvl="0">
      <w:lvlJc w:val="left"/>
      <w:lvlText w:val="%1."/>
      <w:numFmt w:val="decimal"/>
      <w:start w:val="1"/>
    </w:lvl>
    <w:lvl w:ilvl="1">
      <w:lvlJc w:val="left"/>
      <w:lvlText w:val="(%2)"/>
      <w:numFmt w:val="lowerLetter"/>
      <w:start w:val="1"/>
    </w:lvl>
  </w:abstractNum>
  <w:abstractNum w:abstractNumId="40">
    <w:nsid w:val="3B0FD379"/>
    <w:multiLevelType w:val="hybridMultilevel"/>
    <w:lvl w:ilvl="0">
      <w:lvlJc w:val="left"/>
      <w:lvlText w:val="%1."/>
      <w:numFmt w:val="decimal"/>
      <w:start w:val="3"/>
    </w:lvl>
  </w:abstractNum>
  <w:abstractNum w:abstractNumId="41">
    <w:nsid w:val="68EB2F63"/>
    <w:multiLevelType w:val="hybridMultilevel"/>
    <w:lvl w:ilvl="0">
      <w:lvlJc w:val="left"/>
      <w:lvlText w:val="%1."/>
      <w:numFmt w:val="decimal"/>
      <w:start w:val="1"/>
    </w:lvl>
    <w:lvl w:ilvl="1">
      <w:lvlJc w:val="left"/>
      <w:lvlText w:val="(%2)"/>
      <w:numFmt w:val="lowerLetter"/>
      <w:start w:val="10"/>
    </w:lvl>
  </w:abstractNum>
  <w:abstractNum w:abstractNumId="42">
    <w:nsid w:val="4962813B"/>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43">
    <w:nsid w:val="60B6DF70"/>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3"/>
    </w:lvl>
  </w:abstractNum>
  <w:abstractNum w:abstractNumId="44">
    <w:nsid w:val="6A5EE64"/>
    <w:multiLevelType w:val="hybridMultilevel"/>
    <w:lvl w:ilvl="0">
      <w:lvlJc w:val="left"/>
      <w:lvlText w:val="%1"/>
      <w:numFmt w:val="upperLetter"/>
      <w:start w:val="1"/>
    </w:lvl>
    <w:lvl w:ilvl="1">
      <w:lvlJc w:val="left"/>
      <w:lvlText w:val="%2."/>
      <w:numFmt w:val="decimal"/>
      <w:start w:val="4"/>
    </w:lvl>
    <w:lvl w:ilvl="2">
      <w:lvlJc w:val="left"/>
      <w:lvlText w:val="%3"/>
      <w:numFmt w:val="lowerLetter"/>
      <w:start w:val="1"/>
    </w:lvl>
  </w:abstractNum>
  <w:abstractNum w:abstractNumId="45">
    <w:nsid w:val="14330624"/>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46">
    <w:nsid w:val="7FFFCA11"/>
    <w:multiLevelType w:val="hybridMultilevel"/>
    <w:lvl w:ilvl="0">
      <w:lvlJc w:val="left"/>
      <w:lvlText w:val="%1."/>
      <w:numFmt w:val="decimal"/>
      <w:start w:val="2"/>
    </w:lvl>
    <w:lvl w:ilvl="1">
      <w:lvlJc w:val="left"/>
      <w:lvlText w:val="%2."/>
      <w:numFmt w:val="lowerLetter"/>
      <w:start w:val="1"/>
    </w:lvl>
  </w:abstractNum>
  <w:abstractNum w:abstractNumId="47">
    <w:nsid w:val="1A27709E"/>
    <w:multiLevelType w:val="hybridMultilevel"/>
    <w:lvl w:ilvl="0">
      <w:lvlJc w:val="left"/>
      <w:lvlText w:val="%1."/>
      <w:numFmt w:val="decimal"/>
      <w:start w:val="1"/>
    </w:lvl>
  </w:abstractNum>
  <w:abstractNum w:abstractNumId="48">
    <w:nsid w:val="71EA1109"/>
    <w:multiLevelType w:val="hybridMultilevel"/>
    <w:lvl w:ilvl="0">
      <w:lvlJc w:val="left"/>
      <w:lvlText w:val="%1."/>
      <w:numFmt w:val="decimal"/>
      <w:start w:val="1"/>
    </w:lvl>
    <w:lvl w:ilvl="1">
      <w:lvlJc w:val="left"/>
      <w:lvlText w:val="(%2)"/>
      <w:numFmt w:val="lowerLetter"/>
      <w:start w:val="4"/>
    </w:lvl>
  </w:abstractNum>
  <w:abstractNum w:abstractNumId="49">
    <w:nsid w:val="100F59DC"/>
    <w:multiLevelType w:val="hybridMultilevel"/>
    <w:lvl w:ilvl="0">
      <w:lvlJc w:val="left"/>
      <w:lvlText w:val="%1"/>
      <w:numFmt w:val="decimal"/>
      <w:start w:val="1"/>
    </w:lvl>
    <w:lvl w:ilvl="1">
      <w:lvlJc w:val="left"/>
      <w:lvlText w:val="(%2)"/>
      <w:numFmt w:val="lowerLetter"/>
      <w:start w:val="21"/>
    </w:lvl>
  </w:abstractNum>
  <w:abstractNum w:abstractNumId="50">
    <w:nsid w:val="7FB7E0AA"/>
    <w:multiLevelType w:val="hybridMultilevel"/>
    <w:lvl w:ilvl="0">
      <w:lvlJc w:val="left"/>
      <w:lvlText w:val="%1"/>
      <w:numFmt w:val="decimal"/>
      <w:start w:val="1"/>
    </w:lvl>
    <w:lvl w:ilvl="1">
      <w:lvlJc w:val="left"/>
      <w:lvlText w:val="(%2)"/>
      <w:numFmt w:val="decimal"/>
      <w:start w:val="1"/>
    </w:lvl>
  </w:abstractNum>
  <w:abstractNum w:abstractNumId="51">
    <w:nsid w:val="6EB5BD4"/>
    <w:multiLevelType w:val="hybridMultilevel"/>
    <w:lvl w:ilvl="0">
      <w:lvlJc w:val="left"/>
      <w:lvlText w:val="%1."/>
      <w:numFmt w:val="decimal"/>
      <w:start w:val="4"/>
    </w:lvl>
    <w:lvl w:ilvl="1">
      <w:lvlJc w:val="left"/>
      <w:lvlText w:val="%2"/>
      <w:numFmt w:val="decimal"/>
      <w:start w:val="1"/>
    </w:lvl>
  </w:abstractNum>
  <w:abstractNum w:abstractNumId="52">
    <w:nsid w:val="6F6DD9AC"/>
    <w:multiLevelType w:val="hybridMultilevel"/>
    <w:lvl w:ilvl="0">
      <w:lvlJc w:val="left"/>
      <w:lvlText w:val="%1."/>
      <w:numFmt w:val="decimal"/>
      <w:start w:val="5"/>
    </w:lvl>
  </w:abstractNum>
  <w:abstractNum w:abstractNumId="53">
    <w:nsid w:val="94211F2"/>
    <w:multiLevelType w:val="hybridMultilevel"/>
    <w:lvl w:ilvl="0">
      <w:lvlJc w:val="left"/>
      <w:lvlText w:val="%1."/>
      <w:numFmt w:val="decimal"/>
      <w:start w:val="1"/>
    </w:lvl>
  </w:abstractNum>
  <w:abstractNum w:abstractNumId="54">
    <w:nsid w:val="885E1B"/>
    <w:multiLevelType w:val="hybridMultilevel"/>
    <w:lvl w:ilvl="0">
      <w:lvlJc w:val="left"/>
      <w:lvlText w:val="%1."/>
      <w:numFmt w:val="decimal"/>
      <w:start w:val="2"/>
    </w:lvl>
  </w:abstractNum>
  <w:abstractNum w:abstractNumId="55">
    <w:nsid w:val="76272110"/>
    <w:multiLevelType w:val="hybridMultilevel"/>
    <w:lvl w:ilvl="0">
      <w:lvlJc w:val="left"/>
      <w:lvlText w:val="%1."/>
      <w:numFmt w:val="decimal"/>
      <w:start w:val="5"/>
    </w:lvl>
  </w:abstractNum>
  <w:abstractNum w:abstractNumId="56">
    <w:nsid w:val="4C04A8AF"/>
    <w:multiLevelType w:val="hybridMultilevel"/>
    <w:lvl w:ilvl="0">
      <w:lvlJc w:val="left"/>
      <w:lvlText w:val="%1."/>
      <w:numFmt w:val="decimal"/>
      <w:start w:val="1"/>
    </w:lvl>
  </w:abstractNum>
  <w:abstractNum w:abstractNumId="57">
    <w:nsid w:val="1716703B"/>
    <w:multiLevelType w:val="hybridMultilevel"/>
    <w:lvl w:ilvl="0">
      <w:lvlJc w:val="left"/>
      <w:lvlText w:val="%1."/>
      <w:numFmt w:val="decimal"/>
      <w:start w:val="5"/>
    </w:lvl>
  </w:abstractNum>
  <w:abstractNum w:abstractNumId="58">
    <w:nsid w:val="14E17E33"/>
    <w:multiLevelType w:val="hybridMultilevel"/>
    <w:lvl w:ilvl="0">
      <w:lvlJc w:val="left"/>
      <w:lvlText w:val="(%1)"/>
      <w:numFmt w:val="lowerLetter"/>
      <w:start w:val="1"/>
    </w:lvl>
  </w:abstractNum>
  <w:abstractNum w:abstractNumId="59">
    <w:nsid w:val="3222E7CD"/>
    <w:multiLevelType w:val="hybridMultilevel"/>
    <w:lvl w:ilvl="0">
      <w:lvlJc w:val="left"/>
      <w:lvlText w:val="%1."/>
      <w:numFmt w:val="decimal"/>
      <w:start w:val="8"/>
    </w:lvl>
  </w:abstractNum>
  <w:abstractNum w:abstractNumId="60">
    <w:nsid w:val="74DE0EE3"/>
    <w:multiLevelType w:val="hybridMultilevel"/>
    <w:lvl w:ilvl="0">
      <w:lvlJc w:val="left"/>
      <w:lvlText w:val="%1."/>
      <w:numFmt w:val="decimal"/>
      <w:start w:val="1"/>
    </w:lvl>
  </w:abstractNum>
  <w:abstractNum w:abstractNumId="61">
    <w:nsid w:val="68EBC550"/>
    <w:multiLevelType w:val="hybridMultilevel"/>
    <w:lvl w:ilvl="0">
      <w:lvlJc w:val="left"/>
      <w:lvlText w:val="(%1)"/>
      <w:numFmt w:val="lowerLetter"/>
      <w:start w:val="1"/>
    </w:lvl>
    <w:lvl w:ilvl="1">
      <w:lvlJc w:val="left"/>
      <w:lvlText w:val="(%2)"/>
      <w:numFmt w:val="decimal"/>
      <w:start w:val="1"/>
    </w:lvl>
  </w:abstractNum>
  <w:abstractNum w:abstractNumId="62">
    <w:nsid w:val="2DF6D648"/>
    <w:multiLevelType w:val="hybridMultilevel"/>
    <w:lvl w:ilvl="0">
      <w:lvlJc w:val="left"/>
      <w:lvlText w:val="%1"/>
      <w:numFmt w:val="decimal"/>
      <w:start w:val="1"/>
    </w:lvl>
    <w:lvl w:ilvl="1">
      <w:lvlJc w:val="left"/>
      <w:lvlText w:val="(%2)"/>
      <w:numFmt w:val="lowerLetter"/>
      <w:start w:val="2"/>
    </w:lvl>
  </w:abstractNum>
  <w:abstractNum w:abstractNumId="63">
    <w:nsid w:val="46B7D447"/>
    <w:multiLevelType w:val="hybridMultilevel"/>
    <w:lvl w:ilvl="0">
      <w:lvlJc w:val="left"/>
      <w:lvlText w:val="%1."/>
      <w:numFmt w:val="decimal"/>
      <w:start w:val="2"/>
    </w:lvl>
    <w:lvl w:ilvl="1">
      <w:lvlJc w:val="left"/>
      <w:lvlText w:val="%2"/>
      <w:numFmt w:val="lowerLetter"/>
      <w:start w:val="1"/>
    </w:lvl>
  </w:abstractNum>
  <w:abstractNum w:abstractNumId="64">
    <w:nsid w:val="4A2AC315"/>
    <w:multiLevelType w:val="hybridMultilevel"/>
    <w:lvl w:ilvl="0">
      <w:lvlJc w:val="left"/>
      <w:lvlText w:val="%1."/>
      <w:numFmt w:val="decimal"/>
      <w:start w:val="1"/>
    </w:lvl>
  </w:abstractNum>
  <w:abstractNum w:abstractNumId="65">
    <w:nsid w:val="39EE015C"/>
    <w:multiLevelType w:val="hybridMultilevel"/>
    <w:lvl w:ilvl="0">
      <w:lvlJc w:val="left"/>
      <w:lvlText w:val="%1"/>
      <w:numFmt w:val="decimal"/>
      <w:start w:val="1"/>
    </w:lvl>
    <w:lvl w:ilvl="1">
      <w:lvlJc w:val="left"/>
      <w:lvlText w:val="%2."/>
      <w:numFmt w:val="upperLetter"/>
      <w:start w:val="4"/>
    </w:lvl>
  </w:abstractNum>
  <w:abstractNum w:abstractNumId="66">
    <w:nsid w:val="57FC4FBB"/>
    <w:multiLevelType w:val="hybridMultilevel"/>
    <w:lvl w:ilvl="0">
      <w:lvlJc w:val="left"/>
      <w:lvlText w:val="%1."/>
      <w:numFmt w:val="decimal"/>
      <w:start w:val="2"/>
    </w:lvl>
    <w:lvl w:ilvl="1">
      <w:lvlJc w:val="left"/>
      <w:lvlText w:val="%2"/>
      <w:numFmt w:val="upperLetter"/>
      <w:start w:val="1"/>
    </w:lvl>
  </w:abstractNum>
  <w:abstractNum w:abstractNumId="67">
    <w:nsid w:val="CC1016F"/>
    <w:multiLevelType w:val="hybridMultilevel"/>
    <w:lvl w:ilvl="0">
      <w:lvlJc w:val="left"/>
      <w:lvlText w:val="%1."/>
      <w:numFmt w:val="decimal"/>
      <w:start w:val="1"/>
    </w:lvl>
  </w:abstractNum>
  <w:abstractNum w:abstractNumId="68">
    <w:nsid w:val="43F18422"/>
    <w:multiLevelType w:val="hybridMultilevel"/>
    <w:lvl w:ilvl="0">
      <w:lvlJc w:val="left"/>
      <w:lvlText w:val="(%1)"/>
      <w:numFmt w:val="decimal"/>
      <w:start w:val="1"/>
    </w:lvl>
    <w:lvl w:ilvl="1">
      <w:lvlJc w:val="left"/>
      <w:lvlText w:val="(%2)"/>
      <w:numFmt w:val="lowerLetter"/>
      <w:start w:val="1"/>
    </w:lvl>
  </w:abstractNum>
  <w:abstractNum w:abstractNumId="69">
    <w:nsid w:val="60EF0119"/>
    <w:multiLevelType w:val="hybridMultilevel"/>
    <w:lvl w:ilvl="0">
      <w:lvlJc w:val="left"/>
      <w:lvlText w:val="(%1)"/>
      <w:numFmt w:val="decimal"/>
      <w:start w:val="2"/>
    </w:lvl>
  </w:abstractNum>
  <w:abstractNum w:abstractNumId="70">
    <w:nsid w:val="26F324BA"/>
    <w:multiLevelType w:val="hybridMultilevel"/>
    <w:lvl w:ilvl="0">
      <w:lvlJc w:val="left"/>
      <w:lvlText w:val="%1."/>
      <w:numFmt w:val="decimal"/>
      <w:start w:val="2"/>
    </w:lvl>
    <w:lvl w:ilvl="1">
      <w:lvlJc w:val="left"/>
      <w:lvlText w:val="(%2)"/>
      <w:numFmt w:val="lowerRoman"/>
      <w:start w:val="1"/>
    </w:lvl>
  </w:abstractNum>
  <w:abstractNum w:abstractNumId="71">
    <w:nsid w:val="7F01579B"/>
    <w:multiLevelType w:val="hybridMultilevel"/>
    <w:lvl w:ilvl="0">
      <w:lvlJc w:val="left"/>
      <w:lvlText w:val="%1."/>
      <w:numFmt w:val="decimal"/>
      <w:start w:val="1"/>
    </w:lvl>
  </w:abstractNum>
  <w:abstractNum w:abstractNumId="72">
    <w:nsid w:val="49DA307D"/>
    <w:multiLevelType w:val="hybridMultilevel"/>
    <w:lvl w:ilvl="0">
      <w:lvlJc w:val="left"/>
      <w:lvlText w:val="%1."/>
      <w:numFmt w:val="decimal"/>
      <w:start w:val="2"/>
    </w:lvl>
  </w:abstractNum>
  <w:abstractNum w:abstractNumId="73">
    <w:nsid w:val="7055A5F5"/>
    <w:multiLevelType w:val="hybridMultilevel"/>
    <w:lvl w:ilvl="0">
      <w:lvlJc w:val="left"/>
      <w:lvlText w:val="%1."/>
      <w:numFmt w:val="decimal"/>
      <w:start w:val="1"/>
    </w:lvl>
    <w:lvl w:ilvl="1">
      <w:lvlJc w:val="left"/>
      <w:lvlText w:val="(%2)"/>
      <w:numFmt w:val="lowerLetter"/>
      <w:start w:val="5"/>
    </w:lvl>
  </w:abstractNum>
  <w:abstractNum w:abstractNumId="74">
    <w:nsid w:val="5FB8370B"/>
    <w:multiLevelType w:val="hybridMultilevel"/>
    <w:lvl w:ilvl="0">
      <w:lvlJc w:val="left"/>
      <w:lvlText w:val="%1"/>
      <w:numFmt w:val="decimal"/>
      <w:start w:val="1"/>
    </w:lvl>
    <w:lvl w:ilvl="1">
      <w:lvlJc w:val="left"/>
      <w:lvlText w:val="(%2)"/>
      <w:numFmt w:val="lowerLetter"/>
      <w:start w:val="15"/>
    </w:lvl>
  </w:abstractNum>
  <w:abstractNum w:abstractNumId="75">
    <w:nsid w:val="50801EE1"/>
    <w:multiLevelType w:val="hybridMultilevel"/>
    <w:lvl w:ilvl="0">
      <w:lvlJc w:val="left"/>
      <w:lvlText w:val="%1."/>
      <w:numFmt w:val="decimal"/>
      <w:start w:val="3"/>
    </w:lvl>
    <w:lvl w:ilvl="1">
      <w:lvlJc w:val="left"/>
      <w:lvlText w:val="%2"/>
      <w:numFmt w:val="lowerLetter"/>
      <w:start w:val="1"/>
    </w:lvl>
  </w:abstractNum>
  <w:abstractNum w:abstractNumId="76">
    <w:nsid w:val="488AC1A"/>
    <w:multiLevelType w:val="hybridMultilevel"/>
    <w:lvl w:ilvl="0">
      <w:lvlJc w:val="left"/>
      <w:lvlText w:val="%1."/>
      <w:numFmt w:val="decimal"/>
      <w:start w:val="1"/>
    </w:lvl>
  </w:abstractNum>
  <w:abstractNum w:abstractNumId="77">
    <w:nsid w:val="5FB8011C"/>
    <w:multiLevelType w:val="hybridMultilevel"/>
    <w:lvl w:ilvl="0">
      <w:lvlJc w:val="left"/>
      <w:lvlText w:val="(%1)"/>
      <w:numFmt w:val="decimal"/>
      <w:start w:val="1"/>
    </w:lvl>
  </w:abstractNum>
  <w:abstractNum w:abstractNumId="78">
    <w:nsid w:val="6AA78F7F"/>
    <w:multiLevelType w:val="hybridMultilevel"/>
    <w:lvl w:ilvl="0">
      <w:lvlJc w:val="left"/>
      <w:lvlText w:val="(%1)"/>
      <w:numFmt w:val="lowerRoman"/>
      <w:start w:val="1"/>
    </w:lvl>
  </w:abstractNum>
  <w:abstractNum w:abstractNumId="79">
    <w:nsid w:val="7672BD23"/>
    <w:multiLevelType w:val="hybridMultilevel"/>
    <w:lvl w:ilvl="0">
      <w:lvlJc w:val="left"/>
      <w:lvlText w:val="%1."/>
      <w:numFmt w:val="decimal"/>
      <w:start w:val="2"/>
    </w:lvl>
  </w:abstractNum>
  <w:abstractNum w:abstractNumId="80">
    <w:nsid w:val="6FC75AF8"/>
    <w:multiLevelType w:val="hybridMultilevel"/>
    <w:lvl w:ilvl="0">
      <w:lvlJc w:val="left"/>
      <w:lvlText w:val="(%1)"/>
      <w:numFmt w:val="lowerLetter"/>
      <w:start w:val="1"/>
    </w:lvl>
    <w:lvl w:ilvl="1">
      <w:lvlJc w:val="left"/>
      <w:lvlText w:val="(%2)"/>
      <w:numFmt w:val="decimal"/>
      <w:start w:val="1"/>
    </w:lvl>
  </w:abstractNum>
  <w:abstractNum w:abstractNumId="81">
    <w:nsid w:val="6A5F7029"/>
    <w:multiLevelType w:val="hybridMultilevel"/>
    <w:lvl w:ilvl="0">
      <w:lvlJc w:val="left"/>
      <w:lvlText w:val="(%1)"/>
      <w:numFmt w:val="decimal"/>
      <w:start w:val="8"/>
    </w:lvl>
    <w:lvl w:ilvl="1">
      <w:lvlJc w:val="left"/>
      <w:lvlText w:val="%2)"/>
      <w:numFmt w:val="lowerLetter"/>
      <w:start w:val="1"/>
    </w:lvl>
  </w:abstractNum>
  <w:abstractNum w:abstractNumId="82">
    <w:nsid w:val="7D5E18F8"/>
    <w:multiLevelType w:val="hybridMultilevel"/>
    <w:lvl w:ilvl="0">
      <w:lvlJc w:val="left"/>
      <w:lvlText w:val="%1."/>
      <w:numFmt w:val="decimal"/>
      <w:start w:val="1"/>
    </w:lvl>
  </w:abstractNum>
  <w:abstractNum w:abstractNumId="83">
    <w:nsid w:val="5F3534A4"/>
    <w:multiLevelType w:val="hybridMultilevel"/>
    <w:lvl w:ilvl="0">
      <w:lvlJc w:val="left"/>
      <w:lvlText w:val="%1."/>
      <w:numFmt w:val="decimal"/>
      <w:start w:val="1"/>
    </w:lvl>
  </w:abstractNum>
  <w:abstractNum w:abstractNumId="84">
    <w:nsid w:val="73A1821B"/>
    <w:multiLevelType w:val="hybridMultilevel"/>
    <w:lvl w:ilvl="0">
      <w:lvlJc w:val="left"/>
      <w:lvlText w:val="%1"/>
      <w:numFmt w:val="decimal"/>
      <w:start w:val="1"/>
    </w:lvl>
    <w:lvl w:ilvl="1">
      <w:lvlJc w:val="left"/>
      <w:lvlText w:val="(%2)"/>
      <w:numFmt w:val="lowerLetter"/>
      <w:start w:val="1"/>
    </w:lvl>
  </w:abstractNum>
  <w:abstractNum w:abstractNumId="85">
    <w:nsid w:val="7DE67713"/>
    <w:multiLevelType w:val="hybridMultilevel"/>
    <w:lvl w:ilvl="0">
      <w:lvlJc w:val="left"/>
      <w:lvlText w:val="%1."/>
      <w:numFmt w:val="decimal"/>
      <w:start w:val="4"/>
    </w:lvl>
    <w:lvl w:ilvl="1">
      <w:lvlJc w:val="left"/>
      <w:lvlText w:val="%2"/>
      <w:numFmt w:val="lowerLetter"/>
      <w:start w:val="1"/>
    </w:lvl>
  </w:abstractNum>
  <w:abstractNum w:abstractNumId="86">
    <w:nsid w:val="555C55B5"/>
    <w:multiLevelType w:val="hybridMultilevel"/>
    <w:lvl w:ilvl="0">
      <w:lvlJc w:val="left"/>
      <w:lvlText w:val="(%1)"/>
      <w:numFmt w:val="upperLetter"/>
      <w:start w:val="24"/>
    </w:lvl>
  </w:abstractNum>
  <w:abstractNum w:abstractNumId="87">
    <w:nsid w:val="3FA62ACA"/>
    <w:multiLevelType w:val="hybridMultilevel"/>
    <w:lvl w:ilvl="0">
      <w:lvlJc w:val="left"/>
      <w:lvlText w:val="%1."/>
      <w:numFmt w:val="decimal"/>
      <w:start w:val="1"/>
    </w:lvl>
  </w:abstractNum>
  <w:abstractNum w:abstractNumId="88">
    <w:nsid w:val="14FCE74E"/>
    <w:multiLevelType w:val="hybridMultilevel"/>
    <w:lvl w:ilvl="0">
      <w:lvlJc w:val="left"/>
      <w:lvlText w:val="%1."/>
      <w:numFmt w:val="decimal"/>
      <w:start w:val="3"/>
    </w:lvl>
  </w:abstractNum>
  <w:abstractNum w:abstractNumId="89">
    <w:nsid w:val="6A3DD3E8"/>
    <w:multiLevelType w:val="hybridMultilevel"/>
    <w:lvl w:ilvl="0">
      <w:lvlJc w:val="left"/>
      <w:lvlText w:val="%1."/>
      <w:numFmt w:val="decimal"/>
      <w:start w:val="4"/>
    </w:lvl>
  </w:abstractNum>
  <w:abstractNum w:abstractNumId="90">
    <w:nsid w:val="71C91298"/>
    <w:multiLevelType w:val="hybridMultilevel"/>
    <w:lvl w:ilvl="0">
      <w:lvlJc w:val="left"/>
      <w:lvlText w:val="(%1)"/>
      <w:numFmt w:val="upperLetter"/>
      <w:start w:val="7"/>
    </w:lvl>
    <w:lvl w:ilvl="1">
      <w:lvlJc w:val="left"/>
      <w:lvlText w:val="(%2)"/>
      <w:numFmt w:val="decimal"/>
      <w:start w:val="1"/>
    </w:lvl>
    <w:lvl w:ilvl="2">
      <w:lvlJc w:val="left"/>
      <w:lvlText w:val="(%3)"/>
      <w:numFmt w:val="lowerRoman"/>
      <w:start w:val="1"/>
    </w:lvl>
  </w:abstractNum>
  <w:abstractNum w:abstractNumId="91">
    <w:nsid w:val="9DAF632"/>
    <w:multiLevelType w:val="hybridMultilevel"/>
    <w:lvl w:ilvl="0">
      <w:lvlJc w:val="left"/>
      <w:lvlText w:val="(%1)"/>
      <w:numFmt w:val="lowerLetter"/>
      <w:start w:val="1"/>
    </w:lvl>
  </w:abstractNum>
  <w:abstractNum w:abstractNumId="92">
    <w:nsid w:val="53299938"/>
    <w:multiLevelType w:val="hybridMultilevel"/>
    <w:lvl w:ilvl="0">
      <w:lvlJc w:val="left"/>
      <w:lvlText w:val="(%1)"/>
      <w:numFmt w:val="upperLetter"/>
      <w:start w:val="8"/>
    </w:lvl>
    <w:lvl w:ilvl="1">
      <w:lvlJc w:val="left"/>
      <w:lvlText w:val="(%2)"/>
      <w:numFmt w:val="decimal"/>
      <w:start w:val="1"/>
    </w:lvl>
  </w:abstractNum>
  <w:abstractNum w:abstractNumId="93">
    <w:nsid w:val="1FBFE8E0"/>
    <w:multiLevelType w:val="hybridMultilevel"/>
    <w:lvl w:ilvl="0">
      <w:lvlJc w:val="left"/>
      <w:lvlText w:val="(%1)"/>
      <w:numFmt w:val="decimal"/>
      <w:start w:val="3"/>
    </w:lvl>
    <w:lvl w:ilvl="1">
      <w:lvlJc w:val="left"/>
      <w:lvlText w:val="(%2)"/>
      <w:numFmt w:val="lowerRoman"/>
      <w:start w:val="1"/>
    </w:lvl>
  </w:abstractNum>
  <w:abstractNum w:abstractNumId="94">
    <w:nsid w:val="5092CA79"/>
    <w:multiLevelType w:val="hybridMultilevel"/>
    <w:lvl w:ilvl="0">
      <w:lvlJc w:val="left"/>
      <w:lvlText w:val="(%1)"/>
      <w:numFmt w:val="lowerLetter"/>
      <w:start w:val="1"/>
    </w:lvl>
  </w:abstractNum>
  <w:abstractNum w:abstractNumId="95">
    <w:nsid w:val="1D545C4D"/>
    <w:multiLevelType w:val="hybridMultilevel"/>
    <w:lvl w:ilvl="0">
      <w:lvlJc w:val="left"/>
      <w:lvlText w:val="(%1)"/>
      <w:numFmt w:val="upperLetter"/>
      <w:start w:val="9"/>
    </w:lvl>
    <w:lvl w:ilvl="1">
      <w:lvlJc w:val="left"/>
      <w:lvlText w:val="(%2)"/>
      <w:numFmt w:val="decimal"/>
      <w:start w:val="1"/>
    </w:lvl>
  </w:abstractNum>
  <w:abstractNum w:abstractNumId="96">
    <w:nsid w:val="59ADEA3D"/>
    <w:multiLevelType w:val="hybridMultilevel"/>
    <w:lvl w:ilvl="0">
      <w:lvlJc w:val="left"/>
      <w:lvlText w:val="(%1)"/>
      <w:numFmt w:val="lowerRoman"/>
      <w:start w:val="1"/>
    </w:lvl>
  </w:abstractNum>
  <w:abstractNum w:abstractNumId="97">
    <w:nsid w:val="288F1A34"/>
    <w:multiLevelType w:val="hybridMultilevel"/>
    <w:lvl w:ilvl="0">
      <w:lvlJc w:val="left"/>
      <w:lvlText w:val="(%1)"/>
      <w:numFmt w:val="upperLetter"/>
      <w:start w:val="10"/>
    </w:lvl>
  </w:abstractNum>
  <w:abstractNum w:abstractNumId="98">
    <w:nsid w:val="2A155DBC"/>
    <w:multiLevelType w:val="hybridMultilevel"/>
    <w:lvl w:ilvl="0">
      <w:lvlJc w:val="left"/>
      <w:lvlText w:val="(%1)"/>
      <w:numFmt w:val="decimal"/>
      <w:start w:val="1"/>
    </w:lvl>
    <w:lvl w:ilvl="1">
      <w:lvlJc w:val="left"/>
      <w:lvlText w:val="(%2)"/>
      <w:numFmt w:val="lowerLetter"/>
      <w:start w:val="1"/>
    </w:lvl>
  </w:abstractNum>
  <w:abstractNum w:abstractNumId="99">
    <w:nsid w:val="1D9F6E5F"/>
    <w:multiLevelType w:val="hybridMultilevel"/>
    <w:lvl w:ilvl="0">
      <w:lvlJc w:val="left"/>
      <w:lvlText w:val="(%1)"/>
      <w:numFmt w:val="decimal"/>
      <w:start w:val="2"/>
    </w:lvl>
  </w:abstractNum>
  <w:abstractNum w:abstractNumId="100">
    <w:nsid w:val="97E1B4E"/>
    <w:multiLevelType w:val="hybridMultilevel"/>
    <w:lvl w:ilvl="0">
      <w:lvlJc w:val="left"/>
      <w:lvlText w:val="(%1)"/>
      <w:numFmt w:val="upperLetter"/>
      <w:start w:val="11"/>
    </w:lvl>
  </w:abstractNum>
  <w:abstractNum w:abstractNumId="101">
    <w:nsid w:val="51088277"/>
    <w:multiLevelType w:val="hybridMultilevel"/>
    <w:lvl w:ilvl="0">
      <w:lvlJc w:val="left"/>
      <w:lvlText w:val="(%1)"/>
      <w:numFmt w:val="upperLetter"/>
      <w:start w:val="12"/>
    </w:lvl>
  </w:abstractNum>
  <w:abstractNum w:abstractNumId="102">
    <w:nsid w:val="1CA0C5FA"/>
    <w:multiLevelType w:val="hybridMultilevel"/>
    <w:lvl w:ilvl="0">
      <w:lvlJc w:val="left"/>
      <w:lvlText w:val="(%1)"/>
      <w:numFmt w:val="upperLetter"/>
      <w:start w:val="13"/>
    </w:lvl>
    <w:lvl w:ilvl="1">
      <w:lvlJc w:val="left"/>
      <w:lvlText w:val="(%2)"/>
      <w:numFmt w:val="decimal"/>
      <w:start w:val="1"/>
    </w:lvl>
  </w:abstractNum>
  <w:abstractNum w:abstractNumId="103">
    <w:nsid w:val="53584BCB"/>
    <w:multiLevelType w:val="hybridMultilevel"/>
    <w:lvl w:ilvl="0">
      <w:lvlJc w:val="left"/>
      <w:lvlText w:val="%1."/>
      <w:numFmt w:val="decimal"/>
      <w:start w:val="5"/>
    </w:lvl>
  </w:abstractNum>
  <w:abstractNum w:abstractNumId="104">
    <w:nsid w:val="415E286C"/>
    <w:multiLevelType w:val="hybridMultilevel"/>
    <w:lvl w:ilvl="0">
      <w:lvlJc w:val="left"/>
      <w:lvlText w:val="%1."/>
      <w:numFmt w:val="upperLetter"/>
      <w:start w:val="2"/>
    </w:lvl>
  </w:abstractNum>
  <w:abstractNum w:abstractNumId="105">
    <w:nsid w:val="7C58FD05"/>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lvl w:ilvl="3">
      <w:lvlJc w:val="left"/>
      <w:lvlText w:val="(%4)"/>
      <w:numFmt w:val="lowerRoman"/>
      <w:start w:val="1"/>
    </w:lvl>
  </w:abstractNum>
  <w:abstractNum w:abstractNumId="106">
    <w:nsid w:val="23D86AAC"/>
    <w:multiLevelType w:val="hybridMultilevel"/>
    <w:lvl w:ilvl="0">
      <w:lvlJc w:val="left"/>
      <w:lvlText w:val="%1."/>
      <w:numFmt w:val="decimal"/>
      <w:start w:val="6"/>
    </w:lvl>
    <w:lvl w:ilvl="1">
      <w:lvlJc w:val="left"/>
      <w:lvlText w:val="(%2)"/>
      <w:numFmt w:val="lowerRoman"/>
      <w:start w:val="1"/>
    </w:lvl>
    <w:lvl w:ilvl="2">
      <w:lvlJc w:val="left"/>
      <w:lvlText w:val="%3"/>
      <w:numFmt w:val="lowerLetter"/>
      <w:start w:val="1"/>
    </w:lvl>
    <w:lvl w:ilvl="3">
      <w:lvlJc w:val="left"/>
      <w:lvlText w:val="%4"/>
      <w:numFmt w:val="lowerRoman"/>
      <w:start w:val="1"/>
    </w:lvl>
  </w:abstractNum>
  <w:abstractNum w:abstractNumId="107">
    <w:nsid w:val="45E6D486"/>
    <w:multiLevelType w:val="hybridMultilevel"/>
    <w:lvl w:ilvl="0">
      <w:lvlJc w:val="left"/>
      <w:lvlText w:val="(%1)"/>
      <w:numFmt w:val="decimal"/>
      <w:start w:val="1"/>
    </w:lvl>
  </w:abstractNum>
  <w:abstractNum w:abstractNumId="108">
    <w:nsid w:val="5C10FE21"/>
    <w:multiLevelType w:val="hybridMultilevel"/>
    <w:lvl w:ilvl="0">
      <w:lvlJc w:val="left"/>
      <w:lvlText w:val="(%1)"/>
      <w:numFmt w:val="decimal"/>
      <w:start w:val="2"/>
    </w:lvl>
  </w:abstractNum>
  <w:abstractNum w:abstractNumId="109">
    <w:nsid w:val="E7FFA2B"/>
    <w:multiLevelType w:val="hybridMultilevel"/>
    <w:lvl w:ilvl="0">
      <w:lvlJc w:val="left"/>
      <w:lvlText w:val="(%1)"/>
      <w:numFmt w:val="lowerRoman"/>
      <w:start w:val="4"/>
    </w:lvl>
    <w:lvl w:ilvl="1">
      <w:lvlJc w:val="left"/>
      <w:lvlText w:val="%2)"/>
      <w:numFmt w:val="decimal"/>
      <w:start w:val="1"/>
    </w:lvl>
  </w:abstractNum>
  <w:abstractNum w:abstractNumId="110">
    <w:nsid w:val="3C5991AA"/>
    <w:multiLevelType w:val="hybridMultilevel"/>
    <w:lvl w:ilvl="0">
      <w:lvlJc w:val="left"/>
      <w:lvlText w:val="%1"/>
      <w:numFmt w:val="decimal"/>
      <w:start w:val="1"/>
    </w:lvl>
    <w:lvl w:ilvl="1">
      <w:lvlJc w:val="left"/>
      <w:lvlText w:val="(%2)"/>
      <w:numFmt w:val="lowerRoman"/>
      <w:start w:val="12"/>
    </w:lvl>
    <w:lvl w:ilvl="2">
      <w:lvlJc w:val="left"/>
      <w:lvlText w:val="%3"/>
      <w:numFmt w:val="decimal"/>
      <w:start w:val="1"/>
    </w:lvl>
  </w:abstractNum>
  <w:abstractNum w:abstractNumId="111">
    <w:nsid w:val="4BD8591A"/>
    <w:multiLevelType w:val="hybridMultilevel"/>
    <w:lvl w:ilvl="0">
      <w:lvlJc w:val="left"/>
      <w:lvlText w:val="%1."/>
      <w:numFmt w:val="decimal"/>
      <w:start w:val="8"/>
    </w:lvl>
    <w:lvl w:ilvl="1">
      <w:lvlJc w:val="left"/>
      <w:lvlText w:val="(%2)"/>
      <w:numFmt w:val="lowerRoman"/>
      <w:start w:val="1"/>
    </w:lvl>
    <w:lvl w:ilvl="2">
      <w:lvlJc w:val="left"/>
      <w:lvlText w:val="(%3)"/>
      <w:numFmt w:val="decimal"/>
      <w:start w:val="1"/>
    </w:lvl>
  </w:abstractNum>
  <w:abstractNum w:abstractNumId="112">
    <w:nsid w:val="78DF6A55"/>
    <w:multiLevelType w:val="hybridMultilevel"/>
    <w:lvl w:ilvl="0">
      <w:lvlJc w:val="left"/>
      <w:lvlText w:val="(%1)"/>
      <w:numFmt w:val="decimal"/>
      <w:start w:val="2"/>
    </w:lvl>
  </w:abstractNum>
  <w:abstractNum w:abstractNumId="113">
    <w:nsid w:val="39B7AAA2"/>
    <w:multiLevelType w:val="hybridMultilevel"/>
    <w:lvl w:ilvl="0">
      <w:lvlJc w:val="left"/>
      <w:lvlText w:val="(%1)"/>
      <w:numFmt w:val="lowerRoman"/>
      <w:start w:val="11"/>
    </w:lvl>
    <w:lvl w:ilvl="1">
      <w:lvlJc w:val="left"/>
      <w:lvlText w:val="%2."/>
      <w:numFmt w:val="lowerLetter"/>
      <w:start w:val="1"/>
    </w:lvl>
  </w:abstractNum>
  <w:abstractNum w:abstractNumId="114">
    <w:nsid w:val="2B0D8DBE"/>
    <w:multiLevelType w:val="hybridMultilevel"/>
    <w:lvl w:ilvl="0">
      <w:lvlJc w:val="left"/>
      <w:lvlText w:val="(%1)"/>
      <w:numFmt w:val="lowerRoman"/>
      <w:start w:val="22"/>
    </w:lvl>
    <w:lvl w:ilvl="1">
      <w:lvlJc w:val="left"/>
      <w:lvlText w:val="%2)"/>
      <w:numFmt w:val="decimal"/>
      <w:start w:val="1"/>
    </w:lvl>
  </w:abstractNum>
  <w:abstractNum w:abstractNumId="115">
    <w:nsid w:val="6C80EC70"/>
    <w:multiLevelType w:val="hybridMultilevel"/>
    <w:lvl w:ilvl="0">
      <w:lvlJc w:val="left"/>
      <w:lvlText w:val="%1."/>
      <w:numFmt w:val="decimal"/>
      <w:start w:val="9"/>
    </w:lvl>
    <w:lvl w:ilvl="1">
      <w:lvlJc w:val="left"/>
      <w:lvlText w:val="(%2)"/>
      <w:numFmt w:val="lowerLetter"/>
      <w:start w:val="7"/>
    </w:lvl>
  </w:abstractNum>
  <w:abstractNum w:abstractNumId="116">
    <w:nsid w:val="379E21B5"/>
    <w:multiLevelType w:val="hybridMultilevel"/>
    <w:lvl w:ilvl="0">
      <w:lvlJc w:val="left"/>
      <w:lvlText w:val="%1."/>
      <w:numFmt w:val="decimal"/>
      <w:start w:val="1"/>
    </w:lvl>
  </w:abstractNum>
  <w:abstractNum w:abstractNumId="117">
    <w:nsid w:val="69E37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2019-12-09T20:40:18Z</dcterms:created>
  <dcterms:modified xsi:type="dcterms:W3CDTF">2019-12-09T20:40:18Z</dcterms:modified>
</cp:coreProperties>
</file>