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824"/>
        <w:spacing w:after="0"/>
        <w:rPr>
          <w:sz w:val="20"/>
          <w:szCs w:val="20"/>
          <w:color w:val="auto"/>
        </w:rPr>
      </w:pPr>
      <w:r>
        <w:rPr>
          <w:rFonts w:ascii="Times New Roman" w:cs="Times New Roman" w:eastAsia="Times New Roman" w:hAnsi="Times New Roman"/>
          <w:sz w:val="18"/>
          <w:szCs w:val="18"/>
          <w:b w:val="1"/>
          <w:bCs w:val="1"/>
          <w:color w:val="auto"/>
        </w:rPr>
        <w:t>Filed Pursuant to 424(b)(2)</w:t>
      </w:r>
    </w:p>
    <w:p>
      <w:pPr>
        <w:spacing w:after="0" w:line="31" w:lineRule="exact"/>
        <w:rPr>
          <w:sz w:val="24"/>
          <w:szCs w:val="24"/>
          <w:color w:val="auto"/>
        </w:rPr>
      </w:pPr>
    </w:p>
    <w:p>
      <w:pPr>
        <w:ind w:left="7824"/>
        <w:spacing w:after="0"/>
        <w:rPr>
          <w:sz w:val="20"/>
          <w:szCs w:val="20"/>
          <w:color w:val="auto"/>
        </w:rPr>
      </w:pPr>
      <w:r>
        <w:rPr>
          <w:rFonts w:ascii="Times New Roman" w:cs="Times New Roman" w:eastAsia="Times New Roman" w:hAnsi="Times New Roman"/>
          <w:sz w:val="18"/>
          <w:szCs w:val="18"/>
          <w:b w:val="1"/>
          <w:bCs w:val="1"/>
          <w:color w:val="auto"/>
        </w:rPr>
        <w:t>Registration No. 333-276252</w:t>
      </w:r>
    </w:p>
    <w:p>
      <w:pPr>
        <w:spacing w:after="0" w:line="13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(To Prospectus dated December 22, 2023)</w:t>
      </w:r>
    </w:p>
    <w:p>
      <w:pPr>
        <w:spacing w:after="0" w:line="6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$350,000,000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2777490</wp:posOffset>
            </wp:positionH>
            <wp:positionV relativeFrom="paragraph">
              <wp:posOffset>180975</wp:posOffset>
            </wp:positionV>
            <wp:extent cx="144018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6.125% Notes due 2029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162560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4"/>
          <w:szCs w:val="24"/>
          <w:color w:val="auto"/>
        </w:rPr>
      </w:pPr>
    </w:p>
    <w:p>
      <w:pPr>
        <w:ind w:left="4" w:right="40" w:firstLine="440"/>
        <w:spacing w:after="0" w:line="233" w:lineRule="auto"/>
        <w:rPr>
          <w:sz w:val="20"/>
          <w:szCs w:val="20"/>
          <w:color w:val="auto"/>
        </w:rPr>
      </w:pPr>
      <w:r>
        <w:rPr>
          <w:rFonts w:ascii="Times New Roman" w:cs="Times New Roman" w:eastAsia="Times New Roman" w:hAnsi="Times New Roman"/>
          <w:sz w:val="14"/>
          <w:szCs w:val="14"/>
          <w:color w:val="auto"/>
        </w:rPr>
        <w:t>We are offering $350,000,000 in aggregate principal amount of 6.125% notes due 2029, which we refer to as the Notes. The Notes will mature on March 1, 2029. We will pay interest on the Notes on March 1 and September 1 of each year, beginning on September 1, 2024. We may redeem the Notes in whole or in part at any time or from time to time at the redemption price discussed under the caption “Description of Notes—Optional Redemption”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spacing w:after="0" w:line="69" w:lineRule="exact"/>
        <w:rPr>
          <w:sz w:val="24"/>
          <w:szCs w:val="24"/>
          <w:color w:val="auto"/>
        </w:rPr>
      </w:pPr>
    </w:p>
    <w:p>
      <w:pPr>
        <w:ind w:left="4" w:right="200" w:firstLine="440"/>
        <w:spacing w:after="0" w:line="236" w:lineRule="auto"/>
        <w:rPr>
          <w:sz w:val="20"/>
          <w:szCs w:val="20"/>
          <w:color w:val="auto"/>
        </w:rPr>
      </w:pPr>
      <w:r>
        <w:rPr>
          <w:rFonts w:ascii="Times New Roman" w:cs="Times New Roman" w:eastAsia="Times New Roman" w:hAnsi="Times New Roman"/>
          <w:sz w:val="14"/>
          <w:szCs w:val="14"/>
          <w:color w:val="auto"/>
        </w:rPr>
        <w:t>The Notes will be our direct, general unsecured obligations and rank pari passu, or equal, with all existing and future unsecured unsubordinated indebtedness issued by us, but will rank senior to our future indebtedness that is expressly subordinated in right of payment to the Notes. 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69" w:lineRule="exact"/>
        <w:rPr>
          <w:sz w:val="24"/>
          <w:szCs w:val="24"/>
          <w:color w:val="auto"/>
        </w:rPr>
      </w:pPr>
    </w:p>
    <w:p>
      <w:pPr>
        <w:ind w:left="4" w:right="260" w:firstLine="440"/>
        <w:spacing w:after="0" w:line="241" w:lineRule="auto"/>
        <w:rPr>
          <w:sz w:val="20"/>
          <w:szCs w:val="20"/>
          <w:color w:val="auto"/>
        </w:rPr>
      </w:pPr>
      <w:r>
        <w:rPr>
          <w:rFonts w:ascii="Times New Roman" w:cs="Times New Roman" w:eastAsia="Times New Roman" w:hAnsi="Times New Roman"/>
          <w:sz w:val="14"/>
          <w:szCs w:val="14"/>
          <w:color w:val="auto"/>
        </w:rPr>
        <w:t>As of September 30, 2023, our investment portfolio consisted of investments in 131 portfolio companies (including 42 structured credit investments, which include each series of collateralized loan obligation as a separate portfolio company investment) with an aggregate fair value of $3,113.3 million. We intend to continue to pursue an investment strategy focused primarily on direct origination of loans to middle-market companies domiciled in the United States.</w:t>
      </w:r>
    </w:p>
    <w:p>
      <w:pPr>
        <w:spacing w:after="0" w:line="69" w:lineRule="exact"/>
        <w:rPr>
          <w:sz w:val="24"/>
          <w:szCs w:val="24"/>
          <w:color w:val="auto"/>
        </w:rPr>
      </w:pPr>
    </w:p>
    <w:p>
      <w:pPr>
        <w:jc w:val="both"/>
        <w:ind w:left="4" w:right="240" w:firstLine="440"/>
        <w:spacing w:after="0" w:line="261" w:lineRule="auto"/>
        <w:rPr>
          <w:sz w:val="20"/>
          <w:szCs w:val="20"/>
          <w:color w:val="auto"/>
        </w:rPr>
      </w:pPr>
      <w:r>
        <w:rPr>
          <w:rFonts w:ascii="Times New Roman" w:cs="Times New Roman" w:eastAsia="Times New Roman" w:hAnsi="Times New Roman"/>
          <w:sz w:val="14"/>
          <w:szCs w:val="14"/>
          <w:color w:val="auto"/>
        </w:rPr>
        <w:t>We are an externally managed, closed-end, non-diversified management investment company. Sixth Street Specialty Lending Advisers, LLC, or the Adviser, acts as our investment adviser and administrator. We and the Adviser are part of Sixth Street Partners, LLC, a global investment firm with over $75 billion in assets under management as of September 30, 2023.</w:t>
      </w:r>
    </w:p>
    <w:p>
      <w:pPr>
        <w:spacing w:after="0" w:line="55" w:lineRule="exact"/>
        <w:rPr>
          <w:sz w:val="24"/>
          <w:szCs w:val="24"/>
          <w:color w:val="auto"/>
        </w:rPr>
      </w:pPr>
    </w:p>
    <w:p>
      <w:pPr>
        <w:ind w:left="4" w:right="40" w:firstLine="440"/>
        <w:spacing w:after="0"/>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207" w:lineRule="exact"/>
        <w:rPr>
          <w:sz w:val="24"/>
          <w:szCs w:val="24"/>
          <w:color w:val="auto"/>
        </w:rPr>
      </w:pPr>
    </w:p>
    <w:p>
      <w:pPr>
        <w:ind w:left="4" w:right="240" w:firstLine="440"/>
        <w:spacing w:after="0" w:line="241" w:lineRule="auto"/>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the Euro Interbank Offered Rate, the Canadian Dollar Offered Rate, the Secured Overnight Financing Rate, the Sterling Overnight Interbank Average Rate or the Prime Rate. As a result, significant increases in such interest rate benchmarks (or any replacement benchmarks) in the future would make it more difficult for these borrowers to service their obligations under the debt investments that we hold.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143510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2"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Investing in the Notes involves risks, including the risk of leverage, that are described in the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section beginning on page S-9 of this prospectus supplement and page 24 of the accompanying prospectus and the matters discussed in the documents incorporated or deemed to be incorporated by reference in this prospectus supplement and the accompanying prospectus.</w:t>
      </w:r>
    </w:p>
    <w:p>
      <w:pPr>
        <w:spacing w:after="0" w:line="60" w:lineRule="exact"/>
        <w:rPr>
          <w:sz w:val="24"/>
          <w:szCs w:val="24"/>
          <w:color w:val="auto"/>
        </w:rPr>
      </w:pPr>
    </w:p>
    <w:p>
      <w:pPr>
        <w:ind w:left="4" w:right="140" w:firstLine="440"/>
        <w:spacing w:after="0" w:line="229" w:lineRule="auto"/>
        <w:rPr>
          <w:sz w:val="20"/>
          <w:szCs w:val="20"/>
          <w:color w:val="auto"/>
        </w:rPr>
      </w:pPr>
      <w:r>
        <w:rPr>
          <w:rFonts w:ascii="Times New Roman" w:cs="Times New Roman" w:eastAsia="Times New Roman" w:hAnsi="Times New Roman"/>
          <w:sz w:val="14"/>
          <w:szCs w:val="14"/>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888 7th Avenue, 41st Floor, New York, NY 10106, Attention: TSLX Investor Relations, by emailing us at IRTSLX@sixthstreet.com or visiting our website at http://www.sixthstreetspecialtylending.com. Information on our website is not incorporated into or a part of this prospectus supplement or the accompanying prospectus. The SEC also maintains a website at http://www.sec.gov that contains this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137160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2" w:lineRule="exact"/>
        <w:rPr>
          <w:sz w:val="24"/>
          <w:szCs w:val="24"/>
          <w:color w:val="auto"/>
        </w:rPr>
      </w:pPr>
    </w:p>
    <w:tbl>
      <w:tblPr>
        <w:tblLayout w:type="fixed"/>
        <w:tblInd w:w="1324" w:type="dxa"/>
        <w:tblCellMar>
          <w:top w:w="0" w:type="dxa"/>
          <w:left w:w="0" w:type="dxa"/>
          <w:bottom w:w="0" w:type="dxa"/>
          <w:right w:w="0" w:type="dxa"/>
        </w:tblCellMar>
      </w:tblPr>
      <w:tr>
        <w:trPr>
          <w:trHeight w:val="155"/>
        </w:trPr>
        <w:tc>
          <w:tcPr>
            <w:tcW w:w="65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4"/>
              </w:rPr>
              <w:t>Per Note</w:t>
            </w:r>
          </w:p>
        </w:tc>
        <w:tc>
          <w:tcPr>
            <w:tcW w:w="4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tcPr>
          <w:p>
            <w:pPr>
              <w:spacing w:after="0"/>
              <w:rPr>
                <w:sz w:val="13"/>
                <w:szCs w:val="13"/>
                <w:color w:val="auto"/>
              </w:rPr>
            </w:pPr>
          </w:p>
        </w:tc>
      </w:tr>
      <w:tr>
        <w:trPr>
          <w:trHeight w:val="142"/>
        </w:trPr>
        <w:tc>
          <w:tcPr>
            <w:tcW w:w="6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xml:space="preserve">Public offering price </w:t>
            </w:r>
            <w:r>
              <w:rPr>
                <w:rFonts w:ascii="Times New Roman" w:cs="Times New Roman" w:eastAsia="Times New Roman" w:hAnsi="Times New Roman"/>
                <w:sz w:val="8"/>
                <w:szCs w:val="8"/>
                <w:color w:val="auto"/>
              </w:rPr>
              <w:t>(1)</w:t>
            </w:r>
          </w:p>
        </w:tc>
        <w:tc>
          <w:tcPr>
            <w:tcW w:w="960" w:type="dxa"/>
            <w:vAlign w:val="bottom"/>
            <w:gridSpan w:val="2"/>
            <w:shd w:val="clear" w:color="auto" w:fill="CCEEFF"/>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99.036%</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346,626,000</w:t>
            </w:r>
          </w:p>
        </w:tc>
        <w:tc>
          <w:tcPr>
            <w:tcW w:w="40" w:type="dxa"/>
            <w:vAlign w:val="bottom"/>
            <w:shd w:val="clear" w:color="auto" w:fill="CCEEFF"/>
          </w:tcPr>
          <w:p>
            <w:pPr>
              <w:spacing w:after="0"/>
              <w:rPr>
                <w:sz w:val="12"/>
                <w:szCs w:val="12"/>
                <w:color w:val="auto"/>
              </w:rPr>
            </w:pPr>
          </w:p>
        </w:tc>
      </w:tr>
      <w:tr>
        <w:trPr>
          <w:trHeight w:val="148"/>
        </w:trPr>
        <w:tc>
          <w:tcPr>
            <w:tcW w:w="6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 (sales load)</w:t>
            </w:r>
          </w:p>
        </w:tc>
        <w:tc>
          <w:tcPr>
            <w:tcW w:w="9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3,500,000</w:t>
            </w:r>
          </w:p>
        </w:tc>
      </w:tr>
      <w:tr>
        <w:trPr>
          <w:trHeight w:val="149"/>
        </w:trPr>
        <w:tc>
          <w:tcPr>
            <w:tcW w:w="6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Proceeds to us, before expenses </w:t>
            </w:r>
            <w:r>
              <w:rPr>
                <w:rFonts w:ascii="Times New Roman" w:cs="Times New Roman" w:eastAsia="Times New Roman" w:hAnsi="Times New Roman"/>
                <w:sz w:val="8"/>
                <w:szCs w:val="8"/>
                <w:color w:val="auto"/>
              </w:rPr>
              <w:t>(2)</w:t>
            </w:r>
          </w:p>
        </w:tc>
        <w:tc>
          <w:tcPr>
            <w:tcW w:w="9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98.036%</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343,126,000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4"/>
          <w:szCs w:val="24"/>
          <w:color w:val="auto"/>
        </w:rPr>
      </w:pPr>
    </w:p>
    <w:p>
      <w:pPr>
        <w:ind w:left="424" w:hanging="424"/>
        <w:spacing w:after="0"/>
        <w:tabs>
          <w:tab w:leader="none" w:pos="42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price set forth above does not include accrued interest, if any. Interest on the Notes must be paid by the purchaser if the Notes are delivered after January 16, 2024.</w:t>
      </w:r>
    </w:p>
    <w:p>
      <w:pPr>
        <w:spacing w:after="0" w:line="3"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deducting expenses payable by us related to this offering, estimated at $1.3 million.</w:t>
      </w:r>
    </w:p>
    <w:p>
      <w:pPr>
        <w:spacing w:after="0" w:line="78" w:lineRule="exact"/>
        <w:rPr>
          <w:sz w:val="24"/>
          <w:szCs w:val="24"/>
          <w:color w:val="auto"/>
        </w:rPr>
      </w:pPr>
    </w:p>
    <w:p>
      <w:pPr>
        <w:ind w:left="4" w:right="1060" w:firstLine="440"/>
        <w:spacing w:after="0" w:line="264" w:lineRule="auto"/>
        <w:rPr>
          <w:sz w:val="20"/>
          <w:szCs w:val="20"/>
          <w:color w:val="auto"/>
        </w:rPr>
      </w:pPr>
      <w:r>
        <w:rPr>
          <w:rFonts w:ascii="Times New Roman" w:cs="Times New Roman" w:eastAsia="Times New Roman" w:hAnsi="Times New Roman"/>
          <w:sz w:val="14"/>
          <w:szCs w:val="14"/>
          <w:b w:val="1"/>
          <w:bCs w:val="1"/>
          <w:color w:val="auto"/>
        </w:rPr>
        <w:t>THE NOTES ARE NOT DEPOSITS OR OTHER OBLIGATIONS OF A BANK AND ARE NOT INSURED BY THE FEDERAL DEPOSIT INSURANCE CORPORATION OR ANY OTHER GOVERNMENT AGENCY.</w:t>
      </w:r>
    </w:p>
    <w:p>
      <w:pPr>
        <w:spacing w:after="0" w:line="51" w:lineRule="exact"/>
        <w:rPr>
          <w:sz w:val="24"/>
          <w:szCs w:val="24"/>
          <w:color w:val="auto"/>
        </w:rPr>
      </w:pPr>
    </w:p>
    <w:p>
      <w:pPr>
        <w:ind w:left="4" w:right="380" w:firstLine="44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53"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4"/>
          <w:szCs w:val="14"/>
          <w:color w:val="auto"/>
        </w:rPr>
        <w:t>Delivery of the Notes in book-entry form only through The Depository Trust Company will be made on or about January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152400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pacing w:after="0" w:line="109" w:lineRule="exact"/>
        <w:rPr>
          <w:sz w:val="24"/>
          <w:szCs w:val="24"/>
          <w:color w:val="auto"/>
        </w:rPr>
      </w:pPr>
    </w:p>
    <w:tbl>
      <w:tblPr>
        <w:tblLayout w:type="fixed"/>
        <w:tblInd w:w="484" w:type="dxa"/>
        <w:tblCellMar>
          <w:top w:w="0" w:type="dxa"/>
          <w:left w:w="0" w:type="dxa"/>
          <w:bottom w:w="0" w:type="dxa"/>
          <w:right w:w="0" w:type="dxa"/>
        </w:tblCellMar>
      </w:tblPr>
      <w:tr>
        <w:trPr>
          <w:trHeight w:val="276"/>
        </w:trPr>
        <w:tc>
          <w:tcPr>
            <w:tcW w:w="26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BofA Securities</w:t>
            </w:r>
          </w:p>
        </w:tc>
        <w:tc>
          <w:tcPr>
            <w:tcW w:w="336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Goldman Sachs &amp; Co. LLC</w:t>
            </w:r>
          </w:p>
        </w:tc>
        <w:tc>
          <w:tcPr>
            <w:tcW w:w="2180" w:type="dxa"/>
            <w:vAlign w:val="bottom"/>
          </w:tcPr>
          <w:p>
            <w:pPr>
              <w:ind w:left="980"/>
              <w:spacing w:after="0"/>
              <w:rPr>
                <w:sz w:val="20"/>
                <w:szCs w:val="20"/>
                <w:color w:val="auto"/>
              </w:rPr>
            </w:pPr>
            <w:r>
              <w:rPr>
                <w:rFonts w:ascii="Times New Roman" w:cs="Times New Roman" w:eastAsia="Times New Roman" w:hAnsi="Times New Roman"/>
                <w:sz w:val="20"/>
                <w:szCs w:val="20"/>
                <w:b w:val="1"/>
                <w:bCs w:val="1"/>
                <w:color w:val="auto"/>
              </w:rPr>
              <w:t>J.P. Morgan</w:t>
            </w:r>
          </w:p>
        </w:tc>
        <w:tc>
          <w:tcPr>
            <w:tcW w:w="2400" w:type="dxa"/>
            <w:vAlign w:val="bottom"/>
          </w:tcPr>
          <w:p>
            <w:pPr>
              <w:ind w:left="940"/>
              <w:spacing w:after="0"/>
              <w:rPr>
                <w:sz w:val="20"/>
                <w:szCs w:val="20"/>
                <w:color w:val="auto"/>
              </w:rPr>
            </w:pPr>
            <w:r>
              <w:rPr>
                <w:rFonts w:ascii="Times New Roman" w:cs="Times New Roman" w:eastAsia="Times New Roman" w:hAnsi="Times New Roman"/>
                <w:sz w:val="20"/>
                <w:szCs w:val="20"/>
                <w:b w:val="1"/>
                <w:bCs w:val="1"/>
                <w:color w:val="auto"/>
              </w:rPr>
              <w:t>SMBC Nikko</w:t>
            </w:r>
          </w:p>
        </w:tc>
      </w:tr>
      <w:tr>
        <w:trPr>
          <w:trHeight w:val="264"/>
        </w:trPr>
        <w:tc>
          <w:tcPr>
            <w:tcW w:w="2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Morgan Stanley</w:t>
            </w:r>
          </w:p>
        </w:tc>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RBC Capital Markets</w:t>
            </w:r>
          </w:p>
        </w:tc>
        <w:tc>
          <w:tcPr>
            <w:tcW w:w="21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HSBC</w:t>
            </w:r>
          </w:p>
        </w:tc>
        <w:tc>
          <w:tcPr>
            <w:tcW w:w="2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Wells Fargo Securities</w:t>
            </w:r>
          </w:p>
        </w:tc>
      </w:tr>
      <w:tr>
        <w:trPr>
          <w:trHeight w:val="270"/>
        </w:trPr>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Citigroup</w:t>
            </w:r>
          </w:p>
        </w:tc>
        <w:tc>
          <w:tcPr>
            <w:tcW w:w="33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Truist Securities</w:t>
            </w:r>
          </w:p>
        </w:tc>
        <w:tc>
          <w:tcPr>
            <w:tcW w:w="218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Mizuho</w:t>
            </w:r>
          </w:p>
        </w:tc>
        <w:tc>
          <w:tcPr>
            <w:tcW w:w="2400" w:type="dxa"/>
            <w:vAlign w:val="bottom"/>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rPr>
              <w:t>MUFG</w:t>
            </w:r>
          </w:p>
        </w:tc>
      </w:tr>
      <w:tr>
        <w:trPr>
          <w:trHeight w:val="273"/>
        </w:trPr>
        <w:tc>
          <w:tcPr>
            <w:tcW w:w="2600" w:type="dxa"/>
            <w:vAlign w:val="bottom"/>
          </w:tcPr>
          <w:p>
            <w:pPr>
              <w:spacing w:after="0"/>
              <w:rPr>
                <w:sz w:val="23"/>
                <w:szCs w:val="23"/>
                <w:color w:val="auto"/>
              </w:rPr>
            </w:pPr>
          </w:p>
        </w:tc>
        <w:tc>
          <w:tcPr>
            <w:tcW w:w="3360" w:type="dxa"/>
            <w:vAlign w:val="bottom"/>
          </w:tcPr>
          <w:p>
            <w:pPr>
              <w:jc w:val="center"/>
              <w:ind w:left="1395"/>
              <w:spacing w:after="0"/>
              <w:rPr>
                <w:sz w:val="20"/>
                <w:szCs w:val="20"/>
                <w:color w:val="auto"/>
              </w:rPr>
            </w:pPr>
            <w:r>
              <w:rPr>
                <w:rFonts w:ascii="Times New Roman" w:cs="Times New Roman" w:eastAsia="Times New Roman" w:hAnsi="Times New Roman"/>
                <w:sz w:val="14"/>
                <w:szCs w:val="14"/>
                <w:i w:val="1"/>
                <w:iCs w:val="1"/>
                <w:color w:val="auto"/>
              </w:rPr>
              <w:t>Co-Managers</w:t>
            </w:r>
          </w:p>
        </w:tc>
        <w:tc>
          <w:tcPr>
            <w:tcW w:w="218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82"/>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Keefe, Bruyette &amp; Woods</w:t>
            </w:r>
          </w:p>
        </w:tc>
        <w:tc>
          <w:tcPr>
            <w:tcW w:w="336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auto"/>
              </w:rPr>
              <w:t>Oppenheimer &amp; Co.</w:t>
            </w:r>
          </w:p>
        </w:tc>
        <w:tc>
          <w:tcPr>
            <w:tcW w:w="218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ICBC Standard Bank</w:t>
            </w:r>
          </w:p>
        </w:tc>
        <w:tc>
          <w:tcPr>
            <w:tcW w:w="240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Raymond James</w:t>
            </w:r>
          </w:p>
        </w:tc>
      </w:tr>
      <w:tr>
        <w:trPr>
          <w:trHeight w:val="190"/>
        </w:trPr>
        <w:tc>
          <w:tcPr>
            <w:tcW w:w="2600" w:type="dxa"/>
            <w:vAlign w:val="bottom"/>
          </w:tcPr>
          <w:p>
            <w:pPr>
              <w:ind w:left="1500"/>
              <w:spacing w:after="0"/>
              <w:rPr>
                <w:sz w:val="20"/>
                <w:szCs w:val="20"/>
                <w:color w:val="auto"/>
              </w:rPr>
            </w:pPr>
            <w:r>
              <w:rPr>
                <w:rFonts w:ascii="Times New Roman" w:cs="Times New Roman" w:eastAsia="Times New Roman" w:hAnsi="Times New Roman"/>
                <w:sz w:val="14"/>
                <w:szCs w:val="14"/>
                <w:i w:val="1"/>
                <w:iCs w:val="1"/>
                <w:color w:val="auto"/>
              </w:rPr>
              <w:t>A Stifel Company</w:t>
            </w:r>
          </w:p>
        </w:tc>
        <w:tc>
          <w:tcPr>
            <w:tcW w:w="33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47"/>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 Riley Securities</w:t>
            </w:r>
          </w:p>
        </w:tc>
        <w:tc>
          <w:tcPr>
            <w:tcW w:w="33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Citizens Capital Markets</w:t>
            </w:r>
          </w:p>
        </w:tc>
        <w:tc>
          <w:tcPr>
            <w:tcW w:w="21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Hovde Group, LLC</w:t>
            </w:r>
          </w:p>
        </w:tc>
        <w:tc>
          <w:tcPr>
            <w:tcW w:w="2400" w:type="dxa"/>
            <w:vAlign w:val="bottom"/>
          </w:tcPr>
          <w:p>
            <w:pPr>
              <w:jc w:val="center"/>
              <w:ind w:left="772"/>
              <w:spacing w:after="0"/>
              <w:rPr>
                <w:sz w:val="20"/>
                <w:szCs w:val="20"/>
                <w:color w:val="auto"/>
              </w:rPr>
            </w:pPr>
            <w:r>
              <w:rPr>
                <w:rFonts w:ascii="Times New Roman" w:cs="Times New Roman" w:eastAsia="Times New Roman" w:hAnsi="Times New Roman"/>
                <w:sz w:val="16"/>
                <w:szCs w:val="16"/>
                <w:b w:val="1"/>
                <w:bCs w:val="1"/>
                <w:color w:val="auto"/>
              </w:rPr>
              <w:t>Ladenburg Thalmann</w:t>
            </w:r>
          </w:p>
        </w:tc>
      </w:tr>
      <w:tr>
        <w:trPr>
          <w:trHeight w:val="257"/>
        </w:trPr>
        <w:tc>
          <w:tcPr>
            <w:tcW w:w="2600" w:type="dxa"/>
            <w:vAlign w:val="bottom"/>
          </w:tcPr>
          <w:p>
            <w:pPr>
              <w:spacing w:after="0"/>
              <w:rPr>
                <w:sz w:val="22"/>
                <w:szCs w:val="22"/>
                <w:color w:val="auto"/>
              </w:rPr>
            </w:pPr>
          </w:p>
        </w:tc>
        <w:tc>
          <w:tcPr>
            <w:tcW w:w="3360" w:type="dxa"/>
            <w:vAlign w:val="bottom"/>
          </w:tcPr>
          <w:p>
            <w:pPr>
              <w:jc w:val="center"/>
              <w:ind w:left="1415"/>
              <w:spacing w:after="0"/>
              <w:rPr>
                <w:sz w:val="20"/>
                <w:szCs w:val="20"/>
                <w:color w:val="auto"/>
              </w:rPr>
            </w:pPr>
            <w:r>
              <w:rPr>
                <w:rFonts w:ascii="Times New Roman" w:cs="Times New Roman" w:eastAsia="Times New Roman" w:hAnsi="Times New Roman"/>
                <w:sz w:val="16"/>
                <w:szCs w:val="16"/>
                <w:b w:val="1"/>
                <w:bCs w:val="1"/>
                <w:color w:val="auto"/>
              </w:rPr>
              <w:t>R. Seelaus &amp; Co., LLC</w:t>
            </w:r>
          </w:p>
        </w:tc>
        <w:tc>
          <w:tcPr>
            <w:tcW w:w="2180" w:type="dxa"/>
            <w:vAlign w:val="bottom"/>
          </w:tcPr>
          <w:p>
            <w:pPr>
              <w:spacing w:after="0"/>
              <w:rPr>
                <w:sz w:val="22"/>
                <w:szCs w:val="22"/>
                <w:color w:val="auto"/>
              </w:rPr>
            </w:pPr>
          </w:p>
        </w:tc>
        <w:tc>
          <w:tcPr>
            <w:tcW w:w="2400" w:type="dxa"/>
            <w:vAlign w:val="bottom"/>
          </w:tcPr>
          <w:p>
            <w:pPr>
              <w:spacing w:after="0"/>
              <w:rPr>
                <w:sz w:val="22"/>
                <w:szCs w:val="22"/>
                <w:color w:val="auto"/>
              </w:rPr>
            </w:pPr>
          </w:p>
        </w:tc>
      </w:tr>
    </w:tbl>
    <w:p>
      <w:pPr>
        <w:spacing w:after="0" w:line="89" w:lineRule="exact"/>
        <w:rPr>
          <w:sz w:val="24"/>
          <w:szCs w:val="24"/>
          <w:color w:val="auto"/>
        </w:rPr>
      </w:pPr>
    </w:p>
    <w:p>
      <w:pPr>
        <w:sectPr>
          <w:pgSz w:w="11900" w:h="16838" w:orient="portrait"/>
          <w:cols w:equalWidth="0" w:num="1">
            <w:col w:w="11024"/>
          </w:cols>
          <w:pgMar w:left="436" w:top="225" w:right="439" w:bottom="1440" w:gutter="0" w:footer="0" w:header="0"/>
        </w:sect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January 8, 2024.</w:t>
      </w:r>
    </w:p>
    <w:p>
      <w:pPr>
        <w:sectPr>
          <w:pgSz w:w="11900" w:h="16838" w:orient="portrait"/>
          <w:cols w:equalWidth="0" w:num="1">
            <w:col w:w="11024"/>
          </w:cols>
          <w:pgMar w:left="436" w:top="225" w:right="439" w:bottom="1440" w:gutter="0" w:footer="0" w:header="0"/>
          <w:type w:val="continuous"/>
        </w:sectPr>
      </w:pPr>
    </w:p>
    <w:bookmarkStart w:id="1" w:name="page2"/>
    <w:bookmarkEnd w:id="1"/>
    <w:p>
      <w:pPr>
        <w:ind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68580"/>
                    </a:xfrm>
                    <a:prstGeom prst="rect">
                      <a:avLst/>
                    </a:prstGeom>
                    <a:noFill/>
                  </pic:spPr>
                </pic:pic>
              </a:graphicData>
            </a:graphic>
          </wp:anchor>
        </w:drawing>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56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560" w:type="dxa"/>
            <w:vAlign w:val="bottom"/>
            <w:gridSpan w:val="25"/>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THE COMPANY</w:t>
            </w:r>
          </w:p>
        </w:tc>
        <w:tc>
          <w:tcPr>
            <w:tcW w:w="4020" w:type="dxa"/>
            <w:vAlign w:val="bottom"/>
            <w:tcBorders>
              <w:top w:val="single" w:sz="8" w:color="0000EE"/>
            </w:tcBorders>
            <w:gridSpan w:val="20"/>
          </w:tcPr>
          <w:p>
            <w:pPr>
              <w:spacing w:after="0"/>
              <w:rPr>
                <w:sz w:val="18"/>
                <w:szCs w:val="18"/>
                <w:color w:val="auto"/>
              </w:rPr>
            </w:pPr>
          </w:p>
        </w:tc>
        <w:tc>
          <w:tcPr>
            <w:tcW w:w="52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SPECIFIC TERMS OF THE NOTES AND THE OFFERING</w:t>
            </w:r>
          </w:p>
        </w:tc>
        <w:tc>
          <w:tcPr>
            <w:tcW w:w="610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9080" w:type="dxa"/>
            <w:vAlign w:val="bottom"/>
            <w:gridSpan w:val="1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NOTES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S-30</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70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S-33</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S-40</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S-41</w:t>
            </w:r>
          </w:p>
        </w:tc>
        <w:tc>
          <w:tcPr>
            <w:tcW w:w="0" w:type="dxa"/>
            <w:vAlign w:val="bottom"/>
          </w:tcPr>
          <w:p>
            <w:pPr>
              <w:spacing w:after="0"/>
              <w:rPr>
                <w:sz w:val="1"/>
                <w:szCs w:val="1"/>
                <w:color w:val="auto"/>
              </w:rPr>
            </w:pPr>
          </w:p>
        </w:tc>
      </w:tr>
      <w:tr>
        <w:trPr>
          <w:trHeight w:val="669"/>
        </w:trPr>
        <w:tc>
          <w:tcPr>
            <w:tcW w:w="9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gridSpan w:val="2"/>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00" w:type="dxa"/>
            <w:vAlign w:val="bottom"/>
            <w:gridSpan w:val="5"/>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11"/>
          </w:tcPr>
          <w:p>
            <w:pPr>
              <w:spacing w:after="0"/>
              <w:rPr>
                <w:sz w:val="17"/>
                <w:szCs w:val="17"/>
                <w:color w:val="auto"/>
              </w:rPr>
            </w:pPr>
          </w:p>
        </w:tc>
        <w:tc>
          <w:tcPr>
            <w:tcW w:w="834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9280" w:type="dxa"/>
            <w:vAlign w:val="bottom"/>
            <w:gridSpan w:val="2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846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6"/>
          </w:tcPr>
          <w:p>
            <w:pPr>
              <w:spacing w:after="0"/>
              <w:rPr>
                <w:sz w:val="17"/>
                <w:szCs w:val="17"/>
                <w:color w:val="auto"/>
              </w:rPr>
            </w:pPr>
          </w:p>
        </w:tc>
        <w:tc>
          <w:tcPr>
            <w:tcW w:w="5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 AND DISTRIBUTIONS</w:t>
            </w:r>
          </w:p>
        </w:tc>
        <w:tc>
          <w:tcPr>
            <w:tcW w:w="576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878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760" w:type="dxa"/>
            <w:vAlign w:val="bottom"/>
            <w:tcBorders>
              <w:top w:val="single" w:sz="8" w:color="0000EE"/>
            </w:tcBorders>
            <w:gridSpan w:val="6"/>
          </w:tcPr>
          <w:p>
            <w:pPr>
              <w:spacing w:after="0"/>
              <w:rPr>
                <w:sz w:val="17"/>
                <w:szCs w:val="17"/>
                <w:color w:val="auto"/>
              </w:rPr>
            </w:pPr>
          </w:p>
        </w:tc>
        <w:tc>
          <w:tcPr>
            <w:tcW w:w="850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820" w:type="dxa"/>
            <w:vAlign w:val="bottom"/>
            <w:gridSpan w:val="1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592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774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SECURITIES</w:t>
            </w:r>
          </w:p>
        </w:tc>
        <w:tc>
          <w:tcPr>
            <w:tcW w:w="1920" w:type="dxa"/>
            <w:vAlign w:val="bottom"/>
            <w:tcBorders>
              <w:top w:val="single" w:sz="8" w:color="0000EE"/>
            </w:tcBorders>
            <w:gridSpan w:val="9"/>
          </w:tcPr>
          <w:p>
            <w:pPr>
              <w:spacing w:after="0"/>
              <w:rPr>
                <w:sz w:val="17"/>
                <w:szCs w:val="17"/>
                <w:color w:val="auto"/>
              </w:rPr>
            </w:pPr>
          </w:p>
        </w:tc>
        <w:tc>
          <w:tcPr>
            <w:tcW w:w="570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3280" w:type="dxa"/>
            <w:vAlign w:val="bottom"/>
            <w:gridSpan w:val="15"/>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8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3560" w:type="dxa"/>
            <w:vAlign w:val="bottom"/>
            <w:gridSpan w:val="17"/>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8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00"/>
          </w:cols>
          <w:pgMar w:left="440" w:top="51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5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DESCRIPTION OF OUR WARRANTS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5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5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DIVIDEND PAYING AGENT AND REGISTRAR</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43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1840" w:type="dxa"/>
            <w:vAlign w:val="bottom"/>
            <w:tcBorders>
              <w:top w:val="single" w:sz="8" w:color="0000EE"/>
            </w:tcBorders>
          </w:tcPr>
          <w:p>
            <w:pPr>
              <w:spacing w:after="0"/>
              <w:rPr>
                <w:sz w:val="17"/>
                <w:szCs w:val="17"/>
                <w:color w:val="auto"/>
              </w:rPr>
            </w:pPr>
          </w:p>
        </w:tc>
        <w:tc>
          <w:tcPr>
            <w:tcW w:w="228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85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4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tcPr>
          <w:p>
            <w:pPr>
              <w:spacing w:after="0"/>
              <w:rPr>
                <w:sz w:val="17"/>
                <w:szCs w:val="17"/>
                <w:color w:val="auto"/>
              </w:rPr>
            </w:pPr>
          </w:p>
        </w:tc>
        <w:tc>
          <w:tcPr>
            <w:tcW w:w="646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85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76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5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2260" w:type="dxa"/>
            <w:vAlign w:val="bottom"/>
            <w:gridSpan w:val="4"/>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448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0960"/>
          </w:cols>
          <w:pgMar w:left="440" w:top="284" w:right="4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9"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1" w:lineRule="exact"/>
        <w:rPr>
          <w:sz w:val="20"/>
          <w:szCs w:val="20"/>
          <w:color w:val="auto"/>
        </w:rPr>
      </w:pPr>
    </w:p>
    <w:p>
      <w:pPr>
        <w:ind w:left="960" w:right="320" w:hanging="532"/>
        <w:spacing w:after="0" w:line="312"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45" w:lineRule="exact"/>
        <w:rPr>
          <w:rFonts w:ascii="Times New Roman" w:cs="Times New Roman" w:eastAsia="Times New Roman" w:hAnsi="Times New Roman"/>
          <w:sz w:val="17"/>
          <w:szCs w:val="17"/>
          <w:color w:val="auto"/>
        </w:rPr>
      </w:pPr>
    </w:p>
    <w:p>
      <w:pPr>
        <w:jc w:val="both"/>
        <w:ind w:left="960" w:right="140" w:hanging="532"/>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30"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67" w:lineRule="exact"/>
        <w:rPr>
          <w:rFonts w:ascii="Times New Roman" w:cs="Times New Roman" w:eastAsia="Times New Roman" w:hAnsi="Times New Roman"/>
          <w:sz w:val="18"/>
          <w:szCs w:val="18"/>
          <w:color w:val="auto"/>
        </w:rPr>
      </w:pPr>
    </w:p>
    <w:p>
      <w:pPr>
        <w:ind w:left="960" w:hanging="532"/>
        <w:spacing w:after="0" w:line="255"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prospectus supplement, the accompanying prospectus and in Part I, Item 1A of our Annual Report on Form 10-K for the year ended December 31, 2022 (the “2022 Annual Report”), Part I, Item 1A of our Quarterly Report on Form 10-Q for the quarter ended March 31, 2023 (the “1Q 2023 Quarterly Report”), Part I, Item 1A of our Quarterly Report on Form 10-Q for the quarter ended June 30, 2023 (the “2Q 2023 Quarterly Report”), Part I, Item 1A of our Quarterly Report on Form 10-Q for the quarter ended September 30, 2023 (the “3Q 2023 Quarterly Report”) any subsequent Quarterly Reports on Form 10-Q or Current Reports on Form 8-K we file after the date of this prospectus supplement, and those discussed in other documents we file with the SEC.</w:t>
      </w:r>
    </w:p>
    <w:p>
      <w:pPr>
        <w:spacing w:after="0" w:line="18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2022 Annual Report and in Part I, Item 1A of our 1Q 2023 Quarterly Report, our 2Q 2023 Quarterly Report and our 3Q 2023 Quarterly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000"/>
          </w:cols>
          <w:pgMar w:left="440" w:top="293"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76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276975"/>
                    </a:xfrm>
                    <a:prstGeom prst="rect">
                      <a:avLst/>
                    </a:prstGeom>
                    <a:noFill/>
                  </pic:spPr>
                </pic:pic>
              </a:graphicData>
            </a:graphic>
          </wp:anchor>
        </w:drawing>
        <w:t>THE COMPANY</w:t>
      </w:r>
    </w:p>
    <w:p>
      <w:pPr>
        <w:spacing w:after="0" w:line="227" w:lineRule="exact"/>
        <w:rPr>
          <w:sz w:val="20"/>
          <w:szCs w:val="20"/>
          <w:color w:val="auto"/>
        </w:rPr>
      </w:pPr>
    </w:p>
    <w:p>
      <w:pPr>
        <w:ind w:right="140" w:firstLine="426"/>
        <w:spacing w:after="0" w:line="275" w:lineRule="auto"/>
        <w:rPr>
          <w:sz w:val="20"/>
          <w:szCs w:val="20"/>
          <w:color w:val="auto"/>
        </w:rPr>
      </w:pPr>
      <w:r>
        <w:rPr>
          <w:rFonts w:ascii="Times New Roman" w:cs="Times New Roman" w:eastAsia="Times New Roman" w:hAnsi="Times New Roman"/>
          <w:sz w:val="17"/>
          <w:szCs w:val="17"/>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940" w:right="200" w:hanging="523"/>
        <w:spacing w:after="0" w:line="284"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“TSLX,” “Sixth Street Specialty Lending,” “we,” “us,” “our,” the “Company,” and the “Registrant” refer to Sixth Street Specialty Lending, Inc., a Delaware corporation, and its consolidated subsidiaries;</w:t>
      </w:r>
    </w:p>
    <w:p>
      <w:pPr>
        <w:spacing w:after="0" w:line="63" w:lineRule="exact"/>
        <w:rPr>
          <w:rFonts w:ascii="Times New Roman" w:cs="Times New Roman" w:eastAsia="Times New Roman" w:hAnsi="Times New Roman"/>
          <w:sz w:val="18"/>
          <w:szCs w:val="18"/>
          <w:color w:val="auto"/>
        </w:rPr>
      </w:pPr>
    </w:p>
    <w:p>
      <w:pPr>
        <w:ind w:left="940" w:right="20" w:hanging="523"/>
        <w:spacing w:after="0" w:line="267" w:lineRule="auto"/>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p>
    <w:p>
      <w:pPr>
        <w:spacing w:after="0" w:line="78"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“Adviser” refers to Sixth Street Specialty Lending Advisers, LLC, a Delaware limited liability company; and</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 Street” refers to Sixth Street Partners, LLC together with its affiliates.</w:t>
      </w:r>
    </w:p>
    <w:p>
      <w:pPr>
        <w:spacing w:after="0" w:line="225" w:lineRule="exact"/>
        <w:rPr>
          <w:sz w:val="20"/>
          <w:szCs w:val="20"/>
          <w:color w:val="auto"/>
        </w:rPr>
      </w:pPr>
    </w:p>
    <w:p>
      <w:pPr>
        <w:ind w:right="6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121" w:lineRule="exact"/>
        <w:rPr>
          <w:sz w:val="20"/>
          <w:szCs w:val="20"/>
          <w:color w:val="auto"/>
        </w:rPr>
      </w:pPr>
    </w:p>
    <w:p>
      <w:pPr>
        <w:ind w:right="100" w:firstLine="426"/>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September 30, 2023, we have originated more than $28.6 billion aggregate principal amount of investments and retained approximately $9.8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equity securities and other instruments.</w:t>
      </w:r>
    </w:p>
    <w:p>
      <w:pPr>
        <w:spacing w:after="0" w:line="183" w:lineRule="exact"/>
        <w:rPr>
          <w:sz w:val="20"/>
          <w:szCs w:val="20"/>
          <w:color w:val="auto"/>
        </w:rPr>
      </w:pPr>
    </w:p>
    <w:p>
      <w:pPr>
        <w:ind w:firstLine="426"/>
        <w:spacing w:after="0" w:line="258"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September 30, 2023, our core portfolio companies, which excludes certain investments that fall outside of our typical borrower profile and represent 92.8% of our total investments based on fair value, had weighted average annual revenue of $209.0 million and weighted average annual EBITDA of $69.2 million.</w:t>
      </w:r>
    </w:p>
    <w:p>
      <w:pPr>
        <w:spacing w:after="0" w:line="183" w:lineRule="exact"/>
        <w:rPr>
          <w:sz w:val="20"/>
          <w:szCs w:val="20"/>
          <w:color w:val="auto"/>
        </w:rPr>
      </w:pPr>
    </w:p>
    <w:p>
      <w:pPr>
        <w:ind w:right="40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62" w:lineRule="exact"/>
        <w:rPr>
          <w:sz w:val="20"/>
          <w:szCs w:val="20"/>
          <w:color w:val="auto"/>
        </w:rPr>
      </w:pPr>
    </w:p>
    <w:p>
      <w:pPr>
        <w:ind w:right="12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640"/>
          </w:cols>
          <w:pgMar w:left="620" w:top="482"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74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174105"/>
                    </a:xfrm>
                    <a:prstGeom prst="rect">
                      <a:avLst/>
                    </a:prstGeom>
                    <a:noFill/>
                  </pic:spPr>
                </pic:pic>
              </a:graphicData>
            </a:graphic>
          </wp:anchor>
        </w:drawing>
        <w:t>Investment Portfolio</w:t>
      </w:r>
    </w:p>
    <w:p>
      <w:pPr>
        <w:spacing w:after="0" w:line="121" w:lineRule="exact"/>
        <w:rPr>
          <w:sz w:val="20"/>
          <w:szCs w:val="20"/>
          <w:color w:val="auto"/>
        </w:rPr>
      </w:pPr>
    </w:p>
    <w:p>
      <w:pPr>
        <w:ind w:right="100" w:firstLine="426"/>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w:t>
      </w:r>
    </w:p>
    <w:p>
      <w:pPr>
        <w:spacing w:after="0" w:line="162" w:lineRule="exact"/>
        <w:rPr>
          <w:sz w:val="20"/>
          <w:szCs w:val="20"/>
          <w:color w:val="auto"/>
        </w:rPr>
      </w:pPr>
    </w:p>
    <w:p>
      <w:pPr>
        <w:ind w:firstLine="426"/>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right="24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our portfolio based on fair value consisted of 91.0% first-lien debt investments, 1.3% second-lien debt investments, 1.2% mezzanine debt investments, 4.8% equity and other investments and 1.7% structured credit investments. As of September 30, 2023, 99.7% of our debt investments based on fair value bore interest at floating rates, with 100.0% of these subject to interest rate floors, which we believe helps act as a portfolio-wide hedge against inflation.</w:t>
      </w:r>
    </w:p>
    <w:p>
      <w:pPr>
        <w:spacing w:after="0" w:line="180" w:lineRule="exact"/>
        <w:rPr>
          <w:sz w:val="20"/>
          <w:szCs w:val="20"/>
          <w:color w:val="auto"/>
        </w:rPr>
      </w:pPr>
    </w:p>
    <w:p>
      <w:pPr>
        <w:jc w:val="both"/>
        <w:ind w:right="10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we had investments in 131 portfolio companies (including 42 structured credit investments, which include each series of collateralized loan obligation as a separate portfolio company investment) with an aggregate fair value of $3,113.3 million. For the three months ended September 30, 2023, the principal amount of new investments funded was $151.6 million in eight new portfolio companies and two existing portfolio companies. For this period, we had $158.9 million aggregate principal amount in exits and repayments.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2023, the largest single investment based on fair value represented 2.5% of our total investment portfolio.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the average investment size in each of our portfolio companies was approximately $23.8 million based on fair value.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includes investments in structured products including each series of collateralized loan obligation as a portfolio company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excluding investments in structured credit investments, the average investment in our remaining portfolio companies was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$34.4 million as of September 30, 2023. As of September 30, 2023, the largest industry represented 15.7% of our total portfolio based on fair value.</w:t>
      </w:r>
    </w:p>
    <w:p>
      <w:pPr>
        <w:spacing w:after="0" w:line="218" w:lineRule="exact"/>
        <w:rPr>
          <w:sz w:val="20"/>
          <w:szCs w:val="20"/>
          <w:color w:val="auto"/>
        </w:rPr>
      </w:pPr>
    </w:p>
    <w:p>
      <w:pPr>
        <w:ind w:right="140" w:firstLine="426"/>
        <w:spacing w:after="0" w:line="256" w:lineRule="auto"/>
        <w:rPr>
          <w:sz w:val="20"/>
          <w:szCs w:val="20"/>
          <w:color w:val="auto"/>
        </w:rPr>
      </w:pPr>
      <w:r>
        <w:rPr>
          <w:rFonts w:ascii="Times New Roman" w:cs="Times New Roman" w:eastAsia="Times New Roman" w:hAnsi="Times New Roman"/>
          <w:sz w:val="18"/>
          <w:szCs w:val="18"/>
          <w:color w:val="auto"/>
        </w:rPr>
        <w:t>Since we began investing in 2011 through September 30, 2023, weighted by capital invested, our exited investments have generated an average realized gross internal rate of return to us of 17.5% (based on total capital invested of $6.9 billion and total proceeds from these exited investments of $8.7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3Q 2023 Quarterly Report, which is incorporated herein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right="80" w:firstLine="426"/>
        <w:spacing w:after="0" w:line="282"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Sixth Street Specialty Lending Advisers, LLC is our external manager.</w:t>
      </w:r>
    </w:p>
    <w:p>
      <w:pPr>
        <w:spacing w:after="0" w:line="162" w:lineRule="exact"/>
        <w:rPr>
          <w:sz w:val="20"/>
          <w:szCs w:val="20"/>
          <w:color w:val="auto"/>
        </w:rPr>
      </w:pPr>
    </w:p>
    <w:p>
      <w:pPr>
        <w:ind w:right="20" w:firstLine="426"/>
        <w:spacing w:after="0" w:line="261"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2022 Annual Report, which is incorporated herein by reference, for more information on these requirements.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640"/>
          </w:cols>
          <w:pgMar w:left="620" w:top="482"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62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762625"/>
                    </a:xfrm>
                    <a:prstGeom prst="rect">
                      <a:avLst/>
                    </a:prstGeom>
                    <a:noFill/>
                  </pic:spPr>
                </pic:pic>
              </a:graphicData>
            </a:graphic>
          </wp:anchor>
        </w:drawing>
        <w:t>About Our Adviser</w:t>
      </w:r>
    </w:p>
    <w:p>
      <w:pPr>
        <w:spacing w:after="0" w:line="121" w:lineRule="exact"/>
        <w:rPr>
          <w:sz w:val="20"/>
          <w:szCs w:val="20"/>
          <w:color w:val="auto"/>
        </w:rPr>
      </w:pPr>
    </w:p>
    <w:p>
      <w:pPr>
        <w:ind w:right="560" w:firstLine="42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firstLine="42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3" w:lineRule="exact"/>
        <w:rPr>
          <w:sz w:val="20"/>
          <w:szCs w:val="20"/>
          <w:color w:val="auto"/>
        </w:rPr>
      </w:pPr>
    </w:p>
    <w:p>
      <w:pPr>
        <w:ind w:right="20" w:firstLine="426"/>
        <w:spacing w:after="0" w:line="269" w:lineRule="auto"/>
        <w:rPr>
          <w:sz w:val="20"/>
          <w:szCs w:val="20"/>
          <w:color w:val="auto"/>
        </w:rPr>
      </w:pPr>
      <w:r>
        <w:rPr>
          <w:rFonts w:ascii="Times New Roman" w:cs="Times New Roman" w:eastAsia="Times New Roman" w:hAnsi="Times New Roman"/>
          <w:sz w:val="17"/>
          <w:szCs w:val="17"/>
          <w:color w:val="auto"/>
        </w:rPr>
        <w:t>Sixth Street is a global investment business with over $75 billion of assets under management as of September 30, 2023. Sixth Street’s core platforms include Sixth Street Specialty Lending, Sixth Street Lending Partners, which is aimed at U.S. upper middle-market loan originations,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September 30, 2023, sixty-seven (67) of these personnel are dedicated to our business, including fifty-three (53) investment professionals.</w:t>
      </w:r>
    </w:p>
    <w:p>
      <w:pPr>
        <w:spacing w:after="0" w:line="182" w:lineRule="exact"/>
        <w:rPr>
          <w:sz w:val="20"/>
          <w:szCs w:val="20"/>
          <w:color w:val="auto"/>
        </w:rPr>
      </w:pPr>
    </w:p>
    <w:p>
      <w:pPr>
        <w:ind w:right="40" w:firstLine="426"/>
        <w:spacing w:after="0" w:line="274" w:lineRule="auto"/>
        <w:rPr>
          <w:sz w:val="20"/>
          <w:szCs w:val="20"/>
          <w:color w:val="auto"/>
        </w:rPr>
      </w:pPr>
      <w:r>
        <w:rPr>
          <w:rFonts w:ascii="Times New Roman" w:cs="Times New Roman" w:eastAsia="Times New Roman" w:hAnsi="Times New Roman"/>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700" w:firstLine="426"/>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interest rate swaps to better align the interest rates of our liabilities with our investment portfolio, which consists of predominately floating rate loans.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6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2100 McKinney Avenue, Suite 1500, Dallas, Texas 75201 and our telephone number is (469) 621-3001. Our corporate website is located at http://www.sixthstreetspecialtylending.com. Information on our website is not incorporated into or a part of this prospectus supplement or the accompanying prospectus.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600"/>
          </w:cols>
          <w:pgMar w:left="620" w:top="482" w:right="67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43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543040"/>
                    </a:xfrm>
                    <a:prstGeom prst="rect">
                      <a:avLst/>
                    </a:prstGeom>
                    <a:noFill/>
                  </pic:spPr>
                </pic:pic>
              </a:graphicData>
            </a:graphic>
          </wp:anchor>
        </w:drawing>
        <w:t>SPECIFIC TERMS OF THE NOTES AND THE OFFERING</w:t>
      </w:r>
    </w:p>
    <w:p>
      <w:pPr>
        <w:spacing w:after="0" w:line="227" w:lineRule="exact"/>
        <w:rPr>
          <w:sz w:val="20"/>
          <w:szCs w:val="20"/>
          <w:color w:val="auto"/>
        </w:rPr>
      </w:pPr>
    </w:p>
    <w:p>
      <w:pPr>
        <w:ind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supplement sets forth certain terms of the Notes that we are offering pursuant to this prospectus supplement and supplements the accompanying prospectus that is attached to the back of this prospectus supplement. This section outlines certain legal and financial terms of the Notes. You should read this section together with the more detailed description of the Notes under the heading “Description of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 as amended from time to time, the “indenture”.</w:t>
      </w:r>
    </w:p>
    <w:p>
      <w:pPr>
        <w:sectPr>
          <w:pgSz w:w="11900" w:h="16838" w:orient="portrait"/>
          <w:cols w:equalWidth="0" w:num="1">
            <w:col w:w="10600"/>
          </w:cols>
          <w:pgMar w:left="620" w:top="482" w:right="679" w:bottom="1440" w:gutter="0" w:footer="0" w:header="0"/>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Specialty Lending, Inc., a Delaware corporation</w:t>
      </w:r>
    </w:p>
    <w:p>
      <w:pPr>
        <w:spacing w:after="0" w:line="200" w:lineRule="exact"/>
        <w:rPr>
          <w:sz w:val="20"/>
          <w:szCs w:val="20"/>
          <w:color w:val="auto"/>
        </w:rPr>
      </w:pPr>
    </w:p>
    <w:p>
      <w:pPr>
        <w:sectPr>
          <w:pgSz w:w="11900" w:h="16838" w:orient="portrait"/>
          <w:cols w:equalWidth="0" w:num="2">
            <w:col w:w="3320" w:space="720"/>
            <w:col w:w="6560"/>
          </w:cols>
          <w:pgMar w:left="620" w:top="482" w:right="67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the Securities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6.125% Notes due 2029</w:t>
      </w:r>
    </w:p>
    <w:p>
      <w:pPr>
        <w:spacing w:after="0" w:line="200" w:lineRule="exact"/>
        <w:rPr>
          <w:sz w:val="20"/>
          <w:szCs w:val="20"/>
          <w:color w:val="auto"/>
        </w:rPr>
      </w:pPr>
    </w:p>
    <w:p>
      <w:pPr>
        <w:sectPr>
          <w:pgSz w:w="11900" w:h="16838" w:orient="portrait"/>
          <w:cols w:equalWidth="0" w:num="2">
            <w:col w:w="3320" w:space="720"/>
            <w:col w:w="6560"/>
          </w:cols>
          <w:pgMar w:left="620" w:top="482" w:right="67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Aggregate Principal Amount Being Offered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$350,000,000</w:t>
      </w:r>
    </w:p>
    <w:p>
      <w:pPr>
        <w:spacing w:after="0" w:line="200" w:lineRule="exact"/>
        <w:rPr>
          <w:sz w:val="20"/>
          <w:szCs w:val="20"/>
          <w:color w:val="auto"/>
        </w:rPr>
      </w:pPr>
    </w:p>
    <w:p>
      <w:pPr>
        <w:sectPr>
          <w:pgSz w:w="11900" w:h="16838" w:orient="portrait"/>
          <w:cols w:equalWidth="0" w:num="2">
            <w:col w:w="3560" w:space="480"/>
            <w:col w:w="6560"/>
          </w:cols>
          <w:pgMar w:left="620" w:top="482" w:right="67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Public Offering Price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99.036% of the aggregate principal amount of Notes</w:t>
      </w:r>
    </w:p>
    <w:p>
      <w:pPr>
        <w:spacing w:after="0" w:line="200" w:lineRule="exact"/>
        <w:rPr>
          <w:sz w:val="20"/>
          <w:szCs w:val="20"/>
          <w:color w:val="auto"/>
        </w:rPr>
      </w:pPr>
    </w:p>
    <w:p>
      <w:pPr>
        <w:sectPr>
          <w:pgSz w:w="11900" w:h="16838" w:orient="portrait"/>
          <w:cols w:equalWidth="0" w:num="2">
            <w:col w:w="3320" w:space="720"/>
            <w:col w:w="6560"/>
          </w:cols>
          <w:pgMar w:left="620" w:top="482" w:right="67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6.125%</w:t>
      </w:r>
    </w:p>
    <w:p>
      <w:pPr>
        <w:spacing w:after="0" w:line="211" w:lineRule="exact"/>
        <w:rPr>
          <w:sz w:val="20"/>
          <w:szCs w:val="20"/>
          <w:color w:val="auto"/>
        </w:rPr>
      </w:pPr>
    </w:p>
    <w:p>
      <w:pPr>
        <w:sectPr>
          <w:pgSz w:w="11900" w:h="16838" w:orient="portrait"/>
          <w:cols w:equalWidth="0" w:num="2">
            <w:col w:w="3320" w:space="720"/>
            <w:col w:w="6560"/>
          </w:cols>
          <w:pgMar w:left="620" w:top="482" w:right="67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6.345%</w:t>
      </w:r>
    </w:p>
    <w:p>
      <w:pPr>
        <w:spacing w:after="0" w:line="200" w:lineRule="exact"/>
        <w:rPr>
          <w:sz w:val="20"/>
          <w:szCs w:val="20"/>
          <w:color w:val="auto"/>
        </w:rPr>
      </w:pPr>
    </w:p>
    <w:p>
      <w:pPr>
        <w:sectPr>
          <w:pgSz w:w="11900" w:h="16838" w:orient="portrait"/>
          <w:cols w:equalWidth="0" w:num="2">
            <w:col w:w="3320" w:space="720"/>
            <w:col w:w="6560"/>
          </w:cols>
          <w:pgMar w:left="620" w:top="482" w:right="67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8, 2024</w:t>
      </w:r>
    </w:p>
    <w:p>
      <w:pPr>
        <w:spacing w:after="0" w:line="200" w:lineRule="exact"/>
        <w:rPr>
          <w:sz w:val="20"/>
          <w:szCs w:val="20"/>
          <w:color w:val="auto"/>
        </w:rPr>
      </w:pPr>
    </w:p>
    <w:p>
      <w:pPr>
        <w:sectPr>
          <w:pgSz w:w="11900" w:h="16838" w:orient="portrait"/>
          <w:cols w:equalWidth="0" w:num="2">
            <w:col w:w="3320" w:space="720"/>
            <w:col w:w="6560"/>
          </w:cols>
          <w:pgMar w:left="620" w:top="482" w:right="67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16, 2024</w:t>
      </w:r>
    </w:p>
    <w:p>
      <w:pPr>
        <w:spacing w:after="0" w:line="211" w:lineRule="exact"/>
        <w:rPr>
          <w:sz w:val="20"/>
          <w:szCs w:val="20"/>
          <w:color w:val="auto"/>
        </w:rPr>
      </w:pPr>
    </w:p>
    <w:p>
      <w:pPr>
        <w:sectPr>
          <w:pgSz w:w="11900" w:h="16838" w:orient="portrait"/>
          <w:cols w:equalWidth="0" w:num="2">
            <w:col w:w="3320" w:space="720"/>
            <w:col w:w="6560"/>
          </w:cols>
          <w:pgMar w:left="620" w:top="482" w:right="67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 2029</w:t>
      </w:r>
    </w:p>
    <w:p>
      <w:pPr>
        <w:spacing w:after="0" w:line="211" w:lineRule="exact"/>
        <w:rPr>
          <w:sz w:val="20"/>
          <w:szCs w:val="20"/>
          <w:color w:val="auto"/>
        </w:rPr>
      </w:pPr>
    </w:p>
    <w:p>
      <w:pPr>
        <w:sectPr>
          <w:pgSz w:w="11900" w:h="16838" w:orient="portrait"/>
          <w:cols w:equalWidth="0" w:num="2">
            <w:col w:w="3320" w:space="720"/>
            <w:col w:w="6560"/>
          </w:cols>
          <w:pgMar w:left="620" w:top="482" w:right="67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8"/>
          <w:szCs w:val="18"/>
          <w:color w:val="auto"/>
        </w:rPr>
        <w:t>March 1 and September 1, commencing September 1, 2024</w:t>
      </w:r>
    </w:p>
    <w:p>
      <w:pPr>
        <w:spacing w:after="0" w:line="200" w:lineRule="exact"/>
        <w:rPr>
          <w:sz w:val="20"/>
          <w:szCs w:val="20"/>
          <w:color w:val="auto"/>
        </w:rPr>
      </w:pPr>
    </w:p>
    <w:p>
      <w:pPr>
        <w:sectPr>
          <w:pgSz w:w="11900" w:h="16838" w:orient="portrait"/>
          <w:cols w:equalWidth="0" w:num="2">
            <w:col w:w="3320" w:space="720"/>
            <w:col w:w="6560"/>
          </w:cols>
          <w:pgMar w:left="620" w:top="482" w:right="67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Ranking of Notes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Notes will be our direct, general unsecured obligations and will rank:</w:t>
      </w:r>
    </w:p>
    <w:p>
      <w:pPr>
        <w:spacing w:after="0" w:line="156" w:lineRule="exact"/>
        <w:rPr>
          <w:sz w:val="20"/>
          <w:szCs w:val="20"/>
          <w:color w:val="auto"/>
        </w:rPr>
      </w:pPr>
    </w:p>
    <w:p>
      <w:pPr>
        <w:sectPr>
          <w:pgSz w:w="11900" w:h="16838" w:orient="portrait"/>
          <w:cols w:equalWidth="0" w:num="2">
            <w:col w:w="3320" w:space="720"/>
            <w:col w:w="6560"/>
          </w:cols>
          <w:pgMar w:left="620" w:top="482" w:right="679" w:bottom="1440" w:gutter="0" w:footer="0" w:header="0"/>
          <w:type w:val="continuous"/>
        </w:sectPr>
      </w:pPr>
    </w:p>
    <w:p>
      <w:pPr>
        <w:ind w:left="4540" w:right="40" w:hanging="279"/>
        <w:spacing w:after="0" w:line="282" w:lineRule="auto"/>
        <w:tabs>
          <w:tab w:leader="none" w:pos="4520" w:val="left"/>
        </w:tabs>
        <w:rPr>
          <w:sz w:val="20"/>
          <w:szCs w:val="20"/>
          <w:color w:val="auto"/>
        </w:rPr>
      </w:pPr>
      <w:r>
        <w:rPr>
          <w:rFonts w:ascii="Times New Roman" w:cs="Times New Roman" w:eastAsia="Times New Roman" w:hAnsi="Times New Roman"/>
          <w:sz w:val="18"/>
          <w:szCs w:val="18"/>
          <w:color w:val="auto"/>
        </w:rPr>
        <w:t>•</w:t>
        <w:tab/>
        <w:t>Senior in right of payment to all of our future indebtedness or other obligations that are expressly subordinated, or junior, in right of payment to the Notes;</w:t>
      </w:r>
    </w:p>
    <w:p>
      <w:pPr>
        <w:spacing w:after="0" w:line="67" w:lineRule="exact"/>
        <w:rPr>
          <w:sz w:val="20"/>
          <w:szCs w:val="20"/>
          <w:color w:val="auto"/>
        </w:rPr>
      </w:pPr>
    </w:p>
    <w:p>
      <w:pPr>
        <w:ind w:left="4260"/>
        <w:spacing w:after="0"/>
        <w:tabs>
          <w:tab w:leader="none" w:pos="4520" w:val="left"/>
        </w:tabs>
        <w:rPr>
          <w:sz w:val="20"/>
          <w:szCs w:val="20"/>
          <w:color w:val="auto"/>
        </w:rPr>
      </w:pPr>
      <w:r>
        <w:rPr>
          <w:rFonts w:ascii="Times New Roman" w:cs="Times New Roman" w:eastAsia="Times New Roman" w:hAnsi="Times New Roman"/>
          <w:sz w:val="18"/>
          <w:szCs w:val="18"/>
          <w:color w:val="auto"/>
        </w:rPr>
        <w:t>•</w:t>
        <w:tab/>
        <w:t>Pari passu, or equal, in right of payment with all of our existing and future</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indebtedness or other obligations that are not so subordinated, or junior, including,</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without limitation, as of September 30, 2023, approximately $347.5 million</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aggregate principal amount of outstanding indebtedness under our unsecured notes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due November 2024, which we refer to as the 2024 Notes, approximately</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$300.0 million aggregate principal amount of outstanding indebtedness under our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unsecured notes due August 2026, which we refer to as the 2026 Notes, and</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approximately $300.0 million aggregate principal amount of outstanding</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indebtedness under our unsecured notes due August 2028, which we refer to as the</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2028 Notes;</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600"/>
          </w:cols>
          <w:pgMar w:left="620" w:top="482" w:right="679" w:bottom="1440" w:gutter="0" w:footer="0" w:header="0"/>
          <w:type w:val="continuous"/>
        </w:sectPr>
      </w:pPr>
    </w:p>
    <w:bookmarkStart w:id="8" w:name="page9"/>
    <w:bookmarkEnd w:id="8"/>
    <w:p>
      <w:pPr>
        <w:ind w:left="4720" w:right="240" w:hanging="279"/>
        <w:spacing w:after="0" w:line="255" w:lineRule="auto"/>
        <w:tabs>
          <w:tab w:leader="none" w:pos="4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02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702935"/>
                    </a:xfrm>
                    <a:prstGeom prst="rect">
                      <a:avLst/>
                    </a:prstGeom>
                    <a:noFill/>
                  </pic:spPr>
                </pic:pic>
              </a:graphicData>
            </a:graphic>
          </wp:anchor>
        </w:drawing>
        <w:t>•</w:t>
        <w:tab/>
        <w:t>Effectively subordinated, or junior, to any of our secured indebtedness or other obligations (including unsecured indebtedness that we later secure) to the extent of the value of the assets securing such indebtedness, including, without limitation, approximately $1,710.0 million aggregate principal amount of outstanding indebtedness as of September 30, 2023 under our Senior Secured Revolving Credit Agreement, dated August 23, 2012, as amended, which we refer to as the Revolving Credit Facility; and</w:t>
      </w:r>
    </w:p>
    <w:p>
      <w:pPr>
        <w:spacing w:after="0" w:line="94" w:lineRule="exact"/>
        <w:rPr>
          <w:sz w:val="20"/>
          <w:szCs w:val="20"/>
          <w:color w:val="auto"/>
        </w:rPr>
      </w:pPr>
    </w:p>
    <w:p>
      <w:pPr>
        <w:ind w:left="4720" w:right="220" w:hanging="279"/>
        <w:spacing w:after="0" w:line="266" w:lineRule="auto"/>
        <w:tabs>
          <w:tab w:leader="none" w:pos="4700" w:val="left"/>
        </w:tabs>
        <w:rPr>
          <w:sz w:val="20"/>
          <w:szCs w:val="20"/>
          <w:color w:val="auto"/>
        </w:rPr>
      </w:pPr>
      <w:r>
        <w:rPr>
          <w:rFonts w:ascii="Times New Roman" w:cs="Times New Roman" w:eastAsia="Times New Roman" w:hAnsi="Times New Roman"/>
          <w:sz w:val="18"/>
          <w:szCs w:val="18"/>
          <w:color w:val="auto"/>
        </w:rPr>
        <w:t>•</w:t>
        <w:tab/>
        <w:t>Structurally subordinated, or junior, to all existing and future indebtedness and other obligations (including trade payables) incurred by our subsidiaries, financing vehicles or similar facilities.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As of September 30, 2023, our total consolidated indebtedness was approximately</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$1,705.7 million aggregate principal amount outstanding, of which approximately</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$758.2 million was secured indebtedness at the TSLX level and none of which was</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indebtedness of our subsidiaries. After giving effect to the issuance of the Notes, and</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assuming the net proceeds therefrom are used to repay outstanding borrowings under the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Revolving Credit Facility, our total consolidated indebtedness would have been</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approximately $1,713.9 million aggregate principal amount outstanding as of</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September 30, 2023. See “Capitalization”.</w:t>
            </w:r>
          </w:p>
        </w:tc>
      </w:tr>
      <w:tr>
        <w:trPr>
          <w:trHeight w:val="441"/>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Denominations</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We will issue the Notes in denominations of $2,000 and integral multiples of $1,000 in</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excess thereof.</w:t>
            </w:r>
          </w:p>
        </w:tc>
      </w:tr>
      <w:tr>
        <w:trPr>
          <w:trHeight w:val="441"/>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We may redeem some or all of the Notes, in whole or in part, at any time, or from time to</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time, at a redemption price, prior to Par Call Date, equal to the greater of (1) (a) the sum of</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 present values of the remaining scheduled payments of principal and interest thereon</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discounted to the redemption date (assuming the Notes matured on the Par Call Date) on a</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semi-annual basis (assuming a 360-day year consisting of twelve 30-day months) at the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Treasury Rate plus 40 basis points less (b) interest accrued to the date of redemption, and</w:t>
            </w:r>
          </w:p>
        </w:tc>
      </w:tr>
      <w:tr>
        <w:trPr>
          <w:trHeight w:val="214"/>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 plus, in either case, accrued</w:t>
            </w:r>
          </w:p>
        </w:tc>
      </w:tr>
      <w:tr>
        <w:trPr>
          <w:trHeight w:val="218"/>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xml:space="preserve">and unpaid interest thereon to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we redeem</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any Notes on or after the Par Call Date, the redemption price for the Notes will be equal to</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100% of the principal amount of the Notes to be redeemed plus accrued and unpaid interest</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thereon to the redemption date. Any exercise of our option to redeem the Notes will be</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done in compliance with the 1940 Act.</w:t>
            </w:r>
          </w:p>
        </w:tc>
      </w:tr>
      <w:tr>
        <w:trPr>
          <w:trHeight w:val="441"/>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 Notes will not be subject to any sinking fund. A sinking fund is a reserve fund</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accumulated over a period of time for the retirement of debt.</w:t>
            </w:r>
          </w:p>
        </w:tc>
      </w:tr>
      <w:tr>
        <w:trPr>
          <w:trHeight w:val="159"/>
        </w:trPr>
        <w:tc>
          <w:tcPr>
            <w:tcW w:w="2980" w:type="dxa"/>
            <w:vAlign w:val="bottom"/>
            <w:tcBorders>
              <w:bottom w:val="single" w:sz="8" w:color="auto"/>
            </w:tcBorders>
          </w:tcPr>
          <w:p>
            <w:pPr>
              <w:spacing w:after="0"/>
              <w:rPr>
                <w:sz w:val="13"/>
                <w:szCs w:val="13"/>
                <w:color w:val="auto"/>
              </w:rPr>
            </w:pPr>
          </w:p>
        </w:tc>
        <w:tc>
          <w:tcPr>
            <w:tcW w:w="8040" w:type="dxa"/>
            <w:vAlign w:val="bottom"/>
            <w:tcBorders>
              <w:bottom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020"/>
          </w:cols>
          <w:pgMar w:left="440" w:top="486"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90"/>
        </w:trPr>
        <w:tc>
          <w:tcPr>
            <w:tcW w:w="37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Offer to Purchase upon a Change of Control</w:t>
            </w:r>
          </w:p>
        </w:tc>
        <w:tc>
          <w:tcPr>
            <w:tcW w:w="724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If a Change of Control Repurchase Event occurs prior to maturity, unless we have</w:t>
            </w:r>
          </w:p>
        </w:tc>
      </w:tr>
      <w:tr>
        <w:trPr>
          <w:trHeight w:val="216"/>
        </w:trPr>
        <w:tc>
          <w:tcPr>
            <w:tcW w:w="378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Repurchase Event</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exercised our right to redeem the Notes in full, holders will have the right, at their option,</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 require us to repurchase for cash some or all of the Notes at a repurchase price equal to</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100% of the principal amount of the Notes being repurchased, plus accrued and unpaid</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interest to, but not including, the repurchase date.</w:t>
            </w:r>
          </w:p>
        </w:tc>
      </w:tr>
      <w:tr>
        <w:trPr>
          <w:trHeight w:val="441"/>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Legal Defeasance</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The Notes are subject to legal defeasance by us, which means that, subject to the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satisfaction of certain conditions, including, but not limited to, (i) depositing in trust for the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benefit of the holders of the Notes a combination of money and U.S. government or U.S.</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government agency notes or bonds that will generate enough cash to make interest,</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principal and any other payments on the Notes on their various due dates and (ii) delivering</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 the Trustee an opinion of counsel as described herein under “Description of Notes—</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Satisfaction and Discharge; Defeasance,” we can legally release ourselves from all</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payment and other obligations on the Notes.</w:t>
            </w:r>
          </w:p>
        </w:tc>
      </w:tr>
      <w:tr>
        <w:trPr>
          <w:trHeight w:val="441"/>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Covenant Defeasance</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The Notes are subject to covenant defeasance by us, which means that, subject to the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satisfaction of certain conditions, including, but not limited to, (i) depositing in trust for the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benefit of the holders of the Notes a combination of money and U.S. government or U.S.</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government agency notes or bonds that will generate enough cash to make interest,</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principal and any other payments on the Notes on their various due dates and (ii) delivering</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 the Trustee an opinion of counsel as described herein under “Description of Notes—</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Satisfaction and Discharge; Defeasance,” we will be released from some of the restrictive</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covenants in the indenture.</w:t>
            </w:r>
          </w:p>
        </w:tc>
      </w:tr>
      <w:tr>
        <w:trPr>
          <w:trHeight w:val="441"/>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 of Notes</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The Notes will be represented by global securities that will be deposited and registered in</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the name of The Depository Trust Company, or DTC, or its nominee. This means that,</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except in limited circumstances, you will not receive certificates for the Notes. Beneficial</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interests in the Notes will be represented through book-entry accounts of financial</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institutions acting on behalf of beneficial owners as direct and indirect participants in DTC.</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Investors may elect to hold interests in the Notes through either DTC, if they are a</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participant, or indirectly through organizations that are participants in DTC.</w:t>
            </w:r>
          </w:p>
        </w:tc>
      </w:tr>
      <w:tr>
        <w:trPr>
          <w:trHeight w:val="459"/>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Paying Agent and Registrar</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54"/>
        </w:trPr>
        <w:tc>
          <w:tcPr>
            <w:tcW w:w="37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If an event of default (as described under “Description of Notes”) on the Notes occurs, the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principal amount of the Notes, plus accrued and unpaid interest, may be declared</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immediately due and payable, subject to conditions set forth in the indenture. These</w:t>
            </w:r>
          </w:p>
        </w:tc>
      </w:tr>
      <w:tr>
        <w:trPr>
          <w:trHeight w:val="216"/>
        </w:trPr>
        <w:tc>
          <w:tcPr>
            <w:tcW w:w="37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amounts automatically become due and payable in the case of certain types of bankruptcy</w:t>
            </w:r>
          </w:p>
        </w:tc>
      </w:tr>
      <w:tr>
        <w:trPr>
          <w:trHeight w:val="234"/>
        </w:trPr>
        <w:tc>
          <w:tcPr>
            <w:tcW w:w="3780" w:type="dxa"/>
            <w:vAlign w:val="bottom"/>
            <w:tcBorders>
              <w:left w:val="single" w:sz="8" w:color="auto"/>
            </w:tcBorders>
          </w:tcPr>
          <w:p>
            <w:pPr>
              <w:spacing w:after="0"/>
              <w:rPr>
                <w:sz w:val="20"/>
                <w:szCs w:val="20"/>
                <w:color w:val="auto"/>
              </w:rPr>
            </w:pPr>
          </w:p>
        </w:tc>
        <w:tc>
          <w:tcPr>
            <w:tcW w:w="724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or insolvency events involving us.</w:t>
            </w:r>
          </w:p>
        </w:tc>
      </w:tr>
      <w:tr>
        <w:trPr>
          <w:trHeight w:val="159"/>
        </w:trPr>
        <w:tc>
          <w:tcPr>
            <w:tcW w:w="3780" w:type="dxa"/>
            <w:vAlign w:val="bottom"/>
            <w:tcBorders>
              <w:left w:val="single" w:sz="8" w:color="auto"/>
              <w:bottom w:val="single" w:sz="8" w:color="auto"/>
            </w:tcBorders>
          </w:tcPr>
          <w:p>
            <w:pPr>
              <w:spacing w:after="0"/>
              <w:rPr>
                <w:sz w:val="13"/>
                <w:szCs w:val="13"/>
                <w:color w:val="auto"/>
              </w:rPr>
            </w:pPr>
          </w:p>
        </w:tc>
        <w:tc>
          <w:tcPr>
            <w:tcW w:w="7240" w:type="dxa"/>
            <w:vAlign w:val="bottom"/>
            <w:tcBorders>
              <w:bottom w:val="single" w:sz="8" w:color="auto"/>
              <w:right w:val="single" w:sz="8" w:color="auto"/>
            </w:tcBorders>
          </w:tcPr>
          <w:p>
            <w:pPr>
              <w:spacing w:after="0"/>
              <w:rPr>
                <w:sz w:val="13"/>
                <w:szCs w:val="13"/>
                <w:color w:val="auto"/>
              </w:rPr>
            </w:pPr>
          </w:p>
        </w:tc>
      </w:tr>
      <w:tr>
        <w:trPr>
          <w:trHeight w:val="361"/>
        </w:trPr>
        <w:tc>
          <w:tcPr>
            <w:tcW w:w="3780" w:type="dxa"/>
            <w:vAlign w:val="bottom"/>
          </w:tcPr>
          <w:p>
            <w:pPr>
              <w:spacing w:after="0"/>
              <w:rPr>
                <w:sz w:val="24"/>
                <w:szCs w:val="24"/>
                <w:color w:val="auto"/>
              </w:rPr>
            </w:pPr>
          </w:p>
        </w:tc>
        <w:tc>
          <w:tcPr>
            <w:tcW w:w="72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020"/>
          </w:cols>
          <w:pgMar w:left="440" w:top="292"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90"/>
        </w:trPr>
        <w:tc>
          <w:tcPr>
            <w:tcW w:w="38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Covenants</w:t>
            </w:r>
          </w:p>
        </w:tc>
        <w:tc>
          <w:tcPr>
            <w:tcW w:w="7220" w:type="dxa"/>
            <w:vAlign w:val="bottom"/>
            <w:tcBorders>
              <w:top w:val="single" w:sz="8" w:color="auto"/>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In addition to the covenants described in the accompanying prospectus, the following</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covenants shall apply to the Notes:</w:t>
            </w:r>
          </w:p>
        </w:tc>
      </w:tr>
      <w:tr>
        <w:trPr>
          <w:trHeight w:val="319"/>
        </w:trPr>
        <w:tc>
          <w:tcPr>
            <w:tcW w:w="3800" w:type="dxa"/>
            <w:vAlign w:val="bottom"/>
            <w:tcBorders>
              <w:left w:val="single" w:sz="8" w:color="auto"/>
            </w:tcBorders>
          </w:tcPr>
          <w:p>
            <w:pPr>
              <w:spacing w:after="0"/>
              <w:rPr>
                <w:sz w:val="24"/>
                <w:szCs w:val="24"/>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agree that for the period of time during which the Notes are outstanding, we will</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not violate, whether or not we are subject thereto, Section 18(a)(1)(A) as modified</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by Section 61(a) of the 1940 Act or any successor provisions, but giving effect, in</w:t>
            </w:r>
          </w:p>
        </w:tc>
      </w:tr>
      <w:tr>
        <w:trPr>
          <w:trHeight w:val="234"/>
        </w:trPr>
        <w:tc>
          <w:tcPr>
            <w:tcW w:w="380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either case, to any exemptive relief granted to us by the SEC.</w:t>
            </w:r>
          </w:p>
        </w:tc>
      </w:tr>
      <w:tr>
        <w:trPr>
          <w:trHeight w:val="319"/>
        </w:trPr>
        <w:tc>
          <w:tcPr>
            <w:tcW w:w="3800" w:type="dxa"/>
            <w:vAlign w:val="bottom"/>
            <w:tcBorders>
              <w:left w:val="single" w:sz="8" w:color="auto"/>
            </w:tcBorders>
          </w:tcPr>
          <w:p>
            <w:pPr>
              <w:spacing w:after="0"/>
              <w:rPr>
                <w:sz w:val="24"/>
                <w:szCs w:val="24"/>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If, at any time, we are not subject to the reporting requirements of Sections 13 or</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15(d) of the Exchange Act to file any periodic reports with the SEC, we agree to</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furnish to holders of the Notes and the Trustee, for the period of time during which</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Notes are outstanding, our audited annual consolidated financial statements,</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within 90 days of our fiscal year end, and unaudited interim consolidated financial</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statements, within 45 days of our fiscal quarter end (other than our fourth fiscal</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quarter). All such financial statements will be prepared, in all material respects, in</w:t>
            </w:r>
          </w:p>
        </w:tc>
      </w:tr>
      <w:tr>
        <w:trPr>
          <w:trHeight w:val="216"/>
        </w:trPr>
        <w:tc>
          <w:tcPr>
            <w:tcW w:w="38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accordance with applicable United States generally accepted accounting principles,</w:t>
            </w:r>
          </w:p>
        </w:tc>
      </w:tr>
      <w:tr>
        <w:trPr>
          <w:trHeight w:val="234"/>
        </w:trPr>
        <w:tc>
          <w:tcPr>
            <w:tcW w:w="380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6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GAAP.</w:t>
            </w:r>
          </w:p>
        </w:tc>
      </w:tr>
      <w:tr>
        <w:trPr>
          <w:trHeight w:val="441"/>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Established Trading Market</w:t>
            </w: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The Notes will</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not be listed on any securities exchange or quoted on any automated dealer quotation</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system. Although certain of the underwriters have informed us that they currently intend to</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make a market in the Notes, as permitted by applicable laws and regulations, they are not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obligated to do so and may discontinue any such market making activities at any time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without notice. See “Underwriting.” Accordingly, we cannot assure you that a liquid</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market for the Notes will develop or be maintained.</w:t>
            </w:r>
          </w:p>
        </w:tc>
      </w:tr>
      <w:tr>
        <w:trPr>
          <w:trHeight w:val="441"/>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Global Clearance and Settlement Procedures</w:t>
            </w: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Interests in the Notes will trade in DTC’s Same Day Funds Settlement System, and any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permitted secondary market trading activity in such Notes will, therefore, be required by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DTC to be settled in immediately available funds. None of the Company, the Trustee or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paying agent will have any responsibility or liability for the performance by DTC or its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participants or indirect participants of their respective obligations under the rules and</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procedures governing their operations.</w:t>
            </w:r>
          </w:p>
        </w:tc>
      </w:tr>
      <w:tr>
        <w:trPr>
          <w:trHeight w:val="441"/>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The Notes and the indenture are governed by and construed in accordance with the laws of</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the State of New York.</w:t>
            </w:r>
          </w:p>
        </w:tc>
      </w:tr>
      <w:tr>
        <w:trPr>
          <w:trHeight w:val="159"/>
        </w:trPr>
        <w:tc>
          <w:tcPr>
            <w:tcW w:w="3800" w:type="dxa"/>
            <w:vAlign w:val="bottom"/>
            <w:tcBorders>
              <w:left w:val="single" w:sz="8" w:color="auto"/>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400" w:type="dxa"/>
            <w:vAlign w:val="bottom"/>
            <w:tcBorders>
              <w:bottom w:val="single" w:sz="8" w:color="auto"/>
              <w:right w:val="single" w:sz="8" w:color="auto"/>
            </w:tcBorders>
          </w:tcPr>
          <w:p>
            <w:pPr>
              <w:spacing w:after="0"/>
              <w:rPr>
                <w:sz w:val="13"/>
                <w:szCs w:val="13"/>
                <w:color w:val="auto"/>
              </w:rPr>
            </w:pPr>
          </w:p>
        </w:tc>
      </w:tr>
      <w:tr>
        <w:trPr>
          <w:trHeight w:val="361"/>
        </w:trPr>
        <w:tc>
          <w:tcPr>
            <w:tcW w:w="3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020"/>
          </w:cols>
          <w:pgMar w:left="440" w:top="292"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 FACTORS</w:t>
      </w:r>
    </w:p>
    <w:p>
      <w:pPr>
        <w:spacing w:after="0" w:line="22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number of significant risks. You should carefully consider the risks set out below and the risk factors incorporated by reference in Part I, Item 1A, “Risk Factors,” in our 2022 Annual Report, Part I, Item IA, “Risk Factors,” in our Q1 2023 Quarterly Report, our Q2 2023 Quarterly Report and our Q3 2023 Quarterly Report, and in any subsequent Quarterly Reports on Form 10-Q or Current Reports on Form 8-K 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and any free writing prospectus that we may authorize for use in connection with this offering, as updated by our subsequent filings under the Exchange Act, before making a decision about investing in our securities. The risks and uncertainties set out below and discussed in our 2022 Annual Report, our Q1 2023 Quarterly Report, Q2 2023 Quarterly Report, Q3 2023 Quarterly Report and in the accompanying prospectus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are unsecured and therefore are effectively subordinated to any secured indebtedness we have currently incurred or may incur in the future.</w:t>
      </w:r>
    </w:p>
    <w:p>
      <w:pPr>
        <w:spacing w:after="0" w:line="5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secured by any of our assets or any of the assets of our subsidiaries. As a result, the Notes are effectively subordinated, or junior, to any secured indebtedness or other obligations we or our subsidiaries have currently incurred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September 30, 2023, we had approximately $758.2 million aggregate principal amount of outstanding indebtedness under the Revolving Credit Facility. The Revolving Credit Facility is secured by a perfected first-priority security interest in substantially all the portfolio investments held by us and each guarantor party thereto; the indebtedness thereunder is therefore effectively senior to the Notes to the extent of the value of such assets.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are structurally subordinated to the indebtedness and other liabilities of our subsidiaries.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Notes are obligations exclusively of TSLX and not of any of our subsidiaries. None of our subsidiaries is a guarantor of the Notes and the Notes are not required to be guaranteed by any subsidiaries we may acquire or create in the future.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are structurally subordinated, or junior, to all existing and future indebtedness and other obligations (including trade payables) incurred by any of our subsidiaries, financing vehicles or similar facilities and any subsidiaries, financing vehicles or similar facilities that we may in the future acquire or establish. Our subsidiaries may incur substantial additional indebtedness in the future, all of which would be structurally senior to the Notes.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00"/>
          </w:cols>
          <w:pgMar w:left="440" w:top="293" w:right="459" w:bottom="1440" w:gutter="0" w:footer="0" w:header="0"/>
        </w:sectPr>
      </w:pPr>
    </w:p>
    <w:bookmarkStart w:id="12" w:name="page13"/>
    <w:bookmarkEnd w:id="12"/>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Our current indebtedness could adversely affect our business, financial condition and results of operations and our ability to meet our payment obligations under the Notes and our other debt.</w:t>
      </w:r>
    </w:p>
    <w:p>
      <w:pPr>
        <w:spacing w:after="0" w:line="51"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As of September 30, 2023 our total consolidated indebtedness was approximately $1,705.7 million aggregate principal amount outstanding, of which approximately $758.2 million was secured indebtedness at the TSLX level and none of which was indebtedness of our subsidiaries, and approximately $947.5 million aggregate principal amount was unsecured indebtedness.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use of debt could have significant consequences on our future operations, including:</w:t>
      </w:r>
    </w:p>
    <w:p>
      <w:pPr>
        <w:spacing w:after="0" w:line="131"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meet our payment and other obligations under the Notes and our other outstanding indebtedness;</w:t>
      </w:r>
    </w:p>
    <w:p>
      <w:pPr>
        <w:spacing w:after="0" w:line="130"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our debt agreements, which event of default could result in substantially all of our debt becoming immediately due and payable;</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investments, acquisitions and other general corporate purposes, and limiting our ability to obtain additional financing for these purposes;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the risk of increased sensitivity to interest rate increases on our indebtedness with variable interest rates; and</w:t>
      </w:r>
    </w:p>
    <w:p>
      <w:pPr>
        <w:spacing w:after="0" w:line="130"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w:t>
      </w:r>
    </w:p>
    <w:p>
      <w:pPr>
        <w:spacing w:after="0" w:line="176"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our Revolving Credit Facility or otherwise in an amount sufficient to enable us to pay our indebtedness, including the Notes, or to fund our other liquidity needs. We may need to refinance all or a portion of our indebtedness, including the Notes,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 including our payment obligations under the Notes.</w:t>
      </w:r>
    </w:p>
    <w:p>
      <w:pPr>
        <w:spacing w:after="0" w:line="29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51"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are rated by Moody’s Investor Service, or Moody’s, S&amp;P Global Ratings, or S&amp;P, and Fitch</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00"/>
          </w:cols>
          <w:pgMar w:left="440" w:top="509" w:right="459" w:bottom="1440" w:gutter="0" w:footer="0" w:header="0"/>
        </w:sectPr>
      </w:pPr>
    </w:p>
    <w:bookmarkStart w:id="13" w:name="page14"/>
    <w:bookmarkEnd w:id="1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Ratings, or Fitch. There can be no assurance that their respective credit ratings will remain for any given period of time or that such credit ratings will not be lowered or withdrawn entirely by Moody’s, S&amp;P or Fitch if in any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limited protection for holders of the Notes.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indenture governing the Notes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do not place any restrictions on our or our subsidiaries’ ability to:</w:t>
      </w:r>
    </w:p>
    <w:p>
      <w:pPr>
        <w:spacing w:after="0" w:line="85" w:lineRule="exact"/>
        <w:rPr>
          <w:sz w:val="20"/>
          <w:szCs w:val="20"/>
          <w:color w:val="auto"/>
        </w:rPr>
      </w:pPr>
    </w:p>
    <w:p>
      <w:pPr>
        <w:ind w:left="960" w:right="340" w:hanging="532"/>
        <w:spacing w:after="0" w:line="257"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or otherwise incur additional indebtedness or other obligations, including (1) any indebtedness or other obligations that would be pari passu, or equal, in right of payment to the Notes, (2) any indebtedness or other obligations that would be secured and therefore rank effectively senior in right of payment to the Notes to the extent of the value of the assets securing such indebtedness,</w:t>
      </w:r>
    </w:p>
    <w:p>
      <w:pPr>
        <w:spacing w:after="0" w:line="1" w:lineRule="exact"/>
        <w:rPr>
          <w:rFonts w:ascii="Times New Roman" w:cs="Times New Roman" w:eastAsia="Times New Roman" w:hAnsi="Times New Roman"/>
          <w:sz w:val="18"/>
          <w:szCs w:val="18"/>
          <w:color w:val="auto"/>
        </w:rPr>
      </w:pPr>
    </w:p>
    <w:p>
      <w:pPr>
        <w:ind w:left="9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indebtedness or other obligations of ours that are guaranteed by one or more of our subsidiaries and which therefore are structurally senior to the Notes and (4) indebtedness or obligations (including trade payables) incurred by our subsidiaries, financing vehicles or similar facilities that would be senior to our equity interests in those entities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but giving effect, in either case, to any exemptive relief granted to us by the SEC;</w:t>
      </w:r>
    </w:p>
    <w:p>
      <w:pPr>
        <w:spacing w:after="0" w:line="95"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Notes;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20"/>
          </w:cols>
          <w:pgMar w:left="440" w:top="297"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optional redemption provision may materially adversely affect your return on the Notes.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other indebtedness, we may not be able to make payments on the Notes.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Any default under the agreements governing our indebtedness, including a default under our Revolving Credit Facility or under the 2024 Notes, 2026 Notes or 2028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Revolving Credit Facility or other debt we may incur in the future could elect to terminate their commitments, cease making further loans and institute foreclosure proceedings against our assets, and we could be forced into bankruptcy or liquidation.</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3"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repay debt, lenders having secured obligations, including the lenders under our Revolving Credit Facility, could proceed against the collateral securing the debt. Because our Revolving Credit Facility, 2024 Notes, 2026 Notes and 2028 Notes have, the indenture will have, and any future debt will likely have, customary cross-default provisions, if the indebtedness thereunder, hereunder or under any future credit facility is accelerated, we may be unable to repay or finance the amounts due. See “Description of Notes” in this prospectus supplement and “Description of Our Debt Securities” in the accompanying prospectus.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Notes upon a Change of Control Repurchase Event.</w:t>
      </w:r>
    </w:p>
    <w:p>
      <w:pPr>
        <w:spacing w:after="0" w:line="121"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The terms of the Revolving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our 2024 Notes, 2026 Notes and 2028 Notes each contain a provision that would require us to offer to purchase the respective 2024 Notes, 2026 Notes or 2028 Notes upon the occurrence of a fundamental change.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80"/>
          </w:cols>
          <w:pgMar w:left="440" w:top="293" w:right="479" w:bottom="1440" w:gutter="0" w:footer="0" w:header="0"/>
        </w:sectPr>
      </w:pPr>
    </w:p>
    <w:bookmarkStart w:id="15" w:name="page16"/>
    <w:bookmarkEnd w:id="15"/>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Any failure to comply with these provisions would constitute an event of default under each of the other agreements governing our indebtedness, including the indenture.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Notes—Offer to Repurchase Upon a Change of Control Repurchase Event.”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that an active trading market will be maintained for the Notes.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Notes are a new issue of debt securities and there currently is no trading market for the Notes. We do not intend to apply for listing of the Notes on any securities exchange or for quotation of the Notes on any automated dealer quotation system. If no active trading market develops, you may not be able to resell your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advised us that they currently intend to make a market in the Notes but they are not obligated to do so. The underwriters may discontinue any market-making in the Notes at any time at their sole discretion. In addition, any market-making activity will be subject to limits imposed by law. Accordingly, we cannot assure you that a liquid trading market will be maintained for the Notes, that you will be able to sell your Notes at a particular time or that the price you receive when you sell will be favorable. To the extent an active trading market is not maintained, the liquidity and trading price for the Notes may be harmed. Accordingly, you may be required to bear the financial risk of an investment in the Notes for an indefinite period of time.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00"/>
          </w:cols>
          <w:pgMar w:left="440" w:top="297" w:right="4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USE OF PROCEEDS</w:t>
      </w:r>
    </w:p>
    <w:p>
      <w:pPr>
        <w:spacing w:after="0" w:line="22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we will receive from the sale of $350.0 million aggregate principal amount of Notes in this offering will be approximately $341.8 million, after deducting the underwriting discounts and commissions and estimated offering expenses payable by us.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intend to use 100% of the net proceeds of this offering to pay down a portion of the outstanding indebtedness on the Revolving Credit Facility on or about the date of the closing of this offering. As of September 30, 2023, aggregate commitments under the facility were $1.710 billion. However, through reborrowing under the Revolving Credit Facility, we intend to make new investments in accordance with our investment objective and strategies described in this prospectus supplement and the accompanying prospectus. The stated maturity date of the Revolving Credit Facility is June 12, 2028 with respect to $1.465 billion of commitments, January 31, 2025 for $25.0 million of commitments, February 4, 2026 for $50.0 million of commitments and April 23, 2027 with respect to $170.0 million of commitments. As of September 30, 2023, amounts drawn under the facility bear interest at either the applicable reference rate plus an applicable credit spread adjustment, plus a margin of either 1.75% or 1.875%, or the base rate plus a margin of either 0.75% or 0.875%. See “Management’s Discussion and Analysis of Financial Condition and Results of Operations—Financial Condition, Liquidity and Capital Resources—Revolving Credit Facility” in Part II, Item 2 of our 3Q 2023 Quarterly Report.</w:t>
      </w:r>
    </w:p>
    <w:p>
      <w:pPr>
        <w:spacing w:after="0" w:line="188"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00"/>
          </w:cols>
          <w:pgMar w:left="440" w:top="293" w:right="459" w:bottom="1440" w:gutter="0" w:footer="0" w:header="0"/>
        </w:sectPr>
      </w:pPr>
    </w:p>
    <w:bookmarkStart w:id="17" w:name="page18"/>
    <w:bookmarkEnd w:id="1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CAPITALIZATION</w:t>
      </w:r>
    </w:p>
    <w:p>
      <w:pPr>
        <w:spacing w:after="0" w:line="229"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consolidated capitalization at September 30, 2023. You should read this table together with “Use of Proceeds” described in this prospectus supplement and our most recent balance sheet included in our 2023 3Q Quarterly Report incorporated by reference in this prospectus supplement.</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amounts)</w:t>
            </w:r>
          </w:p>
        </w:tc>
        <w:tc>
          <w:tcPr>
            <w:tcW w:w="240" w:type="dxa"/>
            <w:vAlign w:val="bottom"/>
          </w:tcPr>
          <w:p>
            <w:pPr>
              <w:spacing w:after="0"/>
              <w:rPr>
                <w:sz w:val="15"/>
                <w:szCs w:val="15"/>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2023 (unaudited)</w:t>
            </w:r>
          </w:p>
        </w:tc>
        <w:tc>
          <w:tcPr>
            <w:tcW w:w="0" w:type="dxa"/>
            <w:vAlign w:val="bottom"/>
          </w:tcPr>
          <w:p>
            <w:pPr>
              <w:spacing w:after="0"/>
              <w:rPr>
                <w:sz w:val="1"/>
                <w:szCs w:val="1"/>
                <w:color w:val="auto"/>
              </w:rPr>
            </w:pPr>
          </w:p>
        </w:tc>
      </w:tr>
      <w:tr>
        <w:trPr>
          <w:trHeight w:val="142"/>
        </w:trPr>
        <w:tc>
          <w:tcPr>
            <w:tcW w:w="8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29,880</w:t>
            </w:r>
          </w:p>
        </w:tc>
        <w:tc>
          <w:tcPr>
            <w:tcW w:w="0" w:type="dxa"/>
            <w:vAlign w:val="bottom"/>
          </w:tcPr>
          <w:p>
            <w:pPr>
              <w:spacing w:after="0"/>
              <w:rPr>
                <w:sz w:val="1"/>
                <w:szCs w:val="1"/>
                <w:color w:val="auto"/>
              </w:rPr>
            </w:pPr>
          </w:p>
        </w:tc>
      </w:tr>
      <w:tr>
        <w:trPr>
          <w:trHeight w:val="216"/>
        </w:trPr>
        <w:tc>
          <w:tcPr>
            <w:tcW w:w="8360" w:type="dxa"/>
            <w:vAlign w:val="bottom"/>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22"/>
                <w:szCs w:val="22"/>
                <w:b w:val="1"/>
                <w:bCs w:val="1"/>
                <w:color w:val="auto"/>
                <w:vertAlign w:val="superscript"/>
              </w:rPr>
              <w:t>(1)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758,247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2024 Notes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347,500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Notes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2028 Notes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1,705,747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 and outstanding</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400,000,000 shares authorized; 88,210,748 shares issued and 87,546,498 shares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1,401,245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664,250 shares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Distributable earnings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94,154</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1,485,822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3,221,449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80"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table reflects the principal amount of indebtedness outstanding as of September 30, 2023. Outstanding indebtedness under the Revolving Credit Facility was $889.7 million as of December 31, 2023. The net proceeds from the sale of the Notes in this offering are expected to be used to pay down outstanding indebtedness under the Revolving Credit Facility. See “Use of Proceeds” in this prospectus supplement.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24"/>
          </w:cols>
          <w:pgMar w:left="436" w:top="293" w:right="4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NOTES</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particular terms of the 6.125% Notes due 2029 supplements and, to the extent inconsistent therewith, replaces the description of the general terms and provisions of the debt securities set forth in the accompanying prospectus.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will issue the Notes under a base indenture dated as of the settlement date, between us and U.S. Bank Trust Company, National Association, as trustee (the “trustee”), as supplemented by a separate supplemental indenture, dated as of the settlement date of the Notes (the “first supplemental indenture”). As used in this section, all references to the indenture mean the base indenture as supplemented by the first supplemental indenture. The terms of the Notes include those expressly set forth in the indenture and those made part of the indenture by reference to the Trust Indenture Act of 1939, as amended, or the TIA.</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76"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description, references to “we,” “our” and “us” refer only to TSLX and not to any of its current or future subsidiaries and references to “subsidiaries” refer only to our consolidated subsidiaries and exclude any investments held by TSLX in the ordinary course of business which are not, under GAAP, consolidated on the financial statements of TSLX and its subsidiaries.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direct, general unsecured, senior obligations;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an aggregate principal amount of $350,000,000;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mature on March 1, 2029, unless earlier redeemed or repurchased, as discussed below;</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bear cash interest from January 16, 2024 at an annual rate of 6.125% payable semi-annually on March 1 and September 1 of each year, beginning on September 1, 2024;</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redemption at our option as described under “—Optional Redemption;”</w:t>
      </w:r>
    </w:p>
    <w:p>
      <w:pPr>
        <w:spacing w:after="0" w:line="130"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be subject to repurchase by us at the option of the holders following a Change of Control Repurchase Event (as defined below under “—Offer to Repurchase Upon a Change of Control Repurchase Event”), at a repurchase price equal to 100% of the principal amount of the Notes to be repurchased,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to, but excluding, the date of repurchase;</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denominations of $2,000 and integral multiples of $1,000 in excess thereof; and</w:t>
      </w:r>
    </w:p>
    <w:p>
      <w:pPr>
        <w:spacing w:after="0" w:line="130"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represented by one or more registered Notes in global form, but in certain limited circumstances may be represented by Notes in definitive form. See “—Book-Entry, Settlement and Clearance.”</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00"/>
          </w:cols>
          <w:pgMar w:left="440" w:top="293" w:right="459" w:bottom="1440" w:gutter="0" w:footer="0" w:header="0"/>
        </w:sectPr>
      </w:pPr>
    </w:p>
    <w:bookmarkStart w:id="19" w:name="page20"/>
    <w:bookmarkEnd w:id="19"/>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We may, without the consent of the holders, issue further additional Notes under the indenture with the same terms (except for the issue date, public offering price and, if applicable, the initial interest payment date) and with the same CUSIP numbers as the Notes in an unlimited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Notes must either be issued in a “qualified reopening” for U.S. federal income tax purposes,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or otherwise be part of the same issue as the Notes for U.S. federal income tax purposes.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intend to list the Notes on any securities exchange or any automated dealer quotation system.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on the Notes; Paying Agent and Registrar; Transfer and Exchange</w:t>
      </w:r>
    </w:p>
    <w:p>
      <w:pPr>
        <w:spacing w:after="0" w:line="12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We will pay the principal of, and interest on, the Notes in global form registered in the name of or held by DTC or its nominee in immediately available funds to DTC or its nominee, as the case may be, as the registered holder of such Global Note (as defined below).</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registered holder of a Note will be treated as its owner for all purposes.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Notes bear cash interest at a rate of 6.125% per year until maturity. Interest on the Notes will accrue from January 16, 2024 or from the most recent date on which interest has been paid or duly provided for. Interest is payable semiannually in arrears on March 1 and September 1 of each year, beginning on September 1, 2024.</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Interest will be paid to the person in whose name a Note is registered at 5:00 p.m. New York City time (the “close of business”) on February 15 or August 15 (whether or not a business day), as the case may be, immediately preceding the relevant interest payment date. Interest on the Notes will be computed on the basis of a 360-day year composed of twelve 30-day months.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any interest payment date, redemption date, the maturity date or any earlier required repurchase date upon a Change of Control Repurchase Event (defined below)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or executive order to close.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00"/>
          </w:cols>
          <w:pgMar w:left="440" w:top="297"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Ranking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are our direct, general unsecured obligations that rank:</w:t>
      </w:r>
    </w:p>
    <w:p>
      <w:pPr>
        <w:spacing w:after="0" w:line="131" w:lineRule="exact"/>
        <w:rPr>
          <w:sz w:val="20"/>
          <w:szCs w:val="20"/>
          <w:color w:val="auto"/>
        </w:rPr>
      </w:pPr>
    </w:p>
    <w:p>
      <w:pPr>
        <w:ind w:left="960" w:right="580" w:hanging="53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all of our future indebtedness or other obligations that are expressly subordinated, or junior, in right of payment to the Notes;</w:t>
      </w:r>
    </w:p>
    <w:p>
      <w:pPr>
        <w:spacing w:after="0" w:line="67"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 passu, or equal, in right of payment with all of our existing and future indebtedness or other obligations that are not so subordinated, or junior, including, without limitation, as of September 30, 2023, approximately $347.5 million aggregate principal amount of outstanding indebtedness under our 2024 Notes, approximately $300.0 million aggregate principal amount of outstanding indebtedness under our 2026 Notes, and approximately $300.0 million aggregate principal amount of outstanding indebtedness under our 2028 Notes;</w:t>
      </w:r>
    </w:p>
    <w:p>
      <w:pPr>
        <w:spacing w:after="0" w:line="85" w:lineRule="exact"/>
        <w:rPr>
          <w:rFonts w:ascii="Times New Roman" w:cs="Times New Roman" w:eastAsia="Times New Roman" w:hAnsi="Times New Roman"/>
          <w:sz w:val="18"/>
          <w:szCs w:val="18"/>
          <w:color w:val="auto"/>
        </w:rPr>
      </w:pPr>
    </w:p>
    <w:p>
      <w:pPr>
        <w:ind w:left="960" w:right="80" w:hanging="532"/>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$1,710.0 million aggregate principal amount of outstanding indebtedness as of September 30, 2023 under the Revolving Credit Facility; and</w:t>
      </w:r>
    </w:p>
    <w:p>
      <w:pPr>
        <w:spacing w:after="0" w:line="81"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or junior, to all existing and future indebtedness and other obligations (including trade payables) incurred by our subsidiaries, financing vehicles or similar facilities.</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As of September 30, 2023, our total consolidated indebtedness was approximately $1,705.7 million aggregate principal amount outstanding, of which approximately $758.2 million was secured indebtedness at the TSLX level and none of which was indebtedness of our subsidiaries. After giving effect to the issuance of the Notes, and assuming the net proceeds therefrom are used to repay outstanding borrowings under the Revolving Credit Facility, our total consolidated indebtedness would have been approximately $1,713.9 million aggregate principal amount outstanding as of September 30, 2023. See “Capitalization.”</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Any exercise of our option to redeem the Notes will be done in compliance with the 1940 Act. Prior to February 1, 2029 (one month prior to their maturity date) (the “Par Call Date”), we may redeem the Notes at our option, in whole or in part, at any time and from time to time, at a redemption price (expressed as a percentage of principal amount and rounded to three decimal places) equal to the greater of:</w:t>
      </w:r>
    </w:p>
    <w:p>
      <w:pPr>
        <w:spacing w:after="0" w:line="68" w:lineRule="exact"/>
        <w:rPr>
          <w:sz w:val="20"/>
          <w:szCs w:val="20"/>
          <w:color w:val="auto"/>
        </w:rPr>
      </w:pPr>
    </w:p>
    <w:p>
      <w:pPr>
        <w:ind w:left="980" w:right="200" w:firstLine="7"/>
        <w:spacing w:after="0" w:line="266" w:lineRule="auto"/>
        <w:tabs>
          <w:tab w:leader="none" w:pos="12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40 basis points less (b) interest accrued to the date of redemption, and</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jc w:val="center"/>
        <w:ind w:right="180"/>
        <w:spacing w:after="0" w:line="454"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 S-18</w:t>
      </w:r>
    </w:p>
    <w:p>
      <w:pPr>
        <w:sectPr>
          <w:pgSz w:w="11900" w:h="16838" w:orient="portrait"/>
          <w:cols w:equalWidth="0" w:num="1">
            <w:col w:w="11000"/>
          </w:cols>
          <w:pgMar w:left="440" w:top="293" w:right="459" w:bottom="1440" w:gutter="0" w:footer="0" w:header="0"/>
        </w:sectPr>
      </w:pPr>
    </w:p>
    <w:bookmarkStart w:id="21" w:name="page22"/>
    <w:bookmarkEnd w:id="21"/>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The trustee will not be responsible or liable for determining, confirming, or verifying the redemption price.</w:t>
      </w:r>
    </w:p>
    <w:p>
      <w:pPr>
        <w:spacing w:after="0" w:line="162"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Any exercise of our option to redeem the Notes will be done in compliance with the 1940 Act.</w:t>
      </w:r>
    </w:p>
    <w:p>
      <w:pPr>
        <w:spacing w:after="0" w:line="17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0980"/>
          </w:cols>
          <w:pgMar w:left="440" w:top="297" w:right="479" w:bottom="1440" w:gutter="0" w:footer="0" w:header="0"/>
        </w:sectPr>
      </w:pPr>
    </w:p>
    <w:bookmarkStart w:id="22" w:name="page23"/>
    <w:bookmarkEnd w:id="22"/>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Unless we default in payment of the redemption price, on and after the redemption date interest will cease to accrue on the Notes or portions thereof called for redemption.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8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1940 Act, we will, to the extent lawful:</w:t>
      </w:r>
    </w:p>
    <w:p>
      <w:pPr>
        <w:spacing w:after="0" w:line="67" w:lineRule="exact"/>
        <w:rPr>
          <w:sz w:val="20"/>
          <w:szCs w:val="20"/>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our offer;</w:t>
      </w:r>
    </w:p>
    <w:p>
      <w:pPr>
        <w:spacing w:after="0" w:line="130" w:lineRule="exact"/>
        <w:rPr>
          <w:rFonts w:ascii="Times New Roman" w:cs="Times New Roman" w:eastAsia="Times New Roman" w:hAnsi="Times New Roman"/>
          <w:sz w:val="18"/>
          <w:szCs w:val="18"/>
          <w:color w:val="auto"/>
        </w:rPr>
      </w:pPr>
    </w:p>
    <w:p>
      <w:pPr>
        <w:ind w:left="960" w:right="620" w:hanging="532"/>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 and</w:t>
      </w:r>
    </w:p>
    <w:p>
      <w:pPr>
        <w:spacing w:after="0" w:line="67" w:lineRule="exact"/>
        <w:rPr>
          <w:rFonts w:ascii="Times New Roman" w:cs="Times New Roman" w:eastAsia="Times New Roman" w:hAnsi="Times New Roman"/>
          <w:sz w:val="18"/>
          <w:szCs w:val="18"/>
          <w:color w:val="auto"/>
        </w:rPr>
      </w:pPr>
    </w:p>
    <w:p>
      <w:pPr>
        <w:ind w:left="960" w:right="540" w:hanging="532"/>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us.</w:t>
      </w:r>
    </w:p>
    <w:p>
      <w:pPr>
        <w:spacing w:after="0" w:line="162"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new Note will be in a minimum principal amount of $2,000 or an integral multiple of $1,000 in excess thereof.</w:t>
      </w:r>
    </w:p>
    <w:p>
      <w:pPr>
        <w:spacing w:after="0" w:line="15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credit facility provide that certain change of control events will constitute an event of default thereunder entitling the lenders to accelerate any indebtedness outstanding under the credit facility at that time and to terminate the credit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00"/>
          </w:cols>
          <w:pgMar w:left="440" w:top="297" w:right="459" w:bottom="1440" w:gutter="0" w:footer="0" w:header="0"/>
        </w:sectPr>
      </w:pPr>
    </w:p>
    <w:bookmarkStart w:id="23" w:name="page24"/>
    <w:bookmarkEnd w:id="2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facility. In addition, the indentures governing the 2024 Notes, 2026 Notes and 2028 Notes each contains a provision that would require us to offer to purchase the respective 2024 Notes, 2026 Notes or 2028 Notes upon the occurrence of a fundamental change. A failure to purchase any tendered 2024 Notes, 2026 Notes or 2028 Notes would constitute an event of default under the applicable indenture, which would, in turn, constitute a default under our credit facility and the indenture. See “Management’s Discussion and Analysis of Financial Condition and Results of Operations—Financial Condition, Liquidity and Capital Resources” in our Q3 2023 Quarterly Report, which is incorporated by reference herein, for a general discussion of our indebtedness. 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Relating to the Notes—We may not be able to repurchase the Notes upon a Change of Control Repurchase Event.”</w:t>
      </w:r>
    </w:p>
    <w:p>
      <w:pPr>
        <w:spacing w:after="0" w:line="194"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the Notes:</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“Below Investment Grade Rating Event”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 of Control” means the occurrence of any of the following:</w:t>
      </w:r>
    </w:p>
    <w:p>
      <w:pPr>
        <w:spacing w:after="0" w:line="131" w:lineRule="exact"/>
        <w:rPr>
          <w:sz w:val="20"/>
          <w:szCs w:val="20"/>
          <w:color w:val="auto"/>
        </w:rPr>
      </w:pPr>
    </w:p>
    <w:p>
      <w:pPr>
        <w:ind w:left="960" w:right="60" w:hanging="532"/>
        <w:spacing w:after="0" w:line="258"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TSLX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TSLX or its Controlled Subsidiaries shall not be deemed to be any such sale, lease, transfer, conveyance or disposition;</w:t>
      </w:r>
    </w:p>
    <w:p>
      <w:pPr>
        <w:spacing w:after="0" w:line="88" w:lineRule="exact"/>
        <w:rPr>
          <w:rFonts w:ascii="Times New Roman" w:cs="Times New Roman" w:eastAsia="Times New Roman" w:hAnsi="Times New Roman"/>
          <w:sz w:val="18"/>
          <w:szCs w:val="18"/>
          <w:color w:val="auto"/>
        </w:rPr>
      </w:pPr>
    </w:p>
    <w:p>
      <w:pPr>
        <w:jc w:val="both"/>
        <w:ind w:left="960" w:right="140" w:hanging="532"/>
        <w:spacing w:after="0" w:line="261"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TSLX, measured by voting power rather than number of shares;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00"/>
          </w:cols>
          <w:pgMar w:left="440" w:top="297" w:right="459" w:bottom="1440" w:gutter="0" w:footer="0" w:header="0"/>
        </w:sectPr>
      </w:pPr>
    </w:p>
    <w:bookmarkStart w:id="24" w:name="page25"/>
    <w:bookmarkEnd w:id="24"/>
    <w:p>
      <w:pPr>
        <w:ind w:left="960" w:hanging="532"/>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approval by TSLX’s stockholders of any plan or proposal relating to the liquidation or dissolution of TSLX.</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“Controlled Subsidiary” means any subsidiary of TSLX, 50% or more of the outstanding equity interests of which are owned by TSLX and its direct or indirect subsidiaries and of which TSLX possesses, directly or indirectly, the power to direct or cause the direction of the management or policies, whether through the ownership of voting equity interests, by agreement or otherwise.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“Fitch” means Fitch Ratings, Inc., also known as Fitch Ratings, or any successor thereto.</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“Investment Grade” means a rating of BBB-or better by Fitch (or its equivalent under any successor rating categories of Fitch), BBB-or better by S&amp;P (or its equivalent under any successor rating categories of S&amp;P)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“Moody’s” means Moody’s Investor Service, or any successor thereto.</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“Permitted Holders” means (i) us, (ii) one or more of our Controlled Subsidiaries and (iii) Sixth Street Specialty Lending Advisers, LLC or any affiliate of Sixth Street Specialty Lending Advisers, LLC that is organized under the laws of a jurisdiction located in the United States of America and in the business of managing or advising clients.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“Rating Agency” means:</w:t>
      </w:r>
    </w:p>
    <w:p>
      <w:pPr>
        <w:spacing w:after="0" w:line="131" w:lineRule="exact"/>
        <w:rPr>
          <w:sz w:val="20"/>
          <w:szCs w:val="20"/>
          <w:color w:val="auto"/>
        </w:rPr>
      </w:pPr>
    </w:p>
    <w:p>
      <w:pPr>
        <w:ind w:left="960" w:hanging="532"/>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Moody’s and S&amp;P; and</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“S&amp;P” means S&amp;P Global Ratings or any successor thereto.</w:t>
      </w:r>
    </w:p>
    <w:p>
      <w:pPr>
        <w:spacing w:after="0" w:line="225"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we will not merge or consolidate with or into any other person (other than a merger of a wholly owned subsidiary into us), or sell, transfer, lease, convey or otherwise dispose of all or substantially all our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00"/>
          </w:cols>
          <w:pgMar w:left="440" w:top="297" w:right="459" w:bottom="1440" w:gutter="0" w:footer="0" w:header="0"/>
        </w:sectPr>
      </w:pPr>
    </w:p>
    <w:bookmarkStart w:id="25" w:name="page26"/>
    <w:bookmarkEnd w:id="25"/>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secured debt instrument of TSLX or its Controlled Subsidiaries shall not be deemed to be any such sale, transfer, lease, conveyance or disposition) in any one transaction or series of related transactions unless:</w:t>
      </w:r>
    </w:p>
    <w:p>
      <w:pPr>
        <w:spacing w:after="0" w:line="67" w:lineRule="exact"/>
        <w:rPr>
          <w:sz w:val="20"/>
          <w:szCs w:val="20"/>
          <w:color w:val="auto"/>
        </w:rPr>
      </w:pPr>
    </w:p>
    <w:p>
      <w:pPr>
        <w:ind w:left="960" w:right="60" w:hanging="532"/>
        <w:spacing w:after="0" w:line="26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1"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spacing w:after="0" w:line="85"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76"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87"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35" w:lineRule="exact"/>
        <w:rPr>
          <w:sz w:val="20"/>
          <w:szCs w:val="20"/>
          <w:color w:val="auto"/>
        </w:rPr>
      </w:pPr>
    </w:p>
    <w:p>
      <w:pPr>
        <w:ind w:left="960" w:right="300" w:hanging="532"/>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960" w:right="40" w:hanging="532"/>
        <w:spacing w:after="0" w:line="258"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0960"/>
          </w:cols>
          <w:pgMar w:left="440" w:top="297"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Events of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131" w:lineRule="exact"/>
        <w:rPr>
          <w:sz w:val="20"/>
          <w:szCs w:val="20"/>
          <w:color w:val="auto"/>
        </w:rPr>
      </w:pPr>
    </w:p>
    <w:p>
      <w:pPr>
        <w:ind w:left="960" w:hanging="53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 when due and payable and the default continues for a period of 30 days;</w:t>
      </w:r>
    </w:p>
    <w:p>
      <w:pPr>
        <w:spacing w:after="0" w:line="130"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 when it becomes due and payable at its maturity, including upon any redemption date or required repurchase date;</w:t>
      </w:r>
    </w:p>
    <w:p>
      <w:pPr>
        <w:spacing w:after="0" w:line="67"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81" w:lineRule="exact"/>
        <w:rPr>
          <w:rFonts w:ascii="Times New Roman" w:cs="Times New Roman" w:eastAsia="Times New Roman" w:hAnsi="Times New Roman"/>
          <w:sz w:val="18"/>
          <w:szCs w:val="18"/>
          <w:color w:val="auto"/>
        </w:rPr>
      </w:pPr>
    </w:p>
    <w:p>
      <w:pPr>
        <w:ind w:left="960" w:right="340" w:hanging="532"/>
        <w:spacing w:after="0" w:line="276" w:lineRule="auto"/>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w:t>
      </w:r>
    </w:p>
    <w:p>
      <w:pPr>
        <w:ind w:left="960" w:right="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is not consolidated with TSLX for purposes of GAAP),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99" w:lineRule="exact"/>
        <w:rPr>
          <w:rFonts w:ascii="Times New Roman" w:cs="Times New Roman" w:eastAsia="Times New Roman" w:hAnsi="Times New Roman"/>
          <w:sz w:val="17"/>
          <w:szCs w:val="17"/>
          <w:color w:val="auto"/>
        </w:rPr>
      </w:pPr>
    </w:p>
    <w:p>
      <w:pPr>
        <w:ind w:left="960" w:right="100" w:hanging="532"/>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81" w:lineRule="exact"/>
        <w:rPr>
          <w:rFonts w:ascii="Times New Roman" w:cs="Times New Roman" w:eastAsia="Times New Roman" w:hAnsi="Times New Roman"/>
          <w:sz w:val="18"/>
          <w:szCs w:val="18"/>
          <w:color w:val="auto"/>
        </w:rPr>
      </w:pPr>
    </w:p>
    <w:p>
      <w:pPr>
        <w:ind w:left="960" w:right="420" w:hanging="532"/>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occur and remain undischarged or unstayed for a period of 90 days.</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occurs and is continuing and a responsible officer of the Trustee has received written notice or has actual knowledge thereof,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20"/>
          </w:cols>
          <w:pgMar w:left="440" w:top="293" w:right="439" w:bottom="1440" w:gutter="0" w:footer="0" w:header="0"/>
        </w:sectPr>
      </w:pPr>
    </w:p>
    <w:bookmarkStart w:id="27" w:name="page28"/>
    <w:bookmarkEnd w:id="27"/>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67" w:lineRule="exact"/>
        <w:rPr>
          <w:sz w:val="20"/>
          <w:szCs w:val="20"/>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Notes;</w:t>
      </w:r>
    </w:p>
    <w:p>
      <w:pPr>
        <w:spacing w:after="0" w:line="130"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Notes shall have made written request to the trustee to institute proceedings in respect of such event of default;</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satisfactory to the trustee against the costs, expenses and liabilities to be incurred in compliance with such request;</w:t>
      </w:r>
    </w:p>
    <w:p>
      <w:pPr>
        <w:spacing w:after="0" w:line="67"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security or indemnity has failed to institute any such proceeding; and</w:t>
      </w:r>
    </w:p>
    <w:p>
      <w:pPr>
        <w:spacing w:after="0" w:line="67"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Notes.</w:t>
      </w:r>
    </w:p>
    <w:p>
      <w:pPr>
        <w:spacing w:after="0" w:line="162"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8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Within 90 days after the occurrence of any default under the indenture with respect to the Notes, the trustee shall transmit notice of such default actually known to a responsible officer of the trustee, unless such default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00"/>
          </w:cols>
          <w:pgMar w:left="440" w:top="513" w:right="459" w:bottom="1440" w:gutter="0" w:footer="0" w:header="0"/>
        </w:sectPr>
      </w:pPr>
    </w:p>
    <w:bookmarkStart w:id="28" w:name="page29"/>
    <w:bookmarkEnd w:id="28"/>
    <w:p>
      <w:pPr>
        <w:jc w:val="both"/>
        <w:ind w:right="2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(the “IRS”)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U.S. Bank Trust Company, National Association, is the trustee, security registrar and paying agent. U.S. Bank Trust Company, National Association, in its capacity, including without limitation as trustee, security registrar and paying agent, assumes no responsibility (or liability) for the accuracy, correctness, adequacy, or completeness of the information concerning us or our affiliates or any other party contained in this prospectus supplement and accompanying prospectus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may maintain banking relationships in the ordinary course of business with the trustee and its affiliates.</w:t>
      </w:r>
    </w:p>
    <w:p>
      <w:pPr>
        <w:spacing w:after="0" w:line="15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0980"/>
          </w:cols>
          <w:pgMar w:left="440" w:top="295" w:right="479" w:bottom="1440" w:gutter="0" w:footer="0" w:header="0"/>
        </w:sectPr>
      </w:pPr>
    </w:p>
    <w:bookmarkStart w:id="29" w:name="page30"/>
    <w:bookmarkEnd w:id="29"/>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trust office” means the corporate trust office of the Trustee, at which at any particular time its corporate trust business with respect to the Indenture shall be administered, which office is currently located at U.S. Bank Trust Company, National Association, 800 Nicollet Mall, Minneapolis, Minnesota 55402.</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9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Each of the trustee, security registrar, and paying agent will be entitled to those certain rights, privileges, immunities, indemnities, limitations of liability, and protections, as more fully set forth in the indenture.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Settlement and Clearance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Notes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67" w:lineRule="exact"/>
        <w:rPr>
          <w:sz w:val="20"/>
          <w:szCs w:val="20"/>
          <w:color w:val="auto"/>
        </w:rPr>
      </w:pPr>
    </w:p>
    <w:p>
      <w:pPr>
        <w:ind w:left="960" w:right="100" w:hanging="532"/>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a Global Note with DTC’s custodian, DTC will credit portions of the principal amount of the Global Note to the accounts of the DTC participants designated by the underwriters; and</w:t>
      </w:r>
    </w:p>
    <w:p>
      <w:pPr>
        <w:spacing w:after="0" w:line="67" w:lineRule="exact"/>
        <w:rPr>
          <w:rFonts w:ascii="Times New Roman" w:cs="Times New Roman" w:eastAsia="Times New Roman" w:hAnsi="Times New Roman"/>
          <w:sz w:val="18"/>
          <w:szCs w:val="18"/>
          <w:color w:val="auto"/>
        </w:rPr>
      </w:pPr>
    </w:p>
    <w:p>
      <w:pPr>
        <w:ind w:left="960" w:right="220" w:hanging="532"/>
        <w:spacing w:after="0" w:line="266"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Global Notes may not be exchanged for Notes in physical, certificated form except in the limited circumstances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Global Notes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(in any of its capacities) nor the underwriters are responsible for those operations or procedures.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0980"/>
          </w:cols>
          <w:pgMar w:left="440" w:top="297" w:right="47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DTC has advised us that it is:</w:t>
      </w:r>
    </w:p>
    <w:p>
      <w:pPr>
        <w:spacing w:after="0" w:line="131" w:lineRule="exact"/>
        <w:rPr>
          <w:sz w:val="20"/>
          <w:szCs w:val="20"/>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State Banking Law;</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Uniform Commercial Code;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7" w:lineRule="exact"/>
        <w:rPr>
          <w:sz w:val="20"/>
          <w:szCs w:val="20"/>
          <w:color w:val="auto"/>
        </w:rPr>
      </w:pPr>
    </w:p>
    <w:p>
      <w:pPr>
        <w:ind w:right="560" w:firstLine="440"/>
        <w:spacing w:after="0" w:line="312" w:lineRule="auto"/>
        <w:rPr>
          <w:sz w:val="20"/>
          <w:szCs w:val="20"/>
          <w:color w:val="auto"/>
        </w:rPr>
      </w:pPr>
      <w:r>
        <w:rPr>
          <w:rFonts w:ascii="Times New Roman" w:cs="Times New Roman" w:eastAsia="Times New Roman" w:hAnsi="Times New Roman"/>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45" w:lineRule="exact"/>
        <w:rPr>
          <w:sz w:val="20"/>
          <w:szCs w:val="20"/>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Notes represented by the Global Note registered in their names;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Notes; and</w:t>
      </w:r>
    </w:p>
    <w:p>
      <w:pPr>
        <w:spacing w:after="0" w:line="130"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76"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0980"/>
          </w:cols>
          <w:pgMar w:left="440" w:top="297" w:right="479" w:bottom="1440" w:gutter="0" w:footer="0" w:header="0"/>
        </w:sectPr>
      </w:pPr>
    </w:p>
    <w:bookmarkStart w:id="31" w:name="page32"/>
    <w:bookmarkEnd w:id="31"/>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Notes in physical, certificated form will be issued and delivered to each person that DTC identifies as a beneficial owner of the related Notes only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w:t>
      </w:r>
    </w:p>
    <w:p>
      <w:pPr>
        <w:spacing w:after="0" w:line="112" w:lineRule="exact"/>
        <w:rPr>
          <w:sz w:val="20"/>
          <w:szCs w:val="20"/>
          <w:color w:val="auto"/>
        </w:rPr>
      </w:pPr>
    </w:p>
    <w:p>
      <w:pPr>
        <w:ind w:left="960" w:right="180" w:hanging="53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Notes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 or</w:t>
      </w:r>
    </w:p>
    <w:p>
      <w:pPr>
        <w:spacing w:after="0" w:line="130"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has occurred and is continuing and such beneficial owner requests that its Notes be issued in physical, certificated form.</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0980"/>
          </w:cols>
          <w:pgMar w:left="440" w:top="297" w:right="47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MATERIAL U.S. FEDERAL INCOME TAX CONSIDERATIONS</w:t>
      </w:r>
    </w:p>
    <w:p>
      <w:pPr>
        <w:spacing w:after="0" w:line="22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considerations that are likely to be relevant to the purchase, ownership and disposition of the Notes. This summary does not purport to be a comprehensive description of all of the tax considerations that may be relevant to a decision to purchase Notes by any particular investor. Thus, for example, this summary deals only with beneficial owners (referred to in this summary as “holders”) of Notes that hold their Notes as capital assets and acquired Notes upon their original issuance at their original issue price, which is the first price at which a substantial amount of the Notes is sold for money to the public (not including bond houses, brokers or similar persons or organizations acting in the capacity of underwriters, placement agents or wholesalers). Additionally, we have not described tax consequences that may be relevant to certain types of holders that are subject to special treatment under U.S. federal income tax laws, including:</w:t>
      </w:r>
    </w:p>
    <w:p>
      <w:pPr>
        <w:spacing w:after="0" w:line="94" w:lineRule="exact"/>
        <w:rPr>
          <w:sz w:val="20"/>
          <w:szCs w:val="20"/>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“straddle”, “hedge”, “conversion transaction,” “synthetic security” or other integrated investment;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stock or Notes on behalf of another person as a nominee;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 alien individuals present in the United States for more than 182 days in a taxable year;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 have a “functional currency” other than the U.S. dollar.</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and gift tax consequences, the Medicare tax on net investment income and the alternative minimum tax, consequences arising under special timing rules prescribed under section 451(b) of the Code) or any state, local or non-U.S. tax consequences.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holders in light of their personal circumstances.</w:t>
      </w:r>
    </w:p>
    <w:p>
      <w:pPr>
        <w:spacing w:after="0" w:line="180"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a Note that is, for U.S. federal income tax purposes, an individual who is a citizen or resident of the United States or a domestic corporation, an estate the income of which is subject to United States federal income taxation regardless of its source, 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 The term “non-U.S. Holder” means a beneficial owner of a Note that is not a U.S. Holder. If a partnership (including an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000"/>
          </w:cols>
          <w:pgMar w:left="440" w:top="293" w:right="459" w:bottom="1440" w:gutter="0" w:footer="0" w:header="0"/>
        </w:sectPr>
      </w:pPr>
    </w:p>
    <w:bookmarkStart w:id="33" w:name="page34"/>
    <w:bookmarkEnd w:id="33"/>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Partnerships holding Notes, and persons holding interests in such partnerships, should each consult their own tax advisors as to the consequences of investing in the Notes in their individual circumstances.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to U.S. Holders of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of Stated Interest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Stated interest on the Notes will generally be includible in the income of a U.S. Holder as ordinary income at the time the interest is received or accrued in accordance with the U.S. Holder’s method of accounting for U.S. federal income tax purposes. If the Notes are issued at more than a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discount, a U.S. Holder will be required to include the difference in income as original issue discount in accordance with a “constant-yield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before the receipt of cash attributable to such income, regardless of the U.S. Holder’s regular method of accounting for U.S. federal income tax purposes. A U.S. Holder is urged to consult its own tax advisor in the event the Notes are issued with original issue discount.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Retirement or Other Taxable Disposition of Notes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A U.S. Holder will generally recognize taxable gain or loss upon the sale, exchange, retirement or other taxable disposition of a Note equal to the difference between the amount realized for the Note (less amounts attributable to accrued but unpaid stated interest, which will be taxable as a payment of such accrued interest) and the U.S. Holder’s tax basis in the Note. A U.S. Holder’s tax basis in a Note generally will be equal to the amount paid for the Note. Any gain or loss recognized on a taxable disposition of the Note will generally constitute capital gain or loss. A non-corporate U.S. Holder who has held the Note for more than one year generally will be eligible for reduced rates of taxation on long-term capital gain. The ability to deduct capital losses is limited.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to Non-U.S. Holders of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of Stated Interest</w:t>
      </w:r>
    </w:p>
    <w:p>
      <w:pPr>
        <w:spacing w:after="0" w:line="121"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and FATCA below, a non-U.S. Holder will not be subject to U.S. federal withholding tax or income tax in respect of stated interest on the Notes provided that:</w:t>
      </w:r>
    </w:p>
    <w:p>
      <w:pPr>
        <w:spacing w:after="0" w:line="67" w:lineRule="exact"/>
        <w:rPr>
          <w:sz w:val="20"/>
          <w:szCs w:val="20"/>
          <w:color w:val="auto"/>
        </w:rPr>
      </w:pPr>
    </w:p>
    <w:p>
      <w:pPr>
        <w:ind w:left="960" w:right="220" w:hanging="532"/>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actually or constructively own 10% or more of the total combined voting power of all classes of our stock that are entitled to vote within the meaning of Section 871(h)(3) of the Code;</w:t>
      </w:r>
    </w:p>
    <w:p>
      <w:pPr>
        <w:spacing w:after="0" w:line="67" w:lineRule="exact"/>
        <w:rPr>
          <w:rFonts w:ascii="Times New Roman" w:cs="Times New Roman" w:eastAsia="Times New Roman" w:hAnsi="Times New Roman"/>
          <w:sz w:val="18"/>
          <w:szCs w:val="18"/>
          <w:color w:val="auto"/>
        </w:rPr>
      </w:pPr>
    </w:p>
    <w:p>
      <w:pPr>
        <w:ind w:left="960" w:right="600" w:hanging="532"/>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that is related to us (actually or constructively) through sufficient stock ownership; and</w:t>
      </w:r>
    </w:p>
    <w:p>
      <w:pPr>
        <w:spacing w:after="0" w:line="67"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provides its name and address, and certifies, under penalties of perjury, that it is not a U.S. person (which certification may be made on an IRS Form W-8BEN or IRS Form W-8BEN-E (or successor form, in each case)) or the Non-U.S. Holder holds the Notes through certain foreign intermediaries or certain foreign partnerships, and satisfies the certification requirements of applicable Treasury Regulations.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Retirement of Notes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a Non-U.S. Holder generally will not be subject to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on gain recognized on a sale, exchange or retirement of Notes.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0960"/>
          </w:cols>
          <w:pgMar w:left="440" w:top="297"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Information Reporting and Backup Withholding.</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on the Notes made to, and the proceeds of dispositions of Notes effected by, certain U.S. taxpayers. In addition, certain U.S. taxpayers may be subject to backup withholding tax in respect of such payments if they do not provide their taxpayer identification numbers to the person from whom they receive payments and a certification that they are not subject to backup withholding or if they fail to report in full dividend and interest income. Non-U.S. taxpayers may be required to comply with applicable certification procedures to establish that they are not U.S. taxpayers in order to avoid the application of such information reporting requirements and backup withholding. Any amounts withheld under the backup withholding rules from a payment to a U.S. or Non-U.S. taxpayer generally would be allowed as a refund or a credit against such Holder’s U.S. federal income tax provided the required information is timely furnished to the IRS.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Under certain circumstances, the Foreign Account Tax Compliance provisions of the United States Hiring Incentives to Restore Employment Act (“FATCA”) will impose a withholding tax of 30% on payments of interest on the Notes made to certain foreign entities unless various information reporting requirements are satisfied. Specifically, a 30% withholding tax may be imposed on interest on the Notes paid to a “foreign financial institution” or a “nonfinancial foreign entity” (each as defined in the Code), unless such entity is FATCA compliant. In order to be treated as FATCA compliant, an entity must provide certain documentation (usually an IRS Form W-8BEN or W-8BEN-E) containing information about its identity, its FATCA status, and if required, its direct and indirect U.S. owners. Accordingly, the entity through which the Notes are held will affect the determination of whether such withholding is required.</w:t>
      </w:r>
    </w:p>
    <w:p>
      <w:pPr>
        <w:spacing w:after="0" w:line="189"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Under the applicable Treasury Regulations, withholding under FATCA generally applies to payments of interest on the Notes from their date of issuance. 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will be required to seek a credit or refund from the IRS to obtain the benefit of such exemption or reduction, if any. We will not pay additional amounts to holders of the Notes in respect of any amounts withheld. While withholding under FATCA would also have applied to payments of gross proceeds from the sale or other taxable disposition of the notes, proposed United States Treasury regulations (upon which taxpayers may rely until final regulations are issued) eliminate FATCA withholding on payments of gross proceeds entirely. Prospective holders should consult their own tax advisors regarding the potential application of withholding under FATCA to their investment in the Notes.</w:t>
      </w:r>
    </w:p>
    <w:p>
      <w:pPr>
        <w:spacing w:after="0" w:line="1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should consult their own tax advisors with respect to the particular tax consequences of an investment in the Notes in their individual circumstances, including the possible effect of any pending legislation or proposed regulations.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000"/>
          </w:cols>
          <w:pgMar w:left="440" w:top="293" w:right="45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UNDERWRITING</w:t>
      </w:r>
    </w:p>
    <w:p>
      <w:pPr>
        <w:spacing w:after="0" w:line="22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BofA Securities, Inc.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96"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Amount</w:t>
            </w: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45,500,000</w:t>
            </w:r>
          </w:p>
        </w:tc>
        <w:tc>
          <w:tcPr>
            <w:tcW w:w="60" w:type="dxa"/>
            <w:vAlign w:val="bottom"/>
            <w:tcBorders>
              <w:top w:val="single" w:sz="8" w:color="CCEEFF"/>
            </w:tcBorders>
            <w:gridSpan w:val="2"/>
            <w:shd w:val="clear" w:color="auto" w:fill="CCEEFF"/>
          </w:tcPr>
          <w:p>
            <w:pPr>
              <w:spacing w:after="0"/>
              <w:rPr>
                <w:sz w:val="17"/>
                <w:szCs w:val="17"/>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45,500,000</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45,500,000</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45,500,000</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26,250,000</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26,250,000</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HSCB Securities (USA)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17,500,000</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17,500,000</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14,000,000</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14,000,000</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12,250,000</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12,250,000</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6,125,000</w:t>
            </w:r>
          </w:p>
        </w:tc>
        <w:tc>
          <w:tcPr>
            <w:tcW w:w="4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6,125,000</w:t>
            </w:r>
          </w:p>
        </w:tc>
        <w:tc>
          <w:tcPr>
            <w:tcW w:w="4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3,500,000</w:t>
            </w:r>
          </w:p>
        </w:tc>
        <w:tc>
          <w:tcPr>
            <w:tcW w:w="4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3,500,000</w:t>
            </w:r>
          </w:p>
        </w:tc>
        <w:tc>
          <w:tcPr>
            <w:tcW w:w="4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Riley Securities,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1,750,000</w:t>
            </w:r>
          </w:p>
        </w:tc>
        <w:tc>
          <w:tcPr>
            <w:tcW w:w="4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Citizens JMP Securities,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1,750,000</w:t>
            </w:r>
          </w:p>
        </w:tc>
        <w:tc>
          <w:tcPr>
            <w:tcW w:w="4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Hovde Group,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1,750,000</w:t>
            </w:r>
          </w:p>
        </w:tc>
        <w:tc>
          <w:tcPr>
            <w:tcW w:w="4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1,750,000</w:t>
            </w:r>
          </w:p>
        </w:tc>
        <w:tc>
          <w:tcPr>
            <w:tcW w:w="4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1,750,000</w:t>
            </w:r>
          </w:p>
        </w:tc>
        <w:tc>
          <w:tcPr>
            <w:tcW w:w="40" w:type="dxa"/>
            <w:vAlign w:val="bottom"/>
            <w:shd w:val="clear" w:color="auto" w:fill="CCEEFF"/>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21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0960"/>
          </w:cols>
          <w:pgMar w:left="440" w:top="293"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Commissions and Discounts</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Note and total underwriting discounts and commissions that we are to pay to the underwriters in connection with this offering.</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bottom w:val="single" w:sz="8" w:color="CCEEFF"/>
            </w:tcBorders>
          </w:tcPr>
          <w:p>
            <w:pPr>
              <w:spacing w:after="0"/>
              <w:rPr>
                <w:sz w:val="15"/>
                <w:szCs w:val="15"/>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99.036%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346,626,000</w:t>
            </w:r>
          </w:p>
        </w:tc>
        <w:tc>
          <w:tcPr>
            <w:tcW w:w="4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(sales load)</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3,500,000</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98.036%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343,126,000</w:t>
            </w:r>
          </w:p>
        </w:tc>
      </w:tr>
    </w:tbl>
    <w:p>
      <w:pPr>
        <w:spacing w:after="0" w:line="198"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propose to offer some of the Notes to the public at the public offering price set forth on the cover page of this prospectus supplement, and some of the Notes to certain other Financial Industry Regulatory Authority, or FINRA, members at the public offering price less a concession not in excess of 0.600% of the aggregate principal amount of the Notes. The underwriters may allow, and the dealers may reallow, a discount not in excess of 0.400%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$1.3 million and are payable by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Subject to certain exceptions, we have agreed not to directly or indirectly, offer, pledge, sell, contract to sell, grant any option for the sale of or otherwise transfer or dispose of any debt securities issued or guaranteed by us or any securities convertible into or exercisable or exchangeable for debt securities issued or guaranteed by us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The Notes will not be listed on any securities exchange or quoted on any automated dealer quotation system.</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000"/>
          </w:cols>
          <w:pgMar w:left="440" w:top="293" w:right="459" w:bottom="1440" w:gutter="0" w:footer="0" w:header="0"/>
        </w:sectPr>
      </w:pPr>
    </w:p>
    <w:bookmarkStart w:id="37" w:name="page38"/>
    <w:bookmarkEnd w:id="37"/>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 will engage in these transactions or that these transactions, once commenced, will not be discontinued without notice.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currently provide,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of this offering to pay down a portion of the outstanding indebtedness under the Revolving Credit Facility.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80"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Certain funds or accounts managed by affiliates of the Adviser may purchase Notes in the transaction through the underwriters at the public offering price.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000"/>
          </w:cols>
          <w:pgMar w:left="440" w:top="297"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Settlement</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 January 16, 2024, which will be the fifth business day following the date hereof. Under Rule 15c6-1 under the Exchange Act,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Business Addresses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principal business address of BofA Securities, Inc. is One Bryant Park, New York, NY 10036. The principal business address of Goldman Sachs &amp; Co. LLC is 200 West Street New York, NY 10282. The principal business address of J.P. Morgan Securities LLC is 383 Madison Avenue, New York, NY 10179. The principal business address of SMBC Nikko Securities America, Inc. is 277 Park Avenue, New York, NY 10172.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Jurisdictions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jc w:val="both"/>
        <w:ind w:right="180" w:firstLine="440"/>
        <w:spacing w:after="0" w:line="272"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w:t>
      </w:r>
    </w:p>
    <w:p>
      <w:pPr>
        <w:spacing w:after="0" w:line="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000"/>
          </w:cols>
          <w:pgMar w:left="440" w:top="293" w:right="459" w:bottom="1440" w:gutter="0" w:footer="0" w:header="0"/>
        </w:sectPr>
      </w:pPr>
    </w:p>
    <w:bookmarkStart w:id="39" w:name="page40"/>
    <w:bookmarkEnd w:id="39"/>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2017/565 as it forms part of domestic law by virtue of the European Union (Withdrawal) Act 2018 (“EUWA”); or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600/2014 as it forms part of domestic law by virtue of the EUWA; or (iii) not a qualified investor as defined in Regulation (EU) 2017/1129 as it forms part of domestic law by virtue of the EUWA (the “UK Prospectus Regulation”). Consequently no key information document required by Regulation (EU)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and the FSMA from the requirement to publish a prospectus for offers of Notes. This prospectus supplement is not a prospectus for the purposes of the UK Prospectus Regulation or the FSMA.</w:t>
      </w:r>
    </w:p>
    <w:p>
      <w:pPr>
        <w:spacing w:after="0" w:line="18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or DFSA. This prospectus supplement is intended for distribution only to persons in the in the Dubai International Financial Centre, or DIFC of a type specified in the Offered Securities Rules of the DFSA. It must not be delivered to, or relied on by, any other person in the DIFC. 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 illiquid 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000"/>
          </w:cols>
          <w:pgMar w:left="440" w:top="297"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Notice to Prospective Investors in Hong Kong</w:t>
      </w:r>
    </w:p>
    <w:p>
      <w:pPr>
        <w:spacing w:after="0" w:line="121"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The Notes have not been offered or sold and will not be offered or sold in Hong Kong, by means of any document, other than (a) to “professional investors” as defined in the Securities and Futures Ordinance (Cap. 571 of the Laws of Hong Kong) (“Securities and Futures Ordinance”) and any rules made thereunder; or (b) in other circumstances which do not result in the document being a “prospectus” as defined in the Companies (Winding Up and Miscellaneous Provisions) Ordinance (Cap. 32 of the Laws of Hong Kong) (“Companies (Winding Up and Miscellaneous Provisions) Ordinance”) or which do not constitute an offer to the public within the meaning of the Companies (Winding Up and Miscellaneous Provisions)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thereunder.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76"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Canadian investors are advised that this prospectus supplement has been prepared in reliance on section 3A.3 of National Instrument 33-105 </w:t>
      </w:r>
      <w:r>
        <w:rPr>
          <w:rFonts w:ascii="Times New Roman" w:cs="Times New Roman" w:eastAsia="Times New Roman" w:hAnsi="Times New Roman"/>
          <w:sz w:val="18"/>
          <w:szCs w:val="18"/>
          <w:b w:val="1"/>
          <w:bCs w:val="1"/>
          <w:i w:val="1"/>
          <w:iCs w:val="1"/>
          <w:color w:val="auto"/>
        </w:rPr>
        <w:t>Underwriting Conflicts</w:t>
      </w:r>
      <w:r>
        <w:rPr>
          <w:rFonts w:ascii="Times New Roman" w:cs="Times New Roman" w:eastAsia="Times New Roman" w:hAnsi="Times New Roman"/>
          <w:sz w:val="18"/>
          <w:szCs w:val="18"/>
          <w:b w:val="1"/>
          <w:bCs w:val="1"/>
          <w:color w:val="auto"/>
        </w:rPr>
        <w:t xml:space="preserve">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Purchasers</w:t>
      </w:r>
    </w:p>
    <w:p>
      <w:pPr>
        <w:spacing w:after="0" w:line="121"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Times New Roman" w:cs="Times New Roman" w:eastAsia="Times New Roman" w:hAnsi="Times New Roman"/>
          <w:sz w:val="18"/>
          <w:szCs w:val="18"/>
          <w:i w:val="1"/>
          <w:iCs w:val="1"/>
          <w:color w:val="auto"/>
        </w:rPr>
        <w:t xml:space="preserve">Prospectus Exemptions </w:t>
      </w:r>
      <w:r>
        <w:rPr>
          <w:rFonts w:ascii="Times New Roman" w:cs="Times New Roman" w:eastAsia="Times New Roman" w:hAnsi="Times New Roman"/>
          <w:sz w:val="18"/>
          <w:szCs w:val="18"/>
          <w:color w:val="auto"/>
        </w:rPr>
        <w:t>or, in Ontario, as such term is defined in section 73.3(1) of the</w:t>
      </w:r>
      <w:r>
        <w:rPr>
          <w:rFonts w:ascii="Times New Roman" w:cs="Times New Roman" w:eastAsia="Times New Roman" w:hAnsi="Times New Roman"/>
          <w:sz w:val="18"/>
          <w:szCs w:val="18"/>
          <w:i w:val="1"/>
          <w:iCs w:val="1"/>
          <w:color w:val="auto"/>
        </w:rPr>
        <w:t xml:space="preserve"> Securities Act </w:t>
      </w:r>
      <w:r>
        <w:rPr>
          <w:rFonts w:ascii="Times New Roman" w:cs="Times New Roman" w:eastAsia="Times New Roman" w:hAnsi="Times New Roman"/>
          <w:sz w:val="18"/>
          <w:szCs w:val="18"/>
          <w:color w:val="auto"/>
        </w:rPr>
        <w:t>(Ontario); and (iii) a “permitted client”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 is defined in section 1.1 of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020"/>
          </w:cols>
          <w:pgMar w:left="440" w:top="293"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Taxation and Eligibility for Investment</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prospectus supplement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Action for Damages or Rescission</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Times New Roman" w:cs="Times New Roman" w:eastAsia="Times New Roman" w:hAnsi="Times New Roman"/>
          <w:sz w:val="18"/>
          <w:szCs w:val="18"/>
          <w:i w:val="1"/>
          <w:iCs w:val="1"/>
          <w:color w:val="auto"/>
        </w:rPr>
        <w:t>Ontario Prospectus and Registration Exemptions</w:t>
      </w:r>
      <w:r>
        <w:rPr>
          <w:rFonts w:ascii="Times New Roman" w:cs="Times New Roman" w:eastAsia="Times New Roman" w:hAnsi="Times New Roman"/>
          <w:sz w:val="18"/>
          <w:szCs w:val="18"/>
          <w:color w:val="auto"/>
        </w:rPr>
        <w:t xml:space="preserve"> and in Multilateral Instrument 45-107 </w:t>
      </w:r>
      <w:r>
        <w:rPr>
          <w:rFonts w:ascii="Times New Roman" w:cs="Times New Roman" w:eastAsia="Times New Roman" w:hAnsi="Times New Roman"/>
          <w:sz w:val="18"/>
          <w:szCs w:val="18"/>
          <w:i w:val="1"/>
          <w:iCs w:val="1"/>
          <w:color w:val="auto"/>
        </w:rPr>
        <w:t>Listing Representation and Statutory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 of Action Disclosure Exemptions</w:t>
      </w:r>
      <w:r>
        <w:rPr>
          <w:rFonts w:ascii="Times New Roman" w:cs="Times New Roman" w:eastAsia="Times New Roman" w:hAnsi="Times New Roman"/>
          <w:sz w:val="18"/>
          <w:szCs w:val="18"/>
          <w:color w:val="auto"/>
        </w:rPr>
        <w:t>, as applicable, with a remedy for damages or rescission, or both, in addition to any other rights they may have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Language of Documents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w:cs="Times New Roman" w:eastAsia="Times New Roman" w:hAnsi="Times New Roman"/>
          <w:sz w:val="18"/>
          <w:szCs w:val="18"/>
          <w:i w:val="1"/>
          <w:iCs w:val="1"/>
          <w:color w:val="auto"/>
        </w:rPr>
        <w:t>Par la réception de ce document, chaque investisseur canadien confirme par les présentes qu’il a expressément exigé que tous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000"/>
          </w:cols>
          <w:pgMar w:left="440" w:top="293" w:right="459" w:bottom="1440" w:gutter="0" w:footer="0" w:header="0"/>
        </w:sectPr>
      </w:pPr>
    </w:p>
    <w:bookmarkStart w:id="42" w:name="page43"/>
    <w:bookmarkEnd w:id="4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68580"/>
                    </a:xfrm>
                    <a:prstGeom prst="rect">
                      <a:avLst/>
                    </a:prstGeom>
                    <a:noFill/>
                  </pic:spPr>
                </pic:pic>
              </a:graphicData>
            </a:graphic>
          </wp:anchor>
        </w:drawing>
        <w:t>LEGAL MATTERS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offering will be passed upon for us by Simpson Thacher &amp; Bartlett LLP, Washington, D.C. In addition, Morris, Nichols, Arsht &amp; Tunnell LLP will pass on certain legal matters for us. Certain legal matters in connection with the offering will be passed upon for the underwriters by Ropes &amp; Gray LLP.</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0720"/>
          </w:cols>
          <w:pgMar w:left="440" w:top="509" w:right="7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INFORMATION INCORPORATED BY REFERENCE</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94" w:lineRule="exact"/>
        <w:rPr>
          <w:sz w:val="20"/>
          <w:szCs w:val="20"/>
          <w:color w:val="auto"/>
        </w:rPr>
      </w:pPr>
    </w:p>
    <w:p>
      <w:pPr>
        <w:ind w:left="960" w:right="540" w:hanging="532"/>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filed with the SEC on February 16, 2023 (the “2022 Annual Report”);</w:t>
      </w:r>
    </w:p>
    <w:p>
      <w:pPr>
        <w:spacing w:after="0" w:line="67"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three months ended March 31, 2023, filed with the SEC on </w:t>
      </w:r>
      <w:hyperlink r:id="rId58">
        <w:r>
          <w:rPr>
            <w:rFonts w:ascii="Times New Roman" w:cs="Times New Roman" w:eastAsia="Times New Roman" w:hAnsi="Times New Roman"/>
            <w:sz w:val="18"/>
            <w:szCs w:val="18"/>
            <w:u w:val="single" w:color="auto"/>
            <w:color w:val="0000EE"/>
          </w:rPr>
          <w:t>May 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(the “1Q 2023 Quarterly Report”), our Quarterly Report on Form 10-Q for the three months ended June 30, 2023, filed with the SEC on </w:t>
      </w:r>
      <w:hyperlink r:id="rId59">
        <w:r>
          <w:rPr>
            <w:rFonts w:ascii="Times New Roman" w:cs="Times New Roman" w:eastAsia="Times New Roman" w:hAnsi="Times New Roman"/>
            <w:sz w:val="18"/>
            <w:szCs w:val="18"/>
            <w:u w:val="single" w:color="auto"/>
            <w:color w:val="0000EE"/>
          </w:rPr>
          <w:t>August 3, 2023</w:t>
        </w:r>
      </w:hyperlink>
      <w:r>
        <w:rPr>
          <w:rFonts w:ascii="Times New Roman" w:cs="Times New Roman" w:eastAsia="Times New Roman" w:hAnsi="Times New Roman"/>
          <w:sz w:val="18"/>
          <w:szCs w:val="18"/>
          <w:color w:val="auto"/>
        </w:rPr>
        <w:t xml:space="preserve"> (the “2Q 2023 Quarterly Report”) our Quarterly Report on Form 10-Q for the three months ended September 30, 2023, filed with the SEC on </w:t>
      </w:r>
      <w:hyperlink r:id="rId60">
        <w:r>
          <w:rPr>
            <w:rFonts w:ascii="Times New Roman" w:cs="Times New Roman" w:eastAsia="Times New Roman" w:hAnsi="Times New Roman"/>
            <w:sz w:val="18"/>
            <w:szCs w:val="18"/>
            <w:u w:val="single" w:color="auto"/>
            <w:color w:val="0000EE"/>
          </w:rPr>
          <w:t>November 2,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“3Q 2023 Quarterly Report”);</w:t>
      </w:r>
    </w:p>
    <w:p>
      <w:pPr>
        <w:spacing w:after="0" w:line="85" w:lineRule="exact"/>
        <w:rPr>
          <w:rFonts w:ascii="Times New Roman" w:cs="Times New Roman" w:eastAsia="Times New Roman" w:hAnsi="Times New Roman"/>
          <w:sz w:val="18"/>
          <w:szCs w:val="18"/>
          <w:color w:val="auto"/>
        </w:rPr>
      </w:pPr>
    </w:p>
    <w:p>
      <w:pPr>
        <w:ind w:left="960" w:right="520" w:hanging="532"/>
        <w:spacing w:after="0" w:line="282" w:lineRule="auto"/>
        <w:tabs>
          <w:tab w:leader="none" w:pos="960" w:val="left"/>
        </w:tabs>
        <w:numPr>
          <w:ilvl w:val="0"/>
          <w:numId w:val="2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61">
        <w:r>
          <w:rPr>
            <w:rFonts w:ascii="Times New Roman" w:cs="Times New Roman" w:eastAsia="Times New Roman" w:hAnsi="Times New Roman"/>
            <w:sz w:val="18"/>
            <w:szCs w:val="18"/>
            <w:u w:val="single" w:color="auto"/>
            <w:color w:val="0000EE"/>
          </w:rPr>
          <w:t>May 15, 2023</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May 26, 2023</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June 12, 2023</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June 13, 2023</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July 14, 2023</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July 17,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7">
        <w:r>
          <w:rPr>
            <w:rFonts w:ascii="Times New Roman" w:cs="Times New Roman" w:eastAsia="Times New Roman" w:hAnsi="Times New Roman"/>
            <w:sz w:val="18"/>
            <w:szCs w:val="18"/>
            <w:u w:val="single" w:color="auto"/>
            <w:color w:val="0000EE"/>
          </w:rPr>
          <w:t xml:space="preserve">August 10,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8">
        <w:r>
          <w:rPr>
            <w:rFonts w:ascii="Times New Roman" w:cs="Times New Roman" w:eastAsia="Times New Roman" w:hAnsi="Times New Roman"/>
            <w:sz w:val="18"/>
            <w:szCs w:val="18"/>
            <w:u w:val="single" w:color="auto"/>
            <w:color w:val="0000EE"/>
          </w:rPr>
          <w:t>August 14,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960" w:right="80" w:hanging="532"/>
        <w:spacing w:after="0" w:line="26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2022, filed with the SEC on February 16, 2023 from our </w:t>
      </w:r>
      <w:hyperlink r:id="rId69">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2023 Annual Meeting of Stockholders, filed with the SEC on April 13, 2023.</w:t>
      </w:r>
    </w:p>
    <w:p>
      <w:pPr>
        <w:spacing w:after="0" w:line="176" w:lineRule="exact"/>
        <w:rPr>
          <w:rFonts w:ascii="Times New Roman" w:cs="Times New Roman" w:eastAsia="Times New Roman" w:hAnsi="Times New Roman"/>
          <w:sz w:val="18"/>
          <w:szCs w:val="18"/>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87" w:lineRule="exact"/>
        <w:rPr>
          <w:rFonts w:ascii="Times New Roman" w:cs="Times New Roman" w:eastAsia="Times New Roman" w:hAnsi="Times New Roman"/>
          <w:sz w:val="18"/>
          <w:szCs w:val="18"/>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5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888 7th Avenue, 41st Floor</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10106</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TSLXInvestor Relations</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IRTSLX@sixthstreet.com.</w:t>
      </w:r>
    </w:p>
    <w:p>
      <w:pPr>
        <w:spacing w:after="0" w:line="207"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11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000"/>
          </w:cols>
          <w:pgMar w:left="440" w:top="293"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173990</wp:posOffset>
            </wp:positionV>
            <wp:extent cx="1757045" cy="548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17570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that has elected to be regulated as a business development company under the Investment Company Act of 1940.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EBITDA, which we believe is a useful proxy for cash flow, of $10 million to $250 million, although we may invest in larger or smaller companies on occasion As of September 30, 2023, our investment portfolio consisted of investments in 131 portfolio companies (including 42 structured credit investments, which include each series of collateralized loan obligation as a separate portfolio company investment) with an aggregate fair value of $3,113.3 million. We intend to continue to pursue an investment strategy focused primarily on direct origination of loans to middle-market companies domiciled in the United States.</w:t>
      </w:r>
    </w:p>
    <w:p>
      <w:pPr>
        <w:spacing w:after="0" w:line="19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are an externally-managed, closed-end, non-diversified management investment company. Sixth Street Specialty Lending Advisers, LLC, or the Adviser, acts as our investment adviser and administrator. Our investment decisions are made by our Investment Review Committee, which includes senior personnel of our Adviser and Sixth Street Partners, LLC or “Sixth Street.” Sixth Street is a global investment business with over $60 billion of assets under management as of September 30, 2023.</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Substantially all of our debt investments have variable interest rates that reset periodically based on interest rate benchmarks such as the London Interbank Offered Rate, the Euro Interbank Offered Rate, the Secured Overnight Financing Rate, the Sterling Overnight Interbank Average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w:t>
      </w:r>
    </w:p>
    <w:p>
      <w:pPr>
        <w:sectPr>
          <w:pgSz w:w="11900" w:h="16838" w:orient="portrait"/>
          <w:cols w:equalWidth="0" w:num="1">
            <w:col w:w="11000"/>
          </w:cols>
          <w:pgMar w:left="440" w:top="293" w:right="459" w:bottom="1440" w:gutter="0" w:footer="0" w:header="0"/>
        </w:sectPr>
      </w:pPr>
    </w:p>
    <w:bookmarkStart w:id="45" w:name="page46"/>
    <w:bookmarkEnd w:id="45"/>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convertible or exchangeable into shares of our common stock. The securities may be offered at prices and on terms to be described in one or more supplements to this prospectus.</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New York Stock Exchange, or NYSE, under the symbol “TSLX.” On December 20, 2023, the last reported sales price of our common stock on the NYSE was $21.08 per share. The net asset value per share of our common stock at September 30, 2023 (the last date prior to the date of this prospectus for which we reported net asset value) was $16.97.</w:t>
      </w:r>
    </w:p>
    <w:p>
      <w:pPr>
        <w:spacing w:after="0" w:line="163" w:lineRule="exact"/>
        <w:rPr>
          <w:sz w:val="20"/>
          <w:szCs w:val="20"/>
          <w:color w:val="auto"/>
        </w:rPr>
      </w:pPr>
    </w:p>
    <w:p>
      <w:pPr>
        <w:ind w:right="20" w:firstLine="551"/>
        <w:spacing w:after="0" w:line="237"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24 of this prospectus and in the documents incorporated by reference herein.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accompanied by a prospectus supplement.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41st Floor, New York, NY 10106, Attention: TSLX Investor Relations, by emailing us at IRTSLX@sixthstreet.com or visiting our website at https://sixthstreetspecialtylending.gcs-web.com/. Information on our website is not incorporated into or a part of this prospectus or any prospectus supplement. The Securities and Exchange Commission also maintains a website at http://www.sec.gov that contains this information.</w:t>
      </w:r>
    </w:p>
    <w:p>
      <w:pPr>
        <w:spacing w:after="0" w:line="188"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200025</wp:posOffset>
            </wp:positionV>
            <wp:extent cx="1474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22, 2023</w:t>
      </w:r>
    </w:p>
    <w:p>
      <w:pPr>
        <w:sectPr>
          <w:pgSz w:w="11900" w:h="16838" w:orient="portrait"/>
          <w:cols w:equalWidth="0" w:num="1">
            <w:col w:w="10980"/>
          </w:cols>
          <w:pgMar w:left="440" w:top="297" w:right="4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418"/>
        </w:trPr>
        <w:tc>
          <w:tcPr>
            <w:tcW w:w="86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300" w:type="dxa"/>
            <w:vAlign w:val="bottom"/>
            <w:tcBorders>
              <w:top w:val="single" w:sz="8" w:color="0000EE"/>
            </w:tcBorders>
            <w:gridSpan w:val="9"/>
          </w:tcPr>
          <w:p>
            <w:pPr>
              <w:spacing w:after="0"/>
              <w:rPr>
                <w:sz w:val="17"/>
                <w:szCs w:val="17"/>
                <w:color w:val="auto"/>
              </w:rPr>
            </w:pPr>
          </w:p>
        </w:tc>
        <w:tc>
          <w:tcPr>
            <w:tcW w:w="6400" w:type="dxa"/>
            <w:vAlign w:val="bottom"/>
            <w:gridSpan w:val="1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7340" w:type="dxa"/>
            <w:vAlign w:val="bottom"/>
            <w:gridSpan w:val="2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6520" w:type="dxa"/>
            <w:vAlign w:val="bottom"/>
            <w:gridSpan w:val="1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9"/>
          </w:tcPr>
          <w:p>
            <w:pPr>
              <w:spacing w:after="0"/>
              <w:rPr>
                <w:sz w:val="17"/>
                <w:szCs w:val="17"/>
                <w:color w:val="auto"/>
              </w:rPr>
            </w:pPr>
          </w:p>
        </w:tc>
        <w:tc>
          <w:tcPr>
            <w:tcW w:w="330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48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 AND DISTRIBUTIONS</w:t>
            </w:r>
          </w:p>
        </w:tc>
        <w:tc>
          <w:tcPr>
            <w:tcW w:w="382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7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6840" w:type="dxa"/>
            <w:vAlign w:val="bottom"/>
            <w:gridSpan w:val="2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3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740" w:type="dxa"/>
            <w:vAlign w:val="bottom"/>
            <w:tcBorders>
              <w:top w:val="single" w:sz="8" w:color="0000EE"/>
            </w:tcBorders>
            <w:gridSpan w:val="4"/>
          </w:tcPr>
          <w:p>
            <w:pPr>
              <w:spacing w:after="0"/>
              <w:rPr>
                <w:sz w:val="17"/>
                <w:szCs w:val="17"/>
                <w:color w:val="auto"/>
              </w:rPr>
            </w:pPr>
          </w:p>
        </w:tc>
        <w:tc>
          <w:tcPr>
            <w:tcW w:w="6580" w:type="dxa"/>
            <w:vAlign w:val="bottom"/>
            <w:gridSpan w:val="1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398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28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580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29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SECURITIES</w:t>
            </w:r>
          </w:p>
        </w:tc>
        <w:tc>
          <w:tcPr>
            <w:tcW w:w="1920" w:type="dxa"/>
            <w:vAlign w:val="bottom"/>
            <w:tcBorders>
              <w:top w:val="single" w:sz="8" w:color="0000EE"/>
            </w:tcBorders>
            <w:gridSpan w:val="10"/>
          </w:tcPr>
          <w:p>
            <w:pPr>
              <w:spacing w:after="0"/>
              <w:rPr>
                <w:sz w:val="17"/>
                <w:szCs w:val="17"/>
                <w:color w:val="auto"/>
              </w:rPr>
            </w:pPr>
          </w:p>
        </w:tc>
        <w:tc>
          <w:tcPr>
            <w:tcW w:w="376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38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47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DIVIDEND PAYING AGENT AND REGISTRAR</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438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1840" w:type="dxa"/>
            <w:vAlign w:val="bottom"/>
            <w:tcBorders>
              <w:top w:val="single" w:sz="8" w:color="0000EE"/>
            </w:tcBorders>
            <w:gridSpan w:val="5"/>
          </w:tcPr>
          <w:p>
            <w:pPr>
              <w:spacing w:after="0"/>
              <w:rPr>
                <w:sz w:val="17"/>
                <w:szCs w:val="17"/>
                <w:color w:val="auto"/>
              </w:rPr>
            </w:pPr>
          </w:p>
        </w:tc>
        <w:tc>
          <w:tcPr>
            <w:tcW w:w="24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80" w:type="dxa"/>
            <w:vAlign w:val="bottom"/>
            <w:gridSpan w:val="1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760" w:type="dxa"/>
            <w:vAlign w:val="bottom"/>
            <w:shd w:val="clear" w:color="auto" w:fill="0000EE"/>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2260" w:type="dxa"/>
            <w:vAlign w:val="bottom"/>
            <w:gridSpan w:val="12"/>
            <w:shd w:val="clear" w:color="auto" w:fill="0000EE"/>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460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firstLine="440"/>
        <w:spacing w:after="0" w:line="273" w:lineRule="auto"/>
        <w:rPr>
          <w:sz w:val="20"/>
          <w:szCs w:val="20"/>
          <w:color w:val="auto"/>
        </w:rPr>
      </w:pPr>
      <w:r>
        <w:rPr>
          <w:rFonts w:ascii="Times New Roman" w:cs="Times New Roman" w:eastAsia="Times New Roman" w:hAnsi="Times New Roman"/>
          <w:sz w:val="17"/>
          <w:szCs w:val="17"/>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U.S. Securities and Exchange Commission, or SEC, as a “well-known seasoned issuer” as defined in Rule 405 under the Securities Act of 1933, as amended (the “Securities Act”). Under the shelf registration process, which constitutes a delayed offering in reliance on Rule 415 under the Securities Act, we may offer, from time to time, in one or more offerings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93" w:right="439" w:bottom="1440" w:gutter="0" w:footer="0" w:header="0"/>
        </w:sectPr>
      </w:pPr>
    </w:p>
    <w:bookmarkStart w:id="47" w:name="page48"/>
    <w:bookmarkEnd w:id="47"/>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80"/>
          </w:cols>
          <w:pgMar w:left="440" w:top="297" w:right="47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02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74865" cy="6002655"/>
                    </a:xfrm>
                    <a:prstGeom prst="rect">
                      <a:avLst/>
                    </a:prstGeom>
                    <a:noFill/>
                  </pic:spPr>
                </pic:pic>
              </a:graphicData>
            </a:graphic>
          </wp:anchor>
        </w:drawing>
        <w:t>SUMMARY</w:t>
      </w:r>
    </w:p>
    <w:p>
      <w:pPr>
        <w:spacing w:after="0" w:line="229" w:lineRule="exact"/>
        <w:rPr>
          <w:sz w:val="20"/>
          <w:szCs w:val="20"/>
          <w:color w:val="auto"/>
        </w:rPr>
      </w:pPr>
    </w:p>
    <w:p>
      <w:pPr>
        <w:ind w:right="20" w:firstLine="426"/>
        <w:spacing w:after="0" w:line="258" w:lineRule="auto"/>
        <w:rPr>
          <w:sz w:val="20"/>
          <w:szCs w:val="20"/>
          <w:color w:val="auto"/>
        </w:rPr>
      </w:pPr>
      <w:r>
        <w:rPr>
          <w:rFonts w:ascii="Times New Roman" w:cs="Times New Roman" w:eastAsia="Times New Roman" w:hAnsi="Times New Roman"/>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used in the prospectus, except where the context suggests otherwise, references to:</w:t>
      </w:r>
    </w:p>
    <w:p>
      <w:pPr>
        <w:spacing w:after="0" w:line="131" w:lineRule="exact"/>
        <w:rPr>
          <w:sz w:val="20"/>
          <w:szCs w:val="20"/>
          <w:color w:val="auto"/>
        </w:rPr>
      </w:pPr>
    </w:p>
    <w:p>
      <w:pPr>
        <w:ind w:left="940" w:right="360" w:hanging="523"/>
        <w:spacing w:after="0" w:line="282" w:lineRule="auto"/>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“TSLX,” “Sixth Street Specialty Lending,” “we,” “us,” “our,” the “Company,” and the “Registrant” refer to Sixth Street Specialty Lending, Inc., a Delaware corporation, and its consolidated subsidiaries;</w:t>
      </w:r>
    </w:p>
    <w:p>
      <w:pPr>
        <w:spacing w:after="0" w:line="67" w:lineRule="exact"/>
        <w:rPr>
          <w:rFonts w:ascii="Times New Roman" w:cs="Times New Roman" w:eastAsia="Times New Roman" w:hAnsi="Times New Roman"/>
          <w:sz w:val="18"/>
          <w:szCs w:val="18"/>
          <w:color w:val="auto"/>
        </w:rPr>
      </w:pPr>
    </w:p>
    <w:p>
      <w:pPr>
        <w:jc w:val="both"/>
        <w:ind w:left="940" w:right="120" w:hanging="523"/>
        <w:spacing w:after="0" w:line="266" w:lineRule="auto"/>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subsidiaries of Sixth Street Specialty Lending, Inc. refers to TC Lending, LLC, Sixth Street SL SPV, LLC and Sixth Street SL Holding, LLC, each a Delaware limited liability company, and Sixth Street Specialty Lending Sub, LLC, a Cayman Islands limited liability company;</w:t>
      </w:r>
    </w:p>
    <w:p>
      <w:pPr>
        <w:spacing w:after="0" w:line="81"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 refers to Sixth Street Specialty Lending Advisers, LLC, a Delaware limited liability company; and</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refers to Sixth Street Partners, LLC.</w:t>
      </w:r>
    </w:p>
    <w:p>
      <w:pPr>
        <w:spacing w:after="0" w:line="225" w:lineRule="exact"/>
        <w:rPr>
          <w:sz w:val="20"/>
          <w:szCs w:val="20"/>
          <w:color w:val="auto"/>
        </w:rPr>
      </w:pPr>
    </w:p>
    <w:p>
      <w:pPr>
        <w:ind w:right="60" w:firstLine="426"/>
        <w:spacing w:after="0" w:line="266" w:lineRule="auto"/>
        <w:rPr>
          <w:sz w:val="20"/>
          <w:szCs w:val="20"/>
          <w:color w:val="auto"/>
        </w:rPr>
      </w:pPr>
      <w:r>
        <w:rPr>
          <w:rFonts w:ascii="Times New Roman" w:cs="Times New Roman" w:eastAsia="Times New Roman" w:hAnsi="Times New Roman"/>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September 30, 2023, we have originated more than $28.6 billion aggregate principal amount of investments and retained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 billion aggregate principal amount of these investments on our balance sheet prior to any subsequent exits and repayments. We seek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generate current income primarily in U.S.-domiciled middle-market companies through direct originations of senior secured loans and, to a lesser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originations of mezzanine and unsecured loans and investments in corporate bonds and equity securities. By “middle-market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mean companies that have annual earnings before interest, income taxes, depreciation and amortization, or EBITDA, which we believe is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useful proxy for cash flow, of $10 million to $250 million, although we may invest in larger or smaller companies on occasion.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our core portfolio companies, which excludes certain investments that fall outside of our typical borrower profile and represent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92.8% of our total investments based on fair value, had weighted average annual revenue of $209.0 million and weighted average annual EBITDA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$69.2 million.</w:t>
      </w:r>
    </w:p>
    <w:p>
      <w:pPr>
        <w:spacing w:after="0" w:line="207" w:lineRule="exact"/>
        <w:rPr>
          <w:sz w:val="20"/>
          <w:szCs w:val="20"/>
          <w:color w:val="auto"/>
        </w:rPr>
      </w:pPr>
    </w:p>
    <w:p>
      <w:pPr>
        <w:ind w:right="40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62" w:lineRule="exact"/>
        <w:rPr>
          <w:sz w:val="20"/>
          <w:szCs w:val="20"/>
          <w:color w:val="auto"/>
        </w:rPr>
      </w:pPr>
    </w:p>
    <w:p>
      <w:pPr>
        <w:ind w:right="12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640"/>
          </w:cols>
          <w:pgMar w:left="620" w:top="482" w:right="6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62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74865" cy="5762625"/>
                    </a:xfrm>
                    <a:prstGeom prst="rect">
                      <a:avLst/>
                    </a:prstGeom>
                    <a:noFill/>
                  </pic:spPr>
                </pic:pic>
              </a:graphicData>
            </a:graphic>
          </wp:anchor>
        </w:drawing>
        <w:t>Investment Portfolio</w:t>
      </w:r>
    </w:p>
    <w:p>
      <w:pPr>
        <w:spacing w:after="0" w:line="121" w:lineRule="exact"/>
        <w:rPr>
          <w:sz w:val="20"/>
          <w:szCs w:val="20"/>
          <w:color w:val="auto"/>
        </w:rPr>
      </w:pPr>
    </w:p>
    <w:p>
      <w:pPr>
        <w:ind w:firstLine="426"/>
        <w:spacing w:after="0" w:line="256"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7" w:lineRule="exact"/>
        <w:rPr>
          <w:sz w:val="20"/>
          <w:szCs w:val="20"/>
          <w:color w:val="auto"/>
        </w:rPr>
      </w:pPr>
    </w:p>
    <w:p>
      <w:pPr>
        <w:ind w:right="20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based on fair value our portfolio consisted of 91.0% first-lien debt investments, 1.3% second-lien debt investments, 1.2% mezzanine debt investments, 4.8% equity and other investments and 1.7% structured credit investments. As of September 30, 2023, 99.7% of our debt investments based on fair value bore interest at floating rates, with 100.0% of these subject to interest rate floors, which we believe helps act as a portfolio-wide hedge against inflation.</w:t>
      </w:r>
    </w:p>
    <w:p>
      <w:pPr>
        <w:spacing w:after="0" w:line="180" w:lineRule="exact"/>
        <w:rPr>
          <w:sz w:val="20"/>
          <w:szCs w:val="20"/>
          <w:color w:val="auto"/>
        </w:rPr>
      </w:pPr>
    </w:p>
    <w:p>
      <w:pPr>
        <w:jc w:val="both"/>
        <w:ind w:right="60" w:firstLine="426"/>
        <w:spacing w:after="0" w:line="261" w:lineRule="auto"/>
        <w:rPr>
          <w:sz w:val="20"/>
          <w:szCs w:val="20"/>
          <w:color w:val="auto"/>
        </w:rPr>
      </w:pPr>
      <w:r>
        <w:rPr>
          <w:rFonts w:ascii="Times New Roman" w:cs="Times New Roman" w:eastAsia="Times New Roman" w:hAnsi="Times New Roman"/>
          <w:sz w:val="18"/>
          <w:szCs w:val="18"/>
          <w:color w:val="auto"/>
        </w:rPr>
        <w:t>As of September 30, 2023, we had investments in 131 portfolio companies (including 42 structured credit investments, which include each series of collateralized loan obligation as a separate portfolio company investment) with an aggregate fair value of $3,113.3 million. For the three months ended September 30, 2023, the principal amount of new investments funded was $151.6 million in eight new portfolio companies and two existing portfolio companies. For this period, we had $158.9 million aggregate principal amount in exits and repayments.</w:t>
      </w:r>
    </w:p>
    <w:p>
      <w:pPr>
        <w:spacing w:after="0" w:line="180" w:lineRule="exact"/>
        <w:rPr>
          <w:sz w:val="20"/>
          <w:szCs w:val="20"/>
          <w:color w:val="auto"/>
        </w:rPr>
      </w:pPr>
    </w:p>
    <w:p>
      <w:pPr>
        <w:ind w:right="220" w:firstLine="426"/>
        <w:spacing w:after="0" w:line="266" w:lineRule="auto"/>
        <w:rPr>
          <w:sz w:val="20"/>
          <w:szCs w:val="20"/>
          <w:color w:val="auto"/>
        </w:rPr>
      </w:pPr>
      <w:r>
        <w:rPr>
          <w:rFonts w:ascii="Times New Roman" w:cs="Times New Roman" w:eastAsia="Times New Roman" w:hAnsi="Times New Roman"/>
          <w:sz w:val="18"/>
          <w:szCs w:val="18"/>
          <w:color w:val="auto"/>
        </w:rPr>
        <w:t>As of December 31, 2022, we had investments in 121 portfolio companies with an aggregate fair value of $2,787.9 million. For the three months ended September 30, 2022, the principal amount of new investments funded was $274.4 million in twenty-five new portfolio companies and six existing portfolio companies. For this period, we had $15.8 million aggregate principal amount in exits and repayments.</w:t>
      </w:r>
    </w:p>
    <w:p>
      <w:pPr>
        <w:spacing w:after="0" w:line="176" w:lineRule="exact"/>
        <w:rPr>
          <w:sz w:val="20"/>
          <w:szCs w:val="20"/>
          <w:color w:val="auto"/>
        </w:rPr>
      </w:pPr>
    </w:p>
    <w:p>
      <w:pPr>
        <w:ind w:firstLine="426"/>
        <w:spacing w:after="0" w:line="277" w:lineRule="auto"/>
        <w:rPr>
          <w:sz w:val="20"/>
          <w:szCs w:val="20"/>
          <w:color w:val="auto"/>
        </w:rPr>
      </w:pPr>
      <w:r>
        <w:rPr>
          <w:rFonts w:ascii="Times New Roman" w:cs="Times New Roman" w:eastAsia="Times New Roman" w:hAnsi="Times New Roman"/>
          <w:sz w:val="17"/>
          <w:szCs w:val="17"/>
          <w:color w:val="auto"/>
        </w:rPr>
        <w:t>As of September 30, 2023, the largest single investment based on fair value represented 2.5% of our total investment portfolio. As of September 30, 2023,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products the average investment in our remaining portfolio companies was approximately $34.4 million as of September 30, 2023. As of September 30, 2023, the largest industry represented 15.7% of our total portfolio based on fair value.</w:t>
      </w:r>
    </w:p>
    <w:p>
      <w:pPr>
        <w:spacing w:after="0" w:line="168" w:lineRule="exact"/>
        <w:rPr>
          <w:sz w:val="20"/>
          <w:szCs w:val="20"/>
          <w:color w:val="auto"/>
        </w:rPr>
      </w:pPr>
    </w:p>
    <w:p>
      <w:pPr>
        <w:ind w:right="20" w:firstLine="426"/>
        <w:spacing w:after="0" w:line="274" w:lineRule="auto"/>
        <w:rPr>
          <w:sz w:val="20"/>
          <w:szCs w:val="20"/>
          <w:color w:val="auto"/>
        </w:rPr>
      </w:pPr>
      <w:r>
        <w:rPr>
          <w:rFonts w:ascii="Times New Roman" w:cs="Times New Roman" w:eastAsia="Times New Roman" w:hAnsi="Times New Roman"/>
          <w:sz w:val="17"/>
          <w:szCs w:val="17"/>
          <w:color w:val="auto"/>
        </w:rPr>
        <w:t>Since we began investing in 2011 through September 30, 2023, weighted by capital invested, our exited investments have generated an average realized gross internal rate of return to us of 17.5% (based on total capital invested of $6.9 billion and total proceeds from these exited investments of $8.7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September 30, 2023 (“3Q 2023 Quarterly Report”), which is incorporated by reference in this prospectus.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right="40" w:firstLine="426"/>
        <w:spacing w:after="0" w:line="282"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Sixth Street Specialty Lending Advisers, LLC is our external manager.</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00"/>
          </w:cols>
          <w:pgMar w:left="620" w:top="482" w:right="679" w:bottom="1440" w:gutter="0" w:footer="0" w:header="0"/>
        </w:sectPr>
      </w:pPr>
    </w:p>
    <w:bookmarkStart w:id="50" w:name="page51"/>
    <w:bookmarkEnd w:id="50"/>
    <w:p>
      <w:pPr>
        <w:ind w:firstLine="426"/>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683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74865" cy="5968365"/>
                    </a:xfrm>
                    <a:prstGeom prst="rect">
                      <a:avLst/>
                    </a:prstGeom>
                    <a:noFill/>
                  </pic:spPr>
                </pic:pic>
              </a:graphicData>
            </a:graphic>
          </wp:anchor>
        </w:drawing>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2022 (the “2022 Annual Report”) for more information on these requirements.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right="360" w:firstLine="426"/>
        <w:spacing w:after="0" w:line="26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Securities and Exchange Commission (the “SEC”) under the Investment Advisers Act of 1940, as amended, or the Advisers Act.</w:t>
      </w:r>
    </w:p>
    <w:p>
      <w:pPr>
        <w:spacing w:after="0" w:line="176" w:lineRule="exact"/>
        <w:rPr>
          <w:sz w:val="20"/>
          <w:szCs w:val="20"/>
          <w:color w:val="auto"/>
        </w:rPr>
      </w:pPr>
    </w:p>
    <w:p>
      <w:pPr>
        <w:ind w:right="20" w:firstLine="42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83" w:lineRule="exact"/>
        <w:rPr>
          <w:sz w:val="20"/>
          <w:szCs w:val="20"/>
          <w:color w:val="auto"/>
        </w:rPr>
      </w:pPr>
    </w:p>
    <w:p>
      <w:pPr>
        <w:ind w:firstLine="426"/>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over $75 billion of assets under management as of September 30, 2023.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September 30, 2023, sixty-seven (67) of these personnel are dedicated to our business, including fifty-three (53) investment professionals.</w:t>
      </w:r>
    </w:p>
    <w:p>
      <w:pPr>
        <w:spacing w:after="0" w:line="192" w:lineRule="exact"/>
        <w:rPr>
          <w:sz w:val="20"/>
          <w:szCs w:val="20"/>
          <w:color w:val="auto"/>
        </w:rPr>
      </w:pPr>
    </w:p>
    <w:p>
      <w:pPr>
        <w:ind w:right="60" w:firstLine="426"/>
        <w:spacing w:after="0" w:line="274" w:lineRule="auto"/>
        <w:rPr>
          <w:sz w:val="20"/>
          <w:szCs w:val="20"/>
          <w:color w:val="auto"/>
        </w:rPr>
      </w:pPr>
      <w:r>
        <w:rPr>
          <w:rFonts w:ascii="Times New Roman" w:cs="Times New Roman" w:eastAsia="Times New Roman" w:hAnsi="Times New Roman"/>
          <w:sz w:val="17"/>
          <w:szCs w:val="17"/>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3" w:lineRule="exact"/>
        <w:rPr>
          <w:sz w:val="20"/>
          <w:szCs w:val="20"/>
          <w:color w:val="auto"/>
        </w:rPr>
      </w:pPr>
    </w:p>
    <w:p>
      <w:pPr>
        <w:ind w:right="160" w:firstLine="426"/>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20"/>
          </w:cols>
          <w:pgMar w:left="620" w:top="486" w:right="6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62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74865" cy="5762625"/>
                    </a:xfrm>
                    <a:prstGeom prst="rect">
                      <a:avLst/>
                    </a:prstGeom>
                    <a:noFill/>
                  </pic:spPr>
                </pic:pic>
              </a:graphicData>
            </a:graphic>
          </wp:anchor>
        </w:drawing>
        <w:t>About Our Administrator</w:t>
      </w:r>
    </w:p>
    <w:p>
      <w:pPr>
        <w:spacing w:after="0" w:line="121" w:lineRule="exact"/>
        <w:rPr>
          <w:sz w:val="20"/>
          <w:szCs w:val="20"/>
          <w:color w:val="auto"/>
        </w:rPr>
      </w:pPr>
    </w:p>
    <w:p>
      <w:pPr>
        <w:ind w:right="100" w:firstLine="426"/>
        <w:spacing w:after="0" w:line="255"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89"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76" w:lineRule="exact"/>
        <w:rPr>
          <w:sz w:val="20"/>
          <w:szCs w:val="20"/>
          <w:color w:val="auto"/>
        </w:rPr>
      </w:pPr>
    </w:p>
    <w:p>
      <w:pPr>
        <w:ind w:right="100" w:firstLine="426"/>
        <w:spacing w:after="0" w:line="266" w:lineRule="auto"/>
        <w:rPr>
          <w:sz w:val="20"/>
          <w:szCs w:val="20"/>
          <w:color w:val="auto"/>
        </w:rPr>
      </w:pPr>
      <w:r>
        <w:rPr>
          <w:rFonts w:ascii="Times New Roman" w:cs="Times New Roman" w:eastAsia="Times New Roman" w:hAnsi="Times New Roman"/>
          <w:sz w:val="18"/>
          <w:szCs w:val="18"/>
          <w:color w:val="auto"/>
        </w:rPr>
        <w:t>In November 2023, the Board renewed the Administration Agreement. Unless earlier terminated as described below, the Administration Agreement will remain in effect until November 2024,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section entitled “Administration Agreement” in Note 3 to our consolidated financial statements in our 3Q 2023 Quarterly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right="80" w:firstLine="426"/>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60" w:lineRule="exact"/>
        <w:rPr>
          <w:sz w:val="20"/>
          <w:szCs w:val="20"/>
          <w:color w:val="auto"/>
        </w:rPr>
      </w:pPr>
    </w:p>
    <w:p>
      <w:pPr>
        <w:ind w:right="20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Limited availability of capital for middle-market companies</w:t>
      </w:r>
      <w:r>
        <w:rPr>
          <w:rFonts w:ascii="Times New Roman" w:cs="Times New Roman" w:eastAsia="Times New Roman" w:hAnsi="Times New Roman"/>
          <w:sz w:val="18"/>
          <w:szCs w:val="18"/>
          <w:color w:val="auto"/>
        </w:rPr>
        <w:t>. We believe that certain structural changes in the market have reduced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8" w:lineRule="exact"/>
        <w:rPr>
          <w:sz w:val="20"/>
          <w:szCs w:val="20"/>
          <w:color w:val="auto"/>
        </w:rPr>
      </w:pPr>
    </w:p>
    <w:p>
      <w:pPr>
        <w:ind w:right="1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Strong demand for debt capital</w:t>
      </w:r>
      <w:r>
        <w:rPr>
          <w:rFonts w:ascii="Times New Roman" w:cs="Times New Roman" w:eastAsia="Times New Roman" w:hAnsi="Times New Roman"/>
          <w:sz w:val="18"/>
          <w:szCs w:val="18"/>
          <w:color w:val="auto"/>
        </w:rPr>
        <w:t>. We believe middle-market companies will continue to require access to debt capital to refinance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support growth and finance acquisitions. In addition, we believe the large amount of uninvested capital held by funds of private equity firms, estimated by Preqin Ltd., an alternative assets industry data and research company, at over $2.7 trillion as of December 12, 2023, will continue to drive deal activity. We expect that private equity firms will continue to pursue acquisitions and to seek to leverage their equity investments with secured loans provided by companies such as ours.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40"/>
          </w:cols>
          <w:pgMar w:left="620" w:top="482" w:right="639" w:bottom="1440" w:gutter="0" w:footer="0" w:header="0"/>
        </w:sectPr>
      </w:pPr>
    </w:p>
    <w:bookmarkStart w:id="52" w:name="page53"/>
    <w:bookmarkEnd w:id="52"/>
    <w:p>
      <w:pPr>
        <w:ind w:right="8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42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74865" cy="6242685"/>
                    </a:xfrm>
                    <a:prstGeom prst="rect">
                      <a:avLst/>
                    </a:prstGeom>
                    <a:noFill/>
                  </pic:spPr>
                </pic:pic>
              </a:graphicData>
            </a:graphic>
          </wp:anchor>
        </w:drawing>
        <w:t>Attractive investment dynamics</w:t>
      </w:r>
      <w:r>
        <w:rPr>
          <w:rFonts w:ascii="Times New Roman" w:cs="Times New Roman" w:eastAsia="Times New Roman" w:hAnsi="Times New Roman"/>
          <w:sz w:val="18"/>
          <w:szCs w:val="18"/>
          <w:color w:val="auto"/>
        </w:rPr>
        <w:t>. An imbalance between the supply of, and demand for, middle-market debt capital creates attractive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82" w:lineRule="exact"/>
        <w:rPr>
          <w:sz w:val="20"/>
          <w:szCs w:val="20"/>
          <w:color w:val="auto"/>
        </w:rPr>
      </w:pPr>
    </w:p>
    <w:p>
      <w:pPr>
        <w:ind w:right="2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Conservative capital structures</w:t>
      </w:r>
      <w:r>
        <w:rPr>
          <w:rFonts w:ascii="Times New Roman" w:cs="Times New Roman" w:eastAsia="Times New Roman" w:hAnsi="Times New Roman"/>
          <w:sz w:val="18"/>
          <w:szCs w:val="18"/>
          <w:color w:val="auto"/>
        </w:rPr>
        <w:t>. Following the credit crisis, which we define broadly as occurring between mid-2007 and mid-2009,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3"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Specialized lending requirements</w:t>
      </w:r>
      <w:r>
        <w:rPr>
          <w:rFonts w:ascii="Times New Roman" w:cs="Times New Roman" w:eastAsia="Times New Roman" w:hAnsi="Times New Roman"/>
          <w:sz w:val="18"/>
          <w:szCs w:val="18"/>
          <w:color w:val="auto"/>
        </w:rPr>
        <w:t>. Lending to middle-market companies requires specialized due diligence and underwriting capabilities,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Sixth Street position us more strongly than many capital providers to lend to middle-market companies.</w:t>
      </w:r>
    </w:p>
    <w:p>
      <w:pPr>
        <w:spacing w:after="0" w:line="180" w:lineRule="exact"/>
        <w:rPr>
          <w:sz w:val="20"/>
          <w:szCs w:val="20"/>
          <w:color w:val="auto"/>
        </w:rPr>
      </w:pPr>
    </w:p>
    <w:p>
      <w:pPr>
        <w:ind w:right="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Desirability of partnering with BDCs</w:t>
      </w:r>
      <w:r>
        <w:rPr>
          <w:rFonts w:ascii="Times New Roman" w:cs="Times New Roman" w:eastAsia="Times New Roman" w:hAnsi="Times New Roman"/>
          <w:sz w:val="18"/>
          <w:szCs w:val="18"/>
          <w:color w:val="auto"/>
        </w:rPr>
        <w:t>. We believe middle-market companies see advantages in raising capital from BDCs. BDCs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right="12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The substantial majority of our investments are not intermediated and are originated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assistance of investment banks or other traditional Wall Street sources. Our Adviser has a dedicated team of 53 investment professionals responsible for originating, underwriting, executing and managing the assets of our direct lending transactions. This team is responsible for sourcing and executing opportunities directly, while leveraging the resources and expertise of the Sixth Street platform. The senior members of our Investment Team have over 450 years of collective experience as commercial dealmakers.</w:t>
      </w:r>
    </w:p>
    <w:p>
      <w:pPr>
        <w:spacing w:after="0" w:line="185" w:lineRule="exact"/>
        <w:rPr>
          <w:sz w:val="20"/>
          <w:szCs w:val="20"/>
          <w:color w:val="auto"/>
        </w:rPr>
      </w:pPr>
    </w:p>
    <w:p>
      <w:pPr>
        <w:ind w:right="240" w:firstLine="426"/>
        <w:spacing w:after="0" w:line="258" w:lineRule="auto"/>
        <w:rPr>
          <w:sz w:val="20"/>
          <w:szCs w:val="20"/>
          <w:color w:val="auto"/>
        </w:rPr>
      </w:pPr>
      <w:r>
        <w:rPr>
          <w:rFonts w:ascii="Times New Roman" w:cs="Times New Roman" w:eastAsia="Times New Roman" w:hAnsi="Times New Roman"/>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3"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8"/>
          <w:szCs w:val="18"/>
          <w:color w:val="auto"/>
        </w:rPr>
        <w:t>In addition, our Adviser draws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w:t>
      </w:r>
    </w:p>
    <w:p>
      <w:pPr>
        <w:spacing w:after="0" w:line="174" w:lineRule="exact"/>
        <w:rPr>
          <w:sz w:val="20"/>
          <w:szCs w:val="20"/>
          <w:color w:val="auto"/>
        </w:rPr>
      </w:pPr>
    </w:p>
    <w:p>
      <w:pPr>
        <w:ind w:right="4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seek to achieve the highest risk-adjusted returns available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opposed to the highest absolute return available. Our investment approach seeks to</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40"/>
          </w:cols>
          <w:pgMar w:left="620" w:top="484" w:right="639" w:bottom="1440" w:gutter="0" w:footer="0" w:header="0"/>
        </w:sectPr>
      </w:pPr>
    </w:p>
    <w:bookmarkStart w:id="53" w:name="page54"/>
    <w:bookmarkEnd w:id="53"/>
    <w:p>
      <w:pPr>
        <w:ind w:right="9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741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74865" cy="6174105"/>
                    </a:xfrm>
                    <a:prstGeom prst="rect">
                      <a:avLst/>
                    </a:prstGeom>
                    <a:noFill/>
                  </pic:spPr>
                </pic:pic>
              </a:graphicData>
            </a:graphic>
          </wp:anchor>
        </w:drawing>
        <w:t>combine a rigorous analysis of macroeconomic and market factors with a deep understanding of individual companies and their assets, management and prospects. We believe four factors distinguish our investment approach:</w:t>
      </w:r>
    </w:p>
    <w:p>
      <w:pPr>
        <w:spacing w:after="0" w:line="65" w:lineRule="exact"/>
        <w:rPr>
          <w:sz w:val="20"/>
          <w:szCs w:val="20"/>
          <w:color w:val="auto"/>
        </w:rPr>
      </w:pPr>
    </w:p>
    <w:p>
      <w:pPr>
        <w:ind w:left="940" w:right="340" w:hanging="523"/>
        <w:spacing w:after="0" w:line="284"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middle-market focus and our Adviser’s integrated position within Sixth Street allow us to determine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opportunities and identify relative value.</w:t>
      </w:r>
    </w:p>
    <w:p>
      <w:pPr>
        <w:spacing w:after="0" w:line="63" w:lineRule="exact"/>
        <w:rPr>
          <w:rFonts w:ascii="Times New Roman" w:cs="Times New Roman" w:eastAsia="Times New Roman" w:hAnsi="Times New Roman"/>
          <w:sz w:val="18"/>
          <w:szCs w:val="18"/>
          <w:color w:val="auto"/>
        </w:rPr>
      </w:pPr>
    </w:p>
    <w:p>
      <w:pPr>
        <w:ind w:left="940" w:right="180" w:hanging="523"/>
        <w:spacing w:after="0" w:line="258"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8" w:lineRule="exact"/>
        <w:rPr>
          <w:rFonts w:ascii="Times New Roman" w:cs="Times New Roman" w:eastAsia="Times New Roman" w:hAnsi="Times New Roman"/>
          <w:sz w:val="18"/>
          <w:szCs w:val="18"/>
          <w:color w:val="auto"/>
        </w:rPr>
      </w:pPr>
    </w:p>
    <w:p>
      <w:pPr>
        <w:ind w:left="940" w:right="320" w:hanging="523"/>
        <w:spacing w:after="0" w:line="284"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perform detailed company-specific analysis focusing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four-tiered investment framework:</w:t>
      </w:r>
    </w:p>
    <w:p>
      <w:pPr>
        <w:spacing w:after="0" w:line="63" w:lineRule="exact"/>
        <w:rPr>
          <w:rFonts w:ascii="Times New Roman" w:cs="Times New Roman" w:eastAsia="Times New Roman" w:hAnsi="Times New Roman"/>
          <w:sz w:val="18"/>
          <w:szCs w:val="18"/>
          <w:color w:val="auto"/>
        </w:rPr>
      </w:pPr>
    </w:p>
    <w:p>
      <w:pPr>
        <w:ind w:left="940" w:right="160" w:hanging="523"/>
        <w:spacing w:after="0" w:line="258"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focus on companies with enterprise value between $50 million and $1 billion. When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88" w:lineRule="exact"/>
        <w:rPr>
          <w:rFonts w:ascii="Times New Roman" w:cs="Times New Roman" w:eastAsia="Times New Roman" w:hAnsi="Times New Roman"/>
          <w:sz w:val="18"/>
          <w:szCs w:val="18"/>
          <w:color w:val="auto"/>
        </w:rPr>
      </w:pPr>
    </w:p>
    <w:p>
      <w:pPr>
        <w:ind w:left="940" w:right="100" w:hanging="523"/>
        <w:spacing w:after="0" w:line="257"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focus on investing at the top of the capital structure and protecting that position. We carefully diligence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7" w:lineRule="exact"/>
        <w:rPr>
          <w:rFonts w:ascii="Times New Roman" w:cs="Times New Roman" w:eastAsia="Times New Roman" w:hAnsi="Times New Roman"/>
          <w:sz w:val="18"/>
          <w:szCs w:val="18"/>
          <w:color w:val="auto"/>
        </w:rPr>
      </w:pPr>
    </w:p>
    <w:p>
      <w:pPr>
        <w:jc w:val="both"/>
        <w:ind w:left="940" w:hanging="523"/>
        <w:spacing w:after="0" w:line="267"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focus on, among other deal dynamics, direct origination of investments, where we identify and lead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78" w:lineRule="exact"/>
        <w:rPr>
          <w:rFonts w:ascii="Times New Roman" w:cs="Times New Roman" w:eastAsia="Times New Roman" w:hAnsi="Times New Roman"/>
          <w:sz w:val="18"/>
          <w:szCs w:val="18"/>
          <w:color w:val="auto"/>
        </w:rPr>
      </w:pPr>
    </w:p>
    <w:p>
      <w:pPr>
        <w:ind w:left="940" w:right="400" w:hanging="523"/>
        <w:spacing w:after="0" w:line="267"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seek to mitigate non-credit-related risk on our returns in several ways, including call protection provisions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 future payment income. In addition, most of our investments are floating rate in nature, which we believe helps act as a portfolio-wide hedge against inflation.</w:t>
      </w:r>
    </w:p>
    <w:p>
      <w:pPr>
        <w:spacing w:after="0" w:line="78" w:lineRule="exact"/>
        <w:rPr>
          <w:rFonts w:ascii="Times New Roman" w:cs="Times New Roman" w:eastAsia="Times New Roman" w:hAnsi="Times New Roman"/>
          <w:sz w:val="18"/>
          <w:szCs w:val="18"/>
          <w:color w:val="auto"/>
        </w:rPr>
      </w:pPr>
    </w:p>
    <w:p>
      <w:pPr>
        <w:ind w:left="940" w:right="180" w:hanging="523"/>
        <w:spacing w:after="0" w:line="267"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rigorously monitors the credit profile of portfolio investments, with the 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proactively identifying sector and operational issues and carefully managing risks. The information gathered on market trends through this process also informs our underwriting for new loans.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tailor investments rather than focusing only on driving investment volume.</w:t>
      </w:r>
    </w:p>
    <w:p>
      <w:pPr>
        <w:spacing w:after="0" w:line="223" w:lineRule="exact"/>
        <w:rPr>
          <w:sz w:val="20"/>
          <w:szCs w:val="20"/>
          <w:color w:val="auto"/>
        </w:rPr>
      </w:pPr>
    </w:p>
    <w:p>
      <w:pPr>
        <w:ind w:right="2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Carefully constructed, existing portfolio consisting of predominantly senior, floating rate loans across a broad range of industries and borrowers</w:t>
      </w:r>
      <w:r>
        <w:rPr>
          <w:rFonts w:ascii="Times New Roman" w:cs="Times New Roman" w:eastAsia="Times New Roman" w:hAnsi="Times New Roman"/>
          <w:sz w:val="18"/>
          <w:szCs w:val="18"/>
          <w:color w:val="auto"/>
        </w:rPr>
        <w:t>. Since we began investing in July 2011, through September 30, 2023, we have originated more than $28.6 billion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investments. As of September 30, 2023, our investment portfolio consisted of investments in 131 portfolio companies (including 42 structured credit</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40"/>
          </w:cols>
          <w:pgMar w:left="620" w:top="486" w:right="639" w:bottom="1440" w:gutter="0" w:footer="0" w:header="0"/>
        </w:sectPr>
      </w:pPr>
    </w:p>
    <w:bookmarkStart w:id="54" w:name="page55"/>
    <w:bookmarkEnd w:id="5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172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74865" cy="6217285"/>
                    </a:xfrm>
                    <a:prstGeom prst="rect">
                      <a:avLst/>
                    </a:prstGeom>
                    <a:noFill/>
                  </pic:spPr>
                </pic:pic>
              </a:graphicData>
            </a:graphic>
          </wp:anchor>
        </w:drawing>
        <w:t>investments, which include each series of collateralized loan obligation as a separate portfolio company investment) with an aggregate fair value of $3,113.3 million that we believe exhibits strong credit quality and broad industry composition. As of September 30, 2023, 99.7% of our debt investments based on fair value bore interest at floating rates, with 100.0% of these subject to interest rate floors, and 91.0% of the fair value of our portfolio was invested in first-lien debt investments. We believe this portfolio will allow us to generate meaningful investment income, and consequently dividend income, for our stockholders.</w:t>
      </w:r>
    </w:p>
    <w:p>
      <w:pPr>
        <w:spacing w:after="0" w:line="181" w:lineRule="exact"/>
        <w:rPr>
          <w:sz w:val="20"/>
          <w:szCs w:val="20"/>
          <w:color w:val="auto"/>
        </w:rPr>
      </w:pPr>
    </w:p>
    <w:p>
      <w:pPr>
        <w:ind w:right="18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The Adviser has a highly experienced management team consisting of nine Sixth Street Partners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Sixth 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5" w:lineRule="exact"/>
        <w:rPr>
          <w:sz w:val="20"/>
          <w:szCs w:val="20"/>
          <w:color w:val="auto"/>
        </w:rPr>
      </w:pPr>
    </w:p>
    <w:p>
      <w:pPr>
        <w:jc w:val="both"/>
        <w:ind w:right="3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for our investment professionals is based on our returns, as opposed to transaction volume, which we believe fosters a focus on credit quality when originating investments.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21" w:lineRule="exact"/>
        <w:rPr>
          <w:sz w:val="20"/>
          <w:szCs w:val="20"/>
          <w:color w:val="auto"/>
        </w:rPr>
      </w:pPr>
    </w:p>
    <w:p>
      <w:pPr>
        <w:ind w:right="80" w:firstLine="426"/>
        <w:spacing w:after="0" w:line="312" w:lineRule="auto"/>
        <w:rPr>
          <w:sz w:val="20"/>
          <w:szCs w:val="20"/>
          <w:color w:val="auto"/>
        </w:rPr>
      </w:pPr>
      <w:r>
        <w:rPr>
          <w:rFonts w:ascii="Times New Roman" w:cs="Times New Roman" w:eastAsia="Times New Roman" w:hAnsi="Times New Roman"/>
          <w:sz w:val="17"/>
          <w:szCs w:val="17"/>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a BDC, we are required to comply with numerous regulatory requirements:</w:t>
      </w:r>
    </w:p>
    <w:p>
      <w:pPr>
        <w:spacing w:after="0" w:line="129" w:lineRule="exact"/>
        <w:rPr>
          <w:sz w:val="20"/>
          <w:szCs w:val="20"/>
          <w:color w:val="auto"/>
        </w:rPr>
      </w:pPr>
    </w:p>
    <w:p>
      <w:pPr>
        <w:ind w:left="940" w:right="120" w:hanging="523"/>
        <w:spacing w:after="0" w:line="257"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w:t>
      </w:r>
      <w:r>
        <w:rPr>
          <w:rFonts w:ascii="Times New Roman" w:cs="Times New Roman" w:eastAsia="Times New Roman" w:hAnsi="Times New Roman"/>
          <w:sz w:val="18"/>
          <w:szCs w:val="18"/>
          <w:color w:val="auto"/>
        </w:rPr>
        <w:t>. Regulations under the 1940 Act limit our ability to use borrowing, also known as leverage, in significant respects.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2022 Annual Report.</w:t>
      </w:r>
    </w:p>
    <w:p>
      <w:pPr>
        <w:spacing w:after="0" w:line="87" w:lineRule="exact"/>
        <w:rPr>
          <w:rFonts w:ascii="Times New Roman" w:cs="Times New Roman" w:eastAsia="Times New Roman" w:hAnsi="Times New Roman"/>
          <w:sz w:val="18"/>
          <w:szCs w:val="18"/>
          <w:color w:val="auto"/>
        </w:rPr>
      </w:pPr>
    </w:p>
    <w:p>
      <w:pPr>
        <w:ind w:left="940" w:right="180" w:hanging="523"/>
        <w:spacing w:after="0" w:line="290" w:lineRule="auto"/>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Investment Allocation</w:t>
      </w:r>
      <w:r>
        <w:rPr>
          <w:rFonts w:ascii="Times New Roman" w:cs="Times New Roman" w:eastAsia="Times New Roman" w:hAnsi="Times New Roman"/>
          <w:sz w:val="17"/>
          <w:szCs w:val="17"/>
          <w:color w:val="auto"/>
        </w:rPr>
        <w:t>. As a BDC, we are required to invest at least 70% of our total assets in qualifying assets, which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62" w:lineRule="exact"/>
        <w:rPr>
          <w:rFonts w:ascii="Times New Roman" w:cs="Times New Roman" w:eastAsia="Times New Roman" w:hAnsi="Times New Roman"/>
          <w:sz w:val="17"/>
          <w:szCs w:val="17"/>
          <w:color w:val="auto"/>
        </w:rPr>
      </w:pPr>
    </w:p>
    <w:p>
      <w:pPr>
        <w:ind w:left="940" w:hanging="523"/>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domestic operating companies;</w:t>
      </w:r>
    </w:p>
    <w:p>
      <w:pPr>
        <w:spacing w:after="0" w:line="130" w:lineRule="exact"/>
        <w:rPr>
          <w:rFonts w:ascii="Times New Roman" w:cs="Times New Roman" w:eastAsia="Times New Roman" w:hAnsi="Times New Roman"/>
          <w:sz w:val="18"/>
          <w:szCs w:val="18"/>
          <w:color w:val="auto"/>
        </w:rPr>
      </w:pPr>
    </w:p>
    <w:p>
      <w:pPr>
        <w:ind w:left="940" w:right="80" w:hanging="523"/>
        <w:spacing w:after="0" w:line="312" w:lineRule="auto"/>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45" w:lineRule="exact"/>
        <w:rPr>
          <w:rFonts w:ascii="Times New Roman" w:cs="Times New Roman" w:eastAsia="Times New Roman" w:hAnsi="Times New Roman"/>
          <w:sz w:val="17"/>
          <w:szCs w:val="17"/>
          <w:color w:val="auto"/>
        </w:rPr>
      </w:pPr>
    </w:p>
    <w:p>
      <w:pPr>
        <w:ind w:left="940" w:hanging="523"/>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having a market capitalization of less than $250 million.</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20"/>
          </w:cols>
          <w:pgMar w:left="620" w:top="486" w:right="659" w:bottom="1440" w:gutter="0" w:footer="0" w:header="0"/>
        </w:sectPr>
      </w:pPr>
    </w:p>
    <w:bookmarkStart w:id="55" w:name="page56"/>
    <w:bookmarkEnd w:id="55"/>
    <w:p>
      <w:pPr>
        <w:ind w:right="200" w:firstLine="42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458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74865" cy="6045835"/>
                    </a:xfrm>
                    <a:prstGeom prst="rect">
                      <a:avLst/>
                    </a:prstGeom>
                    <a:noFill/>
                  </pic:spPr>
                </pic:pic>
              </a:graphicData>
            </a:graphic>
          </wp:anchor>
        </w:drawing>
        <w:t>Public domestic operating companies whose securities are quoted on the over-the-counter bulletin board and through OTC Markets Group, Inc. are not listed on a national securities exchange and, as a result, are eligible portfolio companies.</w:t>
      </w:r>
    </w:p>
    <w:p>
      <w:pPr>
        <w:spacing w:after="0" w:line="65" w:lineRule="exact"/>
        <w:rPr>
          <w:sz w:val="20"/>
          <w:szCs w:val="20"/>
          <w:color w:val="auto"/>
        </w:rPr>
      </w:pPr>
    </w:p>
    <w:p>
      <w:pPr>
        <w:ind w:left="940" w:right="80" w:hanging="523"/>
        <w:spacing w:after="0" w:line="267"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RIC Status</w:t>
      </w:r>
      <w:r>
        <w:rPr>
          <w:rFonts w:ascii="Times New Roman" w:cs="Times New Roman" w:eastAsia="Times New Roman" w:hAnsi="Times New Roman"/>
          <w:sz w:val="18"/>
          <w:szCs w:val="18"/>
          <w:color w:val="auto"/>
        </w:rPr>
        <w:t>. We have elected to be treated as a RIC for U.S. federal income tax purposes. To maintain our status as a RIC and to avoid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our earnings subject to corporate-level U.S. federal income taxation, we must satisfy certain source of income, asset diversification and distribution requirements.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“Material U.S. Federal Income Tax Considerations.”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Leverage</w:t>
      </w:r>
    </w:p>
    <w:p>
      <w:pPr>
        <w:spacing w:after="0" w:line="121" w:lineRule="exact"/>
        <w:rPr>
          <w:sz w:val="20"/>
          <w:szCs w:val="20"/>
          <w:color w:val="auto"/>
        </w:rPr>
      </w:pPr>
    </w:p>
    <w:p>
      <w:pPr>
        <w:ind w:right="80" w:firstLine="426"/>
        <w:spacing w:after="0" w:line="261"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86" w:lineRule="exact"/>
        <w:rPr>
          <w:sz w:val="20"/>
          <w:szCs w:val="20"/>
          <w:color w:val="auto"/>
        </w:rPr>
      </w:pPr>
    </w:p>
    <w:p>
      <w:pPr>
        <w:ind w:firstLine="426"/>
        <w:spacing w:after="0" w:line="255"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respectively, have been waived pursuant to the Leverage Waiver. For the three and nine months ended September 30, 2022, Management Fees of $0.2 million have been waived pursuant to the Leverage Waiver.</w:t>
      </w:r>
    </w:p>
    <w:p>
      <w:pPr>
        <w:spacing w:after="0" w:line="189" w:lineRule="exact"/>
        <w:rPr>
          <w:sz w:val="20"/>
          <w:szCs w:val="20"/>
          <w:color w:val="auto"/>
        </w:rPr>
      </w:pPr>
    </w:p>
    <w:p>
      <w:pPr>
        <w:jc w:val="both"/>
        <w:ind w:right="40" w:firstLine="426"/>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87" w:lineRule="exact"/>
        <w:rPr>
          <w:sz w:val="20"/>
          <w:szCs w:val="20"/>
          <w:color w:val="auto"/>
        </w:rPr>
      </w:pPr>
    </w:p>
    <w:p>
      <w:pPr>
        <w:ind w:right="160" w:firstLine="426"/>
        <w:spacing w:after="0" w:line="274" w:lineRule="auto"/>
        <w:rPr>
          <w:sz w:val="20"/>
          <w:szCs w:val="20"/>
          <w:color w:val="auto"/>
        </w:rPr>
      </w:pPr>
      <w:r>
        <w:rPr>
          <w:rFonts w:ascii="Times New Roman" w:cs="Times New Roman" w:eastAsia="Times New Roman" w:hAnsi="Times New Roman"/>
          <w:sz w:val="17"/>
          <w:szCs w:val="17"/>
          <w:color w:val="auto"/>
        </w:rPr>
        <w:t>See “Business-General—Our Company”; and “Business-General-Regulation as a Business Development Company” in Part I, Item 1 of our 2022 Annual Report, as well as “Risk Factors—Legislation allows us to incur additional leverage,” “Risk Factors—We borrow money, which magnifies the potential for gain or loss and increases the risk of investing in us,” “Risk Factors—Regulations governing our operation as a BDC affect our ability to, and the way in which we, raise additional capital,” “Risk Factors—Our indebtedness could adversely affect our business, financial conditions or results of operations,” and “Risk Factors—Even in the event the value of your investment declines, the Management Fee and, in certain circumstances, the Incentive Fee will still be payable to the Adviser.” in Part II, Item 1A of our 3Q 2023 Quarterly Report.</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20"/>
          </w:cols>
          <w:pgMar w:left="620" w:top="486" w:right="6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62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74865" cy="5762625"/>
                    </a:xfrm>
                    <a:prstGeom prst="rect">
                      <a:avLst/>
                    </a:prstGeom>
                    <a:noFill/>
                  </pic:spPr>
                </pic:pic>
              </a:graphicData>
            </a:graphic>
          </wp:anchor>
        </w:drawing>
        <w:t>Conflicts of Interests</w:t>
      </w:r>
    </w:p>
    <w:p>
      <w:pPr>
        <w:spacing w:after="0" w:line="121" w:lineRule="exact"/>
        <w:rPr>
          <w:sz w:val="20"/>
          <w:szCs w:val="20"/>
          <w:color w:val="auto"/>
        </w:rPr>
      </w:pPr>
    </w:p>
    <w:p>
      <w:pPr>
        <w:ind w:firstLine="426"/>
        <w:spacing w:after="0" w:line="252" w:lineRule="auto"/>
        <w:rPr>
          <w:sz w:val="20"/>
          <w:szCs w:val="20"/>
          <w:color w:val="auto"/>
        </w:rPr>
      </w:pPr>
      <w:r>
        <w:rPr>
          <w:rFonts w:ascii="Times New Roman" w:cs="Times New Roman" w:eastAsia="Times New Roman" w:hAnsi="Times New Roman"/>
          <w:sz w:val="18"/>
          <w:szCs w:val="18"/>
          <w:color w:val="auto"/>
        </w:rPr>
        <w:t>Certain members of the Adviser’s senior management and the Investment Review Committee are and will continue to be active in other investment funds affiliated with Sixth Street and its affiliates that pursue investment opportunities that could overlap with those pursued by us. However, the Adviser and its affiliates intend to allocate investment opportunities in a fair and equitable manner in accordance with their allocation principles and are obligated to refer any investments to us, by means of our Adviser, that fit within certain criteria that our Board may establish from time to time (such criteria, the “Board Established Criteria”). If no Board Established Criteria are in effect, then we will be notified of all such potential investment opportunities that fall within our current investment objective and principal investment strategies. The Adviser will determine whether it would be permissible, advisable or otherwise appropriate for us to pursue a particular investment opportunity referred to us for inclusion in our portfolio. For example, certain investment opportunities which otherwise fit within our investment strategies and objectives and any Board Established Criteria may not be suitable for us if they would cause us to violate asset coverage or concentration limitations imposed by the 1940 Act, the Code or the Amended Order (as defined below),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referred to us to be appropriate, it will determine an appropriate size for our investment. If the aggregate interest in an investment opportunity across Sixth Street funds or investment vehicles, including us, exceeds the size of the opportunity, the Adviser would allocate to us our pro-rata share of the investment opportunity based on the size of each respective participating Sixth Street funds’ or investment vehicles’ demand for such opportunity.</w:t>
      </w:r>
    </w:p>
    <w:p>
      <w:pPr>
        <w:spacing w:after="0" w:line="196" w:lineRule="exact"/>
        <w:rPr>
          <w:sz w:val="20"/>
          <w:szCs w:val="20"/>
          <w:color w:val="auto"/>
        </w:rPr>
      </w:pPr>
    </w:p>
    <w:p>
      <w:pPr>
        <w:ind w:right="60" w:firstLine="426"/>
        <w:spacing w:after="0" w:line="253" w:lineRule="auto"/>
        <w:rPr>
          <w:sz w:val="20"/>
          <w:szCs w:val="20"/>
          <w:color w:val="auto"/>
        </w:rPr>
      </w:pPr>
      <w:r>
        <w:rPr>
          <w:rFonts w:ascii="Times New Roman" w:cs="Times New Roman" w:eastAsia="Times New Roman" w:hAnsi="Times New Roman"/>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outside of our Board Established Criteria and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w:t>
      </w:r>
    </w:p>
    <w:p>
      <w:pPr>
        <w:spacing w:after="0" w:line="194" w:lineRule="exact"/>
        <w:rPr>
          <w:sz w:val="20"/>
          <w:szCs w:val="20"/>
          <w:color w:val="auto"/>
        </w:rPr>
      </w:pPr>
    </w:p>
    <w:p>
      <w:pPr>
        <w:ind w:right="60" w:firstLine="426"/>
        <w:spacing w:after="0" w:line="255" w:lineRule="auto"/>
        <w:rPr>
          <w:sz w:val="20"/>
          <w:szCs w:val="20"/>
          <w:color w:val="auto"/>
        </w:rPr>
      </w:pPr>
      <w:r>
        <w:rPr>
          <w:rFonts w:ascii="Times New Roman" w:cs="Times New Roman" w:eastAsia="Times New Roman" w:hAnsi="Times New Roman"/>
          <w:sz w:val="18"/>
          <w:szCs w:val="18"/>
          <w:color w:val="auto"/>
        </w:rPr>
        <w:t>Our ability to pursue investment opportunities other than those that meet our Board Established Criteria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if the investment falls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w:t>
      </w:r>
    </w:p>
    <w:p>
      <w:pPr>
        <w:spacing w:after="0" w:line="189" w:lineRule="exact"/>
        <w:rPr>
          <w:sz w:val="20"/>
          <w:szCs w:val="20"/>
          <w:color w:val="auto"/>
        </w:rPr>
      </w:pPr>
    </w:p>
    <w:p>
      <w:pPr>
        <w:ind w:right="80" w:firstLine="426"/>
        <w:spacing w:after="0" w:line="266" w:lineRule="auto"/>
        <w:rPr>
          <w:sz w:val="20"/>
          <w:szCs w:val="20"/>
          <w:color w:val="auto"/>
        </w:rPr>
      </w:pPr>
      <w:r>
        <w:rPr>
          <w:rFonts w:ascii="Times New Roman" w:cs="Times New Roman" w:eastAsia="Times New Roman" w:hAnsi="Times New Roman"/>
          <w:sz w:val="18"/>
          <w:szCs w:val="18"/>
          <w:color w:val="auto"/>
        </w:rPr>
        <w:t>See “Certain Relationships and Related Party Transactions” in our Definitive Proxy Statement on Schedule 14A relating to our 2023 Annual Meeting of Stockholders filed with the SEC on April 13, 2023 (“2023 Annual Proxy”), and such section is incorporated by reference in this prospectus.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20"/>
          </w:cols>
          <w:pgMar w:left="620" w:top="482" w:right="6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9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74865" cy="6259830"/>
                    </a:xfrm>
                    <a:prstGeom prst="rect">
                      <a:avLst/>
                    </a:prstGeom>
                    <a:noFill/>
                  </pic:spPr>
                </pic:pic>
              </a:graphicData>
            </a:graphic>
          </wp:anchor>
        </w:drawing>
        <w:t>Exemptive Order</w:t>
      </w:r>
    </w:p>
    <w:p>
      <w:pPr>
        <w:spacing w:after="0" w:line="121" w:lineRule="exact"/>
        <w:rPr>
          <w:sz w:val="20"/>
          <w:szCs w:val="20"/>
          <w:color w:val="auto"/>
        </w:rPr>
      </w:pPr>
    </w:p>
    <w:p>
      <w:pPr>
        <w:jc w:val="both"/>
        <w:ind w:right="140" w:firstLine="426"/>
        <w:spacing w:after="0" w:line="266"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(the “Prior Order”) that allows us to co-invest, subject to certain conditions and to the extent the size of an investment opportunity exceeds the amount our Adviser has independently determined is appropriate to invest, with certain of our affiliates (including affiliates of Sixth Street).</w:t>
      </w:r>
    </w:p>
    <w:p>
      <w:pPr>
        <w:spacing w:after="0" w:line="176" w:lineRule="exact"/>
        <w:rPr>
          <w:sz w:val="20"/>
          <w:szCs w:val="20"/>
          <w:color w:val="auto"/>
        </w:rPr>
      </w:pPr>
    </w:p>
    <w:p>
      <w:pPr>
        <w:ind w:right="20" w:firstLine="426"/>
        <w:spacing w:after="0" w:line="261" w:lineRule="auto"/>
        <w:rPr>
          <w:sz w:val="20"/>
          <w:szCs w:val="20"/>
          <w:color w:val="auto"/>
        </w:rPr>
      </w:pPr>
      <w:r>
        <w:rPr>
          <w:rFonts w:ascii="Times New Roman" w:cs="Times New Roman" w:eastAsia="Times New Roman" w:hAnsi="Times New Roman"/>
          <w:sz w:val="18"/>
          <w:szCs w:val="18"/>
          <w:color w:val="auto"/>
        </w:rPr>
        <w:t>On January 16, 2020, we filed a further application for co-investment exemptive relief with the SEC to better align our existing co-investment relief with more recent SEC exemptive orders. On August 3, 2022, the SEC granted the new order (the “Amended Order”) in response to our application. The Amended Order superseded the Prior Order, and updated the conditions pursuant to which we could co-invest with certain of our affiliates (including affiliates of Sixth Street) in investment opportunities that fall within our Board Established Criteria.</w:t>
      </w:r>
    </w:p>
    <w:p>
      <w:pPr>
        <w:spacing w:after="0" w:line="180" w:lineRule="exact"/>
        <w:rPr>
          <w:sz w:val="20"/>
          <w:szCs w:val="20"/>
          <w:color w:val="auto"/>
        </w:rPr>
      </w:pPr>
    </w:p>
    <w:p>
      <w:pPr>
        <w:ind w:right="40" w:firstLine="426"/>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right="420" w:firstLine="426"/>
        <w:spacing w:after="0" w:line="282" w:lineRule="auto"/>
        <w:rPr>
          <w:sz w:val="20"/>
          <w:szCs w:val="20"/>
          <w:color w:val="auto"/>
        </w:rPr>
      </w:pPr>
      <w:r>
        <w:rPr>
          <w:rFonts w:ascii="Times New Roman" w:cs="Times New Roman" w:eastAsia="Times New Roman" w:hAnsi="Times New Roman"/>
          <w:sz w:val="18"/>
          <w:szCs w:val="18"/>
          <w:color w:val="auto"/>
        </w:rPr>
        <w:t>See “Regulation as a Business Development Company-Transactions with our Affiliates” in our 2022 Annual Report, and such section is incorporated by reference in this prospectus.</w:t>
      </w:r>
    </w:p>
    <w:p>
      <w:pPr>
        <w:spacing w:after="0" w:line="162" w:lineRule="exact"/>
        <w:rPr>
          <w:sz w:val="20"/>
          <w:szCs w:val="20"/>
          <w:color w:val="auto"/>
        </w:rPr>
      </w:pPr>
    </w:p>
    <w:p>
      <w:pPr>
        <w:ind w:right="180" w:firstLine="426"/>
        <w:spacing w:after="0" w:line="282" w:lineRule="auto"/>
        <w:rPr>
          <w:sz w:val="20"/>
          <w:szCs w:val="20"/>
          <w:color w:val="auto"/>
        </w:rPr>
      </w:pPr>
      <w:r>
        <w:rPr>
          <w:rFonts w:ascii="Times New Roman" w:cs="Times New Roman" w:eastAsia="Times New Roman" w:hAnsi="Times New Roman"/>
          <w:sz w:val="18"/>
          <w:szCs w:val="18"/>
          <w:color w:val="auto"/>
        </w:rPr>
        <w:t>See “Certain Relationships and Related Party Transactions—Exemptive Order” in our 2023 Annual Proxy, and such section is incorporated by reference in this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Plan</w:t>
      </w:r>
    </w:p>
    <w:p>
      <w:pPr>
        <w:spacing w:after="0" w:line="121" w:lineRule="exact"/>
        <w:rPr>
          <w:sz w:val="20"/>
          <w:szCs w:val="20"/>
          <w:color w:val="auto"/>
        </w:rPr>
      </w:pPr>
    </w:p>
    <w:p>
      <w:pPr>
        <w:ind w:firstLine="426"/>
        <w:spacing w:after="0" w:line="258" w:lineRule="auto"/>
        <w:rPr>
          <w:sz w:val="20"/>
          <w:szCs w:val="20"/>
          <w:color w:val="auto"/>
        </w:rPr>
      </w:pPr>
      <w:r>
        <w:rPr>
          <w:rFonts w:ascii="Times New Roman" w:cs="Times New Roman" w:eastAsia="Times New Roman" w:hAnsi="Times New Roman"/>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15, 2023. The amount and timing of stock repurchases under the program may vary depending on market conditions, and no assurance can be given that any particular amount of common stock will be repurchased.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right="140" w:firstLine="426"/>
        <w:spacing w:after="0" w:line="258" w:lineRule="auto"/>
        <w:rPr>
          <w:sz w:val="20"/>
          <w:szCs w:val="20"/>
          <w:color w:val="auto"/>
        </w:rPr>
      </w:pPr>
      <w:r>
        <w:rPr>
          <w:rFonts w:ascii="Times New Roman" w:cs="Times New Roman" w:eastAsia="Times New Roman" w:hAnsi="Times New Roman"/>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2022 Annual Report and our 3Q 2023 Quarterly Report, as well as the other documents that are incorporated by reference in this prospectus or in any prospectus supplement, for a description of these and other risks relating to our business and investments in our securities, including that: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Structure</w:t>
      </w:r>
    </w:p>
    <w:p>
      <w:pPr>
        <w:spacing w:after="0" w:line="133" w:lineRule="exact"/>
        <w:rPr>
          <w:sz w:val="20"/>
          <w:szCs w:val="20"/>
          <w:color w:val="auto"/>
        </w:rPr>
      </w:pPr>
    </w:p>
    <w:p>
      <w:pPr>
        <w:ind w:left="940" w:hanging="523"/>
        <w:spacing w:after="0"/>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Sixth Street and their affiliates for our future success.</w:t>
      </w:r>
    </w:p>
    <w:p>
      <w:pPr>
        <w:spacing w:after="0" w:line="130" w:lineRule="exact"/>
        <w:rPr>
          <w:rFonts w:ascii="Times New Roman" w:cs="Times New Roman" w:eastAsia="Times New Roman" w:hAnsi="Times New Roman"/>
          <w:sz w:val="18"/>
          <w:szCs w:val="18"/>
          <w:color w:val="auto"/>
        </w:rPr>
      </w:pPr>
    </w:p>
    <w:p>
      <w:pPr>
        <w:ind w:left="940" w:right="40" w:hanging="523"/>
        <w:spacing w:after="0" w:line="282" w:lineRule="auto"/>
        <w:tabs>
          <w:tab w:leader="none" w:pos="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regulations governing our operation as a BDC, which affect our ability to, and the way in which we, raise additional capital. Changes in regulation could adversely affect our business.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40"/>
          </w:cols>
          <w:pgMar w:left="620" w:top="482" w:right="639" w:bottom="1440" w:gutter="0" w:footer="0" w:header="0"/>
        </w:sectPr>
      </w:pPr>
    </w:p>
    <w:bookmarkStart w:id="58" w:name="page59"/>
    <w:bookmarkEnd w:id="58"/>
    <w:p>
      <w:pPr>
        <w:ind w:left="940" w:hanging="523"/>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6802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74865" cy="6680200"/>
                    </a:xfrm>
                    <a:prstGeom prst="rect">
                      <a:avLst/>
                    </a:prstGeom>
                    <a:noFill/>
                  </pic:spPr>
                </pic:pic>
              </a:graphicData>
            </a:graphic>
          </wp:anchor>
        </w:drawing>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30" w:lineRule="exact"/>
        <w:rPr>
          <w:rFonts w:ascii="Times New Roman" w:cs="Times New Roman" w:eastAsia="Times New Roman" w:hAnsi="Times New Roman"/>
          <w:sz w:val="18"/>
          <w:szCs w:val="18"/>
          <w:color w:val="auto"/>
        </w:rPr>
      </w:pPr>
    </w:p>
    <w:p>
      <w:pPr>
        <w:ind w:left="940" w:right="560" w:hanging="523"/>
        <w:spacing w:after="0" w:line="282" w:lineRule="auto"/>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67" w:lineRule="exact"/>
        <w:rPr>
          <w:rFonts w:ascii="Times New Roman" w:cs="Times New Roman" w:eastAsia="Times New Roman" w:hAnsi="Times New Roman"/>
          <w:sz w:val="18"/>
          <w:szCs w:val="18"/>
          <w:color w:val="auto"/>
        </w:rPr>
      </w:pPr>
    </w:p>
    <w:p>
      <w:pPr>
        <w:ind w:left="940" w:hanging="523"/>
        <w:spacing w:after="0" w:line="282" w:lineRule="auto"/>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67" w:lineRule="exact"/>
        <w:rPr>
          <w:rFonts w:ascii="Times New Roman" w:cs="Times New Roman" w:eastAsia="Times New Roman" w:hAnsi="Times New Roman"/>
          <w:sz w:val="18"/>
          <w:szCs w:val="18"/>
          <w:color w:val="auto"/>
        </w:rPr>
      </w:pPr>
    </w:p>
    <w:p>
      <w:pPr>
        <w:ind w:left="940" w:right="140" w:hanging="523"/>
        <w:spacing w:after="0" w:line="282" w:lineRule="auto"/>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67" w:lineRule="exact"/>
        <w:rPr>
          <w:rFonts w:ascii="Times New Roman" w:cs="Times New Roman" w:eastAsia="Times New Roman" w:hAnsi="Times New Roman"/>
          <w:sz w:val="18"/>
          <w:szCs w:val="18"/>
          <w:color w:val="auto"/>
        </w:rPr>
      </w:pPr>
    </w:p>
    <w:p>
      <w:pPr>
        <w:ind w:left="940" w:right="20" w:hanging="523"/>
        <w:spacing w:after="0" w:line="282" w:lineRule="auto"/>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7" w:lineRule="exact"/>
        <w:rPr>
          <w:rFonts w:ascii="Times New Roman" w:cs="Times New Roman" w:eastAsia="Times New Roman" w:hAnsi="Times New Roman"/>
          <w:sz w:val="18"/>
          <w:szCs w:val="18"/>
          <w:color w:val="auto"/>
        </w:rPr>
      </w:pPr>
    </w:p>
    <w:p>
      <w:pPr>
        <w:ind w:left="940" w:hanging="523"/>
        <w:spacing w:after="0" w:line="282" w:lineRule="auto"/>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be expected to retain some income and capital gains in excess of what is permissible for excise tax purposes and such amounts will be subject to a nondeductible 4% U.S. federal excise tax.</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30" w:lineRule="exact"/>
        <w:rPr>
          <w:rFonts w:ascii="Times New Roman" w:cs="Times New Roman" w:eastAsia="Times New Roman" w:hAnsi="Times New Roman"/>
          <w:sz w:val="18"/>
          <w:szCs w:val="18"/>
          <w:color w:val="auto"/>
        </w:rPr>
      </w:pPr>
    </w:p>
    <w:p>
      <w:pPr>
        <w:ind w:left="940" w:hanging="523"/>
        <w:spacing w:after="0" w:line="266" w:lineRule="auto"/>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81" w:lineRule="exact"/>
        <w:rPr>
          <w:rFonts w:ascii="Times New Roman" w:cs="Times New Roman" w:eastAsia="Times New Roman" w:hAnsi="Times New Roman"/>
          <w:sz w:val="18"/>
          <w:szCs w:val="18"/>
          <w:color w:val="auto"/>
        </w:rPr>
      </w:pPr>
    </w:p>
    <w:p>
      <w:pPr>
        <w:ind w:left="940" w:right="140" w:hanging="523"/>
        <w:spacing w:after="0" w:line="312" w:lineRule="auto"/>
        <w:tabs>
          <w:tab w:leader="none" w:pos="9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45" w:lineRule="exact"/>
        <w:rPr>
          <w:rFonts w:ascii="Times New Roman" w:cs="Times New Roman" w:eastAsia="Times New Roman" w:hAnsi="Times New Roman"/>
          <w:sz w:val="17"/>
          <w:szCs w:val="17"/>
          <w:color w:val="auto"/>
        </w:rPr>
      </w:pPr>
    </w:p>
    <w:p>
      <w:pPr>
        <w:ind w:left="940" w:hanging="523"/>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being a publicly traded company.</w:t>
      </w:r>
    </w:p>
    <w:p>
      <w:pPr>
        <w:spacing w:after="0" w:line="130" w:lineRule="exact"/>
        <w:rPr>
          <w:rFonts w:ascii="Times New Roman" w:cs="Times New Roman" w:eastAsia="Times New Roman" w:hAnsi="Times New Roman"/>
          <w:sz w:val="18"/>
          <w:szCs w:val="18"/>
          <w:color w:val="auto"/>
        </w:rPr>
      </w:pPr>
    </w:p>
    <w:p>
      <w:pPr>
        <w:ind w:left="940" w:right="520" w:hanging="523"/>
        <w:spacing w:after="0" w:line="282" w:lineRule="auto"/>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General Corporation Law of the State of Delaware and our certificate of incorporation and bylaws could deter takeover attempts and have an adverse effect on the price of our common stock.</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are limited in their ability to make significant investments in us.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those of our portfolio companies.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stockholder approval.</w:t>
      </w:r>
    </w:p>
    <w:p>
      <w:pPr>
        <w:spacing w:after="0" w:line="130" w:lineRule="exact"/>
        <w:rPr>
          <w:rFonts w:ascii="Times New Roman" w:cs="Times New Roman" w:eastAsia="Times New Roman" w:hAnsi="Times New Roman"/>
          <w:sz w:val="18"/>
          <w:szCs w:val="18"/>
          <w:color w:val="auto"/>
        </w:rPr>
      </w:pPr>
    </w:p>
    <w:p>
      <w:pPr>
        <w:ind w:left="940" w:right="140" w:hanging="523"/>
        <w:spacing w:after="0" w:line="282" w:lineRule="auto"/>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of our debt investments to our portfolio companies and our indebtedness that extend beyond 2023 might be subject to change based on recent regulatory changes.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Economic Conditions</w:t>
      </w:r>
    </w:p>
    <w:p>
      <w:pPr>
        <w:spacing w:after="0" w:line="133" w:lineRule="exact"/>
        <w:rPr>
          <w:sz w:val="20"/>
          <w:szCs w:val="20"/>
          <w:color w:val="auto"/>
        </w:rPr>
      </w:pPr>
    </w:p>
    <w:p>
      <w:pPr>
        <w:ind w:left="940" w:right="500" w:hanging="523"/>
        <w:spacing w:after="0" w:line="282" w:lineRule="auto"/>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materially and adversely affected, and is likely to continue to materially and adversely affect, our portfolio companies and the results of our operations, including our financial results.</w:t>
      </w:r>
    </w:p>
    <w:p>
      <w:pPr>
        <w:spacing w:after="0" w:line="67" w:lineRule="exact"/>
        <w:rPr>
          <w:rFonts w:ascii="Times New Roman" w:cs="Times New Roman" w:eastAsia="Times New Roman" w:hAnsi="Times New Roman"/>
          <w:sz w:val="18"/>
          <w:szCs w:val="18"/>
          <w:color w:val="auto"/>
        </w:rPr>
      </w:pPr>
    </w:p>
    <w:p>
      <w:pPr>
        <w:ind w:left="940" w:right="40" w:hanging="523"/>
        <w:spacing w:after="0" w:line="282" w:lineRule="auto"/>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state of the economy and financial markets increases the likelihood of adverse effects on our financial position and results of operations.</w:t>
      </w:r>
    </w:p>
    <w:p>
      <w:pPr>
        <w:spacing w:after="0" w:line="67" w:lineRule="exact"/>
        <w:rPr>
          <w:rFonts w:ascii="Times New Roman" w:cs="Times New Roman" w:eastAsia="Times New Roman" w:hAnsi="Times New Roman"/>
          <w:sz w:val="18"/>
          <w:szCs w:val="18"/>
          <w:color w:val="auto"/>
        </w:rPr>
      </w:pPr>
    </w:p>
    <w:p>
      <w:pPr>
        <w:ind w:left="940" w:right="600" w:hanging="523"/>
        <w:spacing w:after="0" w:line="282" w:lineRule="auto"/>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financial stability could have a significant adverse effect on our business, results of operations and financial condition.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20"/>
          </w:cols>
          <w:pgMar w:left="620" w:top="486" w:right="659" w:bottom="1440" w:gutter="0" w:footer="0" w:header="0"/>
        </w:sectPr>
      </w:pPr>
    </w:p>
    <w:bookmarkStart w:id="59" w:name="page60"/>
    <w:bookmarkEnd w:id="59"/>
    <w:p>
      <w:pPr>
        <w:ind w:left="940" w:hanging="523"/>
        <w:spacing w:after="0"/>
        <w:tabs>
          <w:tab w:leader="none" w:pos="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487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74865" cy="6748780"/>
                    </a:xfrm>
                    <a:prstGeom prst="rect">
                      <a:avLst/>
                    </a:prstGeom>
                    <a:noFill/>
                  </pic:spPr>
                </pic:pic>
              </a:graphicData>
            </a:graphic>
          </wp:anchor>
        </w:drawing>
        <w:t>Economic recessions or downturns could impair our portfolio companies and harm our operating results.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Portfolio Company Investments</w:t>
      </w:r>
    </w:p>
    <w:p>
      <w:pPr>
        <w:spacing w:after="0" w:line="133" w:lineRule="exact"/>
        <w:rPr>
          <w:sz w:val="20"/>
          <w:szCs w:val="20"/>
          <w:color w:val="auto"/>
        </w:rPr>
      </w:pPr>
    </w:p>
    <w:p>
      <w:pPr>
        <w:ind w:left="940" w:hanging="523"/>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30" w:lineRule="exact"/>
        <w:rPr>
          <w:rFonts w:ascii="Times New Roman" w:cs="Times New Roman" w:eastAsia="Times New Roman" w:hAnsi="Times New Roman"/>
          <w:sz w:val="18"/>
          <w:szCs w:val="18"/>
          <w:color w:val="auto"/>
        </w:rPr>
      </w:pPr>
    </w:p>
    <w:p>
      <w:pPr>
        <w:jc w:val="both"/>
        <w:ind w:left="940" w:right="180" w:hanging="523"/>
        <w:spacing w:after="0" w:line="266" w:lineRule="auto"/>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1"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30" w:lineRule="exact"/>
        <w:rPr>
          <w:rFonts w:ascii="Times New Roman" w:cs="Times New Roman" w:eastAsia="Times New Roman" w:hAnsi="Times New Roman"/>
          <w:sz w:val="18"/>
          <w:szCs w:val="18"/>
          <w:color w:val="auto"/>
        </w:rPr>
      </w:pPr>
    </w:p>
    <w:p>
      <w:pPr>
        <w:ind w:left="940" w:right="200" w:hanging="523"/>
        <w:spacing w:after="0" w:line="266" w:lineRule="auto"/>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81"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securitize certain of our investments, which may subject us to certain structured financing risks.</w:t>
      </w:r>
    </w:p>
    <w:p>
      <w:pPr>
        <w:spacing w:after="0" w:line="130" w:lineRule="exact"/>
        <w:rPr>
          <w:rFonts w:ascii="Times New Roman" w:cs="Times New Roman" w:eastAsia="Times New Roman" w:hAnsi="Times New Roman"/>
          <w:sz w:val="18"/>
          <w:szCs w:val="18"/>
          <w:color w:val="auto"/>
        </w:rPr>
      </w:pPr>
    </w:p>
    <w:p>
      <w:pPr>
        <w:ind w:left="940" w:hanging="523"/>
        <w:spacing w:after="0" w:line="266" w:lineRule="auto"/>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1"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expected returns on our invested capital.</w:t>
      </w:r>
    </w:p>
    <w:p>
      <w:pPr>
        <w:spacing w:after="0" w:line="130" w:lineRule="exact"/>
        <w:rPr>
          <w:rFonts w:ascii="Times New Roman" w:cs="Times New Roman" w:eastAsia="Times New Roman" w:hAnsi="Times New Roman"/>
          <w:sz w:val="18"/>
          <w:szCs w:val="18"/>
          <w:color w:val="auto"/>
        </w:rPr>
      </w:pPr>
    </w:p>
    <w:p>
      <w:pPr>
        <w:ind w:left="940" w:right="80" w:hanging="523"/>
        <w:spacing w:after="0" w:line="282" w:lineRule="auto"/>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67" w:lineRule="exact"/>
        <w:rPr>
          <w:rFonts w:ascii="Times New Roman" w:cs="Times New Roman" w:eastAsia="Times New Roman" w:hAnsi="Times New Roman"/>
          <w:sz w:val="18"/>
          <w:szCs w:val="18"/>
          <w:color w:val="auto"/>
        </w:rPr>
      </w:pPr>
    </w:p>
    <w:p>
      <w:pPr>
        <w:ind w:left="940" w:hanging="523"/>
        <w:spacing w:after="0" w:line="282" w:lineRule="auto"/>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 and we may be exposed to special risks associated with bankruptcy cases.</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make follow-on investments in our portfolio companies could impair the value of our investments.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130" w:lineRule="exact"/>
        <w:rPr>
          <w:rFonts w:ascii="Times New Roman" w:cs="Times New Roman" w:eastAsia="Times New Roman" w:hAnsi="Times New Roman"/>
          <w:sz w:val="18"/>
          <w:szCs w:val="18"/>
          <w:color w:val="auto"/>
        </w:rPr>
      </w:pPr>
    </w:p>
    <w:p>
      <w:pPr>
        <w:ind w:left="940" w:right="60" w:hanging="523"/>
        <w:spacing w:after="0" w:line="282" w:lineRule="auto"/>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be able to obtain various required licenses in U.S. states or in any other jurisdiction where they may be required in the future.</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foreign companies may involve significant risks in addition to the risks inherent in U.S. investments.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expose ourselves to risks when we engage in hedging transactions.</w:t>
      </w:r>
    </w:p>
    <w:p>
      <w:pPr>
        <w:spacing w:after="0" w:line="130" w:lineRule="exact"/>
        <w:rPr>
          <w:rFonts w:ascii="Times New Roman" w:cs="Times New Roman" w:eastAsia="Times New Roman" w:hAnsi="Times New Roman"/>
          <w:sz w:val="18"/>
          <w:szCs w:val="18"/>
          <w:color w:val="auto"/>
        </w:rPr>
      </w:pPr>
    </w:p>
    <w:p>
      <w:pPr>
        <w:ind w:left="940" w:right="360" w:hanging="523"/>
        <w:spacing w:after="0" w:line="282" w:lineRule="auto"/>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market structure applicable to derivatives imposed by the Dodd-Frank Act may affect our ability to use over-the-counter (“OTC”) derivatives for hedging purposes.</w:t>
      </w:r>
    </w:p>
    <w:p>
      <w:pPr>
        <w:spacing w:after="0" w:line="67" w:lineRule="exact"/>
        <w:rPr>
          <w:rFonts w:ascii="Times New Roman" w:cs="Times New Roman" w:eastAsia="Times New Roman" w:hAnsi="Times New Roman"/>
          <w:sz w:val="18"/>
          <w:szCs w:val="18"/>
          <w:color w:val="auto"/>
        </w:rPr>
      </w:pPr>
    </w:p>
    <w:p>
      <w:pPr>
        <w:ind w:left="940" w:right="40" w:hanging="523"/>
        <w:spacing w:after="0" w:line="282" w:lineRule="auto"/>
        <w:tabs>
          <w:tab w:leader="none" w:pos="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investments may present special tax issues, and there are certain risks associated with holding debt obligations that have original issue discount or payment-in-kind interest.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940" w:hanging="523"/>
        <w:spacing w:after="0"/>
        <w:tabs>
          <w:tab w:leader="none" w:pos="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stock may not receive dividends or that our dividends may not grow over time.</w:t>
      </w:r>
    </w:p>
    <w:p>
      <w:pPr>
        <w:spacing w:after="0" w:line="333" w:lineRule="exact"/>
        <w:rPr>
          <w:rFonts w:ascii="Times New Roman" w:cs="Times New Roman" w:eastAsia="Times New Roman" w:hAnsi="Times New Roman"/>
          <w:sz w:val="18"/>
          <w:szCs w:val="18"/>
          <w:color w:val="auto"/>
        </w:rPr>
      </w:pPr>
    </w:p>
    <w:p>
      <w:pPr>
        <w:ind w:left="5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ectPr>
          <w:pgSz w:w="11900" w:h="16838" w:orient="portrait"/>
          <w:cols w:equalWidth="0" w:num="1">
            <w:col w:w="10620"/>
          </w:cols>
          <w:pgMar w:left="620" w:top="486" w:right="659" w:bottom="1440" w:gutter="0" w:footer="0" w:header="0"/>
        </w:sectPr>
      </w:pPr>
    </w:p>
    <w:bookmarkStart w:id="60" w:name="page61"/>
    <w:bookmarkEnd w:id="60"/>
    <w:p>
      <w:pPr>
        <w:ind w:left="940" w:hanging="523"/>
        <w:spacing w:after="0" w:line="282"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972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74865" cy="6097270"/>
                    </a:xfrm>
                    <a:prstGeom prst="rect">
                      <a:avLst/>
                    </a:prstGeom>
                    <a:noFill/>
                  </pic:spPr>
                </pic:pic>
              </a:graphicData>
            </a:graphic>
          </wp:anchor>
        </w:drawing>
        <w:t>Investing in our securities may involve a high degree of risk and the market price of our common stock may fluctuate significantly and could decline.</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experience dilution in their ownership percentage if they opt out of our dividend reinvestment plan.</w:t>
      </w:r>
    </w:p>
    <w:p>
      <w:pPr>
        <w:spacing w:after="0" w:line="130" w:lineRule="exact"/>
        <w:rPr>
          <w:rFonts w:ascii="Times New Roman" w:cs="Times New Roman" w:eastAsia="Times New Roman" w:hAnsi="Times New Roman"/>
          <w:sz w:val="18"/>
          <w:szCs w:val="18"/>
          <w:color w:val="auto"/>
        </w:rPr>
      </w:pPr>
    </w:p>
    <w:p>
      <w:pPr>
        <w:ind w:left="940" w:right="180" w:hanging="523"/>
        <w:spacing w:after="0" w:line="282" w:lineRule="auto"/>
        <w:tabs>
          <w:tab w:leader="none" w:pos="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our common stock by us under the Company 10b5-1 Plan may result in dilution to our net asset value per share and the price of our common stock being higher than the price that otherwise might exist in the open market.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33" w:lineRule="exact"/>
        <w:rPr>
          <w:sz w:val="20"/>
          <w:szCs w:val="20"/>
          <w:color w:val="auto"/>
        </w:rPr>
      </w:pPr>
    </w:p>
    <w:p>
      <w:pPr>
        <w:ind w:left="940" w:right="320" w:hanging="523"/>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systems failures could significantly disrupt our business, which may, in turn, negatively affect the market price of our common stock and our ability to pay dividend.</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global climate change may impact the operations of our portfolio companies.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allows us to incur additional leverage.</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operation as a BDC affect our ability to, and the way in which we, raise additional capital.</w:t>
      </w:r>
    </w:p>
    <w:p>
      <w:pPr>
        <w:spacing w:after="0" w:line="130"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business, financial conditions or results of operations.</w:t>
      </w:r>
    </w:p>
    <w:p>
      <w:pPr>
        <w:spacing w:after="0" w:line="130" w:lineRule="exact"/>
        <w:rPr>
          <w:rFonts w:ascii="Times New Roman" w:cs="Times New Roman" w:eastAsia="Times New Roman" w:hAnsi="Times New Roman"/>
          <w:sz w:val="18"/>
          <w:szCs w:val="18"/>
          <w:color w:val="auto"/>
        </w:rPr>
      </w:pPr>
    </w:p>
    <w:p>
      <w:pPr>
        <w:ind w:left="940" w:right="20" w:hanging="523"/>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proceeds of any offering made pursuant to this prospectus, to the extent it is successful.</w:t>
      </w:r>
    </w:p>
    <w:p>
      <w:pPr>
        <w:spacing w:after="0" w:line="130" w:lineRule="exact"/>
        <w:rPr>
          <w:rFonts w:ascii="Times New Roman" w:cs="Times New Roman" w:eastAsia="Times New Roman" w:hAnsi="Times New Roman"/>
          <w:sz w:val="18"/>
          <w:szCs w:val="18"/>
          <w:color w:val="auto"/>
        </w:rPr>
      </w:pPr>
    </w:p>
    <w:p>
      <w:pPr>
        <w:ind w:left="940" w:right="180" w:hanging="523"/>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67" w:lineRule="exact"/>
        <w:rPr>
          <w:rFonts w:ascii="Times New Roman" w:cs="Times New Roman" w:eastAsia="Times New Roman" w:hAnsi="Times New Roman"/>
          <w:sz w:val="18"/>
          <w:szCs w:val="18"/>
          <w:color w:val="auto"/>
        </w:rPr>
      </w:pPr>
    </w:p>
    <w:p>
      <w:pPr>
        <w:ind w:left="940" w:right="160" w:hanging="523"/>
        <w:spacing w:after="0" w:line="266"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81" w:lineRule="exact"/>
        <w:rPr>
          <w:rFonts w:ascii="Times New Roman" w:cs="Times New Roman" w:eastAsia="Times New Roman" w:hAnsi="Times New Roman"/>
          <w:sz w:val="18"/>
          <w:szCs w:val="18"/>
          <w:color w:val="auto"/>
        </w:rPr>
      </w:pPr>
    </w:p>
    <w:p>
      <w:pPr>
        <w:ind w:left="940" w:right="420" w:hanging="523"/>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the future determine to issue preferred stock, which could adversely affect the market value of our common stock and cause the net asset value and market value of our common stock to be more volatile.</w:t>
      </w:r>
    </w:p>
    <w:p>
      <w:pPr>
        <w:spacing w:after="0" w:line="67" w:lineRule="exact"/>
        <w:rPr>
          <w:rFonts w:ascii="Times New Roman" w:cs="Times New Roman" w:eastAsia="Times New Roman" w:hAnsi="Times New Roman"/>
          <w:sz w:val="18"/>
          <w:szCs w:val="18"/>
          <w:color w:val="auto"/>
        </w:rPr>
      </w:pPr>
    </w:p>
    <w:p>
      <w:pPr>
        <w:ind w:left="940" w:right="140" w:hanging="523"/>
        <w:spacing w:after="0" w:line="282" w:lineRule="auto"/>
        <w:tabs>
          <w:tab w:leader="none" w:pos="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any preferred stock we might issue would have the right to elect members of the board of directors and class voting rights on certain matters.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2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2100 McKinney Avenue, Suite 1500, Dallas, TX 75201 and our telephone number is (469) 621-3001. Our corporate website is located at https://sixthstreetspecialtylending.com. Information on our website is not incorporated into or a part of this prospectus.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40"/>
          </w:cols>
          <w:pgMar w:left="620" w:top="486" w:right="6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848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74865" cy="5848350"/>
                    </a:xfrm>
                    <a:prstGeom prst="rect">
                      <a:avLst/>
                    </a:prstGeom>
                    <a:noFill/>
                  </pic:spPr>
                </pic:pic>
              </a:graphicData>
            </a:graphic>
          </wp:anchor>
        </w:drawing>
        <w:t>THE OFFERING</w:t>
      </w:r>
    </w:p>
    <w:p>
      <w:pPr>
        <w:spacing w:after="0" w:line="229" w:lineRule="exact"/>
        <w:rPr>
          <w:sz w:val="20"/>
          <w:szCs w:val="20"/>
          <w:color w:val="auto"/>
        </w:rPr>
      </w:pPr>
    </w:p>
    <w:p>
      <w:pPr>
        <w:ind w:left="180" w:right="220" w:firstLine="426"/>
        <w:spacing w:after="0" w:line="268" w:lineRule="auto"/>
        <w:rPr>
          <w:sz w:val="20"/>
          <w:szCs w:val="20"/>
          <w:color w:val="auto"/>
        </w:rPr>
      </w:pPr>
      <w:r>
        <w:rPr>
          <w:rFonts w:ascii="Times New Roman" w:cs="Times New Roman" w:eastAsia="Times New Roman" w:hAnsi="Times New Roman"/>
          <w:sz w:val="17"/>
          <w:szCs w:val="17"/>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180" w:right="380" w:hanging="2"/>
        <w:spacing w:after="0" w:line="255" w:lineRule="auto"/>
        <w:tabs>
          <w:tab w:leader="none" w:pos="4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86" w:lineRule="exact"/>
        <w:rPr>
          <w:sz w:val="20"/>
          <w:szCs w:val="20"/>
          <w:color w:val="auto"/>
        </w:rPr>
      </w:pPr>
    </w:p>
    <w:p>
      <w:pPr>
        <w:ind w:left="180" w:right="280" w:firstLine="426"/>
        <w:spacing w:after="0" w:line="266" w:lineRule="auto"/>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intend to propose the extension of this approval in future years.</w:t>
      </w:r>
    </w:p>
    <w:p>
      <w:pPr>
        <w:spacing w:after="0" w:line="176" w:lineRule="exact"/>
        <w:rPr>
          <w:sz w:val="20"/>
          <w:szCs w:val="20"/>
          <w:color w:val="auto"/>
        </w:rPr>
      </w:pPr>
    </w:p>
    <w:p>
      <w:pPr>
        <w:ind w:left="180" w:right="300" w:firstLine="426"/>
        <w:spacing w:after="0" w:line="256" w:lineRule="auto"/>
        <w:rPr>
          <w:sz w:val="20"/>
          <w:szCs w:val="20"/>
          <w:color w:val="auto"/>
        </w:rPr>
      </w:pPr>
      <w:r>
        <w:rPr>
          <w:rFonts w:ascii="Times New Roman" w:cs="Times New Roman" w:eastAsia="Times New Roman" w:hAnsi="Times New Roman"/>
          <w:sz w:val="18"/>
          <w:szCs w:val="18"/>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Set forth below is additional information regarding offerings of our securities:</w:t>
      </w:r>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180" w:right="460" w:firstLine="959"/>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for general corporate purposes, which may include, among other things, investing in portfolio companies in accordance with our investment objective and repaying indebtedness (which will be subject to reborrowing).</w:t>
      </w:r>
    </w:p>
    <w:p>
      <w:pPr>
        <w:spacing w:after="0" w:line="176" w:lineRule="exact"/>
        <w:rPr>
          <w:sz w:val="20"/>
          <w:szCs w:val="20"/>
          <w:color w:val="auto"/>
        </w:rPr>
      </w:pPr>
    </w:p>
    <w:p>
      <w:pPr>
        <w:ind w:left="180" w:right="500" w:firstLine="426"/>
        <w:spacing w:after="0" w:line="282" w:lineRule="auto"/>
        <w:rPr>
          <w:sz w:val="20"/>
          <w:szCs w:val="20"/>
          <w:color w:val="auto"/>
        </w:rPr>
      </w:pPr>
      <w:r>
        <w:rPr>
          <w:rFonts w:ascii="Times New Roman" w:cs="Times New Roman" w:eastAsia="Times New Roman" w:hAnsi="Times New Roman"/>
          <w:sz w:val="18"/>
          <w:szCs w:val="18"/>
          <w:color w:val="auto"/>
        </w:rPr>
        <w:t>Each supplement to this prospectus relating to an offering will more fully identify the use of the proceeds from such offering. See “Use of Proceeds.”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Symbol on the NYSE</w:t>
            </w: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“TSLX”</w:t>
            </w:r>
          </w:p>
        </w:tc>
      </w:tr>
      <w:tr>
        <w:trPr>
          <w:trHeight w:val="414"/>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 the extent we have earnings available for distribution, we expect to continue distributing</w:t>
            </w:r>
          </w:p>
        </w:tc>
      </w:tr>
      <w:tr>
        <w:trPr>
          <w:trHeight w:val="216"/>
        </w:trPr>
        <w:tc>
          <w:tcPr>
            <w:tcW w:w="2860" w:type="dxa"/>
            <w:vAlign w:val="bottom"/>
          </w:tcPr>
          <w:p>
            <w:pPr>
              <w:spacing w:after="0"/>
              <w:rPr>
                <w:sz w:val="18"/>
                <w:szCs w:val="18"/>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quarterly dividends to our stockholders. The specific tax characteristics of our distributions will</w:t>
            </w:r>
          </w:p>
        </w:tc>
      </w:tr>
      <w:tr>
        <w:trPr>
          <w:trHeight w:val="216"/>
        </w:trPr>
        <w:tc>
          <w:tcPr>
            <w:tcW w:w="2860" w:type="dxa"/>
            <w:vAlign w:val="bottom"/>
          </w:tcPr>
          <w:p>
            <w:pPr>
              <w:spacing w:after="0"/>
              <w:rPr>
                <w:sz w:val="18"/>
                <w:szCs w:val="18"/>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be reported to stockholders after the end of the calendar year. Future quarterly dividends, if any,</w:t>
            </w:r>
          </w:p>
        </w:tc>
      </w:tr>
      <w:tr>
        <w:trPr>
          <w:trHeight w:val="234"/>
        </w:trPr>
        <w:tc>
          <w:tcPr>
            <w:tcW w:w="2860" w:type="dxa"/>
            <w:vAlign w:val="bottom"/>
          </w:tcPr>
          <w:p>
            <w:pPr>
              <w:spacing w:after="0"/>
              <w:rPr>
                <w:sz w:val="20"/>
                <w:szCs w:val="20"/>
                <w:color w:val="auto"/>
              </w:rPr>
            </w:pPr>
          </w:p>
        </w:tc>
        <w:tc>
          <w:tcPr>
            <w:tcW w:w="81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will be determined by our Board. See “Price Range of Common Stock and Distributions.”</w:t>
            </w:r>
          </w:p>
        </w:tc>
      </w:tr>
      <w:tr>
        <w:trPr>
          <w:trHeight w:val="159"/>
        </w:trPr>
        <w:tc>
          <w:tcPr>
            <w:tcW w:w="2860" w:type="dxa"/>
            <w:vAlign w:val="bottom"/>
            <w:tcBorders>
              <w:bottom w:val="single" w:sz="8" w:color="auto"/>
            </w:tcBorders>
          </w:tcPr>
          <w:p>
            <w:pPr>
              <w:spacing w:after="0"/>
              <w:rPr>
                <w:sz w:val="13"/>
                <w:szCs w:val="13"/>
                <w:color w:val="auto"/>
              </w:rPr>
            </w:pPr>
          </w:p>
        </w:tc>
        <w:tc>
          <w:tcPr>
            <w:tcW w:w="8160" w:type="dxa"/>
            <w:vAlign w:val="bottom"/>
            <w:tcBorders>
              <w:bottom w:val="single" w:sz="8" w:color="auto"/>
            </w:tcBorders>
          </w:tcPr>
          <w:p>
            <w:pPr>
              <w:spacing w:after="0"/>
              <w:rPr>
                <w:sz w:val="13"/>
                <w:szCs w:val="13"/>
                <w:color w:val="auto"/>
              </w:rPr>
            </w:pPr>
          </w:p>
        </w:tc>
      </w:tr>
      <w:tr>
        <w:trPr>
          <w:trHeight w:val="361"/>
        </w:trPr>
        <w:tc>
          <w:tcPr>
            <w:tcW w:w="2860" w:type="dxa"/>
            <w:vAlign w:val="bottom"/>
          </w:tcPr>
          <w:p>
            <w:pPr>
              <w:spacing w:after="0"/>
              <w:rPr>
                <w:sz w:val="24"/>
                <w:szCs w:val="24"/>
                <w:color w:val="auto"/>
              </w:rPr>
            </w:pPr>
          </w:p>
        </w:tc>
        <w:tc>
          <w:tcPr>
            <w:tcW w:w="81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020"/>
          </w:cols>
          <w:pgMar w:left="440" w:top="482" w:right="439" w:bottom="1440" w:gutter="0" w:footer="0" w:header="0"/>
        </w:sectPr>
      </w:pPr>
    </w:p>
    <w:bookmarkStart w:id="62" w:name="page63"/>
    <w:bookmarkEnd w:id="62"/>
    <w:p>
      <w:pPr>
        <w:ind w:left="37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14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74865" cy="6114415"/>
                    </a:xfrm>
                    <a:prstGeom prst="rect">
                      <a:avLst/>
                    </a:prstGeom>
                    <a:noFill/>
                  </pic:spPr>
                </pic:pic>
              </a:graphicData>
            </a:graphic>
          </wp:anchor>
        </w:drawing>
        <w:t>To maintain our tax treatment as a RIC, we must make certain distributions. See “Material U.S.</w:t>
      </w:r>
    </w:p>
    <w:p>
      <w:pPr>
        <w:spacing w:after="0" w:line="3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Federal Income Tax Considerations-Regulated Investment Company Classification.”</w:t>
      </w:r>
    </w:p>
    <w:p>
      <w:pPr>
        <w:sectPr>
          <w:pgSz w:w="11900" w:h="16838" w:orient="portrait"/>
          <w:cols w:equalWidth="0" w:num="1">
            <w:col w:w="10640"/>
          </w:cols>
          <w:pgMar w:left="620" w:top="729" w:right="6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w:t>
      </w:r>
    </w:p>
    <w:p>
      <w:pPr>
        <w:spacing w:after="0" w:line="179" w:lineRule="exact"/>
        <w:rPr>
          <w:sz w:val="20"/>
          <w:szCs w:val="20"/>
          <w:color w:val="auto"/>
        </w:rPr>
      </w:pPr>
    </w:p>
    <w:p>
      <w:pPr>
        <w:sectPr>
          <w:pgSz w:w="11900" w:h="16838" w:orient="portrait"/>
          <w:cols w:equalWidth="0" w:num="2">
            <w:col w:w="3020" w:space="720"/>
            <w:col w:w="6900"/>
          </w:cols>
          <w:pgMar w:left="620" w:top="729"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Leverage</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As a BDC, we are permitted under the 1940 Act to borrow funds or issue senior securities to finance a portion of our investments. As a result, we are exposed to the risks of leverage, which may be considered a speculative investment technique.</w:t>
      </w:r>
    </w:p>
    <w:p>
      <w:pPr>
        <w:spacing w:after="0" w:line="200" w:lineRule="exact"/>
        <w:rPr>
          <w:sz w:val="20"/>
          <w:szCs w:val="20"/>
          <w:color w:val="auto"/>
        </w:rPr>
      </w:pPr>
    </w:p>
    <w:p>
      <w:pPr>
        <w:sectPr>
          <w:pgSz w:w="11900" w:h="16838" w:orient="portrait"/>
          <w:cols w:equalWidth="0" w:num="2">
            <w:col w:w="3020" w:space="720"/>
            <w:col w:w="6900"/>
          </w:cols>
          <w:pgMar w:left="620" w:top="729" w:right="639" w:bottom="1440" w:gutter="0" w:footer="0" w:header="0"/>
          <w:type w:val="continuous"/>
        </w:sectPr>
      </w:pPr>
    </w:p>
    <w:p>
      <w:pPr>
        <w:spacing w:after="0" w:line="3" w:lineRule="exact"/>
        <w:rPr>
          <w:sz w:val="20"/>
          <w:szCs w:val="20"/>
          <w:color w:val="auto"/>
        </w:rPr>
      </w:pPr>
    </w:p>
    <w:p>
      <w:pPr>
        <w:ind w:left="3740" w:right="140"/>
        <w:spacing w:after="0" w:line="255"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“Regulation as a Business Development Company” in Part I, Item 1 of our 2022 Annual Report.</w:t>
      </w:r>
    </w:p>
    <w:p>
      <w:pPr>
        <w:sectPr>
          <w:pgSz w:w="11900" w:h="16838" w:orient="portrait"/>
          <w:cols w:equalWidth="0" w:num="1">
            <w:col w:w="10640"/>
          </w:cols>
          <w:pgMar w:left="620" w:top="729" w:right="63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w:t>
      </w:r>
    </w:p>
    <w:p>
      <w:pPr>
        <w:spacing w:after="0" w:line="183" w:lineRule="exact"/>
        <w:rPr>
          <w:sz w:val="20"/>
          <w:szCs w:val="20"/>
          <w:color w:val="auto"/>
        </w:rPr>
      </w:pPr>
    </w:p>
    <w:p>
      <w:pPr>
        <w:sectPr>
          <w:pgSz w:w="11900" w:h="16838" w:orient="portrait"/>
          <w:cols w:equalWidth="0" w:num="2">
            <w:col w:w="3020" w:space="720"/>
            <w:col w:w="6900"/>
          </w:cols>
          <w:pgMar w:left="620" w:top="729"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0" w:lineRule="exact"/>
        <w:rPr>
          <w:sz w:val="20"/>
          <w:szCs w:val="20"/>
          <w:color w:val="auto"/>
        </w:rPr>
      </w:pPr>
      <w:r>
        <w:rPr>
          <w:sz w:val="20"/>
          <w:szCs w:val="20"/>
          <w:color w:val="auto"/>
        </w:rPr>
        <w:br w:type="column"/>
      </w: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w:t>
      </w:r>
    </w:p>
    <w:p>
      <w:pPr>
        <w:spacing w:after="0" w:line="180" w:lineRule="exact"/>
        <w:rPr>
          <w:sz w:val="20"/>
          <w:szCs w:val="20"/>
          <w:color w:val="auto"/>
        </w:rPr>
      </w:pPr>
    </w:p>
    <w:p>
      <w:pPr>
        <w:sectPr>
          <w:pgSz w:w="11900" w:h="16838" w:orient="portrait"/>
          <w:cols w:equalWidth="0" w:num="2">
            <w:col w:w="3020" w:space="720"/>
            <w:col w:w="6900"/>
          </w:cols>
          <w:pgMar w:left="620" w:top="729" w:right="639" w:bottom="1440" w:gutter="0" w:footer="0" w:header="0"/>
          <w:type w:val="continuous"/>
        </w:sectPr>
      </w:pPr>
    </w:p>
    <w:p>
      <w:pPr>
        <w:ind w:right="140" w:firstLine="426"/>
        <w:spacing w:after="0" w:line="282" w:lineRule="auto"/>
        <w:rPr>
          <w:sz w:val="20"/>
          <w:szCs w:val="20"/>
          <w:color w:val="auto"/>
        </w:rPr>
      </w:pPr>
      <w:r>
        <w:rPr>
          <w:rFonts w:ascii="Times New Roman" w:cs="Times New Roman" w:eastAsia="Times New Roman" w:hAnsi="Times New Roman"/>
          <w:sz w:val="18"/>
          <w:szCs w:val="18"/>
          <w:color w:val="auto"/>
        </w:rPr>
        <w:t>To maintain our status as a RIC and to avoid being subject to corporate-level U.S. federal income taxation on our earnings, we must, among other things:</w:t>
      </w:r>
    </w:p>
    <w:p>
      <w:pPr>
        <w:spacing w:after="0" w:line="67" w:lineRule="exact"/>
        <w:rPr>
          <w:sz w:val="20"/>
          <w:szCs w:val="20"/>
          <w:color w:val="auto"/>
        </w:rPr>
      </w:pPr>
    </w:p>
    <w:p>
      <w:pPr>
        <w:ind w:left="940" w:hanging="523"/>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940" w:right="100" w:hanging="523"/>
        <w:spacing w:after="0" w:line="282" w:lineRule="auto"/>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940" w:hanging="523"/>
        <w:spacing w:after="0"/>
        <w:tabs>
          <w:tab w:leader="none" w:pos="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40"/>
          </w:cols>
          <w:pgMar w:left="620" w:top="729" w:right="639" w:bottom="1440" w:gutter="0" w:footer="0" w:header="0"/>
          <w:type w:val="continuous"/>
        </w:sectPr>
      </w:pPr>
    </w:p>
    <w:bookmarkStart w:id="63" w:name="page64"/>
    <w:bookmarkEnd w:id="63"/>
    <w:p>
      <w:pPr>
        <w:ind w:right="380" w:firstLine="42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05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74865" cy="6105525"/>
                    </a:xfrm>
                    <a:prstGeom prst="rect">
                      <a:avLst/>
                    </a:prstGeom>
                    <a:noFill/>
                  </pic:spPr>
                </pic:pic>
              </a:graphicData>
            </a:graphic>
          </wp:anchor>
        </w:drawing>
        <w:t>In addition, we must distribute (or be treated as distributing) in each taxable year dividends for tax purposes equal to at least 90% of our investment company taxable income and net tax-exempt income for that taxable year.</w:t>
      </w:r>
    </w:p>
    <w:p>
      <w:pPr>
        <w:spacing w:after="0" w:line="162" w:lineRule="exact"/>
        <w:rPr>
          <w:sz w:val="20"/>
          <w:szCs w:val="20"/>
          <w:color w:val="auto"/>
        </w:rPr>
      </w:pPr>
    </w:p>
    <w:p>
      <w:pPr>
        <w:ind w:firstLine="426"/>
        <w:spacing w:after="0" w:line="253" w:lineRule="auto"/>
        <w:rPr>
          <w:sz w:val="20"/>
          <w:szCs w:val="20"/>
          <w:color w:val="auto"/>
        </w:rPr>
      </w:pPr>
      <w:r>
        <w:rPr>
          <w:rFonts w:ascii="Times New Roman" w:cs="Times New Roman" w:eastAsia="Times New Roman" w:hAnsi="Times New Roman"/>
          <w:sz w:val="18"/>
          <w:szCs w:val="18"/>
          <w:color w:val="auto"/>
        </w:rPr>
        <w:t>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nine months ended September 30, 2023. For the three and nine months ended September 30, 2023 we recorded a net expense of $0.5 million and $1.8 million, respectively, for U.S. federal excise tax and other taxes. For the three and nine months ended September 30, 2022, the Company recorded a net expense of $0.4 million and $1.5 million, respectively, for U.S. federal excise tax and other taxes and for the calendar years ended December 31, 2022 and 2021 and we recorded a net expense of, $2.6 million and $0.4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w:t>
      </w:r>
    </w:p>
    <w:p>
      <w:pPr>
        <w:spacing w:after="0" w:line="192" w:lineRule="exact"/>
        <w:rPr>
          <w:sz w:val="20"/>
          <w:szCs w:val="20"/>
          <w:color w:val="auto"/>
        </w:rPr>
      </w:pPr>
    </w:p>
    <w:p>
      <w:pPr>
        <w:jc w:val="both"/>
        <w:ind w:right="280" w:firstLine="426"/>
        <w:spacing w:after="0" w:line="289" w:lineRule="auto"/>
        <w:rPr>
          <w:sz w:val="20"/>
          <w:szCs w:val="20"/>
          <w:color w:val="auto"/>
        </w:rPr>
      </w:pPr>
      <w:r>
        <w:rPr>
          <w:rFonts w:ascii="Times New Roman" w:cs="Times New Roman" w:eastAsia="Times New Roman" w:hAnsi="Times New Roman"/>
          <w:sz w:val="17"/>
          <w:szCs w:val="17"/>
          <w:color w:val="auto"/>
        </w:rPr>
        <w:t>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Arrangements</w:t>
      </w:r>
    </w:p>
    <w:p>
      <w:pPr>
        <w:spacing w:after="0" w:line="121" w:lineRule="exact"/>
        <w:rPr>
          <w:sz w:val="20"/>
          <w:szCs w:val="20"/>
          <w:color w:val="auto"/>
        </w:rPr>
      </w:pPr>
    </w:p>
    <w:p>
      <w:pPr>
        <w:jc w:val="both"/>
        <w:ind w:right="260" w:firstLine="426"/>
        <w:spacing w:after="0" w:line="266" w:lineRule="auto"/>
        <w:rPr>
          <w:sz w:val="20"/>
          <w:szCs w:val="20"/>
          <w:color w:val="auto"/>
        </w:rPr>
      </w:pPr>
      <w:r>
        <w:rPr>
          <w:rFonts w:ascii="Times New Roman" w:cs="Times New Roman" w:eastAsia="Times New Roman" w:hAnsi="Times New Roman"/>
          <w:sz w:val="18"/>
          <w:szCs w:val="18"/>
          <w:color w:val="auto"/>
        </w:rPr>
        <w:t>Our Adviser serves as our investment adviser and our administrator. For more information regarding our Adviser and Sixth Street and our contractual arrangements with these companies, see “Management Agreements” in Part I, Item 1 of our 2022 Annual Report and Note 3 to our consolidated financial statements in our 3Q 2023 Quarterly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at a Discount</w:t>
      </w:r>
    </w:p>
    <w:p>
      <w:pPr>
        <w:spacing w:after="0" w:line="121" w:lineRule="exact"/>
        <w:rPr>
          <w:sz w:val="20"/>
          <w:szCs w:val="20"/>
          <w:color w:val="auto"/>
        </w:rPr>
      </w:pPr>
    </w:p>
    <w:p>
      <w:pPr>
        <w:ind w:right="140" w:firstLine="959"/>
        <w:spacing w:after="0" w:line="256"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at a price per share above, at or below net asset value per share. See “Risk Factors-Risks Related to Offerings Pursuant to This Prospectus.”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40" w:firstLine="1384"/>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w:t>
      </w:r>
    </w:p>
    <w:p>
      <w:pPr>
        <w:spacing w:after="0" w:line="176" w:lineRule="exact"/>
        <w:rPr>
          <w:sz w:val="20"/>
          <w:szCs w:val="20"/>
          <w:color w:val="auto"/>
        </w:rPr>
      </w:pPr>
    </w:p>
    <w:p>
      <w:pPr>
        <w:ind w:right="40" w:firstLine="426"/>
        <w:spacing w:after="0" w:line="282" w:lineRule="auto"/>
        <w:rPr>
          <w:sz w:val="20"/>
          <w:szCs w:val="20"/>
          <w:color w:val="auto"/>
        </w:rPr>
      </w:pPr>
      <w:r>
        <w:rPr>
          <w:rFonts w:ascii="Times New Roman" w:cs="Times New Roman" w:eastAsia="Times New Roman" w:hAnsi="Times New Roman"/>
          <w:sz w:val="18"/>
          <w:szCs w:val="18"/>
          <w:color w:val="auto"/>
        </w:rPr>
        <w:t>We maintain a website at https://sixthstreetspecialtylending.com and make all of our periodic and current reports, proxy statements and other information available, free of charge, on or through our website. Information</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600"/>
          </w:cols>
          <w:pgMar w:left="620" w:top="486" w:right="679" w:bottom="1440" w:gutter="0" w:footer="0" w:header="0"/>
        </w:sectPr>
      </w:pPr>
    </w:p>
    <w:bookmarkStart w:id="64" w:name="page65"/>
    <w:bookmarkEnd w:id="6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442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74865" cy="1442085"/>
                    </a:xfrm>
                    <a:prstGeom prst="rect">
                      <a:avLst/>
                    </a:prstGeom>
                    <a:noFill/>
                  </pic:spPr>
                </pic:pic>
              </a:graphicData>
            </a:graphic>
          </wp:anchor>
        </w:drawing>
        <w:t>on our website is not incorporated into or part of this prospectus. You may also obtain such information free of charge by contacting us in writing at 888 7th Avenue, 41st Floor, New York, NY 10106, Attention: TSLX Investor Relations, or by emailing us at IRTSLX@sixthstreet.com.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ind w:right="60" w:firstLine="426"/>
        <w:spacing w:after="0" w:line="266"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prospectus. The information incorporated by reference is considered to be a part of this prospectus, and information that we file later with the SEC will automatically update and supersede this information. See “Information Incorporated by Reference” for more information.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640"/>
          </w:cols>
          <w:pgMar w:left="620" w:top="486" w:right="639" w:bottom="1440" w:gutter="0" w:footer="0" w:header="0"/>
        </w:sectPr>
      </w:pPr>
    </w:p>
    <w:bookmarkStart w:id="65" w:name="page66"/>
    <w:bookmarkEnd w:id="65"/>
    <w:p>
      <w:pPr>
        <w:jc w:val="center"/>
        <w:ind w:right="-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251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74865" cy="6251575"/>
                    </a:xfrm>
                    <a:prstGeom prst="rect">
                      <a:avLst/>
                    </a:prstGeom>
                    <a:noFill/>
                  </pic:spPr>
                </pic:pic>
              </a:graphicData>
            </a:graphic>
          </wp:anchor>
        </w:drawing>
        <w:t>FEES AND EXPENSES</w:t>
      </w:r>
    </w:p>
    <w:p>
      <w:pPr>
        <w:spacing w:after="0" w:line="229" w:lineRule="exact"/>
        <w:rPr>
          <w:sz w:val="20"/>
          <w:szCs w:val="20"/>
          <w:color w:val="auto"/>
        </w:rPr>
      </w:pPr>
    </w:p>
    <w:p>
      <w:pPr>
        <w:ind w:left="2" w:right="60" w:firstLine="426"/>
        <w:spacing w:after="0" w:line="254"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“Sixth Street Specialty Lending, Inc.” or says that “we” will pay fees or expenses, stockholders will indirectly bear these fees or expenses as investors in Sixth Street Specialty Lending, Inc.</w:t>
      </w:r>
    </w:p>
    <w:p>
      <w:pPr>
        <w:spacing w:after="0" w:line="234"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Sales load</w:t>
            </w: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2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8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Estimated annual expenses (as a percentage of net assets attributable to common stock)</w:t>
            </w:r>
            <w:r>
              <w:rPr>
                <w:rFonts w:ascii="Times New Roman" w:cs="Times New Roman" w:eastAsia="Times New Roman" w:hAnsi="Times New Roman"/>
                <w:sz w:val="25"/>
                <w:szCs w:val="25"/>
                <w:b w:val="1"/>
                <w:bCs w:val="1"/>
                <w:color w:val="auto"/>
                <w:vertAlign w:val="superscript"/>
              </w:rPr>
              <w:t>(4)</w:t>
            </w:r>
            <w:r>
              <w:rPr>
                <w:rFonts w:ascii="Times New Roman" w:cs="Times New Roman" w:eastAsia="Times New Roman" w:hAnsi="Times New Roman"/>
                <w:sz w:val="17"/>
                <w:szCs w:val="17"/>
                <w:b w:val="1"/>
                <w:bCs w:val="1"/>
                <w:color w:val="auto"/>
              </w:rPr>
              <w:t>:</w:t>
            </w: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w:t>
            </w:r>
          </w:p>
        </w:tc>
        <w:tc>
          <w:tcPr>
            <w:tcW w:w="2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2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4.17</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annual expenses</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22" w:right="280" w:hanging="422"/>
        <w:spacing w:after="0" w:line="282" w:lineRule="auto"/>
        <w:tabs>
          <w:tab w:leader="none" w:pos="4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67" w:lineRule="exact"/>
        <w:rPr>
          <w:rFonts w:ascii="Times New Roman" w:cs="Times New Roman" w:eastAsia="Times New Roman" w:hAnsi="Times New Roman"/>
          <w:sz w:val="18"/>
          <w:szCs w:val="18"/>
          <w:color w:val="auto"/>
        </w:rPr>
      </w:pPr>
    </w:p>
    <w:p>
      <w:pPr>
        <w:ind w:left="422" w:right="460" w:hanging="422"/>
        <w:spacing w:after="0" w:line="282" w:lineRule="auto"/>
        <w:tabs>
          <w:tab w:leader="none" w:pos="4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offering expenses, the offering price and the offering expenses borne by us as a percentage of the offering price.</w:t>
      </w:r>
    </w:p>
    <w:p>
      <w:pPr>
        <w:spacing w:after="0" w:line="67" w:lineRule="exact"/>
        <w:rPr>
          <w:rFonts w:ascii="Times New Roman" w:cs="Times New Roman" w:eastAsia="Times New Roman" w:hAnsi="Times New Roman"/>
          <w:sz w:val="18"/>
          <w:szCs w:val="18"/>
          <w:color w:val="auto"/>
        </w:rPr>
      </w:pPr>
    </w:p>
    <w:p>
      <w:pPr>
        <w:ind w:left="422" w:right="180" w:hanging="422"/>
        <w:spacing w:after="0" w:line="258" w:lineRule="auto"/>
        <w:tabs>
          <w:tab w:leader="none" w:pos="4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88" w:lineRule="exact"/>
        <w:rPr>
          <w:rFonts w:ascii="Times New Roman" w:cs="Times New Roman" w:eastAsia="Times New Roman" w:hAnsi="Times New Roman"/>
          <w:sz w:val="18"/>
          <w:szCs w:val="18"/>
          <w:color w:val="auto"/>
        </w:rPr>
      </w:pPr>
    </w:p>
    <w:p>
      <w:pPr>
        <w:ind w:left="422" w:right="440" w:hanging="422"/>
        <w:spacing w:after="0" w:line="282" w:lineRule="auto"/>
        <w:tabs>
          <w:tab w:leader="none" w:pos="4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assets attributable to common stock used to calculate the percentages in this table reflect our net assets of $1,341.6 million as of December 31, 2022.</w:t>
      </w:r>
    </w:p>
    <w:p>
      <w:pPr>
        <w:spacing w:after="0" w:line="67" w:lineRule="exact"/>
        <w:rPr>
          <w:rFonts w:ascii="Times New Roman" w:cs="Times New Roman" w:eastAsia="Times New Roman" w:hAnsi="Times New Roman"/>
          <w:sz w:val="18"/>
          <w:szCs w:val="18"/>
          <w:color w:val="auto"/>
        </w:rPr>
      </w:pPr>
    </w:p>
    <w:p>
      <w:pPr>
        <w:ind w:left="422" w:right="40" w:hanging="422"/>
        <w:spacing w:after="0" w:line="256" w:lineRule="auto"/>
        <w:tabs>
          <w:tab w:leader="none" w:pos="4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2022 Annual Report and in Note 3 to our consolidated financial statements in our 3Q 2023 Quarterly Report.</w:t>
      </w:r>
    </w:p>
    <w:p>
      <w:pPr>
        <w:spacing w:after="0" w:line="29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642"/>
          </w:cols>
          <w:pgMar w:left="618" w:top="482" w:right="639" w:bottom="1440" w:gutter="0" w:footer="0" w:header="0"/>
        </w:sectPr>
      </w:pPr>
    </w:p>
    <w:bookmarkStart w:id="66" w:name="page67"/>
    <w:bookmarkEnd w:id="66"/>
    <w:p>
      <w:pPr>
        <w:ind w:left="422"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85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74865" cy="5985510"/>
                    </a:xfrm>
                    <a:prstGeom prst="rect">
                      <a:avLst/>
                    </a:prstGeom>
                    <a:noFill/>
                  </pic:spPr>
                </pic:pic>
              </a:graphicData>
            </a:graphic>
          </wp:anchor>
        </w:drawing>
        <w:t>The Management Fee reflected in the table is calculated by determining the ratio that the Management Fee for the year ended December 31, 2022 bears to our net assets attributable to common stock (rather than our gross assets).</w:t>
      </w:r>
    </w:p>
    <w:p>
      <w:pPr>
        <w:spacing w:after="0" w:line="162" w:lineRule="exact"/>
        <w:rPr>
          <w:sz w:val="20"/>
          <w:szCs w:val="20"/>
          <w:color w:val="auto"/>
        </w:rPr>
      </w:pPr>
    </w:p>
    <w:p>
      <w:pPr>
        <w:ind w:left="422"/>
        <w:spacing w:after="0" w:line="258" w:lineRule="auto"/>
        <w:rPr>
          <w:sz w:val="20"/>
          <w:szCs w:val="20"/>
          <w:color w:val="auto"/>
        </w:rPr>
      </w:pPr>
      <w:r>
        <w:rPr>
          <w:rFonts w:ascii="Times New Roman" w:cs="Times New Roman" w:eastAsia="Times New Roman" w:hAnsi="Times New Roman"/>
          <w:sz w:val="18"/>
          <w:szCs w:val="18"/>
          <w:color w:val="auto"/>
        </w:rPr>
        <w:t>From time to time, our Adviser voluntarily has waived certain Management Fees. See “Management’s Discussion and Analysis of Financial Condition and Results of Operations-Results of Operations-Management Fees” in Part II, Item 7 of our 2022 Annual Report and in Part I, Item 2 of our 3Q 2023 Quarterly Report. The above estimates are based on our actual Management Fees for the year ended December 31, 2022. For the year ended December 31, 2022, Management Fees of $0.4 million were waived consisting solely of Management Fees pursuant to the Leverage Waiver.</w:t>
      </w:r>
    </w:p>
    <w:p>
      <w:pPr>
        <w:spacing w:after="0" w:line="183" w:lineRule="exact"/>
        <w:rPr>
          <w:sz w:val="20"/>
          <w:szCs w:val="20"/>
          <w:color w:val="auto"/>
        </w:rPr>
      </w:pPr>
    </w:p>
    <w:p>
      <w:pPr>
        <w:ind w:left="422" w:right="80"/>
        <w:spacing w:after="0" w:line="253"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2023, Management Fees of $0.3 million and $0.8 million have been waived pursuant to the Leverage Waiver. 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2022 and assumes that the Incentive Fee is 17.5% for all relevant periods. However, the Incentive Fee payable to the Adviser is based on our performance and will not be paid unless we achieve certain goals.</w:t>
      </w:r>
    </w:p>
    <w:p>
      <w:pPr>
        <w:spacing w:after="0" w:line="221" w:lineRule="exact"/>
        <w:rPr>
          <w:sz w:val="20"/>
          <w:szCs w:val="20"/>
          <w:color w:val="auto"/>
        </w:rPr>
      </w:pPr>
    </w:p>
    <w:p>
      <w:pPr>
        <w:ind w:left="422" w:hanging="422"/>
        <w:spacing w:after="0"/>
        <w:tabs>
          <w:tab w:leader="none" w:pos="4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consists of two parts, as follows:</w:t>
      </w:r>
    </w:p>
    <w:p>
      <w:pPr>
        <w:spacing w:after="0" w:line="225" w:lineRule="exact"/>
        <w:rPr>
          <w:rFonts w:ascii="Times New Roman" w:cs="Times New Roman" w:eastAsia="Times New Roman" w:hAnsi="Times New Roman"/>
          <w:sz w:val="18"/>
          <w:szCs w:val="18"/>
          <w:color w:val="auto"/>
        </w:rPr>
      </w:pPr>
    </w:p>
    <w:p>
      <w:pPr>
        <w:ind w:left="422" w:right="1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w:t>
      </w:r>
    </w:p>
    <w:p>
      <w:pPr>
        <w:spacing w:after="0" w:line="1" w:lineRule="exact"/>
        <w:rPr>
          <w:rFonts w:ascii="Times New Roman" w:cs="Times New Roman" w:eastAsia="Times New Roman" w:hAnsi="Times New Roman"/>
          <w:sz w:val="18"/>
          <w:szCs w:val="18"/>
          <w:color w:val="auto"/>
        </w:rPr>
      </w:pPr>
    </w:p>
    <w:p>
      <w:pPr>
        <w:ind w:left="422"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87" w:lineRule="exact"/>
        <w:rPr>
          <w:sz w:val="20"/>
          <w:szCs w:val="20"/>
          <w:color w:val="auto"/>
        </w:rPr>
      </w:pPr>
    </w:p>
    <w:p>
      <w:pPr>
        <w:ind w:left="422" w:right="60"/>
        <w:spacing w:after="0" w:line="256" w:lineRule="auto"/>
        <w:rPr>
          <w:sz w:val="20"/>
          <w:szCs w:val="20"/>
          <w:color w:val="auto"/>
        </w:rPr>
      </w:pPr>
      <w:r>
        <w:rPr>
          <w:rFonts w:ascii="Times New Roman" w:cs="Times New Roman" w:eastAsia="Times New Roman" w:hAnsi="Times New Roman"/>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187" w:lineRule="exact"/>
        <w:rPr>
          <w:sz w:val="20"/>
          <w:szCs w:val="20"/>
          <w:color w:val="auto"/>
        </w:rPr>
      </w:pPr>
    </w:p>
    <w:p>
      <w:pPr>
        <w:ind w:left="422" w:right="260" w:firstLine="4"/>
        <w:spacing w:after="0" w:line="266" w:lineRule="auto"/>
        <w:tabs>
          <w:tab w:leader="none" w:pos="68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w:t>
      </w:r>
    </w:p>
    <w:p>
      <w:pPr>
        <w:spacing w:after="0" w:line="28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622"/>
          </w:cols>
          <w:pgMar w:left="618" w:top="486" w:right="659" w:bottom="1440" w:gutter="0" w:footer="0" w:header="0"/>
        </w:sectPr>
      </w:pPr>
    </w:p>
    <w:bookmarkStart w:id="67" w:name="page68"/>
    <w:bookmarkEnd w:id="67"/>
    <w:p>
      <w:pPr>
        <w:ind w:left="422"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9086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74865" cy="5908675"/>
                    </a:xfrm>
                    <a:prstGeom prst="rect">
                      <a:avLst/>
                    </a:prstGeom>
                    <a:noFill/>
                  </pic:spPr>
                </pic:pic>
              </a:graphicData>
            </a:graphic>
          </wp:anchor>
        </w:drawing>
        <w:t>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88" w:lineRule="exact"/>
        <w:rPr>
          <w:sz w:val="20"/>
          <w:szCs w:val="20"/>
          <w:color w:val="auto"/>
        </w:rPr>
      </w:pPr>
    </w:p>
    <w:p>
      <w:pPr>
        <w:ind w:left="422" w:right="380"/>
        <w:spacing w:after="0" w:line="312" w:lineRule="auto"/>
        <w:rPr>
          <w:sz w:val="20"/>
          <w:szCs w:val="20"/>
          <w:color w:val="auto"/>
        </w:rPr>
      </w:pPr>
      <w:r>
        <w:rPr>
          <w:rFonts w:ascii="Times New Roman" w:cs="Times New Roman" w:eastAsia="Times New Roman" w:hAnsi="Times New Roman"/>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0" w:lineRule="exact"/>
        <w:rPr>
          <w:sz w:val="20"/>
          <w:szCs w:val="20"/>
          <w:color w:val="auto"/>
        </w:rPr>
      </w:pPr>
    </w:p>
    <w:p>
      <w:pPr>
        <w:ind w:left="422"/>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88" w:lineRule="exact"/>
        <w:rPr>
          <w:sz w:val="20"/>
          <w:szCs w:val="20"/>
          <w:color w:val="auto"/>
        </w:rPr>
      </w:pPr>
    </w:p>
    <w:p>
      <w:pPr>
        <w:ind w:left="422" w:right="100"/>
        <w:spacing w:after="0" w:line="282" w:lineRule="auto"/>
        <w:rPr>
          <w:sz w:val="20"/>
          <w:szCs w:val="20"/>
          <w:color w:val="auto"/>
        </w:rPr>
      </w:pPr>
      <w:r>
        <w:rPr>
          <w:rFonts w:ascii="Times New Roman" w:cs="Times New Roman" w:eastAsia="Times New Roman" w:hAnsi="Times New Roman"/>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left="422" w:right="100"/>
        <w:spacing w:after="0" w:line="266" w:lineRule="auto"/>
        <w:rPr>
          <w:sz w:val="20"/>
          <w:szCs w:val="20"/>
          <w:color w:val="auto"/>
        </w:rPr>
      </w:pPr>
      <w:r>
        <w:rPr>
          <w:rFonts w:ascii="Times New Roman" w:cs="Times New Roman" w:eastAsia="Times New Roman" w:hAnsi="Times New Roman"/>
          <w:sz w:val="18"/>
          <w:szCs w:val="18"/>
          <w:color w:val="auto"/>
        </w:rPr>
        <w:t>See Note 3 to our consolidated financial statements in our 2022 Annual Report and our 3Q 2023 Quarterly Report and “Management Agreements-Investment Advisory Agreement; Administration Agreement; License Agreement” in Part I, Item 1 of our 2022 Annual Report and Note 3 to our consolidated financial statements in our 3Q 2023 Quarterly Report.</w:t>
      </w:r>
    </w:p>
    <w:p>
      <w:pPr>
        <w:spacing w:after="0" w:line="176" w:lineRule="exact"/>
        <w:rPr>
          <w:sz w:val="20"/>
          <w:szCs w:val="20"/>
          <w:color w:val="auto"/>
        </w:rPr>
      </w:pPr>
    </w:p>
    <w:p>
      <w:pPr>
        <w:ind w:left="422" w:right="20"/>
        <w:spacing w:after="0" w:line="266" w:lineRule="auto"/>
        <w:rPr>
          <w:sz w:val="20"/>
          <w:szCs w:val="20"/>
          <w:color w:val="auto"/>
        </w:rPr>
      </w:pPr>
      <w:r>
        <w:rPr>
          <w:rFonts w:ascii="Times New Roman" w:cs="Times New Roman" w:eastAsia="Times New Roman" w:hAnsi="Times New Roman"/>
          <w:sz w:val="18"/>
          <w:szCs w:val="18"/>
          <w:color w:val="auto"/>
        </w:rPr>
        <w:t>From time to time, our Adviser has voluntarily waived certain Incentive Fees. See “Management’s Discussion and Analysis of Financial Condition and Results of Operations-Results of Operations-Incentive Fees” in Part II, Item 7 of our 2022 Annual Report and in Part I, Item 2 of our 3Q 2023 Quarterly Report. The above estimates do not reflect or assume any such waivers.</w:t>
      </w:r>
    </w:p>
    <w:p>
      <w:pPr>
        <w:spacing w:after="0" w:line="81" w:lineRule="exact"/>
        <w:rPr>
          <w:sz w:val="20"/>
          <w:szCs w:val="20"/>
          <w:color w:val="auto"/>
        </w:rPr>
      </w:pPr>
    </w:p>
    <w:p>
      <w:pPr>
        <w:ind w:left="422" w:right="60" w:hanging="422"/>
        <w:spacing w:after="0" w:line="268" w:lineRule="auto"/>
        <w:tabs>
          <w:tab w:leader="none" w:pos="42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payments on borrowed funds is based on our interest expense for the year ended December 31, 2022 under our credit facilities excluding fees (such as fees on undrawn amounts and amortization of upfront fees) and including the swap-adjusted interest expense related to our 2022 Convertible Notes, 2023 Notes,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w:t>
      </w:r>
    </w:p>
    <w:p>
      <w:pPr>
        <w:spacing w:after="0" w:line="4" w:lineRule="exact"/>
        <w:rPr>
          <w:rFonts w:ascii="Times New Roman" w:cs="Times New Roman" w:eastAsia="Times New Roman" w:hAnsi="Times New Roman"/>
          <w:sz w:val="17"/>
          <w:szCs w:val="17"/>
          <w:color w:val="auto"/>
        </w:rPr>
      </w:pPr>
    </w:p>
    <w:p>
      <w:pPr>
        <w:ind w:left="42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SBCAA.</w:t>
      </w:r>
    </w:p>
    <w:p>
      <w:pPr>
        <w:spacing w:after="0" w:line="315"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602"/>
          </w:cols>
          <w:pgMar w:left="618" w:top="486" w:right="679" w:bottom="1440" w:gutter="0" w:footer="0" w:header="0"/>
        </w:sectPr>
      </w:pPr>
    </w:p>
    <w:bookmarkStart w:id="68" w:name="page69"/>
    <w:bookmarkEnd w:id="68"/>
    <w:p>
      <w:pPr>
        <w:ind w:left="422" w:right="60" w:hanging="422"/>
        <w:spacing w:after="0" w:line="261" w:lineRule="auto"/>
        <w:tabs>
          <w:tab w:leader="none" w:pos="42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708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74865" cy="4708525"/>
                    </a:xfrm>
                    <a:prstGeom prst="rect">
                      <a:avLst/>
                    </a:prstGeom>
                    <a:noFill/>
                  </pic:spPr>
                </pic:pic>
              </a:graphicData>
            </a:graphic>
          </wp:anchor>
        </w:drawing>
        <w:t>Includes our overhead expenses, such as payments under the Administration Agreement for certain expenses incurred by the Adviser, and excise taxes. See “Management Agreements-Investment Advisory Agreement; Administration Agreement; License Agreement” in Part I, Item 1 of our 2022 Annual Report and Note 3 to our consolidated financial statements in our 3Q 2023 Quarterly Report. The expenses in this table are based on our actual other expenses and excise taxes for the year ended December 31, 2022.</w:t>
      </w:r>
    </w:p>
    <w:p>
      <w:pPr>
        <w:spacing w:after="0" w:line="2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2" w:right="180" w:firstLine="426"/>
        <w:spacing w:after="0" w:line="25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08" w:lineRule="exact"/>
        <w:rPr>
          <w:sz w:val="20"/>
          <w:szCs w:val="20"/>
          <w:color w:val="auto"/>
        </w:rPr>
      </w:pPr>
    </w:p>
    <w:tbl>
      <w:tblPr>
        <w:tblLayout w:type="fixed"/>
        <w:tblInd w:w="2"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3 years</w:t>
            </w:r>
          </w:p>
        </w:tc>
        <w:tc>
          <w:tcPr>
            <w:tcW w:w="3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7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 common stock investment, assuming a 5% annual</w:t>
            </w:r>
          </w:p>
        </w:tc>
        <w:tc>
          <w:tcPr>
            <w:tcW w:w="2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from realized capital gains</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92</w:t>
            </w: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$ 265</w:t>
            </w:r>
          </w:p>
        </w:tc>
        <w:tc>
          <w:tcPr>
            <w:tcW w:w="9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$ 423</w:t>
            </w:r>
          </w:p>
        </w:tc>
        <w:tc>
          <w:tcPr>
            <w:tcW w:w="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765</w:t>
            </w:r>
          </w:p>
        </w:tc>
      </w:tr>
    </w:tbl>
    <w:p>
      <w:pPr>
        <w:spacing w:after="0" w:line="198" w:lineRule="exact"/>
        <w:rPr>
          <w:sz w:val="20"/>
          <w:szCs w:val="20"/>
          <w:color w:val="auto"/>
        </w:rPr>
      </w:pPr>
    </w:p>
    <w:p>
      <w:pPr>
        <w:ind w:left="2" w:firstLine="426"/>
        <w:spacing w:after="0" w:line="253"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88" w:lineRule="exact"/>
        <w:rPr>
          <w:sz w:val="20"/>
          <w:szCs w:val="20"/>
          <w:color w:val="auto"/>
        </w:rPr>
      </w:pPr>
    </w:p>
    <w:p>
      <w:pPr>
        <w:ind w:left="2" w:right="58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6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642"/>
          </w:cols>
          <w:pgMar w:left="618" w:top="486" w:right="6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FINANCIAL HIGHLIGHTS</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financial data set forth in the following table as of and for the years ended December 31, 2022, 2021, 2020, 2019, 2018, 2017, 2016, 2015, 2014 and 2013 are derived from our consolidated financial statements, which have been audited by KPMG LLP, an independent registered public accounting firm whose reports thereon are incorporated by reference in this prospectus, certain documents incorporated by reference in this prospectus or the accompanying prospectus supplement, or our Annual Reports on Form 10-K filed with the SEC, which may be obtained from www.sec.gov or upon request. The financial data set forth in the following table as of and for the nine months ended September 30, 2023, is derived from our unaudited financial statements, but in the opinion of management, reflects all adjustments (consisting only of normal recurring adjustments) that are necessary to present fairly the results of such interim period. Interim results as of and for the nine months ended September 30, 2023, are not necessarily indicative of the results that may be expected for the year ending December 31, 2023. You should read these financial highlights in conjunction with our consolidated financial statements and notes thereto and “Management’s Discussion and Analysis of Financial Condition and Results of Operations” incorporated by reference into this prospectus, any documents incorporated by reference in this prospectus or the accompanying prospectus supplement, or our Annual Reports on Form 10-K filed with the SEC.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020" w:type="dxa"/>
            <w:vAlign w:val="bottom"/>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20" w:type="dxa"/>
            <w:vAlign w:val="bottom"/>
          </w:tcPr>
          <w:p>
            <w:pPr>
              <w:spacing w:after="0"/>
              <w:rPr>
                <w:sz w:val="13"/>
                <w:szCs w:val="13"/>
                <w:color w:val="auto"/>
              </w:rPr>
            </w:pPr>
          </w:p>
        </w:tc>
        <w:tc>
          <w:tcPr>
            <w:tcW w:w="9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3"/>
                <w:szCs w:val="13"/>
                <w:color w:val="auto"/>
              </w:rPr>
            </w:pPr>
          </w:p>
        </w:tc>
        <w:tc>
          <w:tcPr>
            <w:tcW w:w="9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1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02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1160" w:type="dxa"/>
            <w:vAlign w:val="bottom"/>
            <w:gridSpan w:val="4"/>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0"/>
                <w:szCs w:val="10"/>
                <w:b w:val="1"/>
                <w:bCs w:val="1"/>
                <w:color w:val="auto"/>
              </w:rPr>
              <w:t>(8)</w:t>
            </w: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right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asset value, beginning of period</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66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4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17.16</w:t>
            </w:r>
          </w:p>
        </w:tc>
        <w:tc>
          <w:tcPr>
            <w:tcW w:w="50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2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investment income</w:t>
            </w: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and unrealized gains (losses)</w:t>
            </w:r>
            <w:r>
              <w:rPr>
                <w:rFonts w:ascii="Times New Roman" w:cs="Times New Roman" w:eastAsia="Times New Roman" w:hAnsi="Times New Roman"/>
                <w:sz w:val="10"/>
                <w:szCs w:val="10"/>
                <w:color w:val="auto"/>
              </w:rPr>
              <w:t>(1)</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(0.75)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0.96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from operations</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Settlement of 2022 Convertible Notes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debt</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8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realized gains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(0.79)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63"/>
        </w:trPr>
        <w:tc>
          <w:tcPr>
            <w:tcW w:w="35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increase/(decrease) in net assets</w:t>
            </w: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0.49</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0.33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0.58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 Value, End of Period</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4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16.84</w:t>
            </w:r>
          </w:p>
        </w:tc>
        <w:tc>
          <w:tcPr>
            <w:tcW w:w="500" w:type="dxa"/>
            <w:vAlign w:val="bottom"/>
            <w:gridSpan w:val="3"/>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17.16</w:t>
            </w:r>
          </w:p>
        </w:tc>
        <w:tc>
          <w:tcPr>
            <w:tcW w:w="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16.83</w:t>
            </w:r>
          </w:p>
        </w:tc>
        <w:tc>
          <w:tcPr>
            <w:tcW w:w="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vMerge w:val="restart"/>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Year</w:t>
            </w:r>
          </w:p>
        </w:tc>
        <w:tc>
          <w:tcPr>
            <w:tcW w:w="4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4"/>
          </w:tcPr>
          <w:p>
            <w:pPr>
              <w:jc w:val="right"/>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82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4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14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5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0"/>
                <w:szCs w:val="10"/>
                <w:b w:val="1"/>
                <w:bCs w:val="1"/>
                <w:color w:val="auto"/>
              </w:rPr>
              <w:t>(8)</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asset value, beginning of period</w:t>
            </w:r>
          </w:p>
        </w:tc>
        <w:tc>
          <w:tcPr>
            <w:tcW w:w="160" w:type="dxa"/>
            <w:vAlign w:val="bottom"/>
          </w:tcPr>
          <w:p>
            <w:pPr>
              <w:spacing w:after="0"/>
              <w:rPr>
                <w:sz w:val="12"/>
                <w:szCs w:val="12"/>
                <w:color w:val="auto"/>
              </w:rPr>
            </w:pPr>
          </w:p>
        </w:tc>
        <w:tc>
          <w:tcPr>
            <w:tcW w:w="8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140" w:type="dxa"/>
            <w:vAlign w:val="bottom"/>
          </w:tcPr>
          <w:p>
            <w:pPr>
              <w:spacing w:after="0"/>
              <w:rPr>
                <w:sz w:val="12"/>
                <w:szCs w:val="12"/>
                <w:color w:val="auto"/>
              </w:rPr>
            </w:pPr>
          </w:p>
        </w:tc>
        <w:tc>
          <w:tcPr>
            <w:tcW w:w="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3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260" w:type="dxa"/>
            <w:vAlign w:val="bottom"/>
          </w:tcPr>
          <w:p>
            <w:pPr>
              <w:spacing w:after="0"/>
              <w:rPr>
                <w:sz w:val="12"/>
                <w:szCs w:val="12"/>
                <w:color w:val="auto"/>
              </w:rPr>
            </w:pP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investment income</w:t>
            </w: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and unrealized gains (losses)</w:t>
            </w:r>
            <w:r>
              <w:rPr>
                <w:rFonts w:ascii="Times New Roman" w:cs="Times New Roman" w:eastAsia="Times New Roman" w:hAnsi="Times New Roman"/>
                <w:sz w:val="10"/>
                <w:szCs w:val="10"/>
                <w:color w:val="auto"/>
              </w:rPr>
              <w:t>(1)</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0.51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(0.58)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(0.33)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5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from operations</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Settlement of 2022 Convertible Notes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debt</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net investment income</w:t>
            </w:r>
            <w:r>
              <w:rPr>
                <w:rFonts w:ascii="Times New Roman" w:cs="Times New Roman" w:eastAsia="Times New Roman" w:hAnsi="Times New Roman"/>
                <w:sz w:val="10"/>
                <w:szCs w:val="10"/>
                <w:color w:val="auto"/>
              </w:rPr>
              <w:t>(2)</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from realized gains</w:t>
            </w: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(0.41)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163"/>
        </w:trPr>
        <w:tc>
          <w:tcPr>
            <w:tcW w:w="35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increase/(decrease) in net assets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0.14</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0.81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(0.38)</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 Value, End of Period</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2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93" w:right="439" w:bottom="1440" w:gutter="0" w:footer="0" w:header="0"/>
        </w:sectPr>
      </w:pPr>
    </w:p>
    <w:bookmarkStart w:id="70" w:name="page71"/>
    <w:bookmarkEnd w:id="70"/>
    <w:tbl>
      <w:tblPr>
        <w:tblLayout w:type="fixed"/>
        <w:tblInd w:w="4"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98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9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20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2"/>
                <w:szCs w:val="12"/>
                <w:color w:val="auto"/>
              </w:rPr>
            </w:pPr>
          </w:p>
        </w:tc>
        <w:tc>
          <w:tcPr>
            <w:tcW w:w="9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share market value at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20.44</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17.80</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20.75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21.47</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return based on market value with reinvestment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23.65%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(15.78)%</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32.80%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30.57%</w:t>
            </w:r>
          </w:p>
        </w:tc>
        <w:tc>
          <w:tcPr>
            <w:tcW w:w="12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71"/>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r>
              <w:rPr>
                <w:rFonts w:ascii="Times New Roman" w:cs="Times New Roman" w:eastAsia="Times New Roman" w:hAnsi="Times New Roman"/>
                <w:sz w:val="10"/>
                <w:szCs w:val="10"/>
                <w:color w:val="auto"/>
              </w:rPr>
              <w:t>(3)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market value</w:t>
            </w:r>
            <w:r>
              <w:rPr>
                <w:rFonts w:ascii="Times New Roman" w:cs="Times New Roman" w:eastAsia="Times New Roman" w:hAnsi="Times New Roman"/>
                <w:sz w:val="10"/>
                <w:szCs w:val="10"/>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25.14%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(16.03)%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30.02%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28.69%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0" w:type="dxa"/>
            <w:vAlign w:val="bottom"/>
          </w:tcPr>
          <w:p>
            <w:pPr>
              <w:spacing w:after="0"/>
              <w:rPr>
                <w:sz w:val="1"/>
                <w:szCs w:val="1"/>
                <w:color w:val="auto"/>
              </w:rPr>
            </w:pPr>
          </w:p>
        </w:tc>
      </w:tr>
      <w:tr>
        <w:trPr>
          <w:trHeight w:val="149"/>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net asset value</w:t>
            </w:r>
            <w:r>
              <w:rPr>
                <w:rFonts w:ascii="Times New Roman" w:cs="Times New Roman" w:eastAsia="Times New Roman" w:hAnsi="Times New Roman"/>
                <w:sz w:val="10"/>
                <w:szCs w:val="10"/>
                <w:color w:val="auto"/>
              </w:rPr>
              <w:t>(5)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19.06%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14.71%</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87,546,498</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81,389,287</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75,771,542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67,684,209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66,524,591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65,412,817</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Ratios / Supplemental Data</w:t>
            </w:r>
            <w:r>
              <w:rPr>
                <w:rFonts w:ascii="Times New Roman" w:cs="Times New Roman" w:eastAsia="Times New Roman" w:hAnsi="Times New Roman"/>
                <w:sz w:val="10"/>
                <w:szCs w:val="10"/>
                <w:b w:val="1"/>
                <w:bCs w:val="1"/>
                <w:color w:val="auto"/>
              </w:rPr>
              <w:t>(6)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Ratio of net expenses to average net assets</w:t>
            </w:r>
            <w:r>
              <w:rPr>
                <w:rFonts w:ascii="Times New Roman" w:cs="Times New Roman" w:eastAsia="Times New Roman" w:hAnsi="Times New Roman"/>
                <w:sz w:val="10"/>
                <w:szCs w:val="10"/>
                <w:color w:val="auto"/>
              </w:rPr>
              <w:t>(7)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11.05%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11.17%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11.27%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11.32%</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Ratio of net investment income to average net assets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13.39%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12.85%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11.73%</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Portfolio turnover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16.12%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26.67%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44.23%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30.89%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44.57%</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Net assets, end of period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1,485,822</w:t>
            </w:r>
          </w:p>
        </w:tc>
        <w:tc>
          <w:tcPr>
            <w:tcW w:w="4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1,341,569</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1,275,848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1,161,315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1,119,297</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1,063,202</w:t>
            </w:r>
          </w:p>
        </w:tc>
        <w:tc>
          <w:tcPr>
            <w:tcW w:w="0" w:type="dxa"/>
            <w:vAlign w:val="bottom"/>
          </w:tcPr>
          <w:p>
            <w:pPr>
              <w:spacing w:after="0"/>
              <w:rPr>
                <w:sz w:val="1"/>
                <w:szCs w:val="1"/>
                <w:color w:val="auto"/>
              </w:rPr>
            </w:pPr>
          </w:p>
        </w:tc>
      </w:tr>
      <w:tr>
        <w:trPr>
          <w:trHeight w:val="327"/>
        </w:trPr>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24"/>
                <w:szCs w:val="24"/>
                <w:color w:val="auto"/>
              </w:rPr>
            </w:pPr>
          </w:p>
        </w:tc>
        <w:tc>
          <w:tcPr>
            <w:tcW w:w="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Pr>
          <w:p>
            <w:pPr>
              <w:spacing w:after="0"/>
              <w:rPr>
                <w:sz w:val="24"/>
                <w:szCs w:val="24"/>
                <w:color w:val="auto"/>
              </w:rPr>
            </w:pPr>
          </w:p>
        </w:tc>
        <w:tc>
          <w:tcPr>
            <w:tcW w:w="1420" w:type="dxa"/>
            <w:vAlign w:val="bottom"/>
            <w:gridSpan w:val="7"/>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8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2"/>
                <w:szCs w:val="12"/>
                <w:color w:val="auto"/>
              </w:rPr>
            </w:pPr>
          </w:p>
        </w:tc>
        <w:tc>
          <w:tcPr>
            <w:tcW w:w="142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share market value at end of period</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5"/>
              </w:rPr>
              <w:t>19.80</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18.68</w:t>
            </w: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16.22</w:t>
            </w:r>
          </w:p>
        </w:tc>
        <w:tc>
          <w:tcPr>
            <w:tcW w:w="4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16.82</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return based on market value with reinvestment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15.75%</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4"/>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26.74%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w w:val="99"/>
              </w:rPr>
              <w:t>5.75%</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12.28%</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r>
              <w:rPr>
                <w:rFonts w:ascii="Times New Roman" w:cs="Times New Roman" w:eastAsia="Times New Roman" w:hAnsi="Times New Roman"/>
                <w:sz w:val="10"/>
                <w:szCs w:val="10"/>
                <w:color w:val="auto"/>
              </w:rPr>
              <w:t>(3)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market value</w:t>
            </w:r>
            <w:r>
              <w:rPr>
                <w:rFonts w:ascii="Times New Roman" w:cs="Times New Roman" w:eastAsia="Times New Roman" w:hAnsi="Times New Roman"/>
                <w:sz w:val="10"/>
                <w:szCs w:val="10"/>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15.36%</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24.78%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5.71%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14.69%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return based on net asset value</w:t>
            </w:r>
            <w:r>
              <w:rPr>
                <w:rFonts w:ascii="Times New Roman" w:cs="Times New Roman" w:eastAsia="Times New Roman" w:hAnsi="Times New Roman"/>
                <w:sz w:val="10"/>
                <w:szCs w:val="10"/>
                <w:color w:val="auto"/>
              </w:rPr>
              <w:t>(5)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11.87%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15.54%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7.62%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End of Period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60,247,201</w:t>
            </w:r>
          </w:p>
        </w:tc>
        <w:tc>
          <w:tcPr>
            <w:tcW w:w="140" w:type="dxa"/>
            <w:vAlign w:val="bottom"/>
            <w:shd w:val="clear" w:color="auto" w:fill="CCEEFF"/>
          </w:tcPr>
          <w:p>
            <w:pPr>
              <w:spacing w:after="0"/>
              <w:rPr>
                <w:sz w:val="12"/>
                <w:szCs w:val="12"/>
                <w:color w:val="auto"/>
              </w:rPr>
            </w:pPr>
          </w:p>
        </w:tc>
        <w:tc>
          <w:tcPr>
            <w:tcW w:w="1280" w:type="dxa"/>
            <w:vAlign w:val="bottom"/>
            <w:gridSpan w:val="6"/>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59,716,205</w:t>
            </w:r>
          </w:p>
        </w:tc>
        <w:tc>
          <w:tcPr>
            <w:tcW w:w="1860" w:type="dxa"/>
            <w:vAlign w:val="bottom"/>
            <w:gridSpan w:val="7"/>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54,163,960</w:t>
            </w:r>
          </w:p>
        </w:tc>
        <w:tc>
          <w:tcPr>
            <w:tcW w:w="12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53,797,358</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37,026,023</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Ratios / Supplemental Data</w:t>
            </w:r>
            <w:r>
              <w:rPr>
                <w:rFonts w:ascii="Times New Roman" w:cs="Times New Roman" w:eastAsia="Times New Roman" w:hAnsi="Times New Roman"/>
                <w:sz w:val="10"/>
                <w:szCs w:val="10"/>
                <w:b w:val="1"/>
                <w:bCs w:val="1"/>
                <w:color w:val="auto"/>
              </w:rPr>
              <w:t>(6)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Ratio of net expenses to average net assets</w:t>
            </w:r>
            <w:r>
              <w:rPr>
                <w:rFonts w:ascii="Times New Roman" w:cs="Times New Roman" w:eastAsia="Times New Roman" w:hAnsi="Times New Roman"/>
                <w:sz w:val="10"/>
                <w:szCs w:val="10"/>
                <w:color w:val="auto"/>
              </w:rPr>
              <w:t>(7)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9"/>
              </w:rPr>
              <w:t>9.31%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48"/>
        </w:trPr>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Ratio of net investment income to average net assets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12.49%</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11.35%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13.42%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Portfolio turnover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7"/>
              </w:rPr>
              <w:t>58.08%</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37.40%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34.51%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53.16%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26.97%</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Net assets, end of period</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969,284</w:t>
            </w:r>
          </w:p>
        </w:tc>
        <w:tc>
          <w:tcPr>
            <w:tcW w:w="14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952,212</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820,741</w:t>
            </w:r>
          </w:p>
        </w:tc>
        <w:tc>
          <w:tcPr>
            <w:tcW w:w="12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835,405</w:t>
            </w:r>
          </w:p>
        </w:tc>
        <w:tc>
          <w:tcPr>
            <w:tcW w:w="3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574,696</w:t>
            </w:r>
          </w:p>
        </w:tc>
        <w:tc>
          <w:tcPr>
            <w:tcW w:w="0" w:type="dxa"/>
            <w:vAlign w:val="bottom"/>
          </w:tcPr>
          <w:p>
            <w:pPr>
              <w:spacing w:after="0"/>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24" w:hanging="424"/>
        <w:spacing w:after="0"/>
        <w:tabs>
          <w:tab w:leader="none" w:pos="42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data was derived by using the weighted average shares outstanding during the period.</w:t>
      </w:r>
    </w:p>
    <w:p>
      <w:pPr>
        <w:spacing w:after="0" w:line="3" w:lineRule="exact"/>
        <w:rPr>
          <w:rFonts w:ascii="Times New Roman" w:cs="Times New Roman" w:eastAsia="Times New Roman" w:hAnsi="Times New Roman"/>
          <w:sz w:val="14"/>
          <w:szCs w:val="14"/>
          <w:color w:val="auto"/>
        </w:rPr>
      </w:pPr>
    </w:p>
    <w:p>
      <w:pPr>
        <w:ind w:left="424" w:hanging="424"/>
        <w:spacing w:after="0" w:line="221" w:lineRule="auto"/>
        <w:tabs>
          <w:tab w:leader="none" w:pos="42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data was derived by using the actual shares outstanding at the date of the relevant transactions.</w:t>
      </w:r>
    </w:p>
    <w:p>
      <w:pPr>
        <w:ind w:left="424" w:right="440" w:hanging="424"/>
        <w:spacing w:after="0" w:line="221" w:lineRule="auto"/>
        <w:tabs>
          <w:tab w:leader="none" w:pos="42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ind w:left="424" w:right="60" w:hanging="424"/>
        <w:spacing w:after="0" w:line="221" w:lineRule="auto"/>
        <w:tabs>
          <w:tab w:leader="none" w:pos="42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is calculated as the change in market value per share during the period plus declared dividends per share, divided by the beginning market value per share.</w:t>
      </w:r>
    </w:p>
    <w:p>
      <w:pPr>
        <w:ind w:left="424" w:right="340" w:hanging="424"/>
        <w:spacing w:after="0" w:line="221" w:lineRule="auto"/>
        <w:tabs>
          <w:tab w:leader="none" w:pos="42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net asset value is calculated as the change in net asset value per share during the period plus declared dividends per share, divided by the beginning net asset value per share.</w:t>
      </w:r>
    </w:p>
    <w:p>
      <w:pPr>
        <w:ind w:left="424" w:hanging="424"/>
        <w:spacing w:after="0" w:line="221" w:lineRule="auto"/>
        <w:tabs>
          <w:tab w:leader="none" w:pos="42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ratios reflect an annualized amount.</w:t>
      </w:r>
    </w:p>
    <w:p>
      <w:pPr>
        <w:ind w:left="424" w:hanging="424"/>
        <w:spacing w:after="0" w:line="221" w:lineRule="auto"/>
        <w:tabs>
          <w:tab w:leader="none" w:pos="42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net expenses to average net assets in the table above reflects the Adviser’s waivers of its right to receive a portion of the Management Fee pursuant to the Leverage Waiver for the nine months ended September 30, 2023. Excluding the effects of the waivers, the ratio of net expenses to average net assets would have been 16.79%, for the nine months ended September 30, 2023. The ratio of net expenses to average net assets in the table above reflects the Adviser’s waivers of its right to receive a portion of the Management Fee pursuant to the Leverage Waiver for the years ended December 31, 2022 and 2021 and the Adviser’s waivers of its right to receive a portion of the Management and Incentive Fees with respect to the Company’s ownership of shares of common stock of Oxford Square Capital Corp. and Triangle Capital Corp for the year ended December 31, 2018. Excluding the effects of the waivers, the ratio of net expenses to average net assets would have been 11.08%, 11.19% and 11.33% for the years ended December 31, 2022, 2021 and 2018, respectively. The Adviser did not waive any Management Fees or Incentive Fees for the years ended December 31, 2020 and 2019. Excluding the effects of the waivers, the ratio of net expenses to average net assets would have been 9.42%, 9.43% and 9.33% for the years ended December 31, 2017, 2016 and 2015, respectively. For the years ended December 31, 2014 and 2013, the Company did not own any shares of common stock of TICC Capital Corp. or Triangle Capital Corp. For the years ended December 31, 2014 and 2013, the ratio of net expenses to average net assets in the table above reflects the Adviser’s waivers of its right to receive a portion of the Management Fee prior to the Company’s IPO. Excluding the effects of the waiver, the ratio of net expenses to average net assets would have been 7.88%, and 7.94% for the years ended December 31, 2014 and 2013, respectively.</w:t>
      </w:r>
    </w:p>
    <w:p>
      <w:pPr>
        <w:spacing w:after="0" w:line="2"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may not sum due to rounding.</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8" w:right="4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 FACTORS</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You should carefully consider the risks set out below and described in Part I, Item 1A, “Risk Factors,” in our 2022 Annual Report and Part I, Item IA, “Risk Factors,” in our quarterly report on Form 10-Q for the three months ended March 31, 2023 (the “1Q 2023 Quarterly Report”), in our quarterly report on Form 10-Q for the three months ended June 30, 2023 (the “2Q 2023 Quarterly Report”), and in our 3Q 2023 Quarterly Report, which are incorporated by reference in this prospectus, together with the other information set forth in this prospectus or in any prospectus supplement and in the other documents that we include or incorporate by reference into this prospectus before making a decision about investing in our securities. The risks and uncertainties set out below and discussed in our 2022 Annual Report, 1Q 2023 Quarterly Report, 2Q 2023 Quarterly Report, and 3Q 2023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Offerings Pursuant to This 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proceeds of any offering made pursuant to this prospectus, to the extent it is successful.</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at a price below our then-current net asset value per share, subject to the approval of our Board and certain other conditions.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stockholder approval expires on May 25, 2024. We intend to propose the extension of this approval in future years.</w:t>
      </w:r>
    </w:p>
    <w:p>
      <w:pPr>
        <w:spacing w:after="0" w:line="207"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62"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68"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93" w:right="459" w:bottom="1440" w:gutter="0" w:footer="0" w:header="0"/>
        </w:sectPr>
      </w:pPr>
    </w:p>
    <w:bookmarkStart w:id="72" w:name="page73"/>
    <w:bookmarkEnd w:id="72"/>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51"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51"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30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any preferred stock we might issue would have the right to elect members of the board of directors and class voting rights on certain matters.</w:t>
      </w:r>
    </w:p>
    <w:p>
      <w:pPr>
        <w:spacing w:after="0" w:line="5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93" w:right="459" w:bottom="1440" w:gutter="0" w:footer="0" w:header="0"/>
        </w:sectPr>
      </w:pPr>
    </w:p>
    <w:bookmarkStart w:id="73" w:name="page74"/>
    <w:bookmarkEnd w:id="7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00"/>
          </w:cols>
          <w:pgMar w:left="440" w:top="297" w:right="55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67" w:lineRule="exact"/>
        <w:rPr>
          <w:sz w:val="20"/>
          <w:szCs w:val="20"/>
          <w:color w:val="auto"/>
        </w:rPr>
      </w:pPr>
    </w:p>
    <w:p>
      <w:pPr>
        <w:ind w:left="960" w:right="40" w:hanging="532"/>
        <w:spacing w:after="0" w:line="282"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960" w:right="140" w:hanging="532"/>
        <w:spacing w:after="0" w:line="266"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30"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 and</w:t>
      </w:r>
    </w:p>
    <w:p>
      <w:pPr>
        <w:spacing w:after="0" w:line="67" w:lineRule="exact"/>
        <w:rPr>
          <w:rFonts w:ascii="Times New Roman" w:cs="Times New Roman" w:eastAsia="Times New Roman" w:hAnsi="Times New Roman"/>
          <w:sz w:val="18"/>
          <w:szCs w:val="18"/>
          <w:color w:val="auto"/>
        </w:rPr>
      </w:pPr>
    </w:p>
    <w:p>
      <w:pPr>
        <w:ind w:left="960" w:right="140" w:hanging="532"/>
        <w:spacing w:after="0" w:line="312" w:lineRule="auto"/>
        <w:tabs>
          <w:tab w:leader="none" w:pos="9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uncertainties and other factors we identify in the section entitled “Risk Factors” in this prospectus and in Part I, Item 1A of our 2022 Annual Report and Part II, Item 1A of our 3Q 2023 Quarterly Report, and those discussed in other documents we file with the SEC.</w:t>
      </w:r>
    </w:p>
    <w:p>
      <w:pPr>
        <w:spacing w:after="0" w:line="140"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and Part II, Item 1A of our 3Q 2023 Quarterly Report, and in our 2022 Annual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w:t>
      </w:r>
    </w:p>
    <w:p>
      <w:pPr>
        <w:spacing w:after="0" w:line="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“TSLX” and “TAO” marks are marks of Sixth Street.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93" w:right="45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USE OF PROCEEDS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93" w:right="459" w:bottom="1440" w:gutter="0" w:footer="0" w:header="0"/>
        </w:sectPr>
      </w:pPr>
    </w:p>
    <w:bookmarkStart w:id="76" w:name="page77"/>
    <w:bookmarkEnd w:id="7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PRICE RANGE OF COMMON STOCK AND DISTRIBUTIONS</w:t>
      </w:r>
    </w:p>
    <w:p>
      <w:pPr>
        <w:spacing w:after="0" w:line="229"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76"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2023, and for the years ended December 31, 2022 and December 31, 2021. On December 20, 2023, the last reported closing sales price of our common stock on the NYSE was $21.08 per share, which represented a premium of approximately 24.2% to the net asset value per share reported by us as of September 30, 2023, the last date prior to the date of this prospectus for which we reported net asset value.</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4"/>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340" w:type="dxa"/>
            <w:vAlign w:val="bottom"/>
            <w:vMerge w:val="restart"/>
          </w:tcPr>
          <w:p>
            <w:pPr>
              <w:spacing w:after="0"/>
              <w:rPr>
                <w:sz w:val="13"/>
                <w:szCs w:val="13"/>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00" w:type="dxa"/>
            <w:vAlign w:val="bottom"/>
          </w:tcPr>
          <w:p>
            <w:pPr>
              <w:spacing w:after="0"/>
              <w:rPr>
                <w:sz w:val="13"/>
                <w:szCs w:val="13"/>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65"/>
        </w:trPr>
        <w:tc>
          <w:tcPr>
            <w:tcW w:w="4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2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18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21"/>
                <w:szCs w:val="21"/>
                <w:b w:val="1"/>
                <w:bCs w:val="1"/>
                <w:color w:val="auto"/>
                <w:vertAlign w:val="superscript"/>
              </w:rPr>
              <w:t>(1)</w:t>
            </w: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0"/>
                <w:szCs w:val="10"/>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4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18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Value</w:t>
            </w:r>
            <w:r>
              <w:rPr>
                <w:rFonts w:ascii="Times New Roman" w:cs="Times New Roman" w:eastAsia="Times New Roman" w:hAnsi="Times New Roman"/>
                <w:sz w:val="10"/>
                <w:szCs w:val="10"/>
                <w:b w:val="1"/>
                <w:bCs w:val="1"/>
                <w:color w:val="auto"/>
                <w:w w:val="98"/>
              </w:rPr>
              <w:t>(2)</w:t>
            </w:r>
          </w:p>
        </w:tc>
        <w:tc>
          <w:tcPr>
            <w:tcW w:w="1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$16.47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$22.76</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$20.46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38.2%</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16.85</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22.78</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20.80</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35.2%</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17.18</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23.97</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21.13</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39.5%</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24.74</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21.97</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47.0%</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$16.88</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$24.27</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$22.40</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43.8%</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16.27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23.64</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18.09</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45.3%</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16.36</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19.64</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6.13</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19.9%</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16.48</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19.14</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16.1%</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2023</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$16.59</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$19.83</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$16.86</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19.5%</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16.74</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20.08</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17.31</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16.97</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20.97</w:t>
            </w: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19.02</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23.6%</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(through December 20, 2023)</w:t>
            </w:r>
          </w:p>
        </w:tc>
        <w:tc>
          <w:tcPr>
            <w:tcW w:w="1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21.49</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19.05</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220" w:hanging="424"/>
        <w:spacing w:after="0" w:line="282"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67" w:lineRule="exact"/>
        <w:rPr>
          <w:rFonts w:ascii="Times New Roman" w:cs="Times New Roman" w:eastAsia="Times New Roman" w:hAnsi="Times New Roman"/>
          <w:sz w:val="18"/>
          <w:szCs w:val="18"/>
          <w:color w:val="auto"/>
        </w:rPr>
      </w:pPr>
    </w:p>
    <w:p>
      <w:pPr>
        <w:ind w:left="424" w:right="540" w:hanging="424"/>
        <w:spacing w:after="0" w:line="282"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 Does not reflect intraday trading prices.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dividends declared in the relevant quarter.</w:t>
      </w:r>
    </w:p>
    <w:p>
      <w:pPr>
        <w:spacing w:after="0" w:line="131" w:lineRule="exact"/>
        <w:rPr>
          <w:sz w:val="20"/>
          <w:szCs w:val="20"/>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has not yet been reported for this period.</w:t>
      </w:r>
    </w:p>
    <w:p>
      <w:pPr>
        <w:spacing w:after="0" w:line="225" w:lineRule="exact"/>
        <w:rPr>
          <w:sz w:val="20"/>
          <w:szCs w:val="20"/>
          <w:color w:val="auto"/>
        </w:rPr>
      </w:pPr>
    </w:p>
    <w:p>
      <w:pPr>
        <w:ind w:left="4" w:right="60" w:firstLine="440"/>
        <w:spacing w:after="0" w:line="312"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93" w:right="439" w:bottom="1440" w:gutter="0" w:footer="0" w:header="0"/>
        </w:sectPr>
      </w:pPr>
    </w:p>
    <w:bookmarkStart w:id="77" w:name="page78"/>
    <w:bookmarkEnd w:id="7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tables summarize dividends declared during the nine months ended September 30, 2023 and years ended December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20, 2023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31,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8, 2023</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31, 2023</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June 20, 2023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8,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June 30,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2023</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August 31, 2023</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20, 2023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August 3, 2023</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2023</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29, 2023</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2022</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April 18,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2022</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31, 2022</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3,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July 15,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2022</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2022</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2022</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15, 2022</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30,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0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0"/>
                <w:szCs w:val="10"/>
                <w:color w:val="auto"/>
              </w:rPr>
            </w:pP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2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26, 2021</w:t>
            </w: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2021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15,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April 15,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17,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Special</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25,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April 8,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4,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28,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June 30,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July 15,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August 31,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30,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15,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October 15,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Supplemental</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30,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Special</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7, 2021</w:t>
            </w:r>
          </w:p>
        </w:tc>
        <w:tc>
          <w:tcPr>
            <w:tcW w:w="20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December 20, 2021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2021</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Base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15, 2021</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January 14, 2022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dividends declared during the nine months ended September 30, 2023 were derived from net investment income, determined on a tax basis. The dividends declared during the year ended December 31, 2022 were derived from net investment income and net realized capital gains, determined on a tax basis.</w:t>
      </w:r>
    </w:p>
    <w:p>
      <w:pPr>
        <w:spacing w:after="0" w:line="176"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To be treated as a regulated investment company, or a RIC, for U.S. federal income tax purposes and therefore to avoid being subject to corporate-level U.S. federal income taxation of our earnings, we must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97" w:right="439" w:bottom="1440" w:gutter="0" w:footer="0" w:header="0"/>
        </w:sectPr>
      </w:pPr>
    </w:p>
    <w:bookmarkStart w:id="78" w:name="page79"/>
    <w:bookmarkEnd w:id="78"/>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81" w:lineRule="exact"/>
        <w:rPr>
          <w:sz w:val="20"/>
          <w:szCs w:val="20"/>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w:t>
      </w:r>
    </w:p>
    <w:p>
      <w:pPr>
        <w:spacing w:after="0" w:line="130"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nine months ended September 30, 2023 and for calendar years ended December 31, 2022 and 2021 for purposes of additional liquidity and we recorded a net expense of $1.8 million for the nine months ended September 30, 2023 and $2.2 million and $0.7 million for the years ended December 31, 2022, and December 31, 2021,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2022 Annual Report.</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97" w:right="479" w:bottom="1440" w:gutter="0" w:footer="0" w:header="0"/>
        </w:sectPr>
      </w:pPr>
    </w:p>
    <w:bookmarkStart w:id="79" w:name="page80"/>
    <w:bookmarkEnd w:id="79"/>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SENIOR SECURITIES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as of the dates indicated in the below table. The report of our independent registered public accounting firm, KPMG LLP, on the senior securities table as of December 31, 2022 is included in our 2022 Annual Report and is incorporated by reference to the registration statement of which this prospectus is a part.</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w w:val="99"/>
              </w:rPr>
              <w:t>Total Amount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68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1"/>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8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Securities </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Preference</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0"/>
        </w:trPr>
        <w:tc>
          <w:tcPr>
            <w:tcW w:w="3560" w:type="dxa"/>
            <w:vAlign w:val="bottom"/>
            <w:gridSpan w:val="6"/>
            <w:vMerge w:val="continue"/>
          </w:tcPr>
          <w:p>
            <w:pPr>
              <w:spacing w:after="0"/>
              <w:rPr>
                <w:sz w:val="13"/>
                <w:szCs w:val="13"/>
                <w:color w:val="auto"/>
              </w:rPr>
            </w:pPr>
          </w:p>
        </w:tc>
        <w:tc>
          <w:tcPr>
            <w:tcW w:w="1740" w:type="dxa"/>
            <w:vAlign w:val="bottom"/>
            <w:gridSpan w:val="3"/>
          </w:tcPr>
          <w:p>
            <w:pPr>
              <w:ind w:left="880"/>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660" w:type="dxa"/>
            <w:vAlign w:val="bottom"/>
          </w:tcPr>
          <w:p>
            <w:pPr>
              <w:spacing w:after="0"/>
              <w:rPr>
                <w:sz w:val="13"/>
                <w:szCs w:val="13"/>
                <w:color w:val="auto"/>
              </w:rPr>
            </w:pPr>
          </w:p>
        </w:tc>
        <w:tc>
          <w:tcPr>
            <w:tcW w:w="6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66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1260" w:type="dxa"/>
            <w:vAlign w:val="bottom"/>
            <w:gridSpan w:val="3"/>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Revolving Credit Facilities</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1,872.8</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2,257.3</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3,110.3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2,329.5</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Convertible Senior Notes due 2019</w:t>
            </w:r>
          </w:p>
        </w:tc>
        <w:tc>
          <w:tcPr>
            <w:tcW w:w="9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2,376.6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2,257.3</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3,110.3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Convertible Senior Notes due 2022</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2,355.3</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2023 Notes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1,885.7</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2,053.6</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2,045.4</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2,004.1</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2,705.2</w:t>
            </w:r>
          </w:p>
        </w:tc>
        <w:tc>
          <w:tcPr>
            <w:tcW w:w="66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w w:val="88"/>
              </w:rPr>
              <w:t>32</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440" w:top="293" w:right="919" w:bottom="1440" w:gutter="0" w:footer="0" w:header="0"/>
        </w:sectPr>
      </w:pPr>
    </w:p>
    <w:bookmarkStart w:id="80" w:name="page81"/>
    <w:bookmarkEnd w:id="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92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w w:val="99"/>
              </w:rPr>
              <w:t>Total Amount</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gridSpan w:val="2"/>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68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66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6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3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10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Securities </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6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Preference</w:t>
            </w:r>
          </w:p>
        </w:tc>
        <w:tc>
          <w:tcPr>
            <w:tcW w:w="6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0"/>
        </w:trPr>
        <w:tc>
          <w:tcPr>
            <w:tcW w:w="3380" w:type="dxa"/>
            <w:vAlign w:val="bottom"/>
            <w:gridSpan w:val="4"/>
            <w:vMerge w:val="continue"/>
          </w:tcPr>
          <w:p>
            <w:pPr>
              <w:spacing w:after="0"/>
              <w:rPr>
                <w:sz w:val="15"/>
                <w:szCs w:val="15"/>
                <w:color w:val="auto"/>
              </w:rPr>
            </w:pPr>
          </w:p>
        </w:tc>
        <w:tc>
          <w:tcPr>
            <w:tcW w:w="1920" w:type="dxa"/>
            <w:vAlign w:val="bottom"/>
            <w:gridSpan w:val="3"/>
          </w:tcPr>
          <w:p>
            <w:pPr>
              <w:ind w:left="1060"/>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66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66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1260" w:type="dxa"/>
            <w:vAlign w:val="bottom"/>
            <w:gridSpan w:val="3"/>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2024 Notes</w:t>
            </w: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200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2026 Notes</w:t>
            </w:r>
          </w:p>
        </w:tc>
        <w:tc>
          <w:tcPr>
            <w:tcW w:w="254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1,885.7</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66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2028 Notes</w:t>
            </w:r>
          </w:p>
        </w:tc>
        <w:tc>
          <w:tcPr>
            <w:tcW w:w="2540" w:type="dxa"/>
            <w:vAlign w:val="bottom"/>
            <w:tcBorders>
              <w:bottom w:val="single" w:sz="8" w:color="CCEEFF"/>
            </w:tcBorders>
            <w:gridSpan w:val="2"/>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 (unaudited)</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66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4" w:hanging="424"/>
        <w:spacing w:after="0" w:line="282" w:lineRule="auto"/>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and hedge accounting relationships, at the end of the period presented</w:t>
      </w:r>
    </w:p>
    <w:p>
      <w:pPr>
        <w:spacing w:after="0" w:line="94"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244"/>
          </w:cols>
          <w:pgMar w:left="436" w:top="278" w:right="12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PORTFOLIO COMPANIES</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table set forth below contains certain information as of September 30, 2023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such as first-lien or second-lien loans, unsecured notes, or bonds, or they are Equity or Other Investments such as common equity, preferred equity, or equity warrants. We either originated or purchased in the secondary market the Debt Investments and Equity or Other Investments in our current portfolio.</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60" w:type="dxa"/>
            <w:vAlign w:val="bottom"/>
            <w:vMerge w:val="restart"/>
          </w:tcPr>
          <w:p>
            <w:pPr>
              <w:spacing w:after="0"/>
              <w:rPr>
                <w:sz w:val="11"/>
                <w:szCs w:val="11"/>
                <w:color w:val="auto"/>
              </w:rPr>
            </w:pPr>
          </w:p>
        </w:tc>
        <w:tc>
          <w:tcPr>
            <w:tcW w:w="21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8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4"/>
                <w:szCs w:val="14"/>
                <w:color w:val="auto"/>
              </w:rPr>
            </w:pPr>
          </w:p>
        </w:tc>
        <w:tc>
          <w:tcPr>
            <w:tcW w:w="80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80" w:type="dxa"/>
            <w:vAlign w:val="bottom"/>
          </w:tcPr>
          <w:p>
            <w:pPr>
              <w:spacing w:after="0"/>
              <w:rPr>
                <w:sz w:val="14"/>
                <w:szCs w:val="14"/>
                <w:color w:val="auto"/>
              </w:rPr>
            </w:pPr>
          </w:p>
        </w:tc>
        <w:tc>
          <w:tcPr>
            <w:tcW w:w="10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22"/>
        </w:trPr>
        <w:tc>
          <w:tcPr>
            <w:tcW w:w="224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Debt Investments</w:t>
            </w:r>
          </w:p>
        </w:tc>
        <w:tc>
          <w:tcPr>
            <w:tcW w:w="19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Bestpass, Inc. </w:t>
            </w:r>
            <w:r>
              <w:rPr>
                <w:rFonts w:ascii="Times New Roman" w:cs="Times New Roman" w:eastAsia="Times New Roman" w:hAnsi="Times New Roman"/>
                <w:sz w:val="10"/>
                <w:szCs w:val="10"/>
                <w:color w:val="auto"/>
              </w:rPr>
              <w:t>(3)(5)</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New Karner Road</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($39,900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Albany, NY 12205</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5/26/2023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+ 5.75%</w:t>
            </w:r>
          </w:p>
        </w:tc>
        <w:tc>
          <w:tcPr>
            <w:tcW w:w="940" w:type="dxa"/>
            <w:vAlign w:val="bottom"/>
            <w:gridSpan w:val="2"/>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7"/>
              </w:rPr>
              <w:t>11.07%</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38,810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39,202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5/2029)</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Carlstar Group, LLC </w:t>
            </w:r>
            <w:r>
              <w:rPr>
                <w:rFonts w:ascii="Times New Roman" w:cs="Times New Roman" w:eastAsia="Times New Roman" w:hAnsi="Times New Roman"/>
                <w:sz w:val="10"/>
                <w:szCs w:val="10"/>
                <w:color w:val="auto"/>
              </w:rPr>
              <w:t>(3)</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725 Cool Springs Boulevard</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($26,118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Franklin, TN 37067</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7/8/2022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+ 6.60%</w:t>
            </w:r>
          </w:p>
        </w:tc>
        <w:tc>
          <w:tcPr>
            <w:tcW w:w="940" w:type="dxa"/>
            <w:vAlign w:val="bottom"/>
            <w:gridSpan w:val="2"/>
            <w:vMerge w:val="restart"/>
          </w:tcPr>
          <w:p>
            <w:pPr>
              <w:jc w:val="center"/>
              <w:ind w:left="209"/>
              <w:spacing w:after="0"/>
              <w:rPr>
                <w:sz w:val="20"/>
                <w:szCs w:val="20"/>
                <w:color w:val="auto"/>
              </w:rPr>
            </w:pPr>
            <w:r>
              <w:rPr>
                <w:rFonts w:ascii="Times New Roman" w:cs="Times New Roman" w:eastAsia="Times New Roman" w:hAnsi="Times New Roman"/>
                <w:sz w:val="14"/>
                <w:szCs w:val="14"/>
                <w:color w:val="auto"/>
                <w:w w:val="97"/>
              </w:rPr>
              <w:t>11.92%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25,508</w:t>
            </w: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26,378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7/2027)</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64,318</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65,580</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Acceo Solutions, Inc. </w:t>
            </w:r>
            <w:r>
              <w:rPr>
                <w:rFonts w:ascii="Times New Roman" w:cs="Times New Roman" w:eastAsia="Times New Roman" w:hAnsi="Times New Roman"/>
                <w:sz w:val="10"/>
                <w:szCs w:val="10"/>
                <w:color w:val="auto"/>
              </w:rPr>
              <w:t>(3)(4)(5)</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75, Queen Street</w:t>
            </w: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6100</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(CAD 57,353 par,</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42,633</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Montreal, Quebec H3C 2N6</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7/6/2018</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C + 4.75%</w:t>
            </w:r>
          </w:p>
        </w:tc>
        <w:tc>
          <w:tcPr>
            <w:tcW w:w="940" w:type="dxa"/>
            <w:vAlign w:val="bottom"/>
            <w:gridSpan w:val="2"/>
            <w:vMerge w:val="restart"/>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43,340</w:t>
            </w:r>
          </w:p>
        </w:tc>
        <w:tc>
          <w:tcPr>
            <w:tcW w:w="8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10/2025)</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(CAD 57,640)</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Alpha Midco, Inc. </w:t>
            </w:r>
            <w:r>
              <w:rPr>
                <w:rFonts w:ascii="Times New Roman" w:cs="Times New Roman" w:eastAsia="Times New Roman" w:hAnsi="Times New Roman"/>
                <w:sz w:val="10"/>
                <w:szCs w:val="10"/>
                <w:color w:val="auto"/>
              </w:rPr>
              <w:t>(3)(5)</w:t>
            </w:r>
            <w:r>
              <w:rPr>
                <w:rFonts w:ascii="Times New Roman" w:cs="Times New Roman" w:eastAsia="Times New Roman" w:hAnsi="Times New Roman"/>
                <w:sz w:val="14"/>
                <w:szCs w:val="14"/>
                <w:color w:val="auto"/>
              </w:rPr>
              <w:t xml:space="preserve"> 3933 Lake</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Washington Blvd NE</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460" w:type="dxa"/>
            <w:vAlign w:val="bottom"/>
          </w:tcPr>
          <w:p>
            <w:pPr>
              <w:spacing w:after="0"/>
              <w:rPr>
                <w:sz w:val="12"/>
                <w:szCs w:val="12"/>
                <w:color w:val="auto"/>
              </w:rPr>
            </w:pP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($68,794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Kirkland, WA 98033</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8/15/2019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+ 7.65%</w:t>
            </w:r>
          </w:p>
        </w:tc>
        <w:tc>
          <w:tcPr>
            <w:tcW w:w="940" w:type="dxa"/>
            <w:vAlign w:val="bottom"/>
            <w:gridSpan w:val="2"/>
            <w:vMerge w:val="restart"/>
          </w:tcPr>
          <w:p>
            <w:pPr>
              <w:jc w:val="center"/>
              <w:ind w:left="189"/>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68,125</w:t>
            </w: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69,660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8/2025)</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Ignition Purchaser, Inc. </w:t>
            </w:r>
            <w:r>
              <w:rPr>
                <w:rFonts w:ascii="Times New Roman" w:cs="Times New Roman" w:eastAsia="Times New Roman" w:hAnsi="Times New Roman"/>
                <w:sz w:val="10"/>
                <w:szCs w:val="10"/>
                <w:color w:val="auto"/>
              </w:rPr>
              <w:t>(3)</w:t>
            </w:r>
          </w:p>
        </w:tc>
        <w:tc>
          <w:tcPr>
            <w:tcW w:w="1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1801 West End Ave</w:t>
            </w:r>
          </w:p>
        </w:tc>
        <w:tc>
          <w:tcPr>
            <w:tcW w:w="1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300</w:t>
            </w:r>
          </w:p>
        </w:tc>
        <w:tc>
          <w:tcPr>
            <w:tcW w:w="2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holdco loan ($30,913</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Nashville, TN 37203</w:t>
            </w:r>
          </w:p>
        </w:tc>
        <w:tc>
          <w:tcPr>
            <w:tcW w:w="2120" w:type="dxa"/>
            <w:vAlign w:val="bottom"/>
            <w:gridSpan w:val="2"/>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4/18/2023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+ 9.00%</w:t>
            </w: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30,045</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30,449</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10/2030)</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PIK</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Dye &amp; Durham Corp. </w:t>
            </w:r>
            <w:r>
              <w:rPr>
                <w:rFonts w:ascii="Times New Roman" w:cs="Times New Roman" w:eastAsia="Times New Roman" w:hAnsi="Times New Roman"/>
                <w:sz w:val="10"/>
                <w:szCs w:val="10"/>
                <w:color w:val="auto"/>
              </w:rPr>
              <w:t>(3)(4)</w:t>
            </w: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 York Street</w:t>
            </w: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1100</w:t>
            </w: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(CAD 36,778 par,</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27,483</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Toronto, Ontario M5J 2V5</w:t>
            </w:r>
          </w:p>
        </w:tc>
        <w:tc>
          <w:tcPr>
            <w:tcW w:w="21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12/3/2021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C + 5.75%</w:t>
            </w:r>
          </w:p>
        </w:tc>
        <w:tc>
          <w:tcPr>
            <w:tcW w:w="940" w:type="dxa"/>
            <w:vAlign w:val="bottom"/>
            <w:gridSpan w:val="2"/>
            <w:vMerge w:val="restart"/>
          </w:tcPr>
          <w:p>
            <w:pPr>
              <w:jc w:val="center"/>
              <w:ind w:left="209"/>
              <w:spacing w:after="0"/>
              <w:rPr>
                <w:sz w:val="20"/>
                <w:szCs w:val="20"/>
                <w:color w:val="auto"/>
              </w:rPr>
            </w:pPr>
            <w:r>
              <w:rPr>
                <w:rFonts w:ascii="Times New Roman" w:cs="Times New Roman" w:eastAsia="Times New Roman" w:hAnsi="Times New Roman"/>
                <w:sz w:val="14"/>
                <w:szCs w:val="14"/>
                <w:color w:val="auto"/>
                <w:w w:val="97"/>
              </w:rPr>
              <w:t>11.26%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28,026</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12/2027)</w:t>
            </w:r>
          </w:p>
        </w:tc>
        <w:tc>
          <w:tcPr>
            <w:tcW w:w="8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(CAD 37,157)</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revolving loan (CAD</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12/3/2021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C + 5.75%</w:t>
            </w:r>
          </w:p>
        </w:tc>
        <w:tc>
          <w:tcPr>
            <w:tcW w:w="940" w:type="dxa"/>
            <w:vAlign w:val="bottom"/>
            <w:gridSpan w:val="2"/>
            <w:vMerge w:val="restart"/>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color w:val="auto"/>
                <w:w w:val="97"/>
              </w:rPr>
              <w:t>11.26%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804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1,086 par, due 12/2026)</w:t>
            </w:r>
          </w:p>
        </w:tc>
        <w:tc>
          <w:tcPr>
            <w:tcW w:w="86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(CAD 1,086)</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93" w:right="4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60" w:type="dxa"/>
            <w:vAlign w:val="bottom"/>
            <w:vMerge w:val="restart"/>
          </w:tcPr>
          <w:p>
            <w:pPr>
              <w:spacing w:after="0"/>
              <w:rPr>
                <w:sz w:val="11"/>
                <w:szCs w:val="11"/>
                <w:color w:val="auto"/>
              </w:rPr>
            </w:pPr>
          </w:p>
        </w:tc>
        <w:tc>
          <w:tcPr>
            <w:tcW w:w="22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4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ExtraHop Networks, Inc. </w:t>
            </w:r>
            <w:r>
              <w:rPr>
                <w:rFonts w:ascii="Times New Roman" w:cs="Times New Roman" w:eastAsia="Times New Roman" w:hAnsi="Times New Roman"/>
                <w:sz w:val="8"/>
                <w:szCs w:val="8"/>
                <w:color w:val="auto"/>
              </w:rPr>
              <w:t>(3)(5)</w:t>
            </w:r>
          </w:p>
        </w:tc>
        <w:tc>
          <w:tcPr>
            <w:tcW w:w="2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520 Pike St</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($64,162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1600</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7/22/2021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+ 7.60%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12.92%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63,157</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63,681</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Seattle, WA 98101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ForeScout Technologies, Inc.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300</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Santana Row</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($2,788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14.49%</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Suite 400</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+ 9.10%</w:t>
            </w:r>
          </w:p>
        </w:tc>
        <w:tc>
          <w:tcPr>
            <w:tcW w:w="132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2,737</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2,803</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San Jose, CA 95128 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8/2026)</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($2,566 par, due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8/17/2020</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+ 9.10%</w:t>
            </w:r>
          </w:p>
        </w:tc>
        <w:tc>
          <w:tcPr>
            <w:tcW w:w="13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14.49%</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2,554</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2,572</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8/2026)</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Galileo Parent, Inc. </w:t>
            </w:r>
            <w:r>
              <w:rPr>
                <w:rFonts w:ascii="Times New Roman" w:cs="Times New Roman" w:eastAsia="Times New Roman" w:hAnsi="Times New Roman"/>
                <w:sz w:val="10"/>
                <w:szCs w:val="10"/>
                <w:color w:val="auto"/>
              </w:rPr>
              <w:t>(3)</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Prudential Tower, 800 Boylston</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($64,904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 Boston, MA 02199</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5/3/2023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63,030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63,930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5/2030)</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($4,471</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4,189</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4,320</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5/2029)</w:t>
            </w: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Hornetsecurity Holding GmbH (3)(4)</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Am Listholze 78</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(EUR 3,335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3,335</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30177 Hanover</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11/14/2022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+ 6.50%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10.30%</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3,150</w:t>
            </w:r>
          </w:p>
        </w:tc>
        <w:tc>
          <w:tcPr>
            <w:tcW w:w="94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11/2029)</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(EUR 3,150)</w:t>
            </w: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Information Clearinghouse, LLC and</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MS Market Service, LLC </w:t>
            </w:r>
            <w:r>
              <w:rPr>
                <w:rFonts w:ascii="Times New Roman" w:cs="Times New Roman" w:eastAsia="Times New Roman" w:hAnsi="Times New Roman"/>
                <w:sz w:val="10"/>
                <w:szCs w:val="10"/>
                <w:color w:val="auto"/>
              </w:rPr>
              <w:t>(3)(5)</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($17,685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310 East Shore Road</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12/20/2021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+ 6.65%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12.05%</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17,361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17,596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Great Neck, NY 11023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Mitnick Corporate Purchaser, Inc. </w:t>
            </w:r>
            <w:r>
              <w:rPr>
                <w:rFonts w:ascii="Times New Roman" w:cs="Times New Roman" w:eastAsia="Times New Roman" w:hAnsi="Times New Roman"/>
                <w:sz w:val="10"/>
                <w:szCs w:val="10"/>
                <w:color w:val="auto"/>
              </w:rPr>
              <w:t>(3)(9)</w:t>
            </w: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($330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197 East University Drive</w:t>
            </w:r>
          </w:p>
        </w:tc>
        <w:tc>
          <w:tcPr>
            <w:tcW w:w="222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5/2/2022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+ 4.60%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9.97%</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330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317</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Auburn, AL 36832 USA</w:t>
            </w: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5/2029)</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Netwrix Corp. </w:t>
            </w:r>
            <w:r>
              <w:rPr>
                <w:rFonts w:ascii="Times New Roman" w:cs="Times New Roman" w:eastAsia="Times New Roman" w:hAnsi="Times New Roman"/>
                <w:sz w:val="10"/>
                <w:szCs w:val="10"/>
                <w:color w:val="auto"/>
              </w:rPr>
              <w:t>(3)</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6160 Warren Parkway</w:t>
            </w:r>
          </w:p>
        </w:tc>
        <w:tc>
          <w:tcPr>
            <w:tcW w:w="2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100</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($36,456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Frisco, TX 75034</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6/9/2022</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+ 5.00%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10.30%</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35,952</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36,456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6/2029)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($718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6/9/2022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+ 5.00%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682</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718</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6/2029)</w:t>
            </w: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OutSystems Luxco SARL</w:t>
            </w:r>
            <w:r>
              <w:rPr>
                <w:rFonts w:ascii="Times New Roman" w:cs="Times New Roman" w:eastAsia="Times New Roman" w:hAnsi="Times New Roman"/>
                <w:sz w:val="10"/>
                <w:szCs w:val="10"/>
                <w:color w:val="auto"/>
              </w:rPr>
              <w:t>(3)(4)(5)</w:t>
            </w:r>
          </w:p>
        </w:tc>
        <w:tc>
          <w:tcPr>
            <w:tcW w:w="2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55 Thomson Place</w:t>
            </w:r>
          </w:p>
        </w:tc>
        <w:tc>
          <w:tcPr>
            <w:tcW w:w="2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(EUR 3,180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3,180</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2nd Floor</w:t>
            </w:r>
          </w:p>
        </w:tc>
        <w:tc>
          <w:tcPr>
            <w:tcW w:w="222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12/8/2022</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+ 5.75%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9.72%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3,083</w:t>
            </w:r>
          </w:p>
        </w:tc>
        <w:tc>
          <w:tcPr>
            <w:tcW w:w="940" w:type="dxa"/>
            <w:vAlign w:val="bottom"/>
            <w:gridSpan w:val="2"/>
            <w:vMerge w:val="continue"/>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Boston, MA 02210 USA</w:t>
            </w: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12/2028)</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(EUR 3,004)</w:t>
            </w: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80" w:right="4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3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8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1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ReliaQuest Holdings, LLC </w:t>
            </w:r>
            <w:r>
              <w:rPr>
                <w:rFonts w:ascii="Times New Roman" w:cs="Times New Roman" w:eastAsia="Times New Roman" w:hAnsi="Times New Roman"/>
                <w:sz w:val="8"/>
                <w:szCs w:val="8"/>
                <w:color w:val="auto"/>
              </w:rPr>
              <w:t>(3)(5)</w:t>
            </w:r>
          </w:p>
        </w:tc>
        <w:tc>
          <w:tcPr>
            <w:tcW w:w="100" w:type="dxa"/>
            <w:vAlign w:val="bottom"/>
            <w:tcBorders>
              <w:top w:val="single" w:sz="8" w:color="CCEEFF"/>
            </w:tcBorders>
            <w:shd w:val="clear" w:color="auto" w:fill="CCEEFF"/>
          </w:tcPr>
          <w:p>
            <w:pPr>
              <w:spacing w:after="0"/>
              <w:rPr>
                <w:sz w:val="8"/>
                <w:szCs w:val="8"/>
                <w:color w:val="auto"/>
              </w:rPr>
            </w:pPr>
          </w:p>
        </w:tc>
        <w:tc>
          <w:tcPr>
            <w:tcW w:w="19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777 South Harbour Island</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Boulevard</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($76,220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Tampa, FL 33602</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10/8/2020</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75,271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77,172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Wrangler TopCo, LLC </w:t>
            </w:r>
            <w:r>
              <w:rPr>
                <w:rFonts w:ascii="Times New Roman" w:cs="Times New Roman" w:eastAsia="Times New Roman" w:hAnsi="Times New Roman"/>
                <w:sz w:val="10"/>
                <w:szCs w:val="10"/>
                <w:color w:val="auto"/>
              </w:rPr>
              <w:t>(3)</w:t>
            </w: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555 California Street</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2900</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($4,153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Francisco, CA 94104</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7/7/2023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12.88%</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4,041</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4,095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7/2029)</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445,788</w:t>
            </w: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451,204</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Chemicals</w:t>
            </w: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Erling Lux Bidco SARL</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 Boulevard De La Foire</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(EUR 9,625 par,</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10,257</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1528 Luxembourg</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E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10.61%</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9,514</w:t>
            </w:r>
          </w:p>
        </w:tc>
        <w:tc>
          <w:tcPr>
            <w:tcW w:w="108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Luxembourg</w:t>
            </w: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9/2028)</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(EUR 9,688)</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2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4"/>
                <w:szCs w:val="14"/>
                <w:color w:val="auto"/>
              </w:rPr>
              <w:t>First-lien loan (GBP 10,217 par,</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 + 6.75%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11.94%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11,276</w:t>
            </w:r>
          </w:p>
        </w:tc>
        <w:tc>
          <w:tcPr>
            <w:tcW w:w="10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12,533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9/2028)</w:t>
            </w:r>
          </w:p>
        </w:tc>
        <w:tc>
          <w:tcPr>
            <w:tcW w:w="9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(GBP 10,269)</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First-lien revolving loan (GBP</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11.94%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w:t>
            </w:r>
          </w:p>
        </w:tc>
        <w:tc>
          <w:tcPr>
            <w:tcW w:w="108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382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312 par, due 9/2028)</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(GBP 313)</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21,190</w:t>
            </w:r>
          </w:p>
        </w:tc>
        <w:tc>
          <w:tcPr>
            <w:tcW w:w="22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23,172</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Banyan Software Holdings, LLC </w:t>
            </w:r>
            <w:r>
              <w:rPr>
                <w:rFonts w:ascii="Times New Roman" w:cs="Times New Roman" w:eastAsia="Times New Roman" w:hAnsi="Times New Roman"/>
                <w:sz w:val="10"/>
                <w:szCs w:val="10"/>
                <w:color w:val="auto"/>
              </w:rPr>
              <w:t>(3)</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(4)</w:t>
            </w: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303 Perimeter Center North</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450</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($19,850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Atlanta, GA 30346</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1/27/2023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+ 7.35%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12.67%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18,803</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19,651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10/2026)</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Celtra Technologies, Inc. </w:t>
            </w:r>
            <w:r>
              <w:rPr>
                <w:rFonts w:ascii="Times New Roman" w:cs="Times New Roman" w:eastAsia="Times New Roman" w:hAnsi="Times New Roman"/>
                <w:sz w:val="10"/>
                <w:szCs w:val="10"/>
                <w:color w:val="auto"/>
              </w:rPr>
              <w:t>(3)(5)</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545 Boylston Street</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11th Floor</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($34,256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02116</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11/19/2021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+ 7.10%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12.42%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33,521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33,742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11/2026)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w:t>
            </w: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155 Bovet Rd.</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405</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First-lien loan ($33,925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12/2/2019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+ 8.40%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13.79%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33,899</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33,586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xml:space="preserve">12/2024) </w:t>
            </w:r>
            <w:r>
              <w:rPr>
                <w:rFonts w:ascii="Times New Roman" w:cs="Times New Roman" w:eastAsia="Times New Roman" w:hAnsi="Times New Roman"/>
                <w:sz w:val="10"/>
                <w:szCs w:val="10"/>
                <w:color w:val="auto"/>
              </w:rPr>
              <w:t>(3)</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Convertible note ($4,619 par, due</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5/12/2021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7.00%</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7.00%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4,590</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4,803</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5/2028)</w:t>
            </w:r>
          </w:p>
        </w:tc>
        <w:tc>
          <w:tcPr>
            <w:tcW w:w="1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90,813</w:t>
            </w:r>
          </w:p>
        </w:tc>
        <w:tc>
          <w:tcPr>
            <w:tcW w:w="22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91,782</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6.2%</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Astra Acquisition Corp. </w:t>
            </w:r>
            <w:r>
              <w:rPr>
                <w:rFonts w:ascii="Times New Roman" w:cs="Times New Roman" w:eastAsia="Times New Roman" w:hAnsi="Times New Roman"/>
                <w:sz w:val="10"/>
                <w:szCs w:val="10"/>
                <w:color w:val="auto"/>
              </w:rPr>
              <w:t>(3)</w:t>
            </w:r>
          </w:p>
        </w:tc>
        <w:tc>
          <w:tcPr>
            <w:tcW w:w="2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Second-lien loan ($43,479 par,</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5201 Congress Ave.</w:t>
            </w:r>
          </w:p>
        </w:tc>
        <w:tc>
          <w:tcPr>
            <w:tcW w:w="2220" w:type="dxa"/>
            <w:vAlign w:val="bottom"/>
            <w:gridSpan w:val="3"/>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10/25/2021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+ 8.99%</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14.53%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42,796</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34,566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Boca Raton, FL 33487</w:t>
            </w:r>
          </w:p>
        </w:tc>
        <w:tc>
          <w:tcPr>
            <w:tcW w:w="100" w:type="dxa"/>
            <w:vAlign w:val="bottom"/>
          </w:tcPr>
          <w:p>
            <w:pPr>
              <w:spacing w:after="0"/>
              <w:rPr>
                <w:sz w:val="14"/>
                <w:szCs w:val="14"/>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10/2029)</w:t>
            </w: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Destiny Solutions Parent Holding</w:t>
            </w: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Company </w:t>
            </w:r>
            <w:r>
              <w:rPr>
                <w:rFonts w:ascii="Times New Roman" w:cs="Times New Roman" w:eastAsia="Times New Roman" w:hAnsi="Times New Roman"/>
                <w:sz w:val="10"/>
                <w:szCs w:val="10"/>
                <w:color w:val="auto"/>
              </w:rPr>
              <w:t>(3)(5)</w:t>
            </w:r>
          </w:p>
        </w:tc>
        <w:tc>
          <w:tcPr>
            <w:tcW w:w="22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First-lien loan ($59,700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1320 Flynn Road, Suite 100</w:t>
            </w:r>
          </w:p>
        </w:tc>
        <w:tc>
          <w:tcPr>
            <w:tcW w:w="2220" w:type="dxa"/>
            <w:vAlign w:val="bottom"/>
            <w:gridSpan w:val="3"/>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+ 5.85%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58,941</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59,103</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Camarillo, CA 93012</w:t>
            </w:r>
          </w:p>
        </w:tc>
        <w:tc>
          <w:tcPr>
            <w:tcW w:w="2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6/2026)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80" w:right="4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60" w:type="dxa"/>
            <w:vAlign w:val="bottom"/>
            <w:vMerge w:val="restart"/>
          </w:tcPr>
          <w:p>
            <w:pPr>
              <w:spacing w:after="0"/>
              <w:rPr>
                <w:sz w:val="11"/>
                <w:szCs w:val="11"/>
                <w:color w:val="auto"/>
              </w:rPr>
            </w:pPr>
          </w:p>
        </w:tc>
        <w:tc>
          <w:tcPr>
            <w:tcW w:w="2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2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4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8"/>
                <w:szCs w:val="8"/>
                <w:color w:val="auto"/>
              </w:rPr>
              <w:t>(3)</w:t>
            </w:r>
          </w:p>
        </w:tc>
        <w:tc>
          <w:tcPr>
            <w:tcW w:w="20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2528 INDEPENDENCE BLVD</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($56,216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STE 200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12/22/2021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11.67%</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55,240</w:t>
            </w:r>
          </w:p>
        </w:tc>
        <w:tc>
          <w:tcPr>
            <w:tcW w:w="140" w:type="dxa"/>
            <w:vAlign w:val="bottom"/>
            <w:vMerge w:val="restart"/>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54,916</w:t>
            </w:r>
          </w:p>
        </w:tc>
        <w:tc>
          <w:tcPr>
            <w:tcW w:w="20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WILMINGTON NC 28412-2591</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156,977</w:t>
            </w:r>
          </w:p>
        </w:tc>
        <w:tc>
          <w:tcPr>
            <w:tcW w:w="14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148,585</w:t>
            </w:r>
          </w:p>
        </w:tc>
        <w:tc>
          <w:tcPr>
            <w:tcW w:w="200" w:type="dxa"/>
            <w:vAlign w:val="bottom"/>
            <w:vMerge w:val="continue"/>
          </w:tcPr>
          <w:p>
            <w:pPr>
              <w:spacing w:after="0"/>
              <w:rPr>
                <w:sz w:val="14"/>
                <w:szCs w:val="14"/>
                <w:color w:val="auto"/>
              </w:rPr>
            </w:pP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Alaska Bidco Oy </w:t>
            </w:r>
            <w:r>
              <w:rPr>
                <w:rFonts w:ascii="Times New Roman" w:cs="Times New Roman" w:eastAsia="Times New Roman" w:hAnsi="Times New Roman"/>
                <w:sz w:val="10"/>
                <w:szCs w:val="10"/>
                <w:color w:val="auto"/>
              </w:rPr>
              <w:t>(3)(4)</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(EUR 727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763</w:t>
            </w: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Linnoitustie 6</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5/30/2023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+ 6.25%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10.39%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754</w:t>
            </w:r>
          </w:p>
        </w:tc>
        <w:tc>
          <w:tcPr>
            <w:tcW w:w="102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02600, Norway</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5/2030)</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720)</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Bluebill Buyer, Inc.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($28,164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6100 W. 96th Street, Suite 100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7/20/2023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27,122</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27,319</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Indianapolis, IN 46278</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BTRS Holdings, Inc.</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1009 Lenox</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($46,580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Drive, Suite 101</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12/16/2022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+ 8.00%</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13.41%</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45,277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46,323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Lawrenceville, NJ 08648</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Bear OpCo, LLC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($21,082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5435 Corporate Drive, Suite 300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10/10/2019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+ 7.65%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12.97%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20,953</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21,345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Troy, MI 48098</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10/2024)</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BlueSnap, Inc. </w:t>
            </w:r>
            <w:r>
              <w:rPr>
                <w:rFonts w:ascii="Times New Roman" w:cs="Times New Roman" w:eastAsia="Times New Roman" w:hAnsi="Times New Roman"/>
                <w:sz w:val="10"/>
                <w:szCs w:val="10"/>
                <w:color w:val="auto"/>
              </w:rPr>
              <w:t>(3)(5)</w:t>
            </w: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800 South Street</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($42,000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640</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10/25/2019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+ 7.15%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12.54%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41,786</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42,223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Waltham, MA 02453</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10/2024)</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Ibis Intermediate Co.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($1,514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485 Lexington Ave, 20th Floor</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5/28/2021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+ 4.65%</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10.07%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1,359</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1,593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Ibis US Blocker Co.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485 Lexington</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($15,419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13.82%</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Ave, 20th Floor</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5/28/2021</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+ 8.40%</w:t>
            </w:r>
          </w:p>
        </w:tc>
        <w:tc>
          <w:tcPr>
            <w:tcW w:w="134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15,196</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15,342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5/2028)</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tcPr>
          <w:p>
            <w:pPr>
              <w:jc w:val="center"/>
              <w:ind w:left="489"/>
              <w:spacing w:after="0"/>
              <w:rPr>
                <w:sz w:val="20"/>
                <w:szCs w:val="20"/>
                <w:color w:val="auto"/>
              </w:rPr>
            </w:pPr>
            <w:r>
              <w:rPr>
                <w:rFonts w:ascii="Times New Roman" w:cs="Times New Roman" w:eastAsia="Times New Roman" w:hAnsi="Times New Roman"/>
                <w:sz w:val="14"/>
                <w:szCs w:val="14"/>
                <w:color w:val="auto"/>
                <w:w w:val="97"/>
              </w:rPr>
              <w:t>PIK</w:t>
            </w:r>
          </w:p>
        </w:tc>
        <w:tc>
          <w:tcPr>
            <w:tcW w:w="7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Kyriba Corp.</w:t>
            </w:r>
            <w:r>
              <w:rPr>
                <w:rFonts w:ascii="Times New Roman" w:cs="Times New Roman" w:eastAsia="Times New Roman" w:hAnsi="Times New Roman"/>
                <w:sz w:val="10"/>
                <w:szCs w:val="10"/>
                <w:color w:val="auto"/>
              </w:rPr>
              <w:t>(3)</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($20,382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14.72%</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4435 Eastgate Mall, Suite 200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+ 9.25%</w:t>
            </w:r>
          </w:p>
        </w:tc>
        <w:tc>
          <w:tcPr>
            <w:tcW w:w="134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20,255</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20,433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92121</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4/2025)</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10,617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+ 9.00%</w:t>
            </w:r>
          </w:p>
        </w:tc>
        <w:tc>
          <w:tcPr>
            <w:tcW w:w="1340" w:type="dxa"/>
            <w:vAlign w:val="bottom"/>
            <w:gridSpan w:val="2"/>
          </w:tcPr>
          <w:p>
            <w:pPr>
              <w:jc w:val="center"/>
              <w:ind w:left="509"/>
              <w:spacing w:after="0" w:line="135" w:lineRule="exact"/>
              <w:rPr>
                <w:sz w:val="20"/>
                <w:szCs w:val="20"/>
                <w:color w:val="auto"/>
              </w:rPr>
            </w:pPr>
            <w:r>
              <w:rPr>
                <w:rFonts w:ascii="Times New Roman" w:cs="Times New Roman" w:eastAsia="Times New Roman" w:hAnsi="Times New Roman"/>
                <w:sz w:val="14"/>
                <w:szCs w:val="14"/>
                <w:color w:val="auto"/>
              </w:rPr>
              <w:t>13.14%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11,782</w:t>
            </w: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11,269</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4/2025)</w:t>
            </w: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(incl. 9.00% PIK)</w:t>
            </w:r>
          </w:p>
        </w:tc>
        <w:tc>
          <w:tcPr>
            <w:tcW w:w="720" w:type="dxa"/>
            <w:vAlign w:val="bottom"/>
            <w:gridSpan w:val="2"/>
            <w:vMerge w:val="continue"/>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10,644)</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($1,411</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40" w:type="dxa"/>
            <w:vAlign w:val="bottom"/>
            <w:gridSpan w:val="2"/>
            <w:vMerge w:val="restart"/>
            <w:shd w:val="clear" w:color="auto" w:fill="CCEEFF"/>
          </w:tcPr>
          <w:p>
            <w:pPr>
              <w:jc w:val="center"/>
              <w:ind w:left="509"/>
              <w:spacing w:after="0"/>
              <w:rPr>
                <w:sz w:val="20"/>
                <w:szCs w:val="20"/>
                <w:color w:val="auto"/>
              </w:rPr>
            </w:pPr>
            <w:r>
              <w:rPr>
                <w:rFonts w:ascii="Times New Roman" w:cs="Times New Roman" w:eastAsia="Times New Roman" w:hAnsi="Times New Roman"/>
                <w:sz w:val="14"/>
                <w:szCs w:val="14"/>
                <w:color w:val="auto"/>
              </w:rPr>
              <w:t>12.97%</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1,399</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1,415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4/2025)</w:t>
            </w: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revolving loan (EUR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4/9/2019</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+ 7.25%</w:t>
            </w:r>
          </w:p>
        </w:tc>
        <w:tc>
          <w:tcPr>
            <w:tcW w:w="1340" w:type="dxa"/>
            <w:vAlign w:val="bottom"/>
            <w:gridSpan w:val="2"/>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11.39%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374</w:t>
            </w:r>
          </w:p>
        </w:tc>
        <w:tc>
          <w:tcPr>
            <w:tcW w:w="10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356</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336 par, due 4/2025)</w:t>
            </w:r>
          </w:p>
        </w:tc>
        <w:tc>
          <w:tcPr>
            <w:tcW w:w="8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(EUR 336)</w:t>
            </w:r>
          </w:p>
        </w:tc>
        <w:tc>
          <w:tcPr>
            <w:tcW w:w="9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80" w:right="4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40" w:type="dxa"/>
            <w:vAlign w:val="bottom"/>
            <w:vMerge w:val="restart"/>
          </w:tcPr>
          <w:p>
            <w:pPr>
              <w:spacing w:after="0"/>
              <w:rPr>
                <w:sz w:val="11"/>
                <w:szCs w:val="11"/>
                <w:color w:val="auto"/>
              </w:rPr>
            </w:pPr>
          </w:p>
        </w:tc>
        <w:tc>
          <w:tcPr>
            <w:tcW w:w="2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2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Passport Labs, Inc.</w:t>
            </w:r>
          </w:p>
        </w:tc>
        <w:tc>
          <w:tcPr>
            <w:tcW w:w="20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($24,349 par, due</w:t>
            </w:r>
          </w:p>
        </w:tc>
        <w:tc>
          <w:tcPr>
            <w:tcW w:w="100" w:type="dxa"/>
            <w:vAlign w:val="bottom"/>
            <w:tcBorders>
              <w:top w:val="single" w:sz="8" w:color="CCEEFF"/>
            </w:tcBorders>
            <w:vMerge w:val="restart"/>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128 S Tryon St, Ste 1000</w:t>
            </w:r>
          </w:p>
        </w:tc>
        <w:tc>
          <w:tcPr>
            <w:tcW w:w="200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4/28/2021</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+ 8.40%</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13.79%</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24,174</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24,294</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Charlotte, NC 28202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4/2026)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Convertible Promissory Note A</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8.00%</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8.00%</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694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943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($694 par, due 9/2024)</w:t>
            </w: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Ping Identity Holding Corp. </w:t>
            </w:r>
            <w:r>
              <w:rPr>
                <w:rFonts w:ascii="Times New Roman" w:cs="Times New Roman" w:eastAsia="Times New Roman" w:hAnsi="Times New Roman"/>
                <w:sz w:val="10"/>
                <w:szCs w:val="10"/>
                <w:color w:val="auto"/>
              </w:rPr>
              <w:t>(3)</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($22,727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17th Street, Suite 100</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10/17/2022</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+ 7.00%</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12.32%</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22,165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23,040</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PrimeRevenue, Inc. </w:t>
            </w:r>
            <w:r>
              <w:rPr>
                <w:rFonts w:ascii="Times New Roman" w:cs="Times New Roman" w:eastAsia="Times New Roman" w:hAnsi="Times New Roman"/>
                <w:sz w:val="10"/>
                <w:szCs w:val="10"/>
                <w:color w:val="auto"/>
              </w:rPr>
              <w:t>(3)</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($15,007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600 Peachtree St NE, Suite 4400</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12/31/2018</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+ 7.15%</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12.55%</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14,997</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15,113</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Atlanta, GA 30308</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12/2024)</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TradingScreen, Inc. </w:t>
            </w:r>
            <w:r>
              <w:rPr>
                <w:rFonts w:ascii="Times New Roman" w:cs="Times New Roman" w:eastAsia="Times New Roman" w:hAnsi="Times New Roman"/>
                <w:sz w:val="10"/>
                <w:szCs w:val="10"/>
                <w:color w:val="auto"/>
              </w:rPr>
              <w:t>(3)(5)</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($47,318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Penn Plaza, 49th Fl</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4/30/2021</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11.72%</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46,421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47,081</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10119</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4/2027)</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Volante Technologies, Inc.</w:t>
            </w: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Harborside 5</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($2,500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16.50%</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185 Hudson Street, #1605</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9/29/2023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16.50%</w:t>
            </w:r>
          </w:p>
        </w:tc>
        <w:tc>
          <w:tcPr>
            <w:tcW w:w="134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2,438</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2,438</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Jersey City, NJ 07311</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9/2028)</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297,146</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301,290</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BCTO Ace Purchaser, Inc. </w:t>
            </w:r>
            <w:r>
              <w:rPr>
                <w:rFonts w:ascii="Times New Roman" w:cs="Times New Roman" w:eastAsia="Times New Roman" w:hAnsi="Times New Roman"/>
                <w:sz w:val="10"/>
                <w:szCs w:val="10"/>
                <w:color w:val="auto"/>
              </w:rPr>
              <w:t>(3)</w:t>
            </w: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3675 Mt. Diablo Boulevard, Suite</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($69,231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100B</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11/23/2020</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+ 8.45%</w:t>
            </w: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13.87%</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68,271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69,577</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Lafayette, CA 94549</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11/2027) </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Second-lien loan ($5,401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1/23/2023</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+ 10.70%</w:t>
            </w:r>
          </w:p>
        </w:tc>
        <w:tc>
          <w:tcPr>
            <w:tcW w:w="13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16.05%</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5,266</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5,374</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1/2030)</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Edge Bidco B.V </w:t>
            </w:r>
            <w:r>
              <w:rPr>
                <w:rFonts w:ascii="Times New Roman" w:cs="Times New Roman" w:eastAsia="Times New Roman" w:hAnsi="Times New Roman"/>
                <w:sz w:val="10"/>
                <w:szCs w:val="10"/>
                <w:color w:val="auto"/>
              </w:rPr>
              <w:t>(3)(4)(5)</w:t>
            </w:r>
            <w:r>
              <w:rPr>
                <w:rFonts w:ascii="Times New Roman" w:cs="Times New Roman" w:eastAsia="Times New Roman" w:hAnsi="Times New Roman"/>
                <w:sz w:val="14"/>
                <w:szCs w:val="14"/>
                <w:color w:val="auto"/>
              </w:rPr>
              <w:t xml:space="preserve"> De</w:t>
            </w:r>
          </w:p>
        </w:tc>
        <w:tc>
          <w:tcPr>
            <w:tcW w:w="2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(EUR 3,520 par,</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10.97%</w:t>
            </w: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3,727</w:t>
            </w: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Lairessestraat 145</w:t>
            </w:r>
          </w:p>
        </w:tc>
        <w:tc>
          <w:tcPr>
            <w:tcW w:w="210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2/24/2023</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+ 7.00%</w:t>
            </w:r>
          </w:p>
        </w:tc>
        <w:tc>
          <w:tcPr>
            <w:tcW w:w="1340" w:type="dxa"/>
            <w:vAlign w:val="bottom"/>
            <w:gridSpan w:val="2"/>
            <w:vMerge w:val="continue"/>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3,590</w:t>
            </w:r>
          </w:p>
        </w:tc>
        <w:tc>
          <w:tcPr>
            <w:tcW w:w="940" w:type="dxa"/>
            <w:vAlign w:val="bottom"/>
            <w:gridSpan w:val="2"/>
            <w:vMerge w:val="continue"/>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1075 HJ Amsterdam</w:t>
            </w:r>
          </w:p>
        </w:tc>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2/2029)</w:t>
            </w:r>
          </w:p>
        </w:tc>
        <w:tc>
          <w:tcPr>
            <w:tcW w:w="84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3.25% PIK)</w:t>
            </w:r>
          </w:p>
        </w:tc>
        <w:tc>
          <w:tcPr>
            <w:tcW w:w="74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(EUR 3,520)</w:t>
            </w: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Homecare Software Solutions, LLC</w:t>
            </w: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(3)(5)</w:t>
            </w:r>
          </w:p>
        </w:tc>
        <w:tc>
          <w:tcPr>
            <w:tcW w:w="15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130 West 42nd Street</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($65,000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2nd Floor</w:t>
            </w:r>
          </w:p>
        </w:tc>
        <w:tc>
          <w:tcPr>
            <w:tcW w:w="21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10/6/2021</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+ 5.70%</w:t>
            </w:r>
          </w:p>
        </w:tc>
        <w:tc>
          <w:tcPr>
            <w:tcW w:w="1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11.03%</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63,942</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64,675</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10036</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10/2026)</w:t>
            </w: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80" w:right="4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3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8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1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1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Merative L.P. </w:t>
            </w:r>
            <w:r>
              <w:rPr>
                <w:rFonts w:ascii="Times New Roman" w:cs="Times New Roman" w:eastAsia="Times New Roman" w:hAnsi="Times New Roman"/>
                <w:sz w:val="8"/>
                <w:szCs w:val="8"/>
                <w:color w:val="auto"/>
              </w:rPr>
              <w:t>(3)(5)</w:t>
            </w:r>
          </w:p>
        </w:tc>
        <w:tc>
          <w:tcPr>
            <w:tcW w:w="120" w:type="dxa"/>
            <w:vAlign w:val="bottom"/>
            <w:tcBorders>
              <w:top w:val="single" w:sz="8" w:color="CCEEFF"/>
            </w:tcBorders>
            <w:vMerge w:val="restart"/>
            <w:shd w:val="clear" w:color="auto" w:fill="CCEEFF"/>
          </w:tcPr>
          <w:p>
            <w:pPr>
              <w:spacing w:after="0"/>
              <w:rPr>
                <w:sz w:val="8"/>
                <w:szCs w:val="8"/>
                <w:color w:val="auto"/>
              </w:rPr>
            </w:pPr>
          </w:p>
        </w:tc>
        <w:tc>
          <w:tcPr>
            <w:tcW w:w="20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($70,103 par, due</w:t>
            </w:r>
          </w:p>
        </w:tc>
        <w:tc>
          <w:tcPr>
            <w:tcW w:w="180" w:type="dxa"/>
            <w:vAlign w:val="bottom"/>
            <w:tcBorders>
              <w:top w:val="single" w:sz="8" w:color="CCEEFF"/>
            </w:tcBorders>
            <w:vMerge w:val="restart"/>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Phoenix Drive</w:t>
            </w:r>
          </w:p>
        </w:tc>
        <w:tc>
          <w:tcPr>
            <w:tcW w:w="120" w:type="dxa"/>
            <w:vAlign w:val="bottom"/>
            <w:vMerge w:val="continue"/>
            <w:shd w:val="clear" w:color="auto" w:fill="CCEEFF"/>
          </w:tcPr>
          <w:p>
            <w:pPr>
              <w:spacing w:after="0"/>
              <w:rPr>
                <w:sz w:val="12"/>
                <w:szCs w:val="12"/>
                <w:color w:val="auto"/>
              </w:rPr>
            </w:pPr>
          </w:p>
        </w:tc>
        <w:tc>
          <w:tcPr>
            <w:tcW w:w="202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12.65%</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68,127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69,052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Ann Arbor, MI 48108</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6/2028)</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Raptor US Buyer II Corp. </w:t>
            </w:r>
            <w:r>
              <w:rPr>
                <w:rFonts w:ascii="Times New Roman" w:cs="Times New Roman" w:eastAsia="Times New Roman" w:hAnsi="Times New Roman"/>
                <w:sz w:val="10"/>
                <w:szCs w:val="10"/>
                <w:color w:val="auto"/>
              </w:rPr>
              <w:t>(3)</w:t>
            </w:r>
            <w:r>
              <w:rPr>
                <w:rFonts w:ascii="Times New Roman" w:cs="Times New Roman" w:eastAsia="Times New Roman" w:hAnsi="Times New Roman"/>
                <w:sz w:val="14"/>
                <w:szCs w:val="14"/>
                <w:color w:val="auto"/>
              </w:rPr>
              <w:t xml:space="preserve"> 205</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($15,609 par, due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Wacker Drive, Suite 1800</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3/24/2023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+ 6.75%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12.14%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15,083</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15,413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3/2029)</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SL Buyer Corp. </w:t>
            </w:r>
            <w:r>
              <w:rPr>
                <w:rFonts w:ascii="Times New Roman" w:cs="Times New Roman" w:eastAsia="Times New Roman" w:hAnsi="Times New Roman"/>
                <w:sz w:val="10"/>
                <w:szCs w:val="10"/>
                <w:color w:val="auto"/>
              </w:rPr>
              <w:t>(3)(5)</w:t>
            </w:r>
          </w:p>
        </w:tc>
        <w:tc>
          <w:tcPr>
            <w:tcW w:w="232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First-lien loan ($31,475 par, due</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+ 7.00%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30,096</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30,520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111 South Wood Avenue Iselin, NJ 08830</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7/2029)</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254,375</w:t>
            </w:r>
          </w:p>
        </w:tc>
        <w:tc>
          <w:tcPr>
            <w:tcW w:w="22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258,338</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17.5%</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ASG II, LLC </w:t>
            </w:r>
            <w:r>
              <w:rPr>
                <w:rFonts w:ascii="Times New Roman" w:cs="Times New Roman" w:eastAsia="Times New Roman" w:hAnsi="Times New Roman"/>
                <w:sz w:val="10"/>
                <w:szCs w:val="10"/>
                <w:color w:val="auto"/>
              </w:rPr>
              <w:t>(3)(5)</w:t>
            </w:r>
          </w:p>
        </w:tc>
        <w:tc>
          <w:tcPr>
            <w:tcW w:w="23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First-lien loan ($60,693 par, due</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5/25/2022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+ 6.40%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11.77%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59,414</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60,693</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Walnut Creek, CA 94596 USA</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5/2028)</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0"/>
                <w:szCs w:val="10"/>
                <w:color w:val="auto"/>
              </w:rPr>
              <w:t>(3)(6)</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1555 Palm Beach Lake Blvd</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 1105</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($30,261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Palm Beach, FL 33401</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9/29/2015</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+ 9.65%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28,594</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30,034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6/2024)</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3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First-lien revolving loan ($24,752</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9/29/2015</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+ 9.65%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15.04%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24,752</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24,564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6/2024)</w:t>
            </w: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112,760</w:t>
            </w:r>
          </w:p>
        </w:tc>
        <w:tc>
          <w:tcPr>
            <w:tcW w:w="11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115,291</w:t>
            </w: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Human Resource Support</w:t>
            </w: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Axonify, Inc. </w:t>
            </w:r>
            <w:r>
              <w:rPr>
                <w:rFonts w:ascii="Times New Roman" w:cs="Times New Roman" w:eastAsia="Times New Roman" w:hAnsi="Times New Roman"/>
                <w:sz w:val="10"/>
                <w:szCs w:val="10"/>
                <w:color w:val="auto"/>
              </w:rPr>
              <w:t>(3)(4)(5)</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450 Phillip St</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($40,920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Waterloo, Ontario N2L 5J2</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40,312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40,920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5/2027)</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bswift, LLC </w:t>
            </w:r>
            <w:r>
              <w:rPr>
                <w:rFonts w:ascii="Times New Roman" w:cs="Times New Roman" w:eastAsia="Times New Roman" w:hAnsi="Times New Roman"/>
                <w:sz w:val="10"/>
                <w:szCs w:val="10"/>
                <w:color w:val="auto"/>
              </w:rPr>
              <w:t>(3)(5)</w:t>
            </w: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($44,470 par, due</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11/7/2022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+ 6.63%</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11.91%</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43,287</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44,582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11/2028)</w:t>
            </w: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Elysian Finco Ltd. </w:t>
            </w:r>
            <w:r>
              <w:rPr>
                <w:rFonts w:ascii="Times New Roman" w:cs="Times New Roman" w:eastAsia="Times New Roman" w:hAnsi="Times New Roman"/>
                <w:sz w:val="10"/>
                <w:szCs w:val="10"/>
                <w:color w:val="auto"/>
              </w:rPr>
              <w:t>(3)(4)(5)</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27-28 Clements Lane</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($18,955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London EC4N 7AE</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1/31/2022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+ 6.65%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11.95%</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18,528</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19,356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Kingdom</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1/2028)</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Employment Hero Holdings Pty</w:t>
            </w: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Ltd.</w:t>
            </w:r>
            <w:r>
              <w:rPr>
                <w:rFonts w:ascii="Times New Roman" w:cs="Times New Roman" w:eastAsia="Times New Roman" w:hAnsi="Times New Roman"/>
                <w:sz w:val="8"/>
                <w:szCs w:val="8"/>
                <w:color w:val="auto"/>
              </w:rPr>
              <w:t xml:space="preserve"> (3)(4)</w:t>
            </w: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Level 2, 441 Kent Street</w:t>
            </w:r>
          </w:p>
        </w:tc>
        <w:tc>
          <w:tcPr>
            <w:tcW w:w="2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First-lien loan (AUD 32,270 par,</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32,067</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Sydney, New South Wales 2000</w:t>
            </w:r>
          </w:p>
        </w:tc>
        <w:tc>
          <w:tcPr>
            <w:tcW w:w="232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12/6/2021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B + 6.50%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10.72%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34,791</w:t>
            </w:r>
          </w:p>
        </w:tc>
        <w:tc>
          <w:tcPr>
            <w:tcW w:w="112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120" w:type="dxa"/>
            <w:vAlign w:val="bottom"/>
          </w:tcPr>
          <w:p>
            <w:pPr>
              <w:spacing w:after="0"/>
              <w:rPr>
                <w:sz w:val="15"/>
                <w:szCs w:val="15"/>
                <w:color w:val="auto"/>
              </w:rPr>
            </w:pPr>
          </w:p>
        </w:tc>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12/2026)</w:t>
            </w: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(AUD 49,685)</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HireVue, Inc.</w:t>
            </w:r>
            <w:r>
              <w:rPr>
                <w:rFonts w:ascii="Times New Roman" w:cs="Times New Roman" w:eastAsia="Times New Roman" w:hAnsi="Times New Roman"/>
                <w:sz w:val="10"/>
                <w:szCs w:val="10"/>
                <w:color w:val="auto"/>
              </w:rPr>
              <w:t>(3)</w:t>
            </w:r>
          </w:p>
        </w:tc>
        <w:tc>
          <w:tcPr>
            <w:tcW w:w="1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10876 South River Front</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Parkway</w:t>
            </w:r>
          </w:p>
        </w:tc>
        <w:tc>
          <w:tcPr>
            <w:tcW w:w="1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32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First-lien loan ($54,113 par, due</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 Jordan, UT 84095</w:t>
            </w:r>
          </w:p>
        </w:tc>
        <w:tc>
          <w:tcPr>
            <w:tcW w:w="232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52,422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53,350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5/2029)</w:t>
            </w: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80" w:right="4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20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1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PageUp People, Ltd. </w:t>
            </w:r>
            <w:r>
              <w:rPr>
                <w:rFonts w:ascii="Times New Roman" w:cs="Times New Roman" w:eastAsia="Times New Roman" w:hAnsi="Times New Roman"/>
                <w:sz w:val="8"/>
                <w:szCs w:val="8"/>
                <w:color w:val="auto"/>
              </w:rPr>
              <w:t>(3)(4)(5)</w:t>
            </w:r>
          </w:p>
        </w:tc>
        <w:tc>
          <w:tcPr>
            <w:tcW w:w="19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S5051, Level 5, 447 Collins</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(AUD 13,916 par,</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8,982</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Melbourne, Victoria 3000</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1/11/2018</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B + 5.25%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9.36%</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10,500</w:t>
            </w:r>
          </w:p>
        </w:tc>
        <w:tc>
          <w:tcPr>
            <w:tcW w:w="1120" w:type="dxa"/>
            <w:vAlign w:val="bottom"/>
            <w:gridSpan w:val="2"/>
            <w:vMerge w:val="continue"/>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12/2025)</w:t>
            </w: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(AUD 13,916)</w:t>
            </w: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(GBP 3,258 par,</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10/28/2021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 + 5.28%</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10.47%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4,487</w:t>
            </w:r>
          </w:p>
        </w:tc>
        <w:tc>
          <w:tcPr>
            <w:tcW w:w="11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4"/>
                <w:szCs w:val="14"/>
                <w:color w:val="auto"/>
              </w:rPr>
              <w:t>3,976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12/2025)</w:t>
            </w:r>
          </w:p>
        </w:tc>
        <w:tc>
          <w:tcPr>
            <w:tcW w:w="92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(GBP 3,258)</w:t>
            </w:r>
          </w:p>
        </w:tc>
        <w:tc>
          <w:tcPr>
            <w:tcW w:w="102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($11,441 par, due</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10/28/2021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+ 5.35%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11,431</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11,441</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0.8%</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12/2025)</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PayScale Holdings, Inc. </w:t>
            </w:r>
            <w:r>
              <w:rPr>
                <w:rFonts w:ascii="Times New Roman" w:cs="Times New Roman" w:eastAsia="Times New Roman" w:hAnsi="Times New Roman"/>
                <w:sz w:val="10"/>
                <w:szCs w:val="10"/>
                <w:color w:val="auto"/>
              </w:rPr>
              <w:t>(3)(5)</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255 S King Street</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Ste 800</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($71,379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Seattle, WA 98104</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5/3/2019</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+ 6.35%</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11.74%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70,985</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71,379</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4.8%</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5/2027)</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PrimePay Intermediate, LLC </w:t>
            </w:r>
            <w:r>
              <w:rPr>
                <w:rFonts w:ascii="Times New Roman" w:cs="Times New Roman" w:eastAsia="Times New Roman" w:hAnsi="Times New Roman"/>
                <w:sz w:val="10"/>
                <w:szCs w:val="10"/>
                <w:color w:val="auto"/>
              </w:rPr>
              <w:t>(3)(5)</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($34,462 par, due</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1487 Dunwoody Drive West</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12/17/2021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+ 7.15%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33,697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34,290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Chester, PA 19380 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12/2026)</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320,440</w:t>
            </w:r>
          </w:p>
        </w:tc>
        <w:tc>
          <w:tcPr>
            <w:tcW w:w="22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320,343</w:t>
            </w:r>
          </w:p>
        </w:tc>
        <w:tc>
          <w:tcPr>
            <w:tcW w:w="280" w:type="dxa"/>
            <w:vAlign w:val="bottom"/>
            <w:vMerge w:val="continue"/>
          </w:tcPr>
          <w:p>
            <w:pPr>
              <w:spacing w:after="0"/>
              <w:rPr>
                <w:sz w:val="14"/>
                <w:szCs w:val="14"/>
                <w:color w:val="auto"/>
              </w:rPr>
            </w:pPr>
          </w:p>
        </w:tc>
        <w:tc>
          <w:tcPr>
            <w:tcW w:w="10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21.6%</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Disco Parent, Inc. </w:t>
            </w:r>
            <w:r>
              <w:rPr>
                <w:rFonts w:ascii="Times New Roman" w:cs="Times New Roman" w:eastAsia="Times New Roman" w:hAnsi="Times New Roman"/>
                <w:sz w:val="10"/>
                <w:szCs w:val="10"/>
                <w:color w:val="auto"/>
              </w:rPr>
              <w:t>(3)</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22 Boston Wharf Road Boston,</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($4,545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MA 02210</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3/30/2023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12.92%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4,431</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4,495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3/2029)</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Arrow Buyer, Inc. </w:t>
            </w:r>
            <w:r>
              <w:rPr>
                <w:rFonts w:ascii="Times New Roman" w:cs="Times New Roman" w:eastAsia="Times New Roman" w:hAnsi="Times New Roman"/>
                <w:sz w:val="10"/>
                <w:szCs w:val="10"/>
                <w:color w:val="auto"/>
              </w:rPr>
              <w:t>(3)</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 East 49th Street</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Tower 49</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($33,125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10017</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6/30/2023</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+ 6.50%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11.89%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32,225</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32,514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7/2030)</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Bayshore Intermediate #2, L.P. </w:t>
            </w:r>
            <w:r>
              <w:rPr>
                <w:rFonts w:ascii="Times New Roman" w:cs="Times New Roman" w:eastAsia="Times New Roman" w:hAnsi="Times New Roman"/>
                <w:sz w:val="10"/>
                <w:szCs w:val="10"/>
                <w:color w:val="auto"/>
              </w:rPr>
              <w:t>(3)</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($35,464 par, due</w:t>
            </w: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6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1400 Liberty Ridge Drive</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+ 7.60%</w:t>
            </w:r>
          </w:p>
        </w:tc>
        <w:tc>
          <w:tcPr>
            <w:tcW w:w="1040" w:type="dxa"/>
            <w:vAlign w:val="bottom"/>
            <w:gridSpan w:val="2"/>
            <w:vMerge w:val="continue"/>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34,947</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35,198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Chesterbrook, PA 19087 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18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PIK</w:t>
            </w:r>
          </w:p>
        </w:tc>
        <w:tc>
          <w:tcPr>
            <w:tcW w:w="80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($480</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+ 6.60%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11.87%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444</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461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10/2027)</w:t>
            </w: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Coupa Holdings, LLC </w:t>
            </w:r>
            <w:r>
              <w:rPr>
                <w:rFonts w:ascii="Times New Roman" w:cs="Times New Roman" w:eastAsia="Times New Roman" w:hAnsi="Times New Roman"/>
                <w:sz w:val="10"/>
                <w:szCs w:val="10"/>
                <w:color w:val="auto"/>
              </w:rPr>
              <w:t>(3)</w:t>
            </w:r>
          </w:p>
        </w:tc>
        <w:tc>
          <w:tcPr>
            <w:tcW w:w="1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1855 S. Grant Street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($43,191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2/27/2023</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+ 7.50%</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42,092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43,066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2/2030)</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CrunchTime Information, Systems,</w:t>
            </w: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Inc.</w:t>
            </w:r>
            <w:r>
              <w:rPr>
                <w:rFonts w:ascii="Times New Roman" w:cs="Times New Roman" w:eastAsia="Times New Roman" w:hAnsi="Times New Roman"/>
                <w:sz w:val="8"/>
                <w:szCs w:val="8"/>
                <w:color w:val="auto"/>
              </w:rPr>
              <w:t xml:space="preserve"> (3)(5)</w:t>
            </w: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129 Portland Street</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($59,651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02114</w:t>
            </w:r>
          </w:p>
        </w:tc>
        <w:tc>
          <w:tcPr>
            <w:tcW w:w="20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6/17/2022</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SOFR + 6.00%</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11.32%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58,579</w:t>
            </w: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59,651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6/2028)</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EDB Parent, LLC </w:t>
            </w:r>
            <w:r>
              <w:rPr>
                <w:rFonts w:ascii="Times New Roman" w:cs="Times New Roman" w:eastAsia="Times New Roman" w:hAnsi="Times New Roman"/>
                <w:sz w:val="10"/>
                <w:szCs w:val="10"/>
                <w:color w:val="auto"/>
              </w:rPr>
              <w:t>(3)(5)</w:t>
            </w:r>
          </w:p>
        </w:tc>
        <w:tc>
          <w:tcPr>
            <w:tcW w:w="1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34 Crosby Drive</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201, CORPORATION</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TRUST CENTER 1209</w:t>
            </w:r>
          </w:p>
        </w:tc>
        <w:tc>
          <w:tcPr>
            <w:tcW w:w="1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ORANGE ST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($61,858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Bedford, MA 01730</w:t>
            </w:r>
          </w:p>
        </w:tc>
        <w:tc>
          <w:tcPr>
            <w:tcW w:w="20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7/7/2022</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SOFR + 6.75%</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60,612</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61,394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7/2028)</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80" w:right="4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20" w:type="dxa"/>
            <w:vAlign w:val="bottom"/>
            <w:vMerge w:val="restart"/>
          </w:tcPr>
          <w:p>
            <w:pPr>
              <w:spacing w:after="0"/>
              <w:rPr>
                <w:sz w:val="11"/>
                <w:szCs w:val="11"/>
                <w:color w:val="auto"/>
              </w:rPr>
            </w:pPr>
          </w:p>
        </w:tc>
        <w:tc>
          <w:tcPr>
            <w:tcW w:w="22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rPr>
              <w:t>Spread</w:t>
            </w:r>
          </w:p>
        </w:tc>
        <w:tc>
          <w:tcPr>
            <w:tcW w:w="132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Higher Logic, LLC </w:t>
            </w:r>
            <w:r>
              <w:rPr>
                <w:rFonts w:ascii="Times New Roman" w:cs="Times New Roman" w:eastAsia="Times New Roman" w:hAnsi="Times New Roman"/>
                <w:sz w:val="8"/>
                <w:szCs w:val="8"/>
                <w:color w:val="auto"/>
              </w:rPr>
              <w:t>(3)(5)</w:t>
            </w:r>
          </w:p>
        </w:tc>
        <w:tc>
          <w:tcPr>
            <w:tcW w:w="21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1919 North Lynn Street</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($53,658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Arlington, VA 22209</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6/18/2018</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+ 6.75%</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12.14%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53,464</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53,792</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1/2025)</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LeanTaaS Holdings, Inc. </w:t>
            </w:r>
            <w:r>
              <w:rPr>
                <w:rFonts w:ascii="Times New Roman" w:cs="Times New Roman" w:eastAsia="Times New Roman" w:hAnsi="Times New Roman"/>
                <w:sz w:val="10"/>
                <w:szCs w:val="10"/>
                <w:color w:val="auto"/>
              </w:rPr>
              <w:t>(3)(5)</w:t>
            </w: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471 El Camino Real Suite 230</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($35,413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Santa Clara, CA 95050</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7/12/2022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12.89%</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34,602</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35,556</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Lithium Technologies, LLC </w:t>
            </w:r>
            <w:r>
              <w:rPr>
                <w:rFonts w:ascii="Times New Roman" w:cs="Times New Roman" w:eastAsia="Times New Roman" w:hAnsi="Times New Roman"/>
                <w:sz w:val="10"/>
                <w:szCs w:val="10"/>
                <w:color w:val="auto"/>
              </w:rPr>
              <w:t>(3)</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46D</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($57,009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14.37%</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New York, NY 10007</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10/3/2017</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+ 9.00%</w:t>
            </w:r>
          </w:p>
        </w:tc>
        <w:tc>
          <w:tcPr>
            <w:tcW w:w="132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56,996</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55,726</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1/2025)</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4.50% PIK)</w:t>
            </w:r>
          </w:p>
        </w:tc>
        <w:tc>
          <w:tcPr>
            <w:tcW w:w="72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10"/>
                <w:szCs w:val="10"/>
                <w:color w:val="auto"/>
              </w:rPr>
              <w:t>(3)(5)</w:t>
            </w: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235 Montgomery Street</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($8,764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San Francisco, CA 94104</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2/11/2022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+ 7.50%</w:t>
            </w:r>
          </w:p>
        </w:tc>
        <w:tc>
          <w:tcPr>
            <w:tcW w:w="132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8,763</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8,717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0.6%</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2/2027)</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3.50% PIK)</w:t>
            </w:r>
          </w:p>
        </w:tc>
        <w:tc>
          <w:tcPr>
            <w:tcW w:w="7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Piano Software, Inc. </w:t>
            </w:r>
            <w:r>
              <w:rPr>
                <w:rFonts w:ascii="Times New Roman" w:cs="Times New Roman" w:eastAsia="Times New Roman" w:hAnsi="Times New Roman"/>
                <w:sz w:val="10"/>
                <w:szCs w:val="10"/>
                <w:color w:val="auto"/>
              </w:rPr>
              <w:t>(3)(5)</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46D</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($51,218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10007</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2/25/2021</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+ 7.10%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12.42%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50,545</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50,706</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SMA Technologies Holdings, LLC</w:t>
            </w:r>
            <w:r>
              <w:rPr>
                <w:rFonts w:ascii="Times New Roman" w:cs="Times New Roman" w:eastAsia="Times New Roman" w:hAnsi="Times New Roman"/>
                <w:sz w:val="10"/>
                <w:szCs w:val="10"/>
                <w:color w:val="auto"/>
              </w:rPr>
              <w:t>(3)</w:t>
            </w: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(5)</w:t>
            </w:r>
          </w:p>
        </w:tc>
        <w:tc>
          <w:tcPr>
            <w:tcW w:w="15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 Pawkway</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($36,833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22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10/31/2022</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+ 6.75%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12.07%</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35,406</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36,649</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2.5%</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Houston, TX 77044 USA</w:t>
            </w: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468,675</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473,430</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ASP Unifrax Holdings, Inc. </w:t>
            </w:r>
            <w:r>
              <w:rPr>
                <w:rFonts w:ascii="Times New Roman" w:cs="Times New Roman" w:eastAsia="Times New Roman" w:hAnsi="Times New Roman"/>
                <w:sz w:val="10"/>
                <w:szCs w:val="10"/>
                <w:color w:val="auto"/>
              </w:rPr>
              <w:t>(9)</w:t>
            </w: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600 Riverwalk Parkway</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120</w:t>
            </w:r>
          </w:p>
        </w:tc>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($1,133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Tonawanda, NY 14150</w:t>
            </w:r>
          </w:p>
        </w:tc>
        <w:tc>
          <w:tcPr>
            <w:tcW w:w="22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8/25/2023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+ 3.90%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9.29%</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1,051</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1,055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12/2025)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364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9/14/2023</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E + 3.75%</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7.72%</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357</w:t>
            </w: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354</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12/2025) </w:t>
            </w:r>
            <w:r>
              <w:rPr>
                <w:rFonts w:ascii="Times New Roman" w:cs="Times New Roman" w:eastAsia="Times New Roman" w:hAnsi="Times New Roman"/>
                <w:sz w:val="10"/>
                <w:szCs w:val="10"/>
                <w:color w:val="auto"/>
              </w:rPr>
              <w:t>(3)</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(EUR 335)</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Unsecured Note ($227 par, due</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8/31/2023</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119</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9/2029)</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80" w:right="4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520" w:type="dxa"/>
            <w:vAlign w:val="bottom"/>
            <w:vMerge w:val="restart"/>
          </w:tcPr>
          <w:p>
            <w:pPr>
              <w:spacing w:after="0"/>
              <w:rPr>
                <w:sz w:val="11"/>
                <w:szCs w:val="11"/>
                <w:color w:val="auto"/>
              </w:rPr>
            </w:pPr>
          </w:p>
        </w:tc>
        <w:tc>
          <w:tcPr>
            <w:tcW w:w="20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8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42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7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0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Avalara, Inc </w:t>
            </w:r>
            <w:r>
              <w:rPr>
                <w:rFonts w:ascii="Times New Roman" w:cs="Times New Roman" w:eastAsia="Times New Roman" w:hAnsi="Times New Roman"/>
                <w:sz w:val="8"/>
                <w:szCs w:val="8"/>
                <w:color w:val="auto"/>
              </w:rPr>
              <w:t>(3)</w:t>
            </w:r>
          </w:p>
        </w:tc>
        <w:tc>
          <w:tcPr>
            <w:tcW w:w="19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($38,636 par, due</w:t>
            </w:r>
          </w:p>
        </w:tc>
        <w:tc>
          <w:tcPr>
            <w:tcW w:w="80" w:type="dxa"/>
            <w:vAlign w:val="bottom"/>
            <w:tcBorders>
              <w:top w:val="single" w:sz="8" w:color="CCEEFF"/>
            </w:tcBorders>
            <w:vMerge w:val="restart"/>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255 South King Street #1200</w:t>
            </w:r>
          </w:p>
        </w:tc>
        <w:tc>
          <w:tcPr>
            <w:tcW w:w="198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10/19/2022</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+ 7.25%</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12.64%</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37,701</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38,424</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Seattle, WA 98104</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10/2028)</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Skylark UK DebtCo Limited </w:t>
            </w:r>
            <w:r>
              <w:rPr>
                <w:rFonts w:ascii="Times New Roman" w:cs="Times New Roman" w:eastAsia="Times New Roman" w:hAnsi="Times New Roman"/>
                <w:sz w:val="10"/>
                <w:szCs w:val="10"/>
                <w:color w:val="auto"/>
              </w:rPr>
              <w:t>(3)(4)</w:t>
            </w:r>
          </w:p>
        </w:tc>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4th Floor 100 Pall Mall</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($16,340 par, due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London SW1Y 5NQ United</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+ 6.25%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11.65%</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15,705</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15,697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Kingdom</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9/2030)</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(EUR 4,851 par,</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 + 6.25%</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10.08%</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5,051</w:t>
            </w:r>
          </w:p>
        </w:tc>
        <w:tc>
          <w:tcPr>
            <w:tcW w:w="10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5,021</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9/2030)</w:t>
            </w:r>
          </w:p>
        </w:tc>
        <w:tc>
          <w:tcPr>
            <w:tcW w:w="8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(EUR 4,742)</w:t>
            </w: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First-lien loan (GBP 16,640 par,</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9/7/2023</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 + 6.25%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11.44%</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20,194</w:t>
            </w:r>
          </w:p>
        </w:tc>
        <w:tc>
          <w:tcPr>
            <w:tcW w:w="140" w:type="dxa"/>
            <w:vAlign w:val="bottom"/>
            <w:vMerge w:val="restart"/>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auto"/>
              </w:rPr>
              <w:t>19,852</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9/2030)</w:t>
            </w:r>
          </w:p>
        </w:tc>
        <w:tc>
          <w:tcPr>
            <w:tcW w:w="8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(GBP 16,265)</w:t>
            </w:r>
          </w:p>
        </w:tc>
        <w:tc>
          <w:tcPr>
            <w:tcW w:w="9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80,178</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80,526</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Office Products</w:t>
            </w: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USR Parent, Inc. </w:t>
            </w:r>
            <w:r>
              <w:rPr>
                <w:rFonts w:ascii="Times New Roman" w:cs="Times New Roman" w:eastAsia="Times New Roman" w:hAnsi="Times New Roman"/>
                <w:sz w:val="10"/>
                <w:szCs w:val="10"/>
                <w:color w:val="auto"/>
              </w:rPr>
              <w:t>(3)(5)</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ABL FILO term loan ($17,500</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Staples Drive MS: E5A</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4/25/2022</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+ 6.50%</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11.83%</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17,185</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17,369</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Framingham, MA 01702</w:t>
            </w:r>
          </w:p>
        </w:tc>
        <w:tc>
          <w:tcPr>
            <w:tcW w:w="2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4/2027)</w:t>
            </w: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Laramie Energy, LLC </w:t>
            </w:r>
            <w:r>
              <w:rPr>
                <w:rFonts w:ascii="Times New Roman" w:cs="Times New Roman" w:eastAsia="Times New Roman" w:hAnsi="Times New Roman"/>
                <w:sz w:val="10"/>
                <w:szCs w:val="10"/>
                <w:color w:val="auto"/>
              </w:rPr>
              <w:t>(3)</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($27,317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730 17th Street</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2/21/2023</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+ 7.10%</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12.42%</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26,724</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27,055</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2/2027)</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Murchison Oil and Gas, LLC </w:t>
            </w:r>
            <w:r>
              <w:rPr>
                <w:rFonts w:ascii="Times New Roman" w:cs="Times New Roman" w:eastAsia="Times New Roman" w:hAnsi="Times New Roman"/>
                <w:sz w:val="10"/>
                <w:szCs w:val="10"/>
                <w:color w:val="auto"/>
              </w:rPr>
              <w:t>(3)</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($29,478 par, due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1100 Mira Vista</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6/30/2022</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+ 8.65%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14.04%</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28,986</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29,887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Plano, TX 79093</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6/2026)</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TRP Assets, LLC </w:t>
            </w:r>
            <w:r>
              <w:rPr>
                <w:rFonts w:ascii="Times New Roman" w:cs="Times New Roman" w:eastAsia="Times New Roman" w:hAnsi="Times New Roman"/>
                <w:sz w:val="10"/>
                <w:szCs w:val="10"/>
                <w:color w:val="auto"/>
              </w:rPr>
              <w:t>(3)</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($65,000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1111 Louisiana Street Suite 4550</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12/3/2021</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+ 7.76%</w:t>
            </w: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13.15%</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64,299</w:t>
            </w:r>
          </w:p>
        </w:tc>
        <w:tc>
          <w:tcPr>
            <w:tcW w:w="140" w:type="dxa"/>
            <w:vAlign w:val="bottom"/>
            <w:vMerge w:val="restart"/>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67,310</w:t>
            </w:r>
          </w:p>
        </w:tc>
        <w:tc>
          <w:tcPr>
            <w:tcW w:w="20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Houston, TX</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12/2025)</w:t>
            </w: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120,009</w:t>
            </w:r>
          </w:p>
        </w:tc>
        <w:tc>
          <w:tcPr>
            <w:tcW w:w="140" w:type="dxa"/>
            <w:vAlign w:val="bottom"/>
            <w:vMerge w:val="continue"/>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124,252</w:t>
            </w:r>
          </w:p>
        </w:tc>
        <w:tc>
          <w:tcPr>
            <w:tcW w:w="200" w:type="dxa"/>
            <w:vAlign w:val="bottom"/>
            <w:vMerge w:val="continue"/>
          </w:tcPr>
          <w:p>
            <w:pPr>
              <w:spacing w:after="0"/>
              <w:rPr>
                <w:sz w:val="14"/>
                <w:szCs w:val="14"/>
                <w:color w:val="auto"/>
              </w:rPr>
            </w:pPr>
          </w:p>
        </w:tc>
        <w:tc>
          <w:tcPr>
            <w:tcW w:w="9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8.3%</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Omnigo Software, LLC </w:t>
            </w:r>
            <w:r>
              <w:rPr>
                <w:rFonts w:ascii="Times New Roman" w:cs="Times New Roman" w:eastAsia="Times New Roman" w:hAnsi="Times New Roman"/>
                <w:sz w:val="10"/>
                <w:szCs w:val="10"/>
                <w:color w:val="auto"/>
              </w:rPr>
              <w:t>(3)(5)</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($40,045 par, due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10430 Baur Boulevard</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3/31/2021</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+ 6.60%</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11.92%</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39,492</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39,745</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Saint Louis, MO 63132</w:t>
            </w:r>
          </w:p>
        </w:tc>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3/2026)</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99 Cents Only Stores LLC </w:t>
            </w:r>
            <w:r>
              <w:rPr>
                <w:rFonts w:ascii="Times New Roman" w:cs="Times New Roman" w:eastAsia="Times New Roman" w:hAnsi="Times New Roman"/>
                <w:sz w:val="10"/>
                <w:szCs w:val="10"/>
                <w:color w:val="auto"/>
              </w:rPr>
              <w:t>(3)</w:t>
            </w: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ABL FILO term loan ($25,000</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4000 Union Pacific Avenue</w:t>
            </w:r>
          </w:p>
        </w:tc>
        <w:tc>
          <w:tcPr>
            <w:tcW w:w="206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9/6/2017</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SOFR + 8.65%</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14.05%</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24,845</w:t>
            </w: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25,000</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Commerce, CA 90023</w:t>
            </w: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5/2025)</w:t>
            </w:r>
          </w:p>
        </w:tc>
        <w:tc>
          <w:tcPr>
            <w:tcW w:w="8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American Achievement, Corp. </w:t>
            </w:r>
            <w:r>
              <w:rPr>
                <w:rFonts w:ascii="Times New Roman" w:cs="Times New Roman" w:eastAsia="Times New Roman" w:hAnsi="Times New Roman"/>
                <w:sz w:val="10"/>
                <w:szCs w:val="10"/>
                <w:color w:val="auto"/>
              </w:rPr>
              <w:t>(3)(14)</w:t>
            </w:r>
          </w:p>
        </w:tc>
        <w:tc>
          <w:tcPr>
            <w:tcW w:w="2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First-lien loan ($27,089 par, due</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11.68%</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0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1550 W Mockingbird Lane</w:t>
            </w:r>
          </w:p>
        </w:tc>
        <w:tc>
          <w:tcPr>
            <w:tcW w:w="20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9/30/2015</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SOFR + 6.35%</w:t>
            </w:r>
          </w:p>
        </w:tc>
        <w:tc>
          <w:tcPr>
            <w:tcW w:w="1420" w:type="dxa"/>
            <w:vAlign w:val="bottom"/>
            <w:gridSpan w:val="2"/>
            <w:vMerge w:val="continue"/>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26,260</w:t>
            </w: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20,452</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Dallas, TX 75235</w:t>
            </w:r>
          </w:p>
        </w:tc>
        <w:tc>
          <w:tcPr>
            <w:tcW w:w="1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9/2026)</w:t>
            </w:r>
          </w:p>
        </w:tc>
        <w:tc>
          <w:tcPr>
            <w:tcW w:w="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(incl. 11.19% PIK)</w:t>
            </w:r>
          </w:p>
        </w:tc>
        <w:tc>
          <w:tcPr>
            <w:tcW w:w="72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80" w:right="4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4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1980" w:type="dxa"/>
            <w:vAlign w:val="bottom"/>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vMerge w:val="restart"/>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24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2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2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First-lien loan ($1,355 par, due</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6/10/2021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+ 14.10%</w:t>
            </w:r>
          </w:p>
        </w:tc>
        <w:tc>
          <w:tcPr>
            <w:tcW w:w="14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19.43%</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1,355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9/2026)</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18.93% PIK)</w:t>
            </w: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4"/>
                <w:szCs w:val="14"/>
                <w:color w:val="auto"/>
              </w:rPr>
              <w:t>Subordinated note ($4,740 par,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3/16/2021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+ 1.15%</w:t>
            </w:r>
          </w:p>
        </w:tc>
        <w:tc>
          <w:tcPr>
            <w:tcW w:w="1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6.40%</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545</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due 9/2026)</w:t>
            </w:r>
          </w:p>
        </w:tc>
        <w:tc>
          <w:tcPr>
            <w:tcW w:w="8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PIK</w:t>
            </w:r>
          </w:p>
        </w:tc>
        <w:tc>
          <w:tcPr>
            <w:tcW w:w="7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Bed Bath and Beyond Inc. </w:t>
            </w:r>
            <w:r>
              <w:rPr>
                <w:rFonts w:ascii="Times New Roman" w:cs="Times New Roman" w:eastAsia="Times New Roman" w:hAnsi="Times New Roman"/>
                <w:sz w:val="10"/>
                <w:szCs w:val="10"/>
                <w:color w:val="auto"/>
              </w:rPr>
              <w:t>(3)(15)</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ABL FILO term loan ($15,375</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650 Liberty Avenue</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9/2/2022</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+ 9.90%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15.22%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15,055</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15,029</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Union, NJ 07083</w:t>
            </w: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due 8/2027)</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1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4"/>
                <w:szCs w:val="14"/>
                <w:color w:val="auto"/>
              </w:rPr>
              <w:t>Roll Up DIP term loan ($25,914</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4/24/2023</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+ 7.90%</w:t>
            </w:r>
          </w:p>
        </w:tc>
        <w:tc>
          <w:tcPr>
            <w:tcW w:w="14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4"/>
                <w:szCs w:val="14"/>
                <w:color w:val="auto"/>
              </w:rPr>
              <w:t>13.22%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25,914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25,331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9/2024)</w:t>
            </w:r>
          </w:p>
        </w:tc>
        <w:tc>
          <w:tcPr>
            <w:tcW w:w="8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(incl. 13.22% PIK)</w:t>
            </w:r>
          </w:p>
        </w:tc>
        <w:tc>
          <w:tcPr>
            <w:tcW w:w="7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140" w:type="dxa"/>
            <w:vAlign w:val="bottom"/>
            <w:gridSpan w:val="3"/>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Super-Priority DIP term loan</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4/24/2023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+ 7.90%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13.22%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4,946</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4,835</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($4,946 par, due 9/2024)</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Cordance Operations, LLC </w:t>
            </w:r>
            <w:r>
              <w:rPr>
                <w:rFonts w:ascii="Times New Roman" w:cs="Times New Roman" w:eastAsia="Times New Roman" w:hAnsi="Times New Roman"/>
                <w:sz w:val="10"/>
                <w:szCs w:val="10"/>
                <w:color w:val="auto"/>
              </w:rPr>
              <w:t>(3)</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First-lien loan ($47,006 par, due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16 W. Martin Street</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7/25/2022</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+ 9.25%</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14.62%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46,095</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47,006</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Raleigh, NC 27601</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7/2028)</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Neuintel, LLC </w:t>
            </w:r>
            <w:r>
              <w:rPr>
                <w:rFonts w:ascii="Times New Roman" w:cs="Times New Roman" w:eastAsia="Times New Roman" w:hAnsi="Times New Roman"/>
                <w:sz w:val="10"/>
                <w:szCs w:val="10"/>
                <w:color w:val="auto"/>
              </w:rPr>
              <w:t>(3)(5)</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($57,701 par, due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 Pacifica Suite 1000</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12/20/2021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+ 7.65%</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13.02%</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56,869</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57,990</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3.9%</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Irvine, CA 92618</w:t>
            </w: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12/2026)</w:t>
            </w: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Project P Intermediate 2, LLC </w:t>
            </w:r>
            <w:r>
              <w:rPr>
                <w:rFonts w:ascii="Times New Roman" w:cs="Times New Roman" w:eastAsia="Times New Roman" w:hAnsi="Times New Roman"/>
                <w:sz w:val="10"/>
                <w:szCs w:val="10"/>
                <w:color w:val="auto"/>
              </w:rPr>
              <w:t>(3)</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ABL FILO term loan ($71,250</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461 Nott Street</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11/8/2021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+ 8.10%</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13.42%</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70,344</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72,141</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4.9%</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Schenectady, NY 12308</w:t>
            </w:r>
          </w:p>
        </w:tc>
        <w:tc>
          <w:tcPr>
            <w:tcW w:w="6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par, due 5/2026)</w:t>
            </w: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Rapid Data GmbH</w:t>
            </w:r>
          </w:p>
        </w:tc>
        <w:tc>
          <w:tcPr>
            <w:tcW w:w="6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Unternehmensberatung </w:t>
            </w:r>
            <w:r>
              <w:rPr>
                <w:rFonts w:ascii="Times New Roman" w:cs="Times New Roman" w:eastAsia="Times New Roman" w:hAnsi="Times New Roman"/>
                <w:sz w:val="10"/>
                <w:szCs w:val="10"/>
                <w:color w:val="auto"/>
              </w:rPr>
              <w:t>(3)(4)</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(EUR 4,495 par,</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4,625</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Agricolastr. 54 30952</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7/11/2023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E + 6.50%</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10.15%</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4,666</w:t>
            </w:r>
          </w:p>
        </w:tc>
        <w:tc>
          <w:tcPr>
            <w:tcW w:w="940" w:type="dxa"/>
            <w:vAlign w:val="bottom"/>
            <w:gridSpan w:val="2"/>
            <w:vMerge w:val="continue"/>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Ronnenberg, Germany</w:t>
            </w:r>
          </w:p>
        </w:tc>
        <w:tc>
          <w:tcPr>
            <w:tcW w:w="6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7/2029)</w:t>
            </w: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(EUR 4,368)</w:t>
            </w: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Tango Management Consulting, LLC</w:t>
            </w:r>
          </w:p>
        </w:tc>
        <w:tc>
          <w:tcPr>
            <w:tcW w:w="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(3)(5)</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9797 Rombauer Road Suite #450</w:t>
            </w:r>
          </w:p>
        </w:tc>
        <w:tc>
          <w:tcPr>
            <w:tcW w:w="21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First-lien loan ($54,052 par, due</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+ 6.85%</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12.18%</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53,318</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53,512</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Dallas, TX 75019</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12/2027)</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140" w:type="dxa"/>
            <w:vAlign w:val="bottom"/>
            <w:gridSpan w:val="3"/>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First-lien revolving loan ($9 par,</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12/1/2021</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P + 6.85%</w:t>
            </w: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15.25%</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12/2027)</w:t>
            </w:r>
          </w:p>
        </w:tc>
        <w:tc>
          <w:tcPr>
            <w:tcW w:w="84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330,156</w:t>
            </w:r>
          </w:p>
        </w:tc>
        <w:tc>
          <w:tcPr>
            <w:tcW w:w="180" w:type="dxa"/>
            <w:vAlign w:val="bottom"/>
            <w:vMerge w:val="continue"/>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326,065</w:t>
            </w:r>
          </w:p>
        </w:tc>
        <w:tc>
          <w:tcPr>
            <w:tcW w:w="200" w:type="dxa"/>
            <w:vAlign w:val="bottom"/>
            <w:vMerge w:val="continue"/>
          </w:tcPr>
          <w:p>
            <w:pPr>
              <w:spacing w:after="0"/>
              <w:rPr>
                <w:sz w:val="14"/>
                <w:szCs w:val="14"/>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21.9%</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Project44, Inc. </w:t>
            </w:r>
            <w:r>
              <w:rPr>
                <w:rFonts w:ascii="Times New Roman" w:cs="Times New Roman" w:eastAsia="Times New Roman" w:hAnsi="Times New Roman"/>
                <w:sz w:val="10"/>
                <w:szCs w:val="10"/>
                <w:color w:val="auto"/>
              </w:rPr>
              <w:t>(3)(5)</w:t>
            </w:r>
          </w:p>
        </w:tc>
        <w:tc>
          <w:tcPr>
            <w:tcW w:w="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222 W Merchandise Mart Plaza</w:t>
            </w: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First-lien loan ($35,139 par, due</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1744</w:t>
            </w:r>
          </w:p>
        </w:tc>
        <w:tc>
          <w:tcPr>
            <w:tcW w:w="2140" w:type="dxa"/>
            <w:vAlign w:val="bottom"/>
            <w:gridSpan w:val="3"/>
            <w:vMerge w:val="continue"/>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11/12/2021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SOFR + 6.40%</w:t>
            </w: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11.76%</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34,210</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34,864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Chicago, IL 60654</w:t>
            </w: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11/2027)</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Marcura Equities LTD </w:t>
            </w:r>
            <w:r>
              <w:rPr>
                <w:rFonts w:ascii="Times New Roman" w:cs="Times New Roman" w:eastAsia="Times New Roman" w:hAnsi="Times New Roman"/>
                <w:sz w:val="10"/>
                <w:szCs w:val="10"/>
                <w:color w:val="auto"/>
              </w:rPr>
              <w:t>(3)(4)</w:t>
            </w:r>
          </w:p>
        </w:tc>
        <w:tc>
          <w:tcPr>
            <w:tcW w:w="6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Highdown House Yeoman Way</w:t>
            </w:r>
          </w:p>
        </w:tc>
        <w:tc>
          <w:tcPr>
            <w:tcW w:w="21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First-lien loan ($31,667 par, due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13.14%</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Worthing, West Sussex</w:t>
            </w:r>
          </w:p>
        </w:tc>
        <w:tc>
          <w:tcPr>
            <w:tcW w:w="2140" w:type="dxa"/>
            <w:vAlign w:val="bottom"/>
            <w:gridSpan w:val="3"/>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8/11/2023</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SOFR + 7.75%</w:t>
            </w:r>
          </w:p>
        </w:tc>
        <w:tc>
          <w:tcPr>
            <w:tcW w:w="1420" w:type="dxa"/>
            <w:vAlign w:val="bottom"/>
            <w:gridSpan w:val="2"/>
            <w:vMerge w:val="continue"/>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30,641</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31,146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BN99 3HH United Kingdom</w:t>
            </w:r>
          </w:p>
        </w:tc>
        <w:tc>
          <w:tcPr>
            <w:tcW w:w="2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8/2029)</w:t>
            </w: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(incl. 4.25% PIK)</w:t>
            </w:r>
          </w:p>
        </w:tc>
        <w:tc>
          <w:tcPr>
            <w:tcW w:w="76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80" w:right="4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00" w:type="dxa"/>
            <w:vAlign w:val="bottom"/>
            <w:vMerge w:val="restart"/>
          </w:tcPr>
          <w:p>
            <w:pPr>
              <w:spacing w:after="0"/>
              <w:rPr>
                <w:sz w:val="11"/>
                <w:szCs w:val="11"/>
                <w:color w:val="auto"/>
              </w:rPr>
            </w:pPr>
          </w:p>
        </w:tc>
        <w:tc>
          <w:tcPr>
            <w:tcW w:w="2280" w:type="dxa"/>
            <w:vAlign w:val="bottom"/>
            <w:vMerge w:val="restart"/>
          </w:tcPr>
          <w:p>
            <w:pPr>
              <w:ind w:left="8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vMerge w:val="restart"/>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2"/>
        </w:trPr>
        <w:tc>
          <w:tcPr>
            <w:tcW w:w="78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260" w:type="dxa"/>
            <w:vAlign w:val="bottom"/>
          </w:tcPr>
          <w:p>
            <w:pPr>
              <w:spacing w:after="0"/>
              <w:rPr>
                <w:sz w:val="12"/>
                <w:szCs w:val="12"/>
                <w:color w:val="auto"/>
              </w:rPr>
            </w:pPr>
          </w:p>
        </w:tc>
        <w:tc>
          <w:tcPr>
            <w:tcW w:w="7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240" w:type="dxa"/>
            <w:vAlign w:val="bottom"/>
          </w:tcPr>
          <w:p>
            <w:pPr>
              <w:spacing w:after="0"/>
              <w:rPr>
                <w:sz w:val="12"/>
                <w:szCs w:val="12"/>
                <w:color w:val="auto"/>
              </w:rPr>
            </w:pPr>
          </w:p>
        </w:tc>
        <w:tc>
          <w:tcPr>
            <w:tcW w:w="640" w:type="dxa"/>
            <w:vAlign w:val="bottom"/>
          </w:tcPr>
          <w:p>
            <w:pPr>
              <w:jc w:val="right"/>
              <w:ind w:right="1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2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260" w:type="dxa"/>
            <w:vAlign w:val="bottom"/>
          </w:tcPr>
          <w:p>
            <w:pPr>
              <w:spacing w:after="0"/>
              <w:rPr>
                <w:sz w:val="12"/>
                <w:szCs w:val="12"/>
                <w:color w:val="auto"/>
              </w:rPr>
            </w:pP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27"/>
        </w:trPr>
        <w:tc>
          <w:tcPr>
            <w:tcW w:w="780" w:type="dxa"/>
            <w:vAlign w:val="bottom"/>
            <w:shd w:val="clear" w:color="auto" w:fill="000000"/>
          </w:tcPr>
          <w:p>
            <w:pPr>
              <w:spacing w:after="0"/>
              <w:rPr>
                <w:sz w:val="2"/>
                <w:szCs w:val="2"/>
                <w:color w:val="auto"/>
              </w:rPr>
            </w:pPr>
          </w:p>
        </w:tc>
        <w:tc>
          <w:tcPr>
            <w:tcW w:w="1600" w:type="dxa"/>
            <w:vAlign w:val="bottom"/>
            <w:tcBorders>
              <w:right w:val="single" w:sz="8" w:color="CCEEFF"/>
            </w:tcBorders>
            <w:shd w:val="clear" w:color="auto" w:fill="CCEEFF"/>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600" w:type="dxa"/>
            <w:vAlign w:val="bottom"/>
            <w:tcBorders>
              <w:right w:val="single" w:sz="8" w:color="CCEEFF"/>
            </w:tcBorders>
            <w:shd w:val="clear" w:color="auto" w:fill="CCEEFF"/>
          </w:tcPr>
          <w:p>
            <w:pPr>
              <w:spacing w:after="0"/>
              <w:rPr>
                <w:sz w:val="10"/>
                <w:szCs w:val="10"/>
                <w:color w:val="auto"/>
              </w:rPr>
            </w:pPr>
          </w:p>
        </w:tc>
        <w:tc>
          <w:tcPr>
            <w:tcW w:w="2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 ($1,667 par,</w:t>
            </w:r>
          </w:p>
        </w:tc>
        <w:tc>
          <w:tcPr>
            <w:tcW w:w="80" w:type="dxa"/>
            <w:vAlign w:val="bottom"/>
            <w:vMerge w:val="continue"/>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8/11/2023</w:t>
            </w:r>
          </w:p>
        </w:tc>
        <w:tc>
          <w:tcPr>
            <w:tcW w:w="10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SOFR + 7.00%</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12.39%</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2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1,625</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600" w:type="dxa"/>
            <w:vAlign w:val="bottom"/>
            <w:tcBorders>
              <w:right w:val="single" w:sz="8" w:color="CCEEFF"/>
            </w:tcBorders>
            <w:shd w:val="clear" w:color="auto" w:fill="CCEEFF"/>
          </w:tcPr>
          <w:p>
            <w:pPr>
              <w:spacing w:after="0"/>
              <w:rPr>
                <w:sz w:val="14"/>
                <w:szCs w:val="14"/>
                <w:color w:val="auto"/>
              </w:rPr>
            </w:pP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8/2029)</w:t>
            </w:r>
          </w:p>
        </w:tc>
        <w:tc>
          <w:tcPr>
            <w:tcW w:w="84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66,436</w:t>
            </w:r>
          </w:p>
        </w:tc>
        <w:tc>
          <w:tcPr>
            <w:tcW w:w="120" w:type="dxa"/>
            <w:vAlign w:val="bottom"/>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67,635</w:t>
            </w:r>
          </w:p>
        </w:tc>
        <w:tc>
          <w:tcPr>
            <w:tcW w:w="200" w:type="dxa"/>
            <w:vAlign w:val="bottom"/>
            <w:vMerge w:val="continue"/>
          </w:tcPr>
          <w:p>
            <w:pPr>
              <w:spacing w:after="0"/>
              <w:rPr>
                <w:sz w:val="13"/>
                <w:szCs w:val="13"/>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2,890,369</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2,909,102</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195.8%</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Equity and Other Investments</w:t>
            </w: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Dye &amp; Durham, Ltd. (4)(10) 25 York</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1100</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1,248</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Toronto, Ontario M5J 2V5</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Shares (126,968 shares)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12/3/2021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3,909</w:t>
            </w: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6"/>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3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(CAD 1,688)</w:t>
            </w:r>
          </w:p>
        </w:tc>
        <w:tc>
          <w:tcPr>
            <w:tcW w:w="9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Mitnick TA Aggregator, LP </w:t>
            </w:r>
            <w:r>
              <w:rPr>
                <w:rFonts w:ascii="Times New Roman" w:cs="Times New Roman" w:eastAsia="Times New Roman" w:hAnsi="Times New Roman"/>
                <w:sz w:val="10"/>
                <w:szCs w:val="10"/>
                <w:color w:val="auto"/>
              </w:rPr>
              <w:t>(11)(13)</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197 East University Drive</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Interest (0.43%</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Auburn, AL 36832</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5,243</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5,243</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ReliaQuest, LLC </w:t>
            </w:r>
            <w:r>
              <w:rPr>
                <w:rFonts w:ascii="Times New Roman" w:cs="Times New Roman" w:eastAsia="Times New Roman" w:hAnsi="Times New Roman"/>
                <w:sz w:val="10"/>
                <w:szCs w:val="10"/>
                <w:color w:val="auto"/>
              </w:rPr>
              <w:t>(11)(13)</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777 South Harbour Island Boulevard</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Tampa, FL 33602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A-1 Units (567,683 units)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11/23/2021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1,120</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1,324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A-2 Units (2,580 units)</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6/21/2022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Sprinklr, Inc. </w:t>
            </w:r>
            <w:r>
              <w:rPr>
                <w:rFonts w:ascii="Times New Roman" w:cs="Times New Roman" w:eastAsia="Times New Roman" w:hAnsi="Times New Roman"/>
                <w:sz w:val="10"/>
                <w:szCs w:val="10"/>
                <w:color w:val="auto"/>
              </w:rPr>
              <w:t>(10)(11)</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29 West 35th 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7th Floor</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Common Shares (315,005 shares)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6/24/2021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2,716</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4,360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10001</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Warrior TopCo LP </w:t>
            </w:r>
            <w:r>
              <w:rPr>
                <w:rFonts w:ascii="Times New Roman" w:cs="Times New Roman" w:eastAsia="Times New Roman" w:hAnsi="Times New Roman"/>
                <w:sz w:val="10"/>
                <w:szCs w:val="10"/>
                <w:color w:val="auto"/>
              </w:rPr>
              <w:t>(11)(12)</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9171 Towne Center Drive Suite 200</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(423,728 units)</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7/7/2023</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vMerge w:val="restart"/>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424</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92122</w:t>
            </w:r>
          </w:p>
        </w:tc>
        <w:tc>
          <w:tcPr>
            <w:tcW w:w="23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13,418</w:t>
            </w:r>
          </w:p>
        </w:tc>
        <w:tc>
          <w:tcPr>
            <w:tcW w:w="120" w:type="dxa"/>
            <w:vAlign w:val="bottom"/>
            <w:vMerge w:val="continue"/>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12,607</w:t>
            </w:r>
          </w:p>
        </w:tc>
        <w:tc>
          <w:tcPr>
            <w:tcW w:w="200" w:type="dxa"/>
            <w:vAlign w:val="bottom"/>
            <w:vMerge w:val="continue"/>
          </w:tcPr>
          <w:p>
            <w:pPr>
              <w:spacing w:after="0"/>
              <w:rPr>
                <w:sz w:val="14"/>
                <w:szCs w:val="14"/>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0.9%</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Communications</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Celtra Technologies, Inc. </w:t>
            </w:r>
            <w:r>
              <w:rPr>
                <w:rFonts w:ascii="Times New Roman" w:cs="Times New Roman" w:eastAsia="Times New Roman" w:hAnsi="Times New Roman"/>
                <w:sz w:val="10"/>
                <w:szCs w:val="10"/>
                <w:color w:val="auto"/>
              </w:rPr>
              <w:t>(11)</w:t>
            </w:r>
            <w:r>
              <w:rPr>
                <w:rFonts w:ascii="Times New Roman" w:cs="Times New Roman" w:eastAsia="Times New Roman" w:hAnsi="Times New Roman"/>
                <w:sz w:val="14"/>
                <w:szCs w:val="14"/>
                <w:color w:val="auto"/>
              </w:rPr>
              <w:t xml:space="preserve"> 545</w:t>
            </w: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Boylston Street</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11th Floor</w:t>
            </w: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02116</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(1,250,000 units)</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11/19/2021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1,250</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1,250</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IntelePeer Holdings, Inc. </w:t>
            </w:r>
            <w:r>
              <w:rPr>
                <w:rFonts w:ascii="Times New Roman" w:cs="Times New Roman" w:eastAsia="Times New Roman" w:hAnsi="Times New Roman"/>
                <w:sz w:val="10"/>
                <w:szCs w:val="10"/>
                <w:color w:val="auto"/>
              </w:rPr>
              <w:t>(11)</w:t>
            </w:r>
          </w:p>
        </w:tc>
        <w:tc>
          <w:tcPr>
            <w:tcW w:w="2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155 Bovet Rd.</w:t>
            </w: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405</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C Preferred Shares (1,816,295</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4/8/2021</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1,816</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1,866</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Series D Preferred Shares (1,598,874</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4/8/2021</w:t>
            </w: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2,925</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2,004</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280,000 Warrants</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2/28/2020</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106,592 Warrants</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4/8/2021</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6,174</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5,120</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Education</w:t>
            </w: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380" w:type="dxa"/>
            <w:vAlign w:val="bottom"/>
            <w:tcBorders>
              <w:right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Astra 2L Holdings II LLC </w:t>
            </w:r>
            <w:r>
              <w:rPr>
                <w:rFonts w:ascii="Times New Roman" w:cs="Times New Roman" w:eastAsia="Times New Roman" w:hAnsi="Times New Roman"/>
                <w:sz w:val="10"/>
                <w:szCs w:val="10"/>
                <w:color w:val="auto"/>
              </w:rPr>
              <w:t>(11)</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Interest (10.17%</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5201 Congress Ave.</w:t>
            </w:r>
          </w:p>
        </w:tc>
        <w:tc>
          <w:tcPr>
            <w:tcW w:w="2360" w:type="dxa"/>
            <w:vAlign w:val="bottom"/>
            <w:gridSpan w:val="2"/>
            <w:vMerge w:val="continue"/>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1/13/2022</w:t>
            </w: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3,255</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594</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23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Boca Raton, FL 33487</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8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80" w:right="4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800" w:type="dxa"/>
            <w:vAlign w:val="bottom"/>
            <w:vMerge w:val="restart"/>
          </w:tcPr>
          <w:p>
            <w:pPr>
              <w:spacing w:after="0"/>
              <w:rPr>
                <w:sz w:val="11"/>
                <w:szCs w:val="11"/>
                <w:color w:val="auto"/>
              </w:rPr>
            </w:pPr>
          </w:p>
        </w:tc>
        <w:tc>
          <w:tcPr>
            <w:tcW w:w="24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9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58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 xml:space="preserve">EMS Linq, Inc. </w:t>
            </w:r>
            <w:r>
              <w:rPr>
                <w:rFonts w:ascii="Times New Roman" w:cs="Times New Roman" w:eastAsia="Times New Roman" w:hAnsi="Times New Roman"/>
                <w:sz w:val="8"/>
                <w:szCs w:val="8"/>
                <w:color w:val="auto"/>
              </w:rPr>
              <w:t>(11)</w:t>
            </w:r>
          </w:p>
        </w:tc>
        <w:tc>
          <w:tcPr>
            <w:tcW w:w="22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2528 INDEPENDENCE BLVD STE</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800" w:type="dxa"/>
            <w:vAlign w:val="bottom"/>
            <w:shd w:val="clear" w:color="auto" w:fill="CCEEFF"/>
          </w:tcPr>
          <w:p>
            <w:pPr>
              <w:spacing w:after="0"/>
              <w:rPr>
                <w:sz w:val="12"/>
                <w:szCs w:val="12"/>
                <w:color w:val="auto"/>
              </w:rPr>
            </w:pP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Units (5,522,526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12/22/2021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5,523</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4,763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WILMINGTON NC 28412-2591</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RMCF IV CIV XXXV, LP. </w:t>
            </w:r>
            <w:r>
              <w:rPr>
                <w:rFonts w:ascii="Times New Roman" w:cs="Times New Roman" w:eastAsia="Times New Roman" w:hAnsi="Times New Roman"/>
                <w:sz w:val="10"/>
                <w:szCs w:val="10"/>
                <w:color w:val="auto"/>
              </w:rPr>
              <w:t>(11)</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Partnership Interest (11.94%</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1320 Flynn Road, Suite 100 Camarillo,</w:t>
            </w:r>
          </w:p>
        </w:tc>
        <w:tc>
          <w:tcPr>
            <w:tcW w:w="240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6/8/2021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1,410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 93012</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ownership)</w:t>
            </w: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9,778</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6,767</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AvidXchange, Inc. </w:t>
            </w:r>
            <w:r>
              <w:rPr>
                <w:rFonts w:ascii="Times New Roman" w:cs="Times New Roman" w:eastAsia="Times New Roman" w:hAnsi="Times New Roman"/>
                <w:sz w:val="10"/>
                <w:szCs w:val="10"/>
                <w:color w:val="auto"/>
              </w:rPr>
              <w:t>(10)(11)</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1210 AvidXchange Lane</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(50,179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10/15/2021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256</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Charlotte, NC 28206</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Newport Parent Holdings, LP </w:t>
            </w:r>
            <w:r>
              <w:rPr>
                <w:rFonts w:ascii="Times New Roman" w:cs="Times New Roman" w:eastAsia="Times New Roman" w:hAnsi="Times New Roman"/>
                <w:sz w:val="10"/>
                <w:szCs w:val="10"/>
                <w:color w:val="auto"/>
              </w:rPr>
              <w:t>(11)</w:t>
            </w:r>
            <w:r>
              <w:rPr>
                <w:rFonts w:ascii="Times New Roman" w:cs="Times New Roman" w:eastAsia="Times New Roman" w:hAnsi="Times New Roman"/>
                <w:sz w:val="14"/>
                <w:szCs w:val="14"/>
                <w:color w:val="auto"/>
              </w:rPr>
              <w:t xml:space="preserve"> 58</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Durham Road</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A-2 Units (131,569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12/10/2020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4,177</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9,607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DH3 2QJ</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Oxford Square Capital Corp. </w:t>
            </w:r>
            <w:r>
              <w:rPr>
                <w:rFonts w:ascii="Times New Roman" w:cs="Times New Roman" w:eastAsia="Times New Roman" w:hAnsi="Times New Roman"/>
                <w:sz w:val="10"/>
                <w:szCs w:val="10"/>
                <w:color w:val="auto"/>
              </w:rPr>
              <w:t>(4)(10)</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8 Sound Shore Drive Suite 255</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255</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(1,620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8/5/2015</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Greenwich, CT 06830</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Passport Labs, Inc. </w:t>
            </w:r>
            <w:r>
              <w:rPr>
                <w:rFonts w:ascii="Times New Roman" w:cs="Times New Roman" w:eastAsia="Times New Roman" w:hAnsi="Times New Roman"/>
                <w:sz w:val="10"/>
                <w:szCs w:val="10"/>
                <w:color w:val="auto"/>
              </w:rPr>
              <w:t>(11)</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128 S Tryon St, Ste 1000</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17,534 Warrants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4/28/2021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192</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Charlotte, NC 28202</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TradingScreen, Inc. </w:t>
            </w:r>
            <w:r>
              <w:rPr>
                <w:rFonts w:ascii="Times New Roman" w:cs="Times New Roman" w:eastAsia="Times New Roman" w:hAnsi="Times New Roman"/>
                <w:sz w:val="10"/>
                <w:szCs w:val="10"/>
                <w:color w:val="auto"/>
              </w:rPr>
              <w:t>(11)(13)</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Penn Plaza, 49th Fl</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(600,000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5/14/2021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600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NY 10119</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5,231</w:t>
            </w:r>
          </w:p>
        </w:tc>
        <w:tc>
          <w:tcPr>
            <w:tcW w:w="220" w:type="dxa"/>
            <w:vAlign w:val="bottom"/>
            <w:vMerge w:val="continue"/>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10,690</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0.7%</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Caris Life Sciences, Inc. </w:t>
            </w:r>
            <w:r>
              <w:rPr>
                <w:rFonts w:ascii="Times New Roman" w:cs="Times New Roman" w:eastAsia="Times New Roman" w:hAnsi="Times New Roman"/>
                <w:sz w:val="10"/>
                <w:szCs w:val="10"/>
                <w:color w:val="auto"/>
              </w:rPr>
              <w:t>(11)</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750 W John Carpenter Fwy</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C Preferred Shares (1,915,114</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800</w:t>
            </w:r>
          </w:p>
        </w:tc>
        <w:tc>
          <w:tcPr>
            <w:tcW w:w="240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10/13/2020</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3,500</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6,703</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Irving, TX 75039</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Series D Preferred Shares (1,240,740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5/11/2021</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10,050</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9,573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633,376 Warrants</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9/21/2018</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1,196</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569,991 Warrants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4/2/2020</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26"/>
        </w:trPr>
        <w:tc>
          <w:tcPr>
            <w:tcW w:w="2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Merative L.P. </w:t>
            </w:r>
            <w:r>
              <w:rPr>
                <w:rFonts w:ascii="Times New Roman" w:cs="Times New Roman" w:eastAsia="Times New Roman" w:hAnsi="Times New Roman"/>
                <w:sz w:val="10"/>
                <w:szCs w:val="10"/>
                <w:color w:val="auto"/>
              </w:rPr>
              <w:t>(11)(13)</w:t>
            </w: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Phoenix Drive</w:t>
            </w: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989,691 Class A-1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6/30/2022</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9,897</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9,897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71"/>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Ann Arbor, MI 48108</w:t>
            </w:r>
          </w:p>
        </w:tc>
        <w:tc>
          <w:tcPr>
            <w:tcW w:w="24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Raptor US Buyer II Corp. </w:t>
            </w:r>
            <w:r>
              <w:rPr>
                <w:rFonts w:ascii="Times New Roman" w:cs="Times New Roman" w:eastAsia="Times New Roman" w:hAnsi="Times New Roman"/>
                <w:sz w:val="10"/>
                <w:szCs w:val="10"/>
                <w:color w:val="auto"/>
              </w:rPr>
              <w:t>(11)(12)</w:t>
            </w:r>
          </w:p>
        </w:tc>
        <w:tc>
          <w:tcPr>
            <w:tcW w:w="2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205 West Wacker Drive, Suite 1800</w:t>
            </w:r>
          </w:p>
        </w:tc>
        <w:tc>
          <w:tcPr>
            <w:tcW w:w="24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 Ordinary Shares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24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A</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B</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C</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D</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E</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F</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G</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 Class H</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2,027 Class I</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3/24/2023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25,919</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30,292</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80" w:right="4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80" w:type="dxa"/>
            <w:vAlign w:val="bottom"/>
            <w:vMerge w:val="restart"/>
          </w:tcPr>
          <w:p>
            <w:pPr>
              <w:spacing w:after="0"/>
              <w:rPr>
                <w:sz w:val="11"/>
                <w:szCs w:val="11"/>
                <w:color w:val="auto"/>
              </w:rPr>
            </w:pPr>
          </w:p>
        </w:tc>
        <w:tc>
          <w:tcPr>
            <w:tcW w:w="23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10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of Net Assets</w:t>
            </w:r>
          </w:p>
        </w:tc>
        <w:tc>
          <w:tcPr>
            <w:tcW w:w="7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22"/>
        </w:trPr>
        <w:tc>
          <w:tcPr>
            <w:tcW w:w="246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21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0"/>
                <w:szCs w:val="10"/>
                <w:color w:val="auto"/>
              </w:rPr>
              <w:t>(7)(11)</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1555 Palm Beach Lake Blvd</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 1105</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West Palm Beach, FL 33401</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(33,790,171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12/21/2018</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21,842</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6,336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C-1 Units (8,800,000 units)</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12/21/2018</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21,942</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6,379</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Axonify, Inc. </w:t>
            </w:r>
            <w:r>
              <w:rPr>
                <w:rFonts w:ascii="Times New Roman" w:cs="Times New Roman" w:eastAsia="Times New Roman" w:hAnsi="Times New Roman"/>
                <w:sz w:val="10"/>
                <w:szCs w:val="10"/>
                <w:color w:val="auto"/>
              </w:rPr>
              <w:t>(4)(11)(13)</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450 Phillip St</w:t>
            </w: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Waterloo, Ontario N2L 5J2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A-1 Units (3,780,000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5/5/2021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3,780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3,837</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Canada</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bswift, LLC </w:t>
            </w:r>
            <w:r>
              <w:rPr>
                <w:rFonts w:ascii="Times New Roman" w:cs="Times New Roman" w:eastAsia="Times New Roman" w:hAnsi="Times New Roman"/>
                <w:sz w:val="10"/>
                <w:szCs w:val="10"/>
                <w:color w:val="auto"/>
              </w:rPr>
              <w:t>(11)(12)</w:t>
            </w:r>
          </w:p>
        </w:tc>
        <w:tc>
          <w:tcPr>
            <w:tcW w:w="2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A-1 Units (2,393,509 units)</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11/7/2022</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2,394</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2,394</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DaySmart Holdings, LLC </w:t>
            </w:r>
            <w:r>
              <w:rPr>
                <w:rFonts w:ascii="Times New Roman" w:cs="Times New Roman" w:eastAsia="Times New Roman" w:hAnsi="Times New Roman"/>
                <w:sz w:val="10"/>
                <w:szCs w:val="10"/>
                <w:color w:val="auto"/>
              </w:rPr>
              <w:t>(11)(13)</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312 Soutg State Street Fl 2</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(166,811 units)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10/1/2019</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1,347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2,030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Ann Arbor, MI 48104</w:t>
            </w:r>
          </w:p>
        </w:tc>
        <w:tc>
          <w:tcPr>
            <w:tcW w:w="23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Employment Hero Holdings Pty Ltd.</w:t>
            </w:r>
          </w:p>
        </w:tc>
        <w:tc>
          <w:tcPr>
            <w:tcW w:w="2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(4)(11)</w:t>
            </w:r>
          </w:p>
        </w:tc>
        <w:tc>
          <w:tcPr>
            <w:tcW w:w="168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Level 2, 441 Kent Street</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E Preferred Shares (113,250</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2,493</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Sydney, New South Wales 2000</w:t>
            </w:r>
          </w:p>
        </w:tc>
        <w:tc>
          <w:tcPr>
            <w:tcW w:w="236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3/1/2022</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2,134</w:t>
            </w:r>
          </w:p>
        </w:tc>
        <w:tc>
          <w:tcPr>
            <w:tcW w:w="1020" w:type="dxa"/>
            <w:vAlign w:val="bottom"/>
            <w:gridSpan w:val="2"/>
            <w:vMerge w:val="continue"/>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Australia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(AUD 3,862)</w:t>
            </w: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9,655</w:t>
            </w:r>
          </w:p>
        </w:tc>
        <w:tc>
          <w:tcPr>
            <w:tcW w:w="220" w:type="dxa"/>
            <w:vAlign w:val="bottom"/>
            <w:vMerge w:val="continue"/>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10,754</w:t>
            </w:r>
          </w:p>
        </w:tc>
        <w:tc>
          <w:tcPr>
            <w:tcW w:w="200" w:type="dxa"/>
            <w:vAlign w:val="bottom"/>
            <w:vMerge w:val="continue"/>
          </w:tcPr>
          <w:p>
            <w:pPr>
              <w:spacing w:after="0"/>
              <w:rPr>
                <w:sz w:val="14"/>
                <w:szCs w:val="14"/>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0.8%</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2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Bayshore Intermediate #2, L.P. </w:t>
            </w:r>
            <w:r>
              <w:rPr>
                <w:rFonts w:ascii="Times New Roman" w:cs="Times New Roman" w:eastAsia="Times New Roman" w:hAnsi="Times New Roman"/>
                <w:sz w:val="10"/>
                <w:szCs w:val="10"/>
                <w:color w:val="auto"/>
              </w:rPr>
              <w:t>(11)(13)</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Co-Invest Common Units (8,837,008</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1400 Liberty Ridge Drive</w:t>
            </w:r>
          </w:p>
        </w:tc>
        <w:tc>
          <w:tcPr>
            <w:tcW w:w="23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8,837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8,152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0.5%</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Chesterbrook, PA 19087 USA</w:t>
            </w: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units)</w:t>
            </w: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23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Co-Invest 2 Common Units</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10/1/2021</w:t>
            </w: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3,494</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3,223</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(3,493,701 units)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10"/>
                <w:szCs w:val="10"/>
                <w:color w:val="auto"/>
              </w:rPr>
              <w:t>(11)</w:t>
            </w: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235 Montgomery Street Suite 500</w:t>
            </w: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F Preferred Shares (199,054</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Francisco, CA 94104</w:t>
            </w:r>
          </w:p>
        </w:tc>
        <w:tc>
          <w:tcPr>
            <w:tcW w:w="23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8/2/2019</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800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800</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Piano Software, Inc. </w:t>
            </w:r>
            <w:r>
              <w:rPr>
                <w:rFonts w:ascii="Times New Roman" w:cs="Times New Roman" w:eastAsia="Times New Roman" w:hAnsi="Times New Roman"/>
                <w:sz w:val="10"/>
                <w:szCs w:val="10"/>
                <w:color w:val="auto"/>
              </w:rPr>
              <w:t>(11)</w:t>
            </w:r>
          </w:p>
        </w:tc>
        <w:tc>
          <w:tcPr>
            <w:tcW w:w="2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World Trade Center Suite 46D</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C-1 Preferred Shares (418,527</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10007</w:t>
            </w:r>
          </w:p>
        </w:tc>
        <w:tc>
          <w:tcPr>
            <w:tcW w:w="236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12/22/2021</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3,000</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71"/>
        </w:trPr>
        <w:tc>
          <w:tcPr>
            <w:tcW w:w="2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80" w:right="4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60" w:type="dxa"/>
            <w:vAlign w:val="bottom"/>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3280" w:type="dxa"/>
            <w:vAlign w:val="bottom"/>
            <w:vMerge w:val="restart"/>
          </w:tcPr>
          <w:p>
            <w:pPr>
              <w:ind w:left="22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60" w:type="dxa"/>
            <w:vAlign w:val="bottom"/>
          </w:tcPr>
          <w:p>
            <w:pPr>
              <w:jc w:val="center"/>
              <w:ind w:left="2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 and</w:t>
            </w:r>
          </w:p>
        </w:tc>
        <w:tc>
          <w:tcPr>
            <w:tcW w:w="1100" w:type="dxa"/>
            <w:vAlign w:val="bottom"/>
          </w:tcPr>
          <w:p>
            <w:pPr>
              <w:spacing w:after="0"/>
              <w:rPr>
                <w:sz w:val="11"/>
                <w:szCs w:val="11"/>
                <w:color w:val="auto"/>
              </w:rPr>
            </w:pPr>
          </w:p>
        </w:tc>
        <w:tc>
          <w:tcPr>
            <w:tcW w:w="840" w:type="dxa"/>
            <w:vAlign w:val="bottom"/>
          </w:tcPr>
          <w:p>
            <w:pPr>
              <w:jc w:val="center"/>
              <w:ind w:left="1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9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740" w:type="dxa"/>
            <w:vAlign w:val="bottom"/>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47"/>
        </w:trPr>
        <w:tc>
          <w:tcPr>
            <w:tcW w:w="780" w:type="dxa"/>
            <w:vAlign w:val="bottom"/>
            <w:tcBorders>
              <w:bottom w:val="single" w:sz="8" w:color="auto"/>
            </w:tcBorders>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1260" w:type="dxa"/>
            <w:vAlign w:val="bottom"/>
          </w:tcPr>
          <w:p>
            <w:pPr>
              <w:jc w:val="center"/>
              <w:ind w:left="217"/>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1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840" w:type="dxa"/>
            <w:vAlign w:val="bottom"/>
          </w:tcPr>
          <w:p>
            <w:pPr>
              <w:jc w:val="center"/>
              <w:ind w:left="1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20" w:type="dxa"/>
            <w:vAlign w:val="bottom"/>
          </w:tcPr>
          <w:p>
            <w:pPr>
              <w:ind w:left="1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of Net Assets</w:t>
            </w:r>
          </w:p>
        </w:tc>
        <w:tc>
          <w:tcPr>
            <w:tcW w:w="740" w:type="dxa"/>
            <w:vAlign w:val="bottom"/>
          </w:tcPr>
          <w:p>
            <w:pPr>
              <w:jc w:val="center"/>
              <w:ind w:left="97"/>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
        </w:trPr>
        <w:tc>
          <w:tcPr>
            <w:tcW w:w="2300" w:type="dxa"/>
            <w:vAlign w:val="bottom"/>
            <w:shd w:val="clear" w:color="auto" w:fill="CCEEFF"/>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300" w:type="dxa"/>
            <w:vAlign w:val="bottom"/>
            <w:shd w:val="clear" w:color="auto" w:fill="CCEEFF"/>
          </w:tcPr>
          <w:p>
            <w:pPr>
              <w:spacing w:after="0"/>
              <w:rPr>
                <w:sz w:val="8"/>
                <w:szCs w:val="8"/>
                <w:color w:val="auto"/>
              </w:rPr>
            </w:pPr>
          </w:p>
        </w:tc>
        <w:tc>
          <w:tcPr>
            <w:tcW w:w="20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Series C-2 Preferred Shares</w:t>
            </w:r>
          </w:p>
        </w:tc>
        <w:tc>
          <w:tcPr>
            <w:tcW w:w="160" w:type="dxa"/>
            <w:vAlign w:val="bottom"/>
            <w:vMerge w:val="continue"/>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11/18/2022</w:t>
            </w:r>
          </w:p>
        </w:tc>
        <w:tc>
          <w:tcPr>
            <w:tcW w:w="8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198</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198</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(27,588 shares)</w:t>
            </w:r>
            <w:r>
              <w:rPr>
                <w:rFonts w:ascii="Times New Roman" w:cs="Times New Roman" w:eastAsia="Times New Roman" w:hAnsi="Times New Roman"/>
                <w:sz w:val="10"/>
                <w:szCs w:val="10"/>
                <w:color w:val="auto"/>
              </w:rPr>
              <w:t>(12)</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SMA Technologies Holdings, LLC</w:t>
            </w: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0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(11)(12)</w:t>
            </w:r>
          </w:p>
        </w:tc>
        <w:tc>
          <w:tcPr>
            <w:tcW w:w="2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Pawkway N.</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Houston, TX 77044</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(1,300 shares)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11/21/2022</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Class B Units (923,250 shares)</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11/21/2022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17,629</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16,673</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Marketing Services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Validity, Inc. </w:t>
            </w:r>
            <w:r>
              <w:rPr>
                <w:rFonts w:ascii="Times New Roman" w:cs="Times New Roman" w:eastAsia="Times New Roman" w:hAnsi="Times New Roman"/>
                <w:sz w:val="10"/>
                <w:szCs w:val="10"/>
                <w:color w:val="auto"/>
              </w:rPr>
              <w:t>(11)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Summer St</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Series A Preferred 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2900</w:t>
            </w:r>
          </w:p>
        </w:tc>
        <w:tc>
          <w:tcPr>
            <w:tcW w:w="21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5/31/2018</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3,840</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10,944</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(3,840,000 shares)</w:t>
            </w: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Murchison Oil and Gas, LLC </w:t>
            </w:r>
            <w:r>
              <w:rPr>
                <w:rFonts w:ascii="Times New Roman" w:cs="Times New Roman" w:eastAsia="Times New Roman" w:hAnsi="Times New Roman"/>
                <w:sz w:val="10"/>
                <w:szCs w:val="10"/>
                <w:color w:val="auto"/>
              </w:rPr>
              <w:t>(13)</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1100 Mira Vista</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13,355 Preferred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6/30/2022</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13,355</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14,891</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Plano, TX 79093</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TRP Assets, LLC </w:t>
            </w:r>
            <w:r>
              <w:rPr>
                <w:rFonts w:ascii="Times New Roman" w:cs="Times New Roman" w:eastAsia="Times New Roman" w:hAnsi="Times New Roman"/>
                <w:sz w:val="10"/>
                <w:szCs w:val="10"/>
                <w:color w:val="auto"/>
              </w:rPr>
              <w:t>(11)(13)</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Partnership Interest (1.89%</w:t>
            </w: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1111 Louisiana Street Suite 4550</w:t>
            </w:r>
          </w:p>
        </w:tc>
        <w:tc>
          <w:tcPr>
            <w:tcW w:w="2180" w:type="dxa"/>
            <w:vAlign w:val="bottom"/>
            <w:gridSpan w:val="2"/>
            <w:vMerge w:val="continue"/>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8/25/2022</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8,732</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11,811</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Houston, TX</w:t>
            </w: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ownership)</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22,087</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26,702</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TherapeuticsMD, Inc. </w:t>
            </w:r>
            <w:r>
              <w:rPr>
                <w:rFonts w:ascii="Times New Roman" w:cs="Times New Roman" w:eastAsia="Times New Roman" w:hAnsi="Times New Roman"/>
                <w:sz w:val="10"/>
                <w:szCs w:val="10"/>
                <w:color w:val="auto"/>
              </w:rPr>
              <w:t>(4)(11)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 Second Street, Suite 206</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14,256 Warrants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8/5/2020</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1,029</w:t>
            </w: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Jersey City, NJ</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 xml:space="preserve">American Achievement, Corp. </w:t>
            </w:r>
            <w:r>
              <w:rPr>
                <w:rFonts w:ascii="Times New Roman" w:cs="Times New Roman" w:eastAsia="Times New Roman" w:hAnsi="Times New Roman"/>
                <w:sz w:val="10"/>
                <w:szCs w:val="10"/>
                <w:color w:val="auto"/>
              </w:rPr>
              <w:t>(11)</w:t>
            </w: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1550 W Mockingbird Lane</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Class A Units (687 units)</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3/16/2021</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Dallas, TX 75235</w:t>
            </w:r>
          </w:p>
        </w:tc>
        <w:tc>
          <w:tcPr>
            <w:tcW w:w="2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Copper Bidco, LLC</w:t>
            </w:r>
          </w:p>
        </w:tc>
        <w:tc>
          <w:tcPr>
            <w:tcW w:w="2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951 Yamato Road</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Trust Certificates (132,928</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220</w:t>
            </w:r>
          </w:p>
        </w:tc>
        <w:tc>
          <w:tcPr>
            <w:tcW w:w="2180" w:type="dxa"/>
            <w:vAlign w:val="bottom"/>
            <w:gridSpan w:val="2"/>
            <w:vMerge w:val="continue"/>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12/7/2020</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Boca Raton, FL 33431</w:t>
            </w:r>
          </w:p>
        </w:tc>
        <w:tc>
          <w:tcPr>
            <w:tcW w:w="2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Certificates)</w:t>
            </w: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rPr>
                <w:sz w:val="10"/>
                <w:szCs w:val="10"/>
                <w:color w:val="auto"/>
              </w:rPr>
            </w:pPr>
          </w:p>
        </w:tc>
        <w:tc>
          <w:tcPr>
            <w:tcW w:w="21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Trust Certificates (996,958</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1/30/2021</w:t>
            </w: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2,589</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10,727</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Certificates) </w:t>
            </w:r>
            <w:r>
              <w:rPr>
                <w:rFonts w:ascii="Times New Roman" w:cs="Times New Roman" w:eastAsia="Times New Roman" w:hAnsi="Times New Roman"/>
                <w:sz w:val="10"/>
                <w:szCs w:val="10"/>
                <w:color w:val="auto"/>
              </w:rPr>
              <w:t>(9)</w:t>
            </w:r>
          </w:p>
        </w:tc>
        <w:tc>
          <w:tcPr>
            <w:tcW w:w="9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Neuintel, LLC </w:t>
            </w:r>
            <w:r>
              <w:rPr>
                <w:rFonts w:ascii="Times New Roman" w:cs="Times New Roman" w:eastAsia="Times New Roman" w:hAnsi="Times New Roman"/>
                <w:sz w:val="10"/>
                <w:szCs w:val="10"/>
                <w:color w:val="auto"/>
              </w:rPr>
              <w:t>(11)(13)</w:t>
            </w:r>
          </w:p>
        </w:tc>
        <w:tc>
          <w:tcPr>
            <w:tcW w:w="2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 Pacifica Suite 1000</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Units (1,176,494 units)</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12/21/2021</w:t>
            </w: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3,000</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2,468</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Irvine, CA 92618</w:t>
            </w:r>
          </w:p>
        </w:tc>
        <w:tc>
          <w:tcPr>
            <w:tcW w:w="21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5,589</w:t>
            </w:r>
          </w:p>
        </w:tc>
        <w:tc>
          <w:tcPr>
            <w:tcW w:w="200" w:type="dxa"/>
            <w:vAlign w:val="bottom"/>
            <w:vMerge w:val="continue"/>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13,252</w:t>
            </w:r>
          </w:p>
        </w:tc>
        <w:tc>
          <w:tcPr>
            <w:tcW w:w="200" w:type="dxa"/>
            <w:vAlign w:val="bottom"/>
            <w:vMerge w:val="continue"/>
          </w:tcPr>
          <w:p>
            <w:pPr>
              <w:spacing w:after="0"/>
              <w:rPr>
                <w:sz w:val="14"/>
                <w:szCs w:val="14"/>
                <w:color w:val="auto"/>
              </w:rPr>
            </w:pPr>
          </w:p>
        </w:tc>
        <w:tc>
          <w:tcPr>
            <w:tcW w:w="10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0.9%</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Structured Credit</w:t>
            </w:r>
          </w:p>
        </w:tc>
        <w:tc>
          <w:tcPr>
            <w:tcW w:w="2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Allegro CLO Ltd, Series 2018-1A,</w:t>
            </w: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0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West Putnam Ave, Third</w:t>
            </w:r>
          </w:p>
        </w:tc>
        <w:tc>
          <w:tcPr>
            <w:tcW w:w="21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5/26/2022</w:t>
            </w: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SOFR + 3.11%</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8.42%</w:t>
            </w: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973</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953</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Floor, Greenwich, CT 06830</w:t>
            </w:r>
          </w:p>
        </w:tc>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6/2031)</w:t>
            </w: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80" w:right="4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600" w:type="dxa"/>
            <w:vAlign w:val="bottom"/>
            <w:vMerge w:val="restart"/>
          </w:tcPr>
          <w:p>
            <w:pPr>
              <w:spacing w:after="0"/>
              <w:rPr>
                <w:sz w:val="11"/>
                <w:szCs w:val="11"/>
                <w:color w:val="auto"/>
              </w:rPr>
            </w:pPr>
          </w:p>
        </w:tc>
        <w:tc>
          <w:tcPr>
            <w:tcW w:w="21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38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American Money Management Corp</w:t>
            </w:r>
          </w:p>
        </w:tc>
        <w:tc>
          <w:tcPr>
            <w:tcW w:w="20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2016-18A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301 East Fourth Street, 38 Th</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6/22/2022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+ 3.31%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1,356</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Floor, Cincinnati, OH 45202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Ares CLO Ltd, Series 2021-59A </w:t>
            </w:r>
            <w:r>
              <w:rPr>
                <w:rFonts w:ascii="Times New Roman" w:cs="Times New Roman" w:eastAsia="Times New Roman" w:hAnsi="Times New Roman"/>
                <w:sz w:val="10"/>
                <w:szCs w:val="10"/>
                <w:color w:val="auto"/>
              </w:rPr>
              <w:t>(3)(4)</w:t>
            </w:r>
          </w:p>
        </w:tc>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60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245 Park Ave 44th floor, New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11.86%</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906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10167</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4/2034)</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Ares Loan Funding I Ltd, Series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2021-ALFA, Class E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245 Park Ave 44th floor, New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+ 6.96%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943</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10167</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Bain Capital Credit CLO Ltd, Series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2018-1A</w:t>
            </w:r>
            <w:r>
              <w:rPr>
                <w:rFonts w:ascii="Times New Roman" w:cs="Times New Roman" w:eastAsia="Times New Roman" w:hAnsi="Times New Roman"/>
                <w:sz w:val="8"/>
                <w:szCs w:val="8"/>
                <w:color w:val="auto"/>
              </w:rPr>
              <w:t xml:space="preserve"> (3)(4)(9)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($500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200 Clarendon St, Boston, MA</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10/15/2020</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+ 5.61%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10.96%</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428</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02116</w:t>
            </w:r>
          </w:p>
        </w:tc>
        <w:tc>
          <w:tcPr>
            <w:tcW w:w="160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Battalion CLO Ltd, Series 2021-21A</w:t>
            </w:r>
          </w:p>
        </w:tc>
        <w:tc>
          <w:tcPr>
            <w:tcW w:w="2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600" w:type="dxa"/>
            <w:vAlign w:val="bottom"/>
            <w:shd w:val="clear" w:color="auto" w:fill="CCEEFF"/>
          </w:tcPr>
          <w:p>
            <w:pPr>
              <w:spacing w:after="0"/>
              <w:rPr>
                <w:sz w:val="9"/>
                <w:szCs w:val="9"/>
                <w:color w:val="auto"/>
              </w:rPr>
            </w:pP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($1,300 par, due</w:t>
            </w: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399 Park Avenue, 16th Floor, New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+ 3.56%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8.87%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1,167</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10022</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Benefit Street Partners CLO Ltd,</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2015-BR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($2,500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9 W 57th St #4920, New York, NY</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+ 4.11%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9.44%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2,190</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2,500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10019</w:t>
            </w:r>
          </w:p>
        </w:tc>
        <w:tc>
          <w:tcPr>
            <w:tcW w:w="160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7/2034)</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Benefit Street Partners CLO Ltd,</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2015-8A </w:t>
            </w:r>
            <w:r>
              <w:rPr>
                <w:rFonts w:ascii="Times New Roman" w:cs="Times New Roman" w:eastAsia="Times New Roman" w:hAnsi="Times New Roman"/>
                <w:sz w:val="10"/>
                <w:szCs w:val="10"/>
                <w:color w:val="auto"/>
              </w:rPr>
              <w:t>(3)(4)(9)</w:t>
            </w: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($1,425 par, due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 W 57th St #4920, New York, NY</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+ 3.01%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1,282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10019</w:t>
            </w:r>
          </w:p>
        </w:tc>
        <w:tc>
          <w:tcPr>
            <w:tcW w:w="1600" w:type="dxa"/>
            <w:vAlign w:val="bottom"/>
            <w:shd w:val="clear" w:color="auto" w:fill="CCEEFF"/>
          </w:tcPr>
          <w:p>
            <w:pPr>
              <w:spacing w:after="0"/>
              <w:rPr>
                <w:sz w:val="14"/>
                <w:szCs w:val="14"/>
                <w:color w:val="auto"/>
              </w:rPr>
            </w:pP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380" w:type="dxa"/>
            <w:vAlign w:val="bottom"/>
            <w:gridSpan w:val="2"/>
          </w:tcPr>
          <w:p>
            <w:pPr>
              <w:ind w:left="140"/>
              <w:spacing w:after="0" w:line="157" w:lineRule="exact"/>
              <w:rPr>
                <w:sz w:val="20"/>
                <w:szCs w:val="20"/>
                <w:color w:val="auto"/>
              </w:rPr>
            </w:pPr>
            <w:r>
              <w:rPr>
                <w:rFonts w:ascii="Times New Roman" w:cs="Times New Roman" w:eastAsia="Times New Roman" w:hAnsi="Times New Roman"/>
                <w:sz w:val="14"/>
                <w:szCs w:val="14"/>
                <w:color w:val="auto"/>
              </w:rPr>
              <w:t xml:space="preserve">CLO Ltd, Series 2014-4RA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80" w:type="dxa"/>
            <w:vAlign w:val="bottom"/>
            <w:gridSpan w:val="2"/>
          </w:tcPr>
          <w:p>
            <w:pPr>
              <w:ind w:left="140"/>
              <w:spacing w:after="0" w:line="109" w:lineRule="exact"/>
              <w:rPr>
                <w:sz w:val="20"/>
                <w:szCs w:val="20"/>
                <w:color w:val="auto"/>
              </w:rPr>
            </w:pPr>
            <w:r>
              <w:rPr>
                <w:rFonts w:ascii="Times New Roman" w:cs="Times New Roman" w:eastAsia="Times New Roman" w:hAnsi="Times New Roman"/>
                <w:sz w:val="11"/>
                <w:szCs w:val="11"/>
                <w:color w:val="auto"/>
              </w:rPr>
              <w:t>1001 Pennsylvania Avenue NW Washington,</w:t>
            </w:r>
          </w:p>
        </w:tc>
        <w:tc>
          <w:tcPr>
            <w:tcW w:w="2180" w:type="dxa"/>
            <w:vAlign w:val="bottom"/>
            <w:gridSpan w:val="2"/>
            <w:vMerge w:val="continue"/>
          </w:tcPr>
          <w:p>
            <w:pPr>
              <w:spacing w:after="0"/>
              <w:rPr>
                <w:sz w:val="9"/>
                <w:szCs w:val="9"/>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5/26/2022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+ 3.16%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8.47%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DC</w:t>
            </w:r>
          </w:p>
        </w:tc>
        <w:tc>
          <w:tcPr>
            <w:tcW w:w="2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7/2030)</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380" w:type="dxa"/>
            <w:vAlign w:val="bottom"/>
            <w:gridSpan w:val="2"/>
            <w:shd w:val="clear" w:color="auto" w:fill="CCEEFF"/>
          </w:tcPr>
          <w:p>
            <w:pPr>
              <w:ind w:left="140"/>
              <w:spacing w:after="0" w:line="157" w:lineRule="exact"/>
              <w:rPr>
                <w:sz w:val="20"/>
                <w:szCs w:val="20"/>
                <w:color w:val="auto"/>
              </w:rPr>
            </w:pPr>
            <w:r>
              <w:rPr>
                <w:rFonts w:ascii="Times New Roman" w:cs="Times New Roman" w:eastAsia="Times New Roman" w:hAnsi="Times New Roman"/>
                <w:sz w:val="14"/>
                <w:szCs w:val="14"/>
                <w:color w:val="auto"/>
              </w:rPr>
              <w:t xml:space="preserve">CLO Ltd, Series 2016-1, Ltd </w:t>
            </w:r>
            <w:r>
              <w:rPr>
                <w:rFonts w:ascii="Times New Roman" w:cs="Times New Roman" w:eastAsia="Times New Roman" w:hAnsi="Times New Roman"/>
                <w:sz w:val="10"/>
                <w:szCs w:val="10"/>
                <w:color w:val="auto"/>
              </w:rPr>
              <w:t>(3)(4)</w:t>
            </w:r>
          </w:p>
        </w:tc>
        <w:tc>
          <w:tcPr>
            <w:tcW w:w="2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600" w:type="dxa"/>
            <w:vAlign w:val="bottom"/>
            <w:shd w:val="clear" w:color="auto" w:fill="CCEEFF"/>
          </w:tcPr>
          <w:p>
            <w:pPr>
              <w:spacing w:after="0"/>
              <w:rPr>
                <w:sz w:val="9"/>
                <w:szCs w:val="9"/>
                <w:color w:val="auto"/>
              </w:rPr>
            </w:pPr>
          </w:p>
        </w:tc>
        <w:tc>
          <w:tcPr>
            <w:tcW w:w="2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Structured Credit ($1,600 par, due</w:t>
            </w: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2/15/2023</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12.19%</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1,427</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4/2034)</w:t>
            </w: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Carlyle Global Market Strategies</w:t>
            </w: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2018-1A </w:t>
            </w:r>
            <w:r>
              <w:rPr>
                <w:rFonts w:ascii="Times New Roman" w:cs="Times New Roman" w:eastAsia="Times New Roman" w:hAnsi="Times New Roman"/>
                <w:sz w:val="10"/>
                <w:szCs w:val="10"/>
                <w:color w:val="auto"/>
              </w:rPr>
              <w:t>(3)(4)(9)</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Structured Credit ($1,550 par, due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Pennsylvania Avenue NW</w:t>
            </w:r>
          </w:p>
        </w:tc>
        <w:tc>
          <w:tcPr>
            <w:tcW w:w="218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8/11/2020</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+ 6.01%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11.34%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1,259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1,386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Washington, DC</w:t>
            </w:r>
          </w:p>
        </w:tc>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80" w:right="4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108"/>
        </w:trPr>
        <w:tc>
          <w:tcPr>
            <w:tcW w:w="226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CarVal CLO III Ltd, Series 2019-2A</w:t>
            </w:r>
          </w:p>
        </w:tc>
        <w:tc>
          <w:tcPr>
            <w:tcW w:w="100" w:type="dxa"/>
            <w:vAlign w:val="bottom"/>
            <w:tcBorders>
              <w:top w:val="single" w:sz="8" w:color="CCEEFF"/>
            </w:tcBorders>
            <w:shd w:val="clear" w:color="auto" w:fill="CCEEFF"/>
          </w:tcPr>
          <w:p>
            <w:pPr>
              <w:spacing w:after="0"/>
              <w:rPr>
                <w:sz w:val="9"/>
                <w:szCs w:val="9"/>
                <w:color w:val="auto"/>
              </w:rPr>
            </w:pPr>
          </w:p>
        </w:tc>
        <w:tc>
          <w:tcPr>
            <w:tcW w:w="21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1601 Utica Avenue South, Suite</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6/30/2022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+ 6.70%</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12.03%</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1000. Minneapolis, MN 55416</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7/2032)</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Cedar Funding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2018-7A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1201 Wills Street, Suite 800.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7/21/2022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+ 4.81%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10.14%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871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867</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Baltimore, MD 21231</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CIFC CLO Ltd, Series 2018-3A </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 SE 3rd Avenue, Suite 1660,</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6/16/2022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11.07%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Miami, FL 33131</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7/2031)</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CIFC CLO Ltd, Series 2021-4A </w:t>
            </w:r>
            <w:r>
              <w:rPr>
                <w:rFonts w:ascii="Times New Roman" w:cs="Times New Roman" w:eastAsia="Times New Roman" w:hAnsi="Times New Roman"/>
                <w:sz w:val="10"/>
                <w:szCs w:val="10"/>
                <w:color w:val="auto"/>
              </w:rPr>
              <w:t>(3)(4)</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 SE 3rd Avenue, Suite 1660,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7/14/2022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+ 6.26%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11.57%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Miami, FL 33131</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7/2033)</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Crown Point CLO Ltd, Series</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2021-10A</w:t>
            </w:r>
            <w:r>
              <w:rPr>
                <w:rFonts w:ascii="Times New Roman" w:cs="Times New Roman" w:eastAsia="Times New Roman" w:hAnsi="Times New Roman"/>
                <w:sz w:val="8"/>
                <w:szCs w:val="8"/>
                <w:color w:val="auto"/>
              </w:rPr>
              <w:t xml:space="preserve"> (3)(4)(9)</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+ 7.11%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903</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810 7th Ave, New York, NY 10019</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Dryden Senior Loan Fund, Series</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260" w:type="dxa"/>
            <w:vAlign w:val="bottom"/>
            <w:gridSpan w:val="2"/>
          </w:tcPr>
          <w:p>
            <w:pPr>
              <w:ind w:left="140"/>
              <w:spacing w:after="0" w:line="138" w:lineRule="exact"/>
              <w:rPr>
                <w:sz w:val="20"/>
                <w:szCs w:val="20"/>
                <w:color w:val="auto"/>
              </w:rPr>
            </w:pPr>
            <w:r>
              <w:rPr>
                <w:rFonts w:ascii="Times New Roman" w:cs="Times New Roman" w:eastAsia="Times New Roman" w:hAnsi="Times New Roman"/>
                <w:sz w:val="15"/>
                <w:szCs w:val="15"/>
                <w:color w:val="auto"/>
                <w:vertAlign w:val="subscript"/>
              </w:rPr>
              <w:t>2018-55A</w:t>
            </w:r>
            <w:r>
              <w:rPr>
                <w:rFonts w:ascii="Times New Roman" w:cs="Times New Roman" w:eastAsia="Times New Roman" w:hAnsi="Times New Roman"/>
                <w:sz w:val="8"/>
                <w:szCs w:val="8"/>
                <w:color w:val="auto"/>
              </w:rPr>
              <w:t xml:space="preserve"> (3)(4)(9)</w:t>
            </w:r>
          </w:p>
        </w:tc>
        <w:tc>
          <w:tcPr>
            <w:tcW w:w="2360" w:type="dxa"/>
            <w:vAlign w:val="bottom"/>
            <w:gridSpan w:val="3"/>
            <w:vMerge w:val="continue"/>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7/25/2022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+ 3.11%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8.42%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928</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655 Broad Street Newark, NJ 07102</w:t>
            </w:r>
          </w:p>
        </w:tc>
        <w:tc>
          <w:tcPr>
            <w:tcW w:w="220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color w:val="auto"/>
              </w:rPr>
              <w:t>4/2031)</w:t>
            </w:r>
          </w:p>
        </w:tc>
        <w:tc>
          <w:tcPr>
            <w:tcW w:w="1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Dryden Senior Loan Fund,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2020-86A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655 Broad Street Newark, NJ</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8/17/2022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+ 6.76%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07102</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 xml:space="preserve">Eaton CLO Ltd, Series 2015-1A </w:t>
            </w:r>
            <w:r>
              <w:rPr>
                <w:rFonts w:ascii="Times New Roman" w:cs="Times New Roman" w:eastAsia="Times New Roman" w:hAnsi="Times New Roman"/>
                <w:sz w:val="10"/>
                <w:szCs w:val="10"/>
                <w:color w:val="auto"/>
              </w:rPr>
              <w:t>(3)(4)</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($2,500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wo International Place, Suite 1400</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+ 2.76%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8.09%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2,252</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2,394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1/2030)</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Eaton CLO Ltd, Series 2020-1A </w:t>
            </w: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wo International Place, Suite 1400</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8/11/2022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934</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Boston, MA 02110</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GoldenTree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2020-7A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300 Park Avenue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6/17/2022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+ 6.76%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12.09%</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984</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10022</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4/2034)</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Gulf Stream Meridian,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2021-4A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($1,015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4201 Congress Street, Charlotte</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+ 6.61%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11.98%</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941</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NC 28209</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Gulf Stream Meridian,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2021-6A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4201 Congress Street, Charlotte</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+ 6.62%</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11.93%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1,849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1,785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NC 28209</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1/2037)</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80" w:right="4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8"/>
              </w:rPr>
              <w:t xml:space="preserve">Company </w:t>
            </w:r>
            <w:r>
              <w:rPr>
                <w:rFonts w:ascii="Times New Roman" w:cs="Times New Roman" w:eastAsia="Times New Roman" w:hAnsi="Times New Roman"/>
                <w:sz w:val="18"/>
                <w:szCs w:val="18"/>
                <w:b w:val="1"/>
                <w:bCs w:val="1"/>
                <w:color w:val="auto"/>
                <w:w w:val="88"/>
                <w:vertAlign w:val="superscript"/>
              </w:rPr>
              <w:t>(1)(6)</w:t>
            </w:r>
          </w:p>
        </w:tc>
        <w:tc>
          <w:tcPr>
            <w:tcW w:w="14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1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Spread</w:t>
            </w:r>
          </w:p>
        </w:tc>
        <w:tc>
          <w:tcPr>
            <w:tcW w:w="10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7"/>
                <w:szCs w:val="7"/>
                <w:b w:val="1"/>
                <w:bCs w:val="1"/>
                <w:color w:val="auto"/>
              </w:rPr>
              <w:t xml:space="preserve"> (2)(8)</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6"/>
                <w:szCs w:val="16"/>
                <w:b w:val="1"/>
                <w:bCs w:val="1"/>
                <w:color w:val="auto"/>
                <w:vertAlign w:val="superscript"/>
              </w:rPr>
              <w:t>(9)</w:t>
            </w:r>
          </w:p>
        </w:tc>
        <w:tc>
          <w:tcPr>
            <w:tcW w:w="10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99"/>
        </w:trPr>
        <w:tc>
          <w:tcPr>
            <w:tcW w:w="2260" w:type="dxa"/>
            <w:vAlign w:val="bottom"/>
            <w:tcBorders>
              <w:top w:val="single" w:sz="8" w:color="CCEEFF"/>
            </w:tcBorders>
            <w:gridSpan w:val="2"/>
            <w:shd w:val="clear" w:color="auto" w:fill="CCEEFF"/>
          </w:tcPr>
          <w:p>
            <w:pPr>
              <w:spacing w:after="0" w:line="100" w:lineRule="exact"/>
              <w:rPr>
                <w:sz w:val="20"/>
                <w:szCs w:val="20"/>
                <w:color w:val="auto"/>
              </w:rPr>
            </w:pPr>
            <w:r>
              <w:rPr>
                <w:rFonts w:ascii="Times New Roman" w:cs="Times New Roman" w:eastAsia="Times New Roman" w:hAnsi="Times New Roman"/>
                <w:sz w:val="11"/>
                <w:szCs w:val="11"/>
                <w:color w:val="auto"/>
              </w:rPr>
              <w:t>Jefferson Mill CLO Ltd, Series</w:t>
            </w:r>
          </w:p>
        </w:tc>
        <w:tc>
          <w:tcPr>
            <w:tcW w:w="100" w:type="dxa"/>
            <w:vAlign w:val="bottom"/>
            <w:tcBorders>
              <w:top w:val="single" w:sz="8" w:color="CCEEFF"/>
            </w:tcBorders>
            <w:shd w:val="clear" w:color="auto" w:fill="CCEEFF"/>
          </w:tcPr>
          <w:p>
            <w:pPr>
              <w:spacing w:after="0"/>
              <w:rPr>
                <w:sz w:val="8"/>
                <w:szCs w:val="8"/>
                <w:color w:val="auto"/>
              </w:rPr>
            </w:pPr>
          </w:p>
        </w:tc>
        <w:tc>
          <w:tcPr>
            <w:tcW w:w="21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2015-1A</w:t>
            </w:r>
            <w:r>
              <w:rPr>
                <w:rFonts w:ascii="Times New Roman" w:cs="Times New Roman" w:eastAsia="Times New Roman" w:hAnsi="Times New Roman"/>
                <w:sz w:val="8"/>
                <w:szCs w:val="8"/>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151 W 42nd St 29th Floor, New</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+ 3.81%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906</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937</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York, NY 10036</w:t>
            </w: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10/2031)</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KKR CLO Ltd, 49A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30 Hudson Yards,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+ 8.26%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13.33%</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977</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959</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10001</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7/2035)</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Madison Park CLO, Series 2018-28A</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 Madison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6/28/2022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+ 5.51%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10.82%</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908</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948</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10010</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7/2030)</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Magnetite CLO Ltd, Series 2021-30A</w:t>
            </w:r>
          </w:p>
        </w:tc>
        <w:tc>
          <w:tcPr>
            <w:tcW w:w="1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tcPr>
          <w:p>
            <w:pPr>
              <w:ind w:left="140"/>
              <w:spacing w:after="0" w:line="113" w:lineRule="exact"/>
              <w:rPr>
                <w:sz w:val="20"/>
                <w:szCs w:val="20"/>
                <w:color w:val="auto"/>
              </w:rPr>
            </w:pPr>
            <w:r>
              <w:rPr>
                <w:rFonts w:ascii="Times New Roman" w:cs="Times New Roman" w:eastAsia="Times New Roman" w:hAnsi="Times New Roman"/>
                <w:sz w:val="11"/>
                <w:szCs w:val="11"/>
                <w:color w:val="auto"/>
              </w:rPr>
              <w:t>(3)(4)(9)</w:t>
            </w:r>
          </w:p>
        </w:tc>
        <w:tc>
          <w:tcPr>
            <w:tcW w:w="1480" w:type="dxa"/>
            <w:vAlign w:val="bottom"/>
          </w:tcPr>
          <w:p>
            <w:pPr>
              <w:spacing w:after="0"/>
              <w:rPr>
                <w:sz w:val="9"/>
                <w:szCs w:val="9"/>
                <w:color w:val="auto"/>
              </w:rPr>
            </w:pP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 Hudson Yards,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+ 6.46%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11.81%</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919</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956</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10001</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MidOcean Credit CLO Ltd, Series</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260" w:type="dxa"/>
            <w:vAlign w:val="bottom"/>
            <w:gridSpan w:val="2"/>
            <w:shd w:val="clear" w:color="auto" w:fill="CCEEFF"/>
          </w:tcPr>
          <w:p>
            <w:pPr>
              <w:ind w:left="140"/>
              <w:spacing w:after="0" w:line="157" w:lineRule="exact"/>
              <w:rPr>
                <w:sz w:val="20"/>
                <w:szCs w:val="20"/>
                <w:color w:val="auto"/>
              </w:rPr>
            </w:pPr>
            <w:r>
              <w:rPr>
                <w:rFonts w:ascii="Times New Roman" w:cs="Times New Roman" w:eastAsia="Times New Roman" w:hAnsi="Times New Roman"/>
                <w:sz w:val="18"/>
                <w:szCs w:val="18"/>
                <w:color w:val="auto"/>
                <w:vertAlign w:val="subscript"/>
              </w:rPr>
              <w:t>2016-6A</w:t>
            </w:r>
            <w:r>
              <w:rPr>
                <w:rFonts w:ascii="Times New Roman" w:cs="Times New Roman" w:eastAsia="Times New Roman" w:hAnsi="Times New Roman"/>
                <w:sz w:val="9"/>
                <w:szCs w:val="9"/>
                <w:color w:val="auto"/>
              </w:rPr>
              <w:t xml:space="preserve"> (3)(4)(9)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($3,500 par, due</w:t>
            </w: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260" w:type="dxa"/>
            <w:vAlign w:val="bottom"/>
            <w:gridSpan w:val="2"/>
            <w:shd w:val="clear" w:color="auto" w:fill="CCEEFF"/>
          </w:tcPr>
          <w:p>
            <w:pPr>
              <w:ind w:left="140"/>
              <w:spacing w:after="0" w:line="109" w:lineRule="exact"/>
              <w:rPr>
                <w:sz w:val="20"/>
                <w:szCs w:val="20"/>
                <w:color w:val="auto"/>
              </w:rPr>
            </w:pPr>
            <w:r>
              <w:rPr>
                <w:rFonts w:ascii="Times New Roman" w:cs="Times New Roman" w:eastAsia="Times New Roman" w:hAnsi="Times New Roman"/>
                <w:sz w:val="11"/>
                <w:szCs w:val="11"/>
                <w:color w:val="auto"/>
              </w:rPr>
              <w:t>320 Park Avenue Suite 1600 New York, NY</w:t>
            </w:r>
          </w:p>
        </w:tc>
        <w:tc>
          <w:tcPr>
            <w:tcW w:w="2360" w:type="dxa"/>
            <w:vAlign w:val="bottom"/>
            <w:gridSpan w:val="3"/>
            <w:vMerge w:val="continue"/>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5/23/2022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+ 3.78%</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9.11%</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3,165</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3,231</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10022 USA</w:t>
            </w:r>
          </w:p>
        </w:tc>
        <w:tc>
          <w:tcPr>
            <w:tcW w:w="22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4/2033)</w:t>
            </w:r>
          </w:p>
        </w:tc>
        <w:tc>
          <w:tcPr>
            <w:tcW w:w="16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MidOcean Credit CLO Ltd, Series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2018-9A</w:t>
            </w:r>
            <w:r>
              <w:rPr>
                <w:rFonts w:ascii="Times New Roman" w:cs="Times New Roman" w:eastAsia="Times New Roman" w:hAnsi="Times New Roman"/>
                <w:sz w:val="8"/>
                <w:szCs w:val="8"/>
                <w:color w:val="auto"/>
              </w:rPr>
              <w:t xml:space="preserve"> (3)(4)(9)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($1,100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320 Park Avenue Suite 1600 New</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+ 6.31%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11.64%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964</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York, NY 10022 USA</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Octagon 57 LLC, Series 2021-1A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5/24/2022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+ 6.86%</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12.17%</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949</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916</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Octagon Investment Partners 18 Ltd,</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2018-18A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7/26/2022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+ 2.96%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911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Octagon Investment Partners 38 Ltd,</w:t>
            </w: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Series 2018-1A </w:t>
            </w:r>
            <w:r>
              <w:rPr>
                <w:rFonts w:ascii="Times New Roman" w:cs="Times New Roman" w:eastAsia="Times New Roman" w:hAnsi="Times New Roman"/>
                <w:sz w:val="10"/>
                <w:szCs w:val="10"/>
                <w:color w:val="auto"/>
              </w:rPr>
              <w:t>(3)(4)(9)</w:t>
            </w: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($2,800 par, due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250 Park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9/20/2022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+ 3.21%</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8.54%</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2,489</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2,620</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10177</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7/2030)</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Park Avenue Institutional Advisers</w:t>
            </w:r>
          </w:p>
        </w:tc>
        <w:tc>
          <w:tcPr>
            <w:tcW w:w="1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xml:space="preserve">CLO Ltd, Series 2018-1A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7 Hanover Square, New York, NY</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+ 3.59%</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8.92%</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868</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10004</w:t>
            </w:r>
          </w:p>
        </w:tc>
        <w:tc>
          <w:tcPr>
            <w:tcW w:w="1480" w:type="dxa"/>
            <w:vAlign w:val="bottom"/>
          </w:tcPr>
          <w:p>
            <w:pPr>
              <w:spacing w:after="0"/>
              <w:rPr>
                <w:sz w:val="14"/>
                <w:szCs w:val="14"/>
                <w:color w:val="auto"/>
              </w:rPr>
            </w:pP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10/2031)</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 xml:space="preserve">Pikes Peak CLO, Series 2021-9A </w:t>
            </w: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80" w:type="dxa"/>
            <w:vAlign w:val="bottom"/>
            <w:shd w:val="clear" w:color="auto" w:fill="CCEEFF"/>
          </w:tcPr>
          <w:p>
            <w:pPr>
              <w:ind w:left="140"/>
              <w:spacing w:after="0" w:line="113" w:lineRule="exact"/>
              <w:rPr>
                <w:sz w:val="20"/>
                <w:szCs w:val="20"/>
                <w:color w:val="auto"/>
              </w:rPr>
            </w:pPr>
            <w:r>
              <w:rPr>
                <w:rFonts w:ascii="Times New Roman" w:cs="Times New Roman" w:eastAsia="Times New Roman" w:hAnsi="Times New Roman"/>
                <w:sz w:val="11"/>
                <w:szCs w:val="11"/>
                <w:color w:val="auto"/>
              </w:rPr>
              <w:t>(4)(9)</w:t>
            </w:r>
          </w:p>
        </w:tc>
        <w:tc>
          <w:tcPr>
            <w:tcW w:w="1480" w:type="dxa"/>
            <w:vAlign w:val="bottom"/>
            <w:shd w:val="clear" w:color="auto" w:fill="CCEEFF"/>
          </w:tcPr>
          <w:p>
            <w:pPr>
              <w:spacing w:after="0"/>
              <w:rPr>
                <w:sz w:val="9"/>
                <w:szCs w:val="9"/>
                <w:color w:val="auto"/>
              </w:rPr>
            </w:pPr>
          </w:p>
        </w:tc>
        <w:tc>
          <w:tcPr>
            <w:tcW w:w="2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1114 6th Ave, New York, NY</w:t>
            </w:r>
          </w:p>
        </w:tc>
        <w:tc>
          <w:tcPr>
            <w:tcW w:w="2360" w:type="dxa"/>
            <w:vAlign w:val="bottom"/>
            <w:gridSpan w:val="3"/>
            <w:vMerge w:val="continue"/>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8/31/2022</w:t>
            </w:r>
          </w:p>
        </w:tc>
        <w:tc>
          <w:tcPr>
            <w:tcW w:w="1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SOFR + 6.84%</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12.20%</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1,782</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1,894</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10036</w:t>
            </w:r>
          </w:p>
        </w:tc>
        <w:tc>
          <w:tcPr>
            <w:tcW w:w="148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10/2034)</w:t>
            </w: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RR Ltd, Series 2020-8A </w:t>
            </w:r>
            <w:r>
              <w:rPr>
                <w:rFonts w:ascii="Times New Roman" w:cs="Times New Roman" w:eastAsia="Times New Roman" w:hAnsi="Times New Roman"/>
                <w:sz w:val="10"/>
                <w:szCs w:val="10"/>
                <w:color w:val="auto"/>
              </w:rPr>
              <w:t>(3)(4)(9)</w:t>
            </w:r>
          </w:p>
        </w:tc>
        <w:tc>
          <w:tcPr>
            <w:tcW w:w="2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126 East 56th Street, New York,</w:t>
            </w:r>
          </w:p>
        </w:tc>
        <w:tc>
          <w:tcPr>
            <w:tcW w:w="2360" w:type="dxa"/>
            <w:vAlign w:val="bottom"/>
            <w:gridSpan w:val="3"/>
            <w:vMerge w:val="continue"/>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8/22/2022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+ 6.66%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11.97%</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954</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980</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10022</w:t>
            </w:r>
          </w:p>
        </w:tc>
        <w:tc>
          <w:tcPr>
            <w:tcW w:w="2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4/2033)</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440" w:top="280" w:right="439" w:bottom="1440" w:gutter="0" w:footer="0" w:header="0"/>
        </w:sectPr>
      </w:pPr>
    </w:p>
    <w:bookmarkStart w:id="98" w:name="page99"/>
    <w:bookmarkEnd w:id="98"/>
    <w:p>
      <w:pPr>
        <w:spacing w:after="0" w:line="2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u w:val="single" w:color="auto"/>
          <w:color w:val="auto"/>
        </w:rPr>
        <w:t xml:space="preserve">Company </w:t>
      </w:r>
      <w:r>
        <w:rPr>
          <w:rFonts w:ascii="Times New Roman" w:cs="Times New Roman" w:eastAsia="Times New Roman" w:hAnsi="Times New Roman"/>
          <w:sz w:val="18"/>
          <w:szCs w:val="18"/>
          <w:b w:val="1"/>
          <w:bCs w:val="1"/>
          <w:u w:val="single" w:color="auto"/>
          <w:color w:val="auto"/>
          <w:vertAlign w:val="superscript"/>
        </w:rPr>
        <w:t>(1)(6)</w:t>
      </w:r>
    </w:p>
    <w:p>
      <w:pPr>
        <w:ind w:left="4"/>
        <w:spacing w:after="0" w:line="221" w:lineRule="auto"/>
        <w:rPr>
          <w:sz w:val="20"/>
          <w:szCs w:val="20"/>
          <w:color w:val="auto"/>
        </w:rPr>
      </w:pPr>
      <w:r>
        <w:rPr>
          <w:rFonts w:ascii="Times New Roman" w:cs="Times New Roman" w:eastAsia="Times New Roman" w:hAnsi="Times New Roman"/>
          <w:sz w:val="14"/>
          <w:szCs w:val="14"/>
          <w:color w:val="auto"/>
        </w:rPr>
        <w:t>Signal Peak CLO LLC, Series</w:t>
      </w:r>
    </w:p>
    <w:p>
      <w:pPr>
        <w:ind w:left="144"/>
        <w:spacing w:after="0" w:line="182" w:lineRule="auto"/>
        <w:rPr>
          <w:sz w:val="20"/>
          <w:szCs w:val="20"/>
          <w:color w:val="auto"/>
        </w:rPr>
      </w:pPr>
      <w:r>
        <w:rPr>
          <w:rFonts w:ascii="Times New Roman" w:cs="Times New Roman" w:eastAsia="Times New Roman" w:hAnsi="Times New Roman"/>
          <w:sz w:val="17"/>
          <w:szCs w:val="17"/>
          <w:color w:val="auto"/>
          <w:vertAlign w:val="subscript"/>
        </w:rPr>
        <w:t>2018-5A</w:t>
      </w:r>
      <w:r>
        <w:rPr>
          <w:rFonts w:ascii="Times New Roman" w:cs="Times New Roman" w:eastAsia="Times New Roman" w:hAnsi="Times New Roman"/>
          <w:sz w:val="8"/>
          <w:szCs w:val="8"/>
          <w:color w:val="auto"/>
        </w:rPr>
        <w:t xml:space="preserve"> (3)(4)(9)</w:t>
      </w:r>
    </w:p>
    <w:p>
      <w:pPr>
        <w:ind w:left="144"/>
        <w:spacing w:after="0" w:line="222" w:lineRule="auto"/>
        <w:rPr>
          <w:sz w:val="20"/>
          <w:szCs w:val="20"/>
          <w:color w:val="auto"/>
        </w:rPr>
      </w:pPr>
      <w:r>
        <w:rPr>
          <w:rFonts w:ascii="Times New Roman" w:cs="Times New Roman" w:eastAsia="Times New Roman" w:hAnsi="Times New Roman"/>
          <w:sz w:val="14"/>
          <w:szCs w:val="14"/>
          <w:color w:val="auto"/>
        </w:rPr>
        <w:t>280 Park Avenue, 40 West</w:t>
      </w:r>
    </w:p>
    <w:p>
      <w:pPr>
        <w:ind w:left="144"/>
        <w:spacing w:after="0" w:line="221" w:lineRule="auto"/>
        <w:rPr>
          <w:sz w:val="20"/>
          <w:szCs w:val="20"/>
          <w:color w:val="auto"/>
        </w:rPr>
      </w:pPr>
      <w:r>
        <w:rPr>
          <w:rFonts w:ascii="Times New Roman" w:cs="Times New Roman" w:eastAsia="Times New Roman" w:hAnsi="Times New Roman"/>
          <w:sz w:val="14"/>
          <w:szCs w:val="14"/>
          <w:color w:val="auto"/>
        </w:rPr>
        <w:t>New York, NY 10017</w:t>
      </w:r>
    </w:p>
    <w:p>
      <w:pPr>
        <w:ind w:left="4"/>
        <w:spacing w:after="0" w:line="221" w:lineRule="auto"/>
        <w:rPr>
          <w:sz w:val="20"/>
          <w:szCs w:val="20"/>
          <w:color w:val="auto"/>
        </w:rPr>
      </w:pPr>
      <w:r>
        <w:rPr>
          <w:rFonts w:ascii="Times New Roman" w:cs="Times New Roman" w:eastAsia="Times New Roman" w:hAnsi="Times New Roman"/>
          <w:sz w:val="14"/>
          <w:szCs w:val="14"/>
          <w:color w:val="auto"/>
        </w:rPr>
        <w:t>Southwick Park CLO Ltd, Series</w:t>
      </w:r>
    </w:p>
    <w:p>
      <w:pPr>
        <w:ind w:left="144"/>
        <w:spacing w:after="0" w:line="189" w:lineRule="auto"/>
        <w:rPr>
          <w:sz w:val="20"/>
          <w:szCs w:val="20"/>
          <w:color w:val="auto"/>
        </w:rPr>
      </w:pPr>
      <w:r>
        <w:rPr>
          <w:rFonts w:ascii="Times New Roman" w:cs="Times New Roman" w:eastAsia="Times New Roman" w:hAnsi="Times New Roman"/>
          <w:sz w:val="17"/>
          <w:szCs w:val="17"/>
          <w:color w:val="auto"/>
          <w:vertAlign w:val="subscript"/>
        </w:rPr>
        <w:t>2019-4A</w:t>
      </w:r>
      <w:r>
        <w:rPr>
          <w:rFonts w:ascii="Times New Roman" w:cs="Times New Roman" w:eastAsia="Times New Roman" w:hAnsi="Times New Roman"/>
          <w:sz w:val="8"/>
          <w:szCs w:val="8"/>
          <w:color w:val="auto"/>
        </w:rPr>
        <w:t xml:space="preserve"> (3)(4)(9)</w:t>
      </w:r>
    </w:p>
    <w:p>
      <w:pPr>
        <w:ind w:left="144"/>
        <w:spacing w:after="0" w:line="230" w:lineRule="auto"/>
        <w:rPr>
          <w:sz w:val="20"/>
          <w:szCs w:val="20"/>
          <w:color w:val="auto"/>
        </w:rPr>
      </w:pPr>
      <w:r>
        <w:rPr>
          <w:rFonts w:ascii="Times New Roman" w:cs="Times New Roman" w:eastAsia="Times New Roman" w:hAnsi="Times New Roman"/>
          <w:sz w:val="11"/>
          <w:szCs w:val="11"/>
          <w:color w:val="auto"/>
        </w:rPr>
        <w:t>345 PARK AVENUE NEW YORK, NY</w:t>
      </w:r>
    </w:p>
    <w:p>
      <w:pPr>
        <w:ind w:left="144"/>
        <w:spacing w:after="0" w:line="221" w:lineRule="auto"/>
        <w:rPr>
          <w:sz w:val="20"/>
          <w:szCs w:val="20"/>
          <w:color w:val="auto"/>
        </w:rPr>
      </w:pPr>
      <w:r>
        <w:rPr>
          <w:rFonts w:ascii="Times New Roman" w:cs="Times New Roman" w:eastAsia="Times New Roman" w:hAnsi="Times New Roman"/>
          <w:sz w:val="11"/>
          <w:szCs w:val="11"/>
          <w:color w:val="auto"/>
        </w:rPr>
        <w:t>10154</w:t>
      </w:r>
    </w:p>
    <w:p>
      <w:pPr>
        <w:ind w:left="144" w:right="260" w:hanging="143"/>
        <w:spacing w:after="0" w:line="182" w:lineRule="auto"/>
        <w:rPr>
          <w:sz w:val="20"/>
          <w:szCs w:val="20"/>
          <w:color w:val="auto"/>
        </w:rPr>
      </w:pPr>
      <w:r>
        <w:rPr>
          <w:rFonts w:ascii="Times New Roman" w:cs="Times New Roman" w:eastAsia="Times New Roman" w:hAnsi="Times New Roman"/>
          <w:sz w:val="12"/>
          <w:szCs w:val="12"/>
          <w:color w:val="auto"/>
        </w:rPr>
        <w:t xml:space="preserve">Stewart Park CLO Ltd, Series </w:t>
      </w:r>
      <w:r>
        <w:rPr>
          <w:rFonts w:ascii="Times New Roman" w:cs="Times New Roman" w:eastAsia="Times New Roman" w:hAnsi="Times New Roman"/>
          <w:sz w:val="22"/>
          <w:szCs w:val="22"/>
          <w:color w:val="auto"/>
          <w:vertAlign w:val="subscript"/>
        </w:rPr>
        <w:t>2015-1A</w:t>
      </w:r>
      <w:r>
        <w:rPr>
          <w:rFonts w:ascii="Times New Roman" w:cs="Times New Roman" w:eastAsia="Times New Roman" w:hAnsi="Times New Roman"/>
          <w:sz w:val="9"/>
          <w:szCs w:val="9"/>
          <w:color w:val="auto"/>
        </w:rPr>
        <w:t xml:space="preserve"> (3)(4)(9)</w:t>
      </w:r>
    </w:p>
    <w:p>
      <w:pPr>
        <w:spacing w:after="0" w:line="1" w:lineRule="exact"/>
        <w:rPr>
          <w:sz w:val="20"/>
          <w:szCs w:val="20"/>
          <w:color w:val="auto"/>
        </w:rPr>
      </w:pPr>
    </w:p>
    <w:p>
      <w:pPr>
        <w:ind w:left="144" w:right="420"/>
        <w:spacing w:after="0" w:line="221" w:lineRule="auto"/>
        <w:rPr>
          <w:sz w:val="20"/>
          <w:szCs w:val="20"/>
          <w:color w:val="auto"/>
        </w:rPr>
      </w:pPr>
      <w:r>
        <w:rPr>
          <w:rFonts w:ascii="Times New Roman" w:cs="Times New Roman" w:eastAsia="Times New Roman" w:hAnsi="Times New Roman"/>
          <w:sz w:val="14"/>
          <w:szCs w:val="14"/>
          <w:color w:val="auto"/>
        </w:rPr>
        <w:t>345 PARK AVENUE NEW YORK NY 10154</w:t>
      </w:r>
    </w:p>
    <w:p>
      <w:pPr>
        <w:ind w:left="4"/>
        <w:spacing w:after="0" w:line="229" w:lineRule="auto"/>
        <w:rPr>
          <w:sz w:val="20"/>
          <w:szCs w:val="20"/>
          <w:color w:val="auto"/>
        </w:rPr>
      </w:pPr>
      <w:r>
        <w:rPr>
          <w:rFonts w:ascii="Times New Roman" w:cs="Times New Roman" w:eastAsia="Times New Roman" w:hAnsi="Times New Roman"/>
          <w:sz w:val="14"/>
          <w:szCs w:val="14"/>
          <w:color w:val="auto"/>
        </w:rPr>
        <w:t xml:space="preserve">Voya CLO Ltd, Series 2018-3A </w:t>
      </w:r>
      <w:r>
        <w:rPr>
          <w:rFonts w:ascii="Times New Roman" w:cs="Times New Roman" w:eastAsia="Times New Roman" w:hAnsi="Times New Roman"/>
          <w:sz w:val="10"/>
          <w:szCs w:val="10"/>
          <w:color w:val="auto"/>
        </w:rPr>
        <w:t>(3)</w:t>
      </w:r>
    </w:p>
    <w:p>
      <w:pPr>
        <w:ind w:left="144"/>
        <w:spacing w:after="0" w:line="231" w:lineRule="auto"/>
        <w:rPr>
          <w:sz w:val="20"/>
          <w:szCs w:val="20"/>
          <w:color w:val="auto"/>
        </w:rPr>
      </w:pPr>
      <w:r>
        <w:rPr>
          <w:rFonts w:ascii="Times New Roman" w:cs="Times New Roman" w:eastAsia="Times New Roman" w:hAnsi="Times New Roman"/>
          <w:sz w:val="11"/>
          <w:szCs w:val="11"/>
          <w:color w:val="auto"/>
        </w:rPr>
        <w:t>(4)(9)</w:t>
      </w:r>
    </w:p>
    <w:p>
      <w:pPr>
        <w:ind w:left="4" w:right="340" w:firstLine="144"/>
        <w:spacing w:after="0" w:line="221" w:lineRule="auto"/>
        <w:rPr>
          <w:sz w:val="20"/>
          <w:szCs w:val="20"/>
          <w:color w:val="auto"/>
        </w:rPr>
      </w:pPr>
      <w:r>
        <w:rPr>
          <w:rFonts w:ascii="Times New Roman" w:cs="Times New Roman" w:eastAsia="Times New Roman" w:hAnsi="Times New Roman"/>
          <w:sz w:val="11"/>
          <w:szCs w:val="11"/>
          <w:color w:val="auto"/>
        </w:rPr>
        <w:t xml:space="preserve">230 Park Ave, United States </w:t>
      </w:r>
      <w:r>
        <w:rPr>
          <w:rFonts w:ascii="Times New Roman" w:cs="Times New Roman" w:eastAsia="Times New Roman" w:hAnsi="Times New Roman"/>
          <w:sz w:val="14"/>
          <w:szCs w:val="14"/>
          <w:color w:val="auto"/>
        </w:rPr>
        <w:t>Wind River CLO Ltd, Series</w:t>
      </w:r>
    </w:p>
    <w:p>
      <w:pPr>
        <w:ind w:left="144"/>
        <w:spacing w:after="0" w:line="182" w:lineRule="auto"/>
        <w:rPr>
          <w:sz w:val="20"/>
          <w:szCs w:val="20"/>
          <w:color w:val="auto"/>
        </w:rPr>
      </w:pPr>
      <w:r>
        <w:rPr>
          <w:rFonts w:ascii="Times New Roman" w:cs="Times New Roman" w:eastAsia="Times New Roman" w:hAnsi="Times New Roman"/>
          <w:sz w:val="17"/>
          <w:szCs w:val="17"/>
          <w:color w:val="auto"/>
          <w:vertAlign w:val="subscript"/>
        </w:rPr>
        <w:t>2014-2A</w:t>
      </w:r>
      <w:r>
        <w:rPr>
          <w:rFonts w:ascii="Times New Roman" w:cs="Times New Roman" w:eastAsia="Times New Roman" w:hAnsi="Times New Roman"/>
          <w:sz w:val="8"/>
          <w:szCs w:val="8"/>
          <w:color w:val="auto"/>
        </w:rPr>
        <w:t xml:space="preserve"> (3)(4)(9)</w:t>
      </w:r>
    </w:p>
    <w:p>
      <w:pPr>
        <w:ind w:left="144"/>
        <w:spacing w:after="0" w:line="222" w:lineRule="auto"/>
        <w:rPr>
          <w:sz w:val="20"/>
          <w:szCs w:val="20"/>
          <w:color w:val="auto"/>
        </w:rPr>
      </w:pPr>
      <w:r>
        <w:rPr>
          <w:rFonts w:ascii="Times New Roman" w:cs="Times New Roman" w:eastAsia="Times New Roman" w:hAnsi="Times New Roman"/>
          <w:sz w:val="14"/>
          <w:szCs w:val="14"/>
          <w:color w:val="auto"/>
        </w:rPr>
        <w:t>1345 Avenue of the Americas.</w:t>
      </w:r>
    </w:p>
    <w:p>
      <w:pPr>
        <w:ind w:left="144"/>
        <w:spacing w:after="0" w:line="221" w:lineRule="auto"/>
        <w:rPr>
          <w:sz w:val="20"/>
          <w:szCs w:val="20"/>
          <w:color w:val="auto"/>
        </w:rPr>
      </w:pPr>
      <w:r>
        <w:rPr>
          <w:rFonts w:ascii="Times New Roman" w:cs="Times New Roman" w:eastAsia="Times New Roman" w:hAnsi="Times New Roman"/>
          <w:sz w:val="14"/>
          <w:szCs w:val="14"/>
          <w:color w:val="auto"/>
        </w:rPr>
        <w:t>New York, NY 10105.</w:t>
      </w:r>
    </w:p>
    <w:p>
      <w:pPr>
        <w:ind w:left="4"/>
        <w:spacing w:after="0" w:line="221" w:lineRule="auto"/>
        <w:rPr>
          <w:sz w:val="20"/>
          <w:szCs w:val="20"/>
          <w:color w:val="auto"/>
        </w:rPr>
      </w:pPr>
      <w:r>
        <w:rPr>
          <w:rFonts w:ascii="Times New Roman" w:cs="Times New Roman" w:eastAsia="Times New Roman" w:hAnsi="Times New Roman"/>
          <w:sz w:val="14"/>
          <w:szCs w:val="14"/>
          <w:color w:val="auto"/>
        </w:rPr>
        <w:t>Wind River CLO Ltd, Series</w:t>
      </w:r>
    </w:p>
    <w:p>
      <w:pPr>
        <w:ind w:left="144"/>
        <w:spacing w:after="0" w:line="189" w:lineRule="auto"/>
        <w:rPr>
          <w:sz w:val="20"/>
          <w:szCs w:val="20"/>
          <w:color w:val="auto"/>
        </w:rPr>
      </w:pPr>
      <w:r>
        <w:rPr>
          <w:rFonts w:ascii="Times New Roman" w:cs="Times New Roman" w:eastAsia="Times New Roman" w:hAnsi="Times New Roman"/>
          <w:sz w:val="17"/>
          <w:szCs w:val="17"/>
          <w:color w:val="auto"/>
          <w:vertAlign w:val="subscript"/>
        </w:rPr>
        <w:t>2017-1A</w:t>
      </w:r>
      <w:r>
        <w:rPr>
          <w:rFonts w:ascii="Times New Roman" w:cs="Times New Roman" w:eastAsia="Times New Roman" w:hAnsi="Times New Roman"/>
          <w:sz w:val="8"/>
          <w:szCs w:val="8"/>
          <w:color w:val="auto"/>
        </w:rPr>
        <w:t xml:space="preserve"> (3)(4)(9)</w:t>
      </w:r>
    </w:p>
    <w:p>
      <w:pPr>
        <w:ind w:left="144" w:right="20"/>
        <w:spacing w:after="0" w:line="225" w:lineRule="auto"/>
        <w:rPr>
          <w:sz w:val="20"/>
          <w:szCs w:val="20"/>
          <w:color w:val="auto"/>
        </w:rPr>
      </w:pPr>
      <w:r>
        <w:rPr>
          <w:rFonts w:ascii="Times New Roman" w:cs="Times New Roman" w:eastAsia="Times New Roman" w:hAnsi="Times New Roman"/>
          <w:sz w:val="11"/>
          <w:szCs w:val="11"/>
          <w:color w:val="auto"/>
        </w:rPr>
        <w:t>1345 Avenue of the Americas. New York, NY 10105.</w:t>
      </w:r>
    </w:p>
    <w:p>
      <w:pPr>
        <w:ind w:left="4"/>
        <w:spacing w:after="0" w:line="222" w:lineRule="auto"/>
        <w:rPr>
          <w:sz w:val="20"/>
          <w:szCs w:val="20"/>
          <w:color w:val="auto"/>
        </w:rPr>
      </w:pPr>
      <w:r>
        <w:rPr>
          <w:rFonts w:ascii="Times New Roman" w:cs="Times New Roman" w:eastAsia="Times New Roman" w:hAnsi="Times New Roman"/>
          <w:sz w:val="14"/>
          <w:szCs w:val="14"/>
          <w:color w:val="auto"/>
        </w:rPr>
        <w:t>Wind River CLO Ltd, Series</w:t>
      </w:r>
    </w:p>
    <w:p>
      <w:pPr>
        <w:ind w:left="144"/>
        <w:spacing w:after="0" w:line="182" w:lineRule="auto"/>
        <w:rPr>
          <w:sz w:val="20"/>
          <w:szCs w:val="20"/>
          <w:color w:val="auto"/>
        </w:rPr>
      </w:pPr>
      <w:r>
        <w:rPr>
          <w:rFonts w:ascii="Times New Roman" w:cs="Times New Roman" w:eastAsia="Times New Roman" w:hAnsi="Times New Roman"/>
          <w:sz w:val="17"/>
          <w:szCs w:val="17"/>
          <w:color w:val="auto"/>
          <w:vertAlign w:val="subscript"/>
        </w:rPr>
        <w:t>2018-3A</w:t>
      </w:r>
      <w:r>
        <w:rPr>
          <w:rFonts w:ascii="Times New Roman" w:cs="Times New Roman" w:eastAsia="Times New Roman" w:hAnsi="Times New Roman"/>
          <w:sz w:val="8"/>
          <w:szCs w:val="8"/>
          <w:color w:val="auto"/>
        </w:rPr>
        <w:t xml:space="preserve"> (3)(4)(9)</w:t>
      </w:r>
    </w:p>
    <w:p>
      <w:pPr>
        <w:ind w:left="144"/>
        <w:spacing w:after="0" w:line="222" w:lineRule="auto"/>
        <w:rPr>
          <w:sz w:val="20"/>
          <w:szCs w:val="20"/>
          <w:color w:val="auto"/>
        </w:rPr>
      </w:pPr>
      <w:r>
        <w:rPr>
          <w:rFonts w:ascii="Times New Roman" w:cs="Times New Roman" w:eastAsia="Times New Roman" w:hAnsi="Times New Roman"/>
          <w:sz w:val="14"/>
          <w:szCs w:val="14"/>
          <w:color w:val="auto"/>
        </w:rPr>
        <w:t>1345 Avenue of the Americas.</w:t>
      </w:r>
    </w:p>
    <w:p>
      <w:pPr>
        <w:ind w:left="144"/>
        <w:spacing w:after="0" w:line="231" w:lineRule="auto"/>
        <w:rPr>
          <w:sz w:val="20"/>
          <w:szCs w:val="20"/>
          <w:color w:val="auto"/>
        </w:rPr>
      </w:pPr>
      <w:r>
        <w:rPr>
          <w:rFonts w:ascii="Times New Roman" w:cs="Times New Roman" w:eastAsia="Times New Roman" w:hAnsi="Times New Roman"/>
          <w:sz w:val="14"/>
          <w:szCs w:val="14"/>
          <w:color w:val="auto"/>
        </w:rPr>
        <w:t>New York, NY 10105.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Reference</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135"/>
        </w:trPr>
        <w:tc>
          <w:tcPr>
            <w:tcW w:w="2000" w:type="dxa"/>
            <w:vAlign w:val="bottom"/>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80" w:type="dxa"/>
            <w:vAlign w:val="bottom"/>
            <w:vMerge w:val="restart"/>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20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2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34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3"/>
              </w:rPr>
              <w:t>Interest Rate</w:t>
            </w:r>
          </w:p>
        </w:tc>
        <w:tc>
          <w:tcPr>
            <w:tcW w:w="88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8"/>
                <w:szCs w:val="8"/>
                <w:b w:val="1"/>
                <w:bCs w:val="1"/>
                <w:color w:val="auto"/>
              </w:rPr>
              <w:t xml:space="preserve"> (2)(8)</w:t>
            </w:r>
          </w:p>
        </w:tc>
        <w:tc>
          <w:tcPr>
            <w:tcW w:w="940" w:type="dxa"/>
            <w:vAlign w:val="bottom"/>
            <w:gridSpan w:val="2"/>
          </w:tcPr>
          <w:p>
            <w:pPr>
              <w:spacing w:after="0" w:line="155" w:lineRule="exact"/>
              <w:rPr>
                <w:sz w:val="20"/>
                <w:szCs w:val="20"/>
                <w:color w:val="auto"/>
              </w:rPr>
            </w:pPr>
            <w:r>
              <w:rPr>
                <w:rFonts w:ascii="Times New Roman" w:cs="Times New Roman" w:eastAsia="Times New Roman" w:hAnsi="Times New Roman"/>
                <w:sz w:val="12"/>
                <w:szCs w:val="12"/>
                <w:b w:val="1"/>
                <w:bCs w:val="1"/>
                <w:color w:val="auto"/>
              </w:rPr>
              <w:t xml:space="preserve">Fair Value </w:t>
            </w:r>
            <w:r>
              <w:rPr>
                <w:rFonts w:ascii="Times New Roman" w:cs="Times New Roman" w:eastAsia="Times New Roman" w:hAnsi="Times New Roman"/>
                <w:sz w:val="17"/>
                <w:szCs w:val="17"/>
                <w:b w:val="1"/>
                <w:bCs w:val="1"/>
                <w:color w:val="auto"/>
                <w:vertAlign w:val="superscript"/>
              </w:rPr>
              <w:t>(9)</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Held</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Structured Credit ($333 par, due</w:t>
            </w:r>
          </w:p>
        </w:tc>
        <w:tc>
          <w:tcPr>
            <w:tcW w:w="1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8/9/2022</w:t>
            </w:r>
          </w:p>
        </w:tc>
        <w:tc>
          <w:tcPr>
            <w:tcW w:w="220" w:type="dxa"/>
            <w:vAlign w:val="bottom"/>
            <w:vMerge w:val="restart"/>
          </w:tcPr>
          <w:p>
            <w:pPr>
              <w:spacing w:after="0"/>
              <w:rPr>
                <w:sz w:val="24"/>
                <w:szCs w:val="24"/>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+ 5.91%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11.26%</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297</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4/2031)</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5/25/2022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+ 6.51%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11.84%</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931</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7/2032)</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Structured Credit ($1,000 par, due</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7/25/2022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+ 2.86%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8.17%</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926</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922</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1/2030)</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Structured Credit ($2,750 par, due</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+ 6.01%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11.32%</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2,435</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2,391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10/2031)</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Structured Credit ($1,500 par, due</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6/23/2022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+ 3.16%</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8.47%</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1,405</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1,339</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Structured Credit ($3,000 par, due</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7/14/2022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+ 3.98%</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9.29%</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2,630</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2,721</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4/2036)</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Structured Credit ($2,000 par, due</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12/12/2022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SOFR + 5.91%</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11.24%</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1,710</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1,705</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1/2031)</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-2811145</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-2442210</wp:posOffset>
            </wp:positionV>
            <wp:extent cx="6995160" cy="3771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-1722120</wp:posOffset>
            </wp:positionV>
            <wp:extent cx="6995160" cy="3771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-1096645</wp:posOffset>
            </wp:positionV>
            <wp:extent cx="6995160" cy="3771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-376555</wp:posOffset>
            </wp:positionV>
            <wp:extent cx="6995160" cy="3771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1984" w:space="280"/>
            <w:col w:w="8760"/>
          </w:cols>
          <w:pgMar w:left="436" w:top="280" w:right="439" w:bottom="1440" w:gutter="0" w:footer="0" w:header="0"/>
        </w:sectPr>
      </w:pPr>
    </w:p>
    <w:tbl>
      <w:tblPr>
        <w:tblLayout w:type="fixed"/>
        <w:tblInd w:w="4" w:type="dxa"/>
        <w:tblCellMar>
          <w:top w:w="0" w:type="dxa"/>
          <w:left w:w="0" w:type="dxa"/>
          <w:bottom w:w="0" w:type="dxa"/>
          <w:right w:w="0" w:type="dxa"/>
        </w:tblCellMar>
      </w:tblPr>
      <w:tr>
        <w:trPr>
          <w:trHeight w:val="20"/>
        </w:trPr>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52,718</w:t>
            </w:r>
          </w:p>
        </w:tc>
        <w:tc>
          <w:tcPr>
            <w:tcW w:w="22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53,995</w:t>
            </w:r>
          </w:p>
        </w:tc>
        <w:tc>
          <w:tcPr>
            <w:tcW w:w="220" w:type="dxa"/>
            <w:vAlign w:val="bottom"/>
          </w:tcPr>
          <w:p>
            <w:pPr>
              <w:spacing w:after="0"/>
              <w:rPr>
                <w:sz w:val="11"/>
                <w:szCs w:val="11"/>
                <w:color w:val="auto"/>
              </w:rPr>
            </w:pPr>
          </w:p>
        </w:tc>
        <w:tc>
          <w:tcPr>
            <w:tcW w:w="1660" w:type="dxa"/>
            <w:vAlign w:val="bottom"/>
            <w:gridSpan w:val="2"/>
          </w:tcPr>
          <w:p>
            <w:pPr>
              <w:jc w:val="right"/>
              <w:ind w:right="860"/>
              <w:spacing w:after="0" w:line="136"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75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Equity and Other</w:t>
            </w:r>
          </w:p>
        </w:tc>
        <w:tc>
          <w:tcPr>
            <w:tcW w:w="20" w:type="dxa"/>
            <w:vAlign w:val="bottom"/>
            <w:vMerge w:val="restart"/>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195,009</w:t>
            </w:r>
          </w:p>
        </w:tc>
        <w:tc>
          <w:tcPr>
            <w:tcW w:w="220" w:type="dxa"/>
            <w:vAlign w:val="bottom"/>
            <w:tcBorders>
              <w:left w:val="single" w:sz="8" w:color="CCEEFF"/>
            </w:tcBorders>
            <w:vMerge w:val="restart"/>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204,175</w:t>
            </w:r>
          </w:p>
        </w:tc>
        <w:tc>
          <w:tcPr>
            <w:tcW w:w="220" w:type="dxa"/>
            <w:vAlign w:val="bottom"/>
            <w:vMerge w:val="restart"/>
            <w:shd w:val="clear" w:color="auto" w:fill="CCEEFF"/>
          </w:tcPr>
          <w:p>
            <w:pPr>
              <w:spacing w:after="0"/>
              <w:rPr>
                <w:sz w:val="10"/>
                <w:szCs w:val="10"/>
                <w:color w:val="auto"/>
              </w:rPr>
            </w:pPr>
          </w:p>
        </w:tc>
        <w:tc>
          <w:tcPr>
            <w:tcW w:w="1660" w:type="dxa"/>
            <w:vAlign w:val="bottom"/>
            <w:gridSpan w:val="2"/>
            <w:vMerge w:val="restart"/>
            <w:shd w:val="clear" w:color="auto" w:fill="CCEEFF"/>
          </w:tcPr>
          <w:p>
            <w:pPr>
              <w:jc w:val="right"/>
              <w:ind w:right="860"/>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73"/>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20" w:type="dxa"/>
            <w:vAlign w:val="bottom"/>
            <w:tcBorders>
              <w:left w:val="single" w:sz="8" w:color="CCEEFF"/>
            </w:tcBorders>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16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5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3,085,378</w:t>
            </w:r>
          </w:p>
        </w:tc>
        <w:tc>
          <w:tcPr>
            <w:tcW w:w="22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$ 3,113,277</w:t>
            </w:r>
          </w:p>
        </w:tc>
        <w:tc>
          <w:tcPr>
            <w:tcW w:w="220" w:type="dxa"/>
            <w:vAlign w:val="bottom"/>
            <w:vMerge w:val="continue"/>
          </w:tcPr>
          <w:p>
            <w:pPr>
              <w:spacing w:after="0"/>
              <w:rPr>
                <w:sz w:val="13"/>
                <w:szCs w:val="13"/>
                <w:color w:val="auto"/>
              </w:rPr>
            </w:pPr>
          </w:p>
        </w:tc>
        <w:tc>
          <w:tcPr>
            <w:tcW w:w="1660" w:type="dxa"/>
            <w:vAlign w:val="bottom"/>
            <w:gridSpan w:val="2"/>
          </w:tcPr>
          <w:p>
            <w:pPr>
              <w:jc w:val="right"/>
              <w:ind w:right="860"/>
              <w:spacing w:after="0" w:line="155" w:lineRule="exact"/>
              <w:rPr>
                <w:sz w:val="20"/>
                <w:szCs w:val="20"/>
                <w:color w:val="auto"/>
              </w:rPr>
            </w:pPr>
            <w:r>
              <w:rPr>
                <w:rFonts w:ascii="Times New Roman" w:cs="Times New Roman" w:eastAsia="Times New Roman" w:hAnsi="Times New Roman"/>
                <w:sz w:val="14"/>
                <w:szCs w:val="14"/>
                <w:color w:val="auto"/>
              </w:rPr>
              <w:t>209.5%</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130"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67"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2023.</w:t>
      </w:r>
    </w:p>
    <w:p>
      <w:pPr>
        <w:spacing w:after="0" w:line="94" w:lineRule="exact"/>
        <w:rPr>
          <w:rFonts w:ascii="Times New Roman" w:cs="Times New Roman" w:eastAsia="Times New Roman" w:hAnsi="Times New Roman"/>
          <w:sz w:val="18"/>
          <w:szCs w:val="18"/>
          <w:color w:val="auto"/>
        </w:rPr>
      </w:pPr>
    </w:p>
    <w:p>
      <w:pPr>
        <w:ind w:left="424" w:right="500" w:hanging="424"/>
        <w:spacing w:after="0" w:line="282"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4"/>
          </w:cols>
          <w:pgMar w:left="436" w:top="280" w:right="439" w:bottom="1440" w:gutter="0" w:footer="0" w:header="0"/>
          <w:type w:val="continuous"/>
        </w:sectPr>
      </w:pPr>
    </w:p>
    <w:bookmarkStart w:id="99" w:name="page100"/>
    <w:bookmarkEnd w:id="99"/>
    <w:p>
      <w:pPr>
        <w:ind w:left="42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asset unless, at the time such acquisition is made, qualifying assets represent at least 70% of total assets. Non-qualifying assets represented 11.0% of total assets as of September 30, 2023.</w:t>
      </w:r>
    </w:p>
    <w:p>
      <w:pPr>
        <w:spacing w:after="0" w:line="67" w:lineRule="exact"/>
        <w:rPr>
          <w:sz w:val="20"/>
          <w:szCs w:val="20"/>
          <w:color w:val="auto"/>
        </w:rPr>
      </w:pPr>
    </w:p>
    <w:p>
      <w:pPr>
        <w:ind w:left="424" w:right="180" w:hanging="424"/>
        <w:spacing w:after="0" w:line="261"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85" w:lineRule="exact"/>
        <w:rPr>
          <w:rFonts w:ascii="Times New Roman" w:cs="Times New Roman" w:eastAsia="Times New Roman" w:hAnsi="Times New Roman"/>
          <w:sz w:val="18"/>
          <w:szCs w:val="18"/>
          <w:color w:val="auto"/>
        </w:rPr>
      </w:pPr>
    </w:p>
    <w:p>
      <w:pPr>
        <w:ind w:left="424" w:right="260" w:hanging="424"/>
        <w:spacing w:after="0" w:line="258"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2023 in which the Company was an Affiliated Person of and was deemed to Control a portfolio company are as follows:</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6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Realized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8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100" w:type="dxa"/>
            <w:vAlign w:val="bottom"/>
          </w:tcPr>
          <w:p>
            <w:pPr>
              <w:spacing w:after="0"/>
              <w:rPr>
                <w:sz w:val="12"/>
                <w:szCs w:val="12"/>
                <w:color w:val="auto"/>
              </w:rPr>
            </w:pPr>
          </w:p>
        </w:tc>
        <w:tc>
          <w:tcPr>
            <w:tcW w:w="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Transfers</w:t>
            </w:r>
          </w:p>
        </w:tc>
        <w:tc>
          <w:tcPr>
            <w:tcW w:w="20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Additions (a)</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22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IRGSE Holding Corp.</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5,599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70,755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(17,783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60,977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460" w:hanging="424"/>
        <w:spacing w:after="0" w:line="282"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67" w:lineRule="exact"/>
        <w:rPr>
          <w:rFonts w:ascii="Times New Roman" w:cs="Times New Roman" w:eastAsia="Times New Roman" w:hAnsi="Times New Roman"/>
          <w:sz w:val="18"/>
          <w:szCs w:val="18"/>
          <w:color w:val="auto"/>
        </w:rPr>
      </w:pPr>
    </w:p>
    <w:p>
      <w:pPr>
        <w:ind w:left="424" w:right="140" w:hanging="424"/>
        <w:spacing w:after="0" w:line="266"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1" w:lineRule="exact"/>
        <w:rPr>
          <w:sz w:val="20"/>
          <w:szCs w:val="20"/>
          <w:color w:val="auto"/>
        </w:rPr>
      </w:pPr>
    </w:p>
    <w:p>
      <w:pPr>
        <w:ind w:left="424" w:right="460" w:hanging="424"/>
        <w:spacing w:after="0" w:line="282"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2023, the estimated cost basis of investments for U.S. federal tax purposes was $3,096,469, resulting in estimated gross unrealized gains and losses of $147,820 and $125,469, respectively.</w:t>
      </w:r>
    </w:p>
    <w:p>
      <w:pPr>
        <w:spacing w:after="0" w:line="65" w:lineRule="exact"/>
        <w:rPr>
          <w:rFonts w:ascii="Times New Roman" w:cs="Times New Roman" w:eastAsia="Times New Roman" w:hAnsi="Times New Roman"/>
          <w:sz w:val="18"/>
          <w:szCs w:val="18"/>
          <w:color w:val="auto"/>
        </w:rPr>
      </w:pPr>
    </w:p>
    <w:p>
      <w:pPr>
        <w:ind w:left="424" w:right="100" w:hanging="424"/>
        <w:spacing w:after="0" w:line="267"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80" w:lineRule="exact"/>
        <w:rPr>
          <w:rFonts w:ascii="Times New Roman" w:cs="Times New Roman" w:eastAsia="Times New Roman" w:hAnsi="Times New Roman"/>
          <w:sz w:val="18"/>
          <w:szCs w:val="18"/>
          <w:color w:val="auto"/>
        </w:rPr>
      </w:pPr>
    </w:p>
    <w:p>
      <w:pPr>
        <w:ind w:left="424" w:right="880" w:hanging="424"/>
        <w:spacing w:after="0" w:line="282"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spacing w:after="0" w:line="67" w:lineRule="exact"/>
        <w:rPr>
          <w:rFonts w:ascii="Times New Roman" w:cs="Times New Roman" w:eastAsia="Times New Roman" w:hAnsi="Times New Roman"/>
          <w:sz w:val="18"/>
          <w:szCs w:val="18"/>
          <w:color w:val="auto"/>
        </w:rPr>
      </w:pPr>
    </w:p>
    <w:p>
      <w:pPr>
        <w:ind w:left="424" w:right="880" w:hanging="424"/>
        <w:spacing w:after="0" w:line="282"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130"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and may be deemed to be “restricted securities” under the Securities Act. As of September 30, 2023, the aggregate fair value of these securities is $6,346, or 0.4% of the Company’s net assets.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investments may occur through a holding company or partnership.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on non-accrual status as of September 30, 2023.</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4"/>
          </w:cols>
          <w:pgMar w:left="436" w:top="297" w:right="439" w:bottom="1440" w:gutter="0" w:footer="0" w:header="0"/>
        </w:sectPr>
      </w:pPr>
    </w:p>
    <w:bookmarkStart w:id="100" w:name="page101"/>
    <w:bookmarkEnd w:id="100"/>
    <w:p>
      <w:pPr>
        <w:ind w:left="424" w:hanging="424"/>
        <w:spacing w:after="0" w:line="258" w:lineRule="auto"/>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addition to the principal amount outstanding and accrued interest owed on this investment, the Company is entitled to a separate Make-Whole Amount (the “Make-Whole”) of $11.4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97" w:right="459" w:bottom="1440" w:gutter="0" w:footer="0" w:header="0"/>
        </w:sectPr>
      </w:pPr>
    </w:p>
    <w:bookmarkStart w:id="101" w:name="page102"/>
    <w:bookmarkEnd w:id="101"/>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MANAGEMENT</w:t>
      </w:r>
    </w:p>
    <w:p>
      <w:pPr>
        <w:spacing w:after="0" w:line="229"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Please refer to our most recent definitive proxy statement and in our 2022 Annual Report, as well as subsequent filings with the SEC, which are incorporated by reference herein, for information relating to the management of the Company and for information relating to the Adviser.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Adviser manages our day-to-day operations and provides us with investment advisory and management services and certain administrative services. We consider Joshua Easterly to be our portfolio manager who is primarily responsible for the day-to-day management of our portfolio. Please refer to our most recent definitive proxy statement, which is incorporated by reference herein, for the biographical information of the Company’s portfolio manager.</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Company’s portfolio manager does not receive any direct compensation from us for serving is such capacity.</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The table below shows the dollar range of shares of common stock beneficially owned by our portfolio manager as of December 20, 2023:</w:t>
      </w:r>
    </w:p>
    <w:p>
      <w:pPr>
        <w:spacing w:after="0" w:line="23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8"/>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Portfolio Manager</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 in</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5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Over 1,000,000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of December 31, 2022, Joshua Easterly managed, or was a member of the management team for, the following client accounts: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Performance Fee</w:t>
            </w:r>
          </w:p>
        </w:tc>
        <w:tc>
          <w:tcPr>
            <w:tcW w:w="20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Performance Fee</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Pooled Investment Vehicles Other Than Registered Investment</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Companies</w:t>
            </w:r>
            <w:r>
              <w:rPr>
                <w:rFonts w:ascii="Times New Roman" w:cs="Times New Roman" w:eastAsia="Times New Roman" w:hAnsi="Times New Roman"/>
                <w:sz w:val="26"/>
                <w:szCs w:val="26"/>
                <w:color w:val="auto"/>
                <w:vertAlign w:val="superscript"/>
              </w:rPr>
              <w:t>(1)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64.47 billion</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61.93 billion</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3.79 billion</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 billion</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left="5424" w:right="720" w:hanging="5424"/>
        <w:spacing w:after="0" w:line="454" w:lineRule="auto"/>
        <w:tabs>
          <w:tab w:leader="none" w:pos="4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investment companies that have elected to be regulated as business development companies under the 1940 Act. 54</w:t>
      </w:r>
    </w:p>
    <w:p>
      <w:pPr>
        <w:sectPr>
          <w:pgSz w:w="11900" w:h="16838" w:orient="portrait"/>
          <w:cols w:equalWidth="0" w:num="1">
            <w:col w:w="10864"/>
          </w:cols>
          <w:pgMar w:left="436" w:top="293" w:right="59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DETERMINATION OF NET ASSET VALUE</w:t>
      </w:r>
    </w:p>
    <w:p>
      <w:pPr>
        <w:spacing w:after="0" w:line="22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 Item 1 of our 2022 Annual Report incorporated by reference in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21" w:lineRule="exact"/>
        <w:rPr>
          <w:sz w:val="20"/>
          <w:szCs w:val="20"/>
          <w:color w:val="auto"/>
        </w:rPr>
      </w:pPr>
    </w:p>
    <w:p>
      <w:pPr>
        <w:jc w:val="both"/>
        <w:ind w:right="10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63" w:lineRule="exact"/>
        <w:rPr>
          <w:sz w:val="20"/>
          <w:szCs w:val="20"/>
          <w:color w:val="auto"/>
        </w:rPr>
      </w:pPr>
    </w:p>
    <w:p>
      <w:pPr>
        <w:ind w:left="960" w:hanging="532"/>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our common stock disclosed in the most recent periodic report that we filed with the SEC;</w:t>
      </w:r>
    </w:p>
    <w:p>
      <w:pPr>
        <w:spacing w:after="0" w:line="130" w:lineRule="exact"/>
        <w:rPr>
          <w:rFonts w:ascii="Times New Roman" w:cs="Times New Roman" w:eastAsia="Times New Roman" w:hAnsi="Times New Roman"/>
          <w:sz w:val="18"/>
          <w:szCs w:val="18"/>
          <w:color w:val="auto"/>
        </w:rPr>
      </w:pPr>
    </w:p>
    <w:p>
      <w:pPr>
        <w:ind w:left="960" w:right="100" w:hanging="532"/>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1" w:lineRule="exact"/>
        <w:rPr>
          <w:rFonts w:ascii="Times New Roman" w:cs="Times New Roman" w:eastAsia="Times New Roman" w:hAnsi="Times New Roman"/>
          <w:sz w:val="18"/>
          <w:szCs w:val="18"/>
          <w:color w:val="auto"/>
        </w:rPr>
      </w:pPr>
    </w:p>
    <w:p>
      <w:pPr>
        <w:ind w:left="960" w:right="20" w:hanging="532"/>
        <w:spacing w:after="0" w:line="258"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3"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OF COMMON STOCK BELOW NET ASSET VALUE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25, 2023, we are currently permitted to sell or otherwise issue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at a price below our then-current net asset value per share, subject to the approval of our Board and certain other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stockholder approval expires on May 25, 2026. We intend to propose the extension of this approval in future years.</w:t>
      </w:r>
    </w:p>
    <w:p>
      <w:pPr>
        <w:spacing w:after="0" w:line="20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85" w:lineRule="exact"/>
        <w:rPr>
          <w:sz w:val="20"/>
          <w:szCs w:val="20"/>
          <w:color w:val="auto"/>
        </w:rPr>
      </w:pPr>
    </w:p>
    <w:p>
      <w:pPr>
        <w:ind w:left="960" w:hanging="532"/>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have determined that any such sale would be in the best interests of us and our stockholders;</w:t>
      </w:r>
    </w:p>
    <w:p>
      <w:pPr>
        <w:spacing w:after="0" w:line="130"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93" w:right="439" w:bottom="1440" w:gutter="0" w:footer="0" w:header="0"/>
        </w:sectPr>
      </w:pPr>
    </w:p>
    <w:bookmarkStart w:id="103" w:name="page104"/>
    <w:bookmarkEnd w:id="103"/>
    <w:p>
      <w:pPr>
        <w:ind w:left="980"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81" w:lineRule="exact"/>
        <w:rPr>
          <w:sz w:val="20"/>
          <w:szCs w:val="20"/>
          <w:color w:val="auto"/>
        </w:rPr>
      </w:pPr>
    </w:p>
    <w:p>
      <w:pPr>
        <w:ind w:left="960" w:hanging="532"/>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does not exceed 25% of our then-outstanding common stock immediately prior to each such offering.</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67" w:lineRule="exact"/>
        <w:rPr>
          <w:sz w:val="20"/>
          <w:szCs w:val="20"/>
          <w:color w:val="auto"/>
        </w:rPr>
      </w:pPr>
    </w:p>
    <w:p>
      <w:pPr>
        <w:ind w:left="960" w:right="120" w:hanging="532"/>
        <w:spacing w:after="0" w:line="282"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our most recently determined net asset value per share;</w:t>
      </w:r>
    </w:p>
    <w:p>
      <w:pPr>
        <w:spacing w:after="0" w:line="67"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net asset value per share and the potential impact of the offering on the market price per share of our common stock;</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shares of our common stock;</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during the current financial market difficulties;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of our common stock in the offering;</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76" w:lineRule="exact"/>
        <w:rPr>
          <w:sz w:val="20"/>
          <w:szCs w:val="20"/>
          <w:color w:val="auto"/>
        </w:rPr>
      </w:pPr>
    </w:p>
    <w:p>
      <w:pPr>
        <w:ind w:right="240" w:firstLine="440"/>
        <w:spacing w:after="0" w:line="254" w:lineRule="auto"/>
        <w:rPr>
          <w:sz w:val="20"/>
          <w:szCs w:val="20"/>
          <w:color w:val="auto"/>
        </w:rPr>
      </w:pPr>
      <w:r>
        <w:rPr>
          <w:rFonts w:ascii="Times New Roman" w:cs="Times New Roman" w:eastAsia="Times New Roman" w:hAnsi="Times New Roman"/>
          <w:sz w:val="18"/>
          <w:szCs w:val="18"/>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97" w:right="459" w:bottom="1440" w:gutter="0" w:footer="0" w:header="0"/>
        </w:sectPr>
      </w:pPr>
    </w:p>
    <w:bookmarkStart w:id="104" w:name="page105"/>
    <w:bookmarkEnd w:id="104"/>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11.07 million shares of common stock at net proceeds to us of $8.50 per share, which would produce dilution of 6.67%, before we would reach the aggregate 15% limit.</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Examples of Dilutive Effect of the Issuance of Shares Below net asset value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two headings and accompanying tables explain and provide hypothetical examples on the impact of a public offering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at a price less than net asset value on two different types of investors:</w:t>
      </w:r>
    </w:p>
    <w:p>
      <w:pPr>
        <w:spacing w:after="0" w:line="112" w:lineRule="exact"/>
        <w:rPr>
          <w:sz w:val="20"/>
          <w:szCs w:val="20"/>
          <w:color w:val="auto"/>
        </w:rPr>
      </w:pPr>
    </w:p>
    <w:p>
      <w:pPr>
        <w:ind w:left="960" w:hanging="532"/>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stockholders who purchase a relatively small amount of shares in the offering or a relatively large amount of shares in the offering.</w:t>
      </w:r>
    </w:p>
    <w:p>
      <w:pPr>
        <w:spacing w:after="0" w:line="23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 placement of common stock at a price less than net asset value to a third party in a private placement would have an impact substantially similar to the impact on existing stockholders who do not purchase any shares in the public offering described below.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Not Participate in the Offering</w:t>
      </w:r>
    </w:p>
    <w:p>
      <w:pPr>
        <w:spacing w:after="0" w:line="11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Our existing stockholders who do not participate in an offering below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its assets, potential earning power and voting interests due to the offering. These stockholders may also experience a decline in the market price of their shares, which often reflects to some degree announced or potential increases and decreases in net asset value. This decrease could be more pronounced as the size of the offering and level of discounts increase. There is no maximum level of discount from net asset value at which we may sell shares pursuant to this authority.</w:t>
      </w:r>
    </w:p>
    <w:p>
      <w:pPr>
        <w:spacing w:after="0" w:line="19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examples below assume that the issuer has 81.4 million shares outstanding, $2.8 billion in total assets and $1.5 billion in total liabilities (all figures correspond to actual data for us as of December 31, 2022). The net asset value and net asset value per share are thus $1.3 billion and $16.48 per share as of December 31, 2022. The chart illustrates the dilutive effect on Stockholder A of (a) an offering of 4.1 million shares of common stock (5% of the outstanding shares) at $15.66 per share after offering expenses and commissions (a 5% discount from net asset value per share), (b) an offering of</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8.1 million shares of common stock (10% of the outstanding shares) at $14.83 per share after offering expenses and commissions (a 10% discount from net asset value per share), (c) an offering of 16.3 million shares of common stock (20% of the outstanding shares) at $13.18 per share after offering expenses and commissions (a 20% discount from net asset value per share), and (d) an offering of 20.3 million shares of common stock (25% of the outstanding shares) at $12.36 per share after offering expenses and commissions (a 25% discount from net asset value per share). The prospectus pursuant to which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97" w:right="459" w:bottom="1440" w:gutter="0" w:footer="0" w:header="0"/>
        </w:sectPr>
      </w:pPr>
    </w:p>
    <w:bookmarkStart w:id="105" w:name="page106"/>
    <w:bookmarkEnd w:id="105"/>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discounted offering is made will include a chart based on the actual number of shares of common stock in such offering and the actual discount to the most recently determined net asset value. It is not possible to predict the level of market price decline that may occur.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5%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10% Offering at</w:t>
            </w: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3"/>
          </w:tcPr>
          <w:p>
            <w:pPr>
              <w:jc w:val="center"/>
              <w:ind w:right="29"/>
              <w:spacing w:after="0" w:line="129" w:lineRule="exact"/>
              <w:rPr>
                <w:sz w:val="20"/>
                <w:szCs w:val="20"/>
                <w:color w:val="auto"/>
              </w:rPr>
            </w:pPr>
            <w:r>
              <w:rPr>
                <w:rFonts w:ascii="Times New Roman" w:cs="Times New Roman" w:eastAsia="Times New Roman" w:hAnsi="Times New Roman"/>
                <w:sz w:val="14"/>
                <w:szCs w:val="14"/>
                <w:b w:val="1"/>
                <w:bCs w:val="1"/>
                <w:color w:val="auto"/>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Sale Below</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5%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80" w:type="dxa"/>
            <w:vAlign w:val="bottom"/>
          </w:tcPr>
          <w:p>
            <w:pPr>
              <w:spacing w:after="0"/>
              <w:rPr>
                <w:sz w:val="14"/>
                <w:szCs w:val="14"/>
                <w:color w:val="auto"/>
              </w:rPr>
            </w:pPr>
          </w:p>
        </w:tc>
        <w:tc>
          <w:tcPr>
            <w:tcW w:w="168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25% Discount</w:t>
            </w: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Price per Share to Public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13.01</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14.83</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13.18</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12.36</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Decrease/Increase to Net Asset Value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Offered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4,069,464</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8,138,929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16,277,857</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20,347,322</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Shares Outstanding</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81,389,287</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85,458,751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89,528,216</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97,667,144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9"/>
              </w:rPr>
              <w:t>101,736,609</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Asset Value per Share</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16.44</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16.33</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(0.89)%</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15.93</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15.66</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24"/>
        </w:trPr>
        <w:tc>
          <w:tcPr>
            <w:tcW w:w="26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Dilution to Nonparticipating</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Held by Stockholder A</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81,389</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Percentage Held by Stockholder A</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Net Asset Value Held by Stockholder</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1,341,570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1,338,359</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(0.24%)</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1,329,347</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(0.91)%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1,296,810</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(3.34)%</w:t>
            </w: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1,274,446</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t>
            </w:r>
          </w:p>
        </w:tc>
        <w:tc>
          <w:tcPr>
            <w:tcW w:w="8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Investment by Stockholder A</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1,341,570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1,341,570</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(Assumed to be $16.48 per Share)</w:t>
            </w: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Dilution to Stockholder A (Total Net</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(3,211)</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(12,223)</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(44,760)</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(67,124)</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Value Less Total Investment)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Investment per Share Held by Stockholder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 (Assumed to be $16.48 per Share on</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16.48</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Held Prior to Sale)</w:t>
            </w: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Asset Value per Share Held by</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16.44</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16.33</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15.93</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15.66</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 A</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Dilution per Share Held by Stockholder A</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Asset Value per Share Less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(0.04)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(0.15)</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(0.55)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(0.82)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Percentage Dilution to Stockholder A</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(Dilution per Share Divided by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(0.89)%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per Share)</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Participate in the Offering</w:t>
      </w:r>
    </w:p>
    <w:p>
      <w:pPr>
        <w:spacing w:after="0" w:line="119"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Our existing stockholders who participate in an offering below net asset value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97" w:right="439" w:bottom="1440" w:gutter="0" w:footer="0" w:header="0"/>
        </w:sectPr>
      </w:pPr>
    </w:p>
    <w:bookmarkStart w:id="106" w:name="page107"/>
    <w:bookmarkEnd w:id="106"/>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at which the Company may sell shares pursuant to this authority.</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16.3 million shares) rather than its 0.10% proportionate share and (b) 150% of such percentage (i.e., 0.15% of an offering of 16.3 million shares) rather than its 0.10% proportionate share. The prospectus pursuant to which any discounted offering is made will include a chart for these examples based on the actual number of shares in such offering and the actual discount from the most recently determined net asset value.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150% Participation</w:t>
            </w:r>
          </w:p>
        </w:tc>
      </w:tr>
      <w:tr>
        <w:trPr>
          <w:trHeight w:val="117"/>
        </w:trPr>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Below net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r>
      <w:tr>
        <w:trPr>
          <w:trHeight w:val="173"/>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asset 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Price per Share to Public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13.88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13.18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13.18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Decrease/Increase to Net Asset Value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Offered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15,154,308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15,154,308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81,389,287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97,667,144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97,667,144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16.48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r>
      <w:tr>
        <w:trPr>
          <w:trHeight w:val="194"/>
        </w:trPr>
        <w:tc>
          <w:tcPr>
            <w:tcW w:w="48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Dilution/Accretion to Participating Stockholder Shares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8"/>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Held by Stockholder A</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81,389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89,528</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105,806</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 Value Held by Stockholder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1,341,570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1,426,491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1,685,854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25.66%</w:t>
            </w: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Investment by Stockholder A (Assumed to be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$16.48 per Share on Shares Held Prior to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1,341,570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1,454,521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1,680,423</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Dilution/Accretion to Stockholder A (Total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 Value Less Total Investment)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(28,030)</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5,431</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Investment per Share Held by Stockholder A (Assumed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 be $16.48 per Share on Shares Held Prior to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16.25</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15.88</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15.93</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Dilution/Accretion per Share Held by Stockholder A (Net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Asset Value per Share Less Investment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(0.31)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0.05</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Percentage Dilution/Accretion to Stockholder A (Dilution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per Share Divided by Investment per Share)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r>
      <w:tr>
        <w:trPr>
          <w:trHeight w:val="365"/>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Impact on New Investors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87"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The example assumes that the issuer has 81.4 million shares outstanding, $2.8 billion in total assets and $1.5 billion in total liabilities. The net asset value and NAV per share are thus $1.3 billion and $16.48 per share. The chart illustrates the dilutive effect on Stockholder A of (a) an offering of 4.1 million shares of common stock (5% of the outstanding shares) at $15.66 per share after offering expenses and commissions (a 5% discount from NAV per share), (b) an offering of 8.1 million shares of common stock (10% of the outstanding shares) at $14.83 per share after offering expenses and commissions (a 10% discount from NAV per share), (c) an offering of 16.3 million shares of common stock (20% of the outstanding shares) at $13.18 per share after offering expenses and commissions (a 20% discount from NAV per share), and (d) an offering of 20.3 million shares of common stock (25% of the outstanding shares) at $12.36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93" w:right="459" w:bottom="1440" w:gutter="0" w:footer="0" w:header="0"/>
        </w:sectPr>
      </w:pPr>
    </w:p>
    <w:bookmarkStart w:id="108" w:name="page109"/>
    <w:bookmarkEnd w:id="108"/>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17"/>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5% Offering at 5%</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7"/>
              <w:spacing w:after="0" w:line="118" w:lineRule="exact"/>
              <w:rPr>
                <w:sz w:val="20"/>
                <w:szCs w:val="20"/>
                <w:color w:val="auto"/>
              </w:rPr>
            </w:pPr>
            <w:r>
              <w:rPr>
                <w:rFonts w:ascii="Times New Roman" w:cs="Times New Roman" w:eastAsia="Times New Roman" w:hAnsi="Times New Roman"/>
                <w:sz w:val="13"/>
                <w:szCs w:val="13"/>
                <w:b w:val="1"/>
                <w:bCs w:val="1"/>
                <w:color w:val="auto"/>
              </w:rPr>
              <w:t>10%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20% Offering at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3"/>
          </w:tcPr>
          <w:p>
            <w:pPr>
              <w:jc w:val="center"/>
              <w:ind w:right="7"/>
              <w:spacing w:after="0" w:line="118" w:lineRule="exact"/>
              <w:rPr>
                <w:sz w:val="20"/>
                <w:szCs w:val="20"/>
                <w:color w:val="auto"/>
              </w:rPr>
            </w:pPr>
            <w:r>
              <w:rPr>
                <w:rFonts w:ascii="Times New Roman" w:cs="Times New Roman" w:eastAsia="Times New Roman" w:hAnsi="Times New Roman"/>
                <w:sz w:val="13"/>
                <w:szCs w:val="13"/>
                <w:b w:val="1"/>
                <w:bCs w:val="1"/>
                <w:color w:val="auto"/>
              </w:rPr>
              <w:t>25% Offering at</w:t>
            </w:r>
          </w:p>
        </w:tc>
        <w:tc>
          <w:tcPr>
            <w:tcW w:w="240" w:type="dxa"/>
            <w:vAlign w:val="bottom"/>
          </w:tcPr>
          <w:p>
            <w:pPr>
              <w:spacing w:after="0"/>
              <w:rPr>
                <w:sz w:val="10"/>
                <w:szCs w:val="10"/>
                <w:color w:val="auto"/>
              </w:rPr>
            </w:pPr>
          </w:p>
        </w:tc>
      </w:tr>
      <w:tr>
        <w:trPr>
          <w:trHeight w:val="173"/>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25% Discount</w:t>
            </w:r>
          </w:p>
        </w:tc>
      </w:tr>
      <w:tr>
        <w:trPr>
          <w:trHeight w:val="117"/>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Sale</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10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r>
      <w:tr>
        <w:trPr>
          <w:trHeight w:val="173"/>
        </w:trPr>
        <w:tc>
          <w:tcPr>
            <w:tcW w:w="2420" w:type="dxa"/>
            <w:vAlign w:val="bottom"/>
          </w:tcPr>
          <w:p>
            <w:pPr>
              <w:spacing w:after="0"/>
              <w:rPr>
                <w:sz w:val="15"/>
                <w:szCs w:val="15"/>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Below NAV</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Offering Price</w:t>
            </w: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Price per Share to Public</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16.48</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15.61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13.88</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13.01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Proceeds per Share to Issuer</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15.66</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14.83</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13.18</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12.36</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41"/>
        </w:trPr>
        <w:tc>
          <w:tcPr>
            <w:tcW w:w="2420" w:type="dxa"/>
            <w:vAlign w:val="bottom"/>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Decrease/Increase to Net Asset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3"/>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Shares Outstanding</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81,389,287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85,458,751</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89,528,216</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97,667,144</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101,736,609</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Offered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4,069,464</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8,138,929</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w w:val="97"/>
              </w:rPr>
              <w:t>16,277,857</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20,347,322</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Asset Value per Share</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16.48</w:t>
            </w: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16.44</w:t>
            </w:r>
          </w:p>
        </w:tc>
        <w:tc>
          <w:tcPr>
            <w:tcW w:w="740" w:type="dxa"/>
            <w:vAlign w:val="bottom"/>
            <w:gridSpan w:val="2"/>
            <w:shd w:val="clear" w:color="auto" w:fill="CCEEFF"/>
          </w:tcPr>
          <w:p>
            <w:pPr>
              <w:ind w:left="160"/>
              <w:spacing w:after="0" w:line="162" w:lineRule="exact"/>
              <w:rPr>
                <w:sz w:val="20"/>
                <w:szCs w:val="20"/>
                <w:color w:val="auto"/>
              </w:rPr>
            </w:pPr>
            <w:r>
              <w:rPr>
                <w:rFonts w:ascii="Times New Roman" w:cs="Times New Roman" w:eastAsia="Times New Roman" w:hAnsi="Times New Roman"/>
                <w:sz w:val="15"/>
                <w:szCs w:val="15"/>
                <w:color w:val="auto"/>
              </w:rPr>
              <w:t>(0.22)%</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16.33</w:t>
            </w:r>
          </w:p>
        </w:tc>
        <w:tc>
          <w:tcPr>
            <w:tcW w:w="7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(0.89)%</w:t>
            </w:r>
          </w:p>
        </w:tc>
        <w:tc>
          <w:tcPr>
            <w:tcW w:w="1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15.93</w:t>
            </w: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(3.32)%</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15.66</w:t>
            </w:r>
          </w:p>
        </w:tc>
        <w:tc>
          <w:tcPr>
            <w:tcW w:w="72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(4.98)%</w:t>
            </w:r>
          </w:p>
        </w:tc>
      </w:tr>
      <w:tr>
        <w:trPr>
          <w:trHeight w:val="141"/>
        </w:trPr>
        <w:tc>
          <w:tcPr>
            <w:tcW w:w="2420" w:type="dxa"/>
            <w:vAlign w:val="bottom"/>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Dilution/Accretion to New Investor</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3"/>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A</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2"/>
        </w:trPr>
        <w:tc>
          <w:tcPr>
            <w:tcW w:w="2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Shares Held by Investor A</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4,069</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8,139</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16,278</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20,347</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2"/>
        </w:trPr>
        <w:tc>
          <w:tcPr>
            <w:tcW w:w="24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Percentage Held by Investor A</w:t>
            </w:r>
          </w:p>
        </w:tc>
        <w:tc>
          <w:tcPr>
            <w:tcW w:w="8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0.01%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0.02%</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Total Net Asset Value Held by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66,918</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132,935</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259,363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318,613</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Total Investment by Investor A (At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Price to Public)</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67,065</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127,070</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225,902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264,729</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Total Dilution/Accretion to Investor</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62"/>
        </w:trPr>
        <w:tc>
          <w:tcPr>
            <w:tcW w:w="24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A (Total Net Asset Value Less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Investment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(147)</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5,865</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33,460</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53,883</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Investment per Share Held by</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16.48</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15.61</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13.88</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13.01</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Net Asset Value per Share Held by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Investor A</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16.44</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16.33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15.93</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15.66</w:t>
            </w: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5"/>
        </w:trPr>
        <w:tc>
          <w:tcPr>
            <w:tcW w:w="242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Dilution/Accretion per Share Held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by Investor A (Net Asset Value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per Share Less Investment per</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9"/>
        </w:trPr>
        <w:tc>
          <w:tcPr>
            <w:tcW w:w="2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Share)</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(0.04)</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0.72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2.06</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2.65</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5"/>
        </w:trPr>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Percentage Dilution/Accretion to</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62"/>
        </w:trPr>
        <w:tc>
          <w:tcPr>
            <w:tcW w:w="24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Investor A (Dilution per Share</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Divided by Investment per Share)</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(0.22)%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4.62%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14.81%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20.35%</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0"/>
          </w:cols>
          <w:pgMar w:left="440" w:top="297" w:right="43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DIVIDEND REINVESTMENT PLAN</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information under the heading “Dividend Reinvestment Plan” in Part I, Item I of our 2022 Annual Report is incorporated by reference in this prospectus.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88"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plan should be directed to the plan administrator by mail at Equiniti Trust Company, LLC, Transfer Agency-Sixth Street Specialty Lending, 6201 15th Avenue, Brooklyn, NY 11219.</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93" w:right="47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MATERIAL U.S. FEDERAL INCOME TAX CONSIDERATIONS</w:t>
      </w:r>
    </w:p>
    <w:p>
      <w:pPr>
        <w:spacing w:after="0" w:line="22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89" w:lineRule="exact"/>
        <w:rPr>
          <w:sz w:val="20"/>
          <w:szCs w:val="20"/>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subject to the alternative minimum tax;</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as discussed below);</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(except as discussed below);</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(except as discussed below);</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shares of common stock or preferred stock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our stock as compensation;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stock on behalf of another person as a nominee;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“controlled foreign corporations;”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(as defined below) who have a “functional currency” other than the U.S. dollar.</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gift and Medicare contribution tax consequences), the alternative minimum tax or any state, local or foreign tax consequences.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and U.S.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0"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under the heading “Material U.S. Federal Income Tax Considerations,” a “U.S. stockholder” is a beneficial owner of shares of our common stock or preferred stock that is, for U.S. federal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93" w:right="459" w:bottom="1440" w:gutter="0" w:footer="0" w:header="0"/>
        </w:sectPr>
      </w:pPr>
    </w:p>
    <w:bookmarkStart w:id="111" w:name="page112"/>
    <w:bookmarkEnd w:id="11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income tax purposes, an individual who is a citizen or resident of the United States or a domestic corporation or otherwise subject to U.S. federal income tax on a net income basis in respect of our stock.</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or preferred stock that is not a U.S. stockholder and not an entity taxed as a partnership.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Investment Company Classification</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31" w:lineRule="exact"/>
        <w:rPr>
          <w:sz w:val="20"/>
          <w:szCs w:val="20"/>
          <w:color w:val="auto"/>
        </w:rPr>
      </w:pPr>
    </w:p>
    <w:p>
      <w:pPr>
        <w:ind w:left="960" w:hanging="532"/>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30" w:lineRule="exact"/>
        <w:rPr>
          <w:rFonts w:ascii="Times New Roman" w:cs="Times New Roman" w:eastAsia="Times New Roman" w:hAnsi="Times New Roman"/>
          <w:sz w:val="18"/>
          <w:szCs w:val="18"/>
          <w:color w:val="auto"/>
        </w:rPr>
      </w:pPr>
    </w:p>
    <w:p>
      <w:pPr>
        <w:ind w:left="1420" w:right="80" w:hanging="439"/>
        <w:spacing w:after="0" w:line="261" w:lineRule="auto"/>
        <w:tabs>
          <w:tab w:leader="none" w:pos="14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5" w:lineRule="exact"/>
        <w:rPr>
          <w:rFonts w:ascii="Times New Roman" w:cs="Times New Roman" w:eastAsia="Times New Roman" w:hAnsi="Times New Roman"/>
          <w:sz w:val="18"/>
          <w:szCs w:val="18"/>
          <w:color w:val="auto"/>
        </w:rPr>
      </w:pPr>
    </w:p>
    <w:p>
      <w:pPr>
        <w:jc w:val="both"/>
        <w:ind w:left="1420" w:right="20" w:hanging="439"/>
        <w:spacing w:after="0" w:line="266" w:lineRule="auto"/>
        <w:tabs>
          <w:tab w:leader="none" w:pos="14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jc w:val="both"/>
        <w:ind w:right="80" w:firstLine="440"/>
        <w:spacing w:after="0" w:line="289" w:lineRule="auto"/>
        <w:rPr>
          <w:sz w:val="20"/>
          <w:szCs w:val="20"/>
          <w:color w:val="auto"/>
        </w:rPr>
      </w:pPr>
      <w:r>
        <w:rPr>
          <w:rFonts w:ascii="Times New Roman" w:cs="Times New Roman" w:eastAsia="Times New Roman" w:hAnsi="Times New Roman"/>
          <w:sz w:val="17"/>
          <w:szCs w:val="17"/>
          <w:color w:val="auto"/>
        </w:rPr>
        <w:t>We may earn various fees, including fees that we share with our affiliates, fees for entering into amendments with respect to debt instruments we own, and fees for significant managerial assistance provided to portfolio companies, which will not be treated as qualifying income for purposes of the 90% gross income test. We may also earn other types of income that will not be treated as qualifying income for purposes of the 90% gross income test.</w:t>
      </w:r>
    </w:p>
    <w:p>
      <w:pPr>
        <w:spacing w:after="0" w:line="15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30" w:lineRule="exact"/>
        <w:rPr>
          <w:rFonts w:ascii="Times New Roman" w:cs="Times New Roman" w:eastAsia="Times New Roman" w:hAnsi="Times New Roman"/>
          <w:sz w:val="18"/>
          <w:szCs w:val="18"/>
          <w:color w:val="auto"/>
        </w:rPr>
      </w:pPr>
    </w:p>
    <w:p>
      <w:pPr>
        <w:ind w:left="960" w:right="320" w:hanging="532"/>
        <w:spacing w:after="0" w:line="282"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97" w:right="459" w:bottom="1440" w:gutter="0" w:footer="0" w:header="0"/>
        </w:sectPr>
      </w:pPr>
    </w:p>
    <w:bookmarkStart w:id="112" w:name="page113"/>
    <w:bookmarkEnd w:id="112"/>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85" w:lineRule="exact"/>
        <w:rPr>
          <w:sz w:val="20"/>
          <w:szCs w:val="20"/>
          <w:color w:val="auto"/>
        </w:rPr>
      </w:pPr>
    </w:p>
    <w:p>
      <w:pPr>
        <w:ind w:left="960" w:right="20" w:hanging="532"/>
        <w:spacing w:after="0" w:line="256"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(or market discount), that original issue discount (or market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w:t>
      </w:r>
    </w:p>
    <w:p>
      <w:pPr>
        <w:spacing w:after="0" w:line="92" w:lineRule="exact"/>
        <w:rPr>
          <w:rFonts w:ascii="Times New Roman" w:cs="Times New Roman" w:eastAsia="Times New Roman" w:hAnsi="Times New Roman"/>
          <w:sz w:val="18"/>
          <w:szCs w:val="18"/>
          <w:color w:val="auto"/>
        </w:rPr>
      </w:pPr>
    </w:p>
    <w:p>
      <w:pPr>
        <w:ind w:left="960" w:right="660" w:hanging="532"/>
        <w:spacing w:after="0" w:line="282" w:lineRule="auto"/>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Under Section 988 of the Code, gains or losses attributable to fluctuations in exchange rates between the time we accrue income or receivables or expenses or other liabilities denominated in a foreign currency and the time we actually collect such income or receivables or pay such liabilities are generally treated as ordinary income or loss. Similarly, gains or losses on foreign currency, foreign currency forward contracts, certain foreign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97" w:right="479" w:bottom="1440" w:gutter="0" w:footer="0" w:header="0"/>
        </w:sectPr>
      </w:pPr>
    </w:p>
    <w:bookmarkStart w:id="113" w:name="page114"/>
    <w:bookmarkEnd w:id="113"/>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currency options or futures contracts and the disposition of debt securities denominated in foreign currency, to the extent attributable to fluctuations in exchange rates between the acquisition and disposition dates, are also treated as ordinary income or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w:t>
      </w:r>
    </w:p>
    <w:p>
      <w:pPr>
        <w:spacing w:after="0" w:line="188"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76"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85" w:lineRule="exact"/>
        <w:rPr>
          <w:sz w:val="20"/>
          <w:szCs w:val="20"/>
          <w:color w:val="auto"/>
        </w:rPr>
      </w:pPr>
    </w:p>
    <w:p>
      <w:pPr>
        <w:ind w:left="960" w:right="440" w:hanging="532"/>
        <w:spacing w:after="0" w:line="282"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amount in the 12-month period following the close of such prior taxable year; and</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election in our U.S. federal corporate income tax return for the taxable year in which such undistributed investment company taxable income or net capital gains were recognized.</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97" w:right="459" w:bottom="1440" w:gutter="0" w:footer="0" w:header="0"/>
        </w:sectPr>
      </w:pPr>
    </w:p>
    <w:bookmarkStart w:id="114" w:name="page115"/>
    <w:bookmarkEnd w:id="11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8"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may offer to repurchase our outstanding shares. Stockholders who tender all shares held, or considered to be held, by them will be treated as having sold their shares and generally will realize a capital gain or loss. If a stockholder tenders fewer than all of its shares or fewer than all shares tendered are repurchased, such stockholder may be treated as having received a taxable dividend upon the tender of its shares. In such a case, there is a risk that non-tendering stockholders, and stockholders who tender some but not all of their shares or fewer than all of whose shares are repurchased, in each case whose percentage interests in us increase as a result of such tender, will be treated as having received a taxable distribution from us. The extent of such risk will vary depending upon the particular circumstances of the tender offer, and in particular whether such offer is a single and isolated event or is part of a plan for periodically redeeming shares.</w:t>
      </w:r>
    </w:p>
    <w:p>
      <w:pPr>
        <w:spacing w:after="0" w:line="189"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8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Under applicable U.S. Treasury regulations, if a U.S. stockholder recognizes a loss with respect to our common stock or preferred stock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97" w:right="459" w:bottom="1440" w:gutter="0" w:footer="0" w:header="0"/>
        </w:sectPr>
      </w:pPr>
    </w:p>
    <w:bookmarkStart w:id="115" w:name="page116"/>
    <w:bookmarkEnd w:id="115"/>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reporting requirement. U.S. stockholders should consult their own tax advisers to determine the applicability of these U.S. Treasury regulations in light of their individual circumstances.</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with Respect to Certain U.S. Stockholders on Deductions for Certain Fees and Expenses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21" w:lineRule="exact"/>
        <w:rPr>
          <w:sz w:val="20"/>
          <w:szCs w:val="20"/>
          <w:color w:val="auto"/>
        </w:rPr>
      </w:pPr>
    </w:p>
    <w:p>
      <w:pPr>
        <w:ind w:right="180" w:firstLine="440"/>
        <w:spacing w:after="0" w:line="272" w:lineRule="auto"/>
        <w:rPr>
          <w:sz w:val="20"/>
          <w:szCs w:val="20"/>
          <w:color w:val="auto"/>
        </w:rPr>
      </w:pPr>
      <w:r>
        <w:rPr>
          <w:rFonts w:ascii="Times New Roman" w:cs="Times New Roman" w:eastAsia="Times New Roman" w:hAnsi="Times New Roman"/>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Distributions of our investment company taxable income that we pay to a Non-U.S. stockholder will be subject to U.S. withholding tax at a 30% rate to the extent of our current or accumulated earnings and profits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440" w:top="297" w:right="499" w:bottom="1440" w:gutter="0" w:footer="0" w:header="0"/>
        </w:sectPr>
      </w:pPr>
    </w:p>
    <w:bookmarkStart w:id="116" w:name="page117"/>
    <w:bookmarkEnd w:id="116"/>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8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9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8"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the case of distributions made by the Company (other than capital gain dividends), additional requirements will apply to Non-U.S. stockholders that are considered for U.S. federal income tax purposes to be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97" w:right="479" w:bottom="1440" w:gutter="0" w:footer="0" w:header="0"/>
        </w:sectPr>
      </w:pPr>
    </w:p>
    <w:bookmarkStart w:id="117" w:name="page118"/>
    <w:bookmarkEnd w:id="117"/>
    <w:p>
      <w:pPr>
        <w:ind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 RIC is a corporation for U.S. federal income tax purposes. Under current law, a Non-U.S. stockholder will not be considered to be engaged in the conduct of a business in the United States solely by reason of its ownership in a RIC. Certain special rules apply to a Non-U.S. stockholder that is an entity qualifying for tax exemption under Section 892 of the Code. Such Non-U.S. stockholders will generally not be treated as engaged in “commercial activity” merely by virtue of its ownership of our common stock and will generally be exempt from withholding tax on dividends received on shares of our common stock. Certain special rules apply to such Non-U.S. stockholders if we qualify as a U.S. real property holding corporation and such investor owns more than 5% of such class of stock. We do not expect these special rules to apply but there cannot be any assurance thereof.</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40" w:top="297" w:right="47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SECURITIES</w:t>
      </w:r>
    </w:p>
    <w:p>
      <w:pPr>
        <w:spacing w:after="0" w:line="22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our restated certificate of incorporation, which was adopted on June 15, 2020, our authorized capital stock consists of 400,000,000 shares of common stock, par value $0.01 per share, of which 87,578,655 shares are outstanding as of December 20, 2023, and 100,000,000 shares of preferred stock, par value $0.01 per share, of which no shares are outstanding as of December 20, 2023.</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presents our outstanding classes of securities as of December 20, 2023:</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80" w:type="dxa"/>
            <w:vAlign w:val="bottom"/>
            <w:gridSpan w:val="2"/>
            <w:vMerge w:val="restart"/>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Amount Held</w:t>
            </w:r>
          </w:p>
        </w:tc>
        <w:tc>
          <w:tcPr>
            <w:tcW w:w="212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 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900" w:type="dxa"/>
            <w:vAlign w:val="bottom"/>
            <w:vMerge w:val="restart"/>
          </w:tcPr>
          <w:p>
            <w:pPr>
              <w:spacing w:after="0"/>
              <w:rPr>
                <w:sz w:val="12"/>
                <w:szCs w:val="12"/>
                <w:color w:val="auto"/>
              </w:rPr>
            </w:pPr>
          </w:p>
        </w:tc>
        <w:tc>
          <w:tcPr>
            <w:tcW w:w="2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Us or for</w:t>
            </w: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Held by Us or for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Our Account</w:t>
            </w:r>
          </w:p>
        </w:tc>
        <w:tc>
          <w:tcPr>
            <w:tcW w:w="760" w:type="dxa"/>
            <w:vAlign w:val="bottom"/>
          </w:tcPr>
          <w:p>
            <w:pPr>
              <w:spacing w:after="0"/>
              <w:rPr>
                <w:sz w:val="15"/>
                <w:szCs w:val="15"/>
                <w:color w:val="auto"/>
              </w:rPr>
            </w:pPr>
          </w:p>
        </w:tc>
        <w:tc>
          <w:tcPr>
            <w:tcW w:w="13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Our Account</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Stock</w:t>
            </w:r>
          </w:p>
        </w:tc>
        <w:tc>
          <w:tcPr>
            <w:tcW w:w="16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400,000,000</w:t>
            </w:r>
          </w:p>
        </w:tc>
        <w:tc>
          <w:tcPr>
            <w:tcW w:w="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664,250</w:t>
            </w:r>
          </w:p>
        </w:tc>
        <w:tc>
          <w:tcPr>
            <w:tcW w:w="7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87,578,655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93" w:right="459" w:bottom="1440" w:gutter="0" w:footer="0" w:header="0"/>
        </w:sectPr>
      </w:pPr>
    </w:p>
    <w:bookmarkStart w:id="119" w:name="page120"/>
    <w:bookmarkEnd w:id="119"/>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certification of incorporation limits our directors’ liability to the fullest extent permitted under Delaware corporate law and the 1940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our directors will not be personally liable to us or our stockholders for any breach of fiduciary duty as a director, except for any liability:</w:t>
      </w:r>
    </w:p>
    <w:p>
      <w:pPr>
        <w:spacing w:after="0" w:line="112" w:lineRule="exact"/>
        <w:rPr>
          <w:sz w:val="20"/>
          <w:szCs w:val="20"/>
          <w:color w:val="auto"/>
        </w:rPr>
      </w:pPr>
    </w:p>
    <w:p>
      <w:pPr>
        <w:ind w:left="960" w:hanging="532"/>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willful misconduct, gross negligence, bad faith, reckless disregard or a knowing violation of law,</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which relates to unlawful payment of dividends or unlawful stock purchases or redemptions,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0"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92"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0"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76"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97" w:right="459" w:bottom="1440" w:gutter="0" w:footer="0" w:header="0"/>
        </w:sectPr>
      </w:pPr>
    </w:p>
    <w:bookmarkStart w:id="120" w:name="page121"/>
    <w:bookmarkEnd w:id="120"/>
    <w:p>
      <w:pPr>
        <w:ind w:right="6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62"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Under the Investment Advisory Agreement, we have, to the extent permitted by applicable law, indemnified the Adviser and certain of its affiliates, as described under “Management Agreements-Indemnification” in Part I, Item 1 of our 2022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9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certificate of incorporation and bylaws provide that:</w:t>
      </w:r>
    </w:p>
    <w:p>
      <w:pPr>
        <w:spacing w:after="0" w:line="131" w:lineRule="exact"/>
        <w:rPr>
          <w:sz w:val="20"/>
          <w:szCs w:val="20"/>
          <w:color w:val="auto"/>
        </w:rPr>
      </w:pPr>
    </w:p>
    <w:p>
      <w:pPr>
        <w:ind w:left="960" w:right="260" w:hanging="532"/>
        <w:spacing w:after="0" w:line="282"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divided into three classes, as nearly equal in size as possible, with staggered three-year terms (and the number of directors shall not be fewer than four or greater than nine);</w:t>
      </w:r>
    </w:p>
    <w:p>
      <w:pPr>
        <w:spacing w:after="0" w:line="67"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bylaws also provide that:</w:t>
      </w:r>
    </w:p>
    <w:p>
      <w:pPr>
        <w:spacing w:after="0" w:line="131" w:lineRule="exact"/>
        <w:rPr>
          <w:sz w:val="20"/>
          <w:szCs w:val="20"/>
          <w:color w:val="auto"/>
        </w:rPr>
      </w:pPr>
    </w:p>
    <w:p>
      <w:pPr>
        <w:ind w:left="960" w:hanging="532"/>
        <w:spacing w:after="0" w:line="282"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40" w:top="297" w:right="479" w:bottom="1440" w:gutter="0" w:footer="0" w:header="0"/>
        </w:sectPr>
      </w:pPr>
    </w:p>
    <w:bookmarkStart w:id="121" w:name="page122"/>
    <w:bookmarkEnd w:id="121"/>
    <w:p>
      <w:pPr>
        <w:ind w:left="960" w:hanging="532"/>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special meetings of the stockholders may only be called by our Board, Chairman, or a Chief Executive Officer.</w:t>
      </w:r>
    </w:p>
    <w:p>
      <w:pPr>
        <w:spacing w:after="0" w:line="22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10% holder transactions subject to these special approval requirements are:</w:t>
      </w:r>
    </w:p>
    <w:p>
      <w:pPr>
        <w:spacing w:after="0" w:line="131" w:lineRule="exact"/>
        <w:rPr>
          <w:sz w:val="20"/>
          <w:szCs w:val="20"/>
          <w:color w:val="auto"/>
        </w:rPr>
      </w:pPr>
    </w:p>
    <w:p>
      <w:pPr>
        <w:ind w:left="960" w:hanging="532"/>
        <w:spacing w:after="0"/>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or any subsidiary of ours with or into any principal stockholder;</w:t>
      </w:r>
    </w:p>
    <w:p>
      <w:pPr>
        <w:spacing w:after="0" w:line="130" w:lineRule="exact"/>
        <w:rPr>
          <w:rFonts w:ascii="Times New Roman" w:cs="Times New Roman" w:eastAsia="Times New Roman" w:hAnsi="Times New Roman"/>
          <w:sz w:val="18"/>
          <w:szCs w:val="18"/>
          <w:color w:val="auto"/>
        </w:rPr>
      </w:pPr>
    </w:p>
    <w:p>
      <w:pPr>
        <w:ind w:left="960" w:right="120" w:hanging="532"/>
        <w:spacing w:after="0" w:line="266"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81"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20"/>
          </w:cols>
          <w:pgMar w:left="440" w:top="297" w:right="439" w:bottom="1440" w:gutter="0" w:footer="0" w:header="0"/>
        </w:sectPr>
      </w:pPr>
    </w:p>
    <w:bookmarkStart w:id="122" w:name="page123"/>
    <w:bookmarkEnd w:id="122"/>
    <w:p>
      <w:pPr>
        <w:ind w:left="960" w:hanging="532"/>
        <w:spacing w:after="0" w:line="266"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1940 Act defines “a majority of the outstanding voting securities” as the lesser of:</w:t>
      </w:r>
    </w:p>
    <w:p>
      <w:pPr>
        <w:spacing w:after="0" w:line="131" w:lineRule="exact"/>
        <w:rPr>
          <w:sz w:val="20"/>
          <w:szCs w:val="20"/>
          <w:color w:val="auto"/>
        </w:rPr>
      </w:pPr>
    </w:p>
    <w:p>
      <w:pPr>
        <w:ind w:left="960" w:right="40" w:hanging="532"/>
        <w:spacing w:after="0" w:line="282" w:lineRule="auto"/>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the company’s voting stock present at a meeting if more than 50% of the outstanding voting securities of the company are present or represented by proxy;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the company.</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60"/>
          </w:cols>
          <w:pgMar w:left="440" w:top="297" w:right="49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PREFERRED STOCK</w:t>
      </w:r>
    </w:p>
    <w:p>
      <w:pPr>
        <w:spacing w:after="0" w:line="229" w:lineRule="exact"/>
        <w:rPr>
          <w:sz w:val="20"/>
          <w:szCs w:val="20"/>
          <w:color w:val="auto"/>
        </w:rPr>
      </w:pPr>
    </w:p>
    <w:p>
      <w:pPr>
        <w:ind w:right="80" w:firstLine="440"/>
        <w:spacing w:after="0" w:line="274" w:lineRule="auto"/>
        <w:rPr>
          <w:sz w:val="20"/>
          <w:szCs w:val="20"/>
          <w:color w:val="auto"/>
        </w:rPr>
      </w:pPr>
      <w:r>
        <w:rPr>
          <w:rFonts w:ascii="Times New Roman" w:cs="Times New Roman" w:eastAsia="Times New Roman" w:hAnsi="Times New Roman"/>
          <w:sz w:val="17"/>
          <w:szCs w:val="17"/>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3"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89" w:lineRule="exact"/>
        <w:rPr>
          <w:sz w:val="20"/>
          <w:szCs w:val="20"/>
          <w:color w:val="auto"/>
        </w:rPr>
      </w:pPr>
    </w:p>
    <w:p>
      <w:pPr>
        <w:ind w:left="960" w:hanging="532"/>
        <w:spacing w:after="0" w:line="282"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67" w:lineRule="exact"/>
        <w:rPr>
          <w:rFonts w:ascii="Times New Roman" w:cs="Times New Roman" w:eastAsia="Times New Roman" w:hAnsi="Times New Roman"/>
          <w:sz w:val="18"/>
          <w:szCs w:val="18"/>
          <w:color w:val="auto"/>
        </w:rPr>
      </w:pPr>
    </w:p>
    <w:p>
      <w:pPr>
        <w:jc w:val="both"/>
        <w:ind w:left="960" w:right="140" w:hanging="532"/>
        <w:spacing w:after="0" w:line="312" w:lineRule="auto"/>
        <w:tabs>
          <w:tab w:leader="none" w:pos="9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0"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67" w:lineRule="exact"/>
        <w:rPr>
          <w:sz w:val="20"/>
          <w:szCs w:val="20"/>
          <w:color w:val="auto"/>
        </w:rPr>
      </w:pPr>
    </w:p>
    <w:p>
      <w:pPr>
        <w:ind w:left="960" w:hanging="532"/>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 including adjustments to the conversion price of such series;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30"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960" w:right="760" w:hanging="532"/>
        <w:spacing w:after="0" w:line="282"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preferences and participating, optional or special rights of shares of such series, and the qualifications, limitations or restrictions thereof.</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93" w:right="45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SUBSCRIPTION RIGHTS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67" w:lineRule="exact"/>
        <w:rPr>
          <w:sz w:val="20"/>
          <w:szCs w:val="20"/>
          <w:color w:val="auto"/>
        </w:rPr>
      </w:pPr>
    </w:p>
    <w:p>
      <w:pPr>
        <w:ind w:left="960" w:right="140" w:hanging="532"/>
        <w:spacing w:after="0" w:line="282"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 (or method of calculation thereof);</w:t>
      </w:r>
    </w:p>
    <w:p>
      <w:pPr>
        <w:spacing w:after="0" w:line="130" w:lineRule="exact"/>
        <w:rPr>
          <w:rFonts w:ascii="Times New Roman" w:cs="Times New Roman" w:eastAsia="Times New Roman" w:hAnsi="Times New Roman"/>
          <w:sz w:val="18"/>
          <w:szCs w:val="18"/>
          <w:color w:val="auto"/>
        </w:rPr>
      </w:pPr>
    </w:p>
    <w:p>
      <w:pPr>
        <w:ind w:left="960" w:right="420" w:hanging="532"/>
        <w:spacing w:after="0" w:line="282"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(which, in the case of transferable rights, will require a minimum of three shares to be held of record before a person is entitled to purchase an additional share);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stockholder;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 and the market on which they may be traded if they are transferable;</w:t>
      </w:r>
    </w:p>
    <w:p>
      <w:pPr>
        <w:spacing w:after="0" w:line="130"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applicable to the issuance or exercise of such subscription rights;</w:t>
      </w:r>
    </w:p>
    <w:p>
      <w:pPr>
        <w:spacing w:after="0" w:line="67"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 shall expire (subject to any extension);</w:t>
      </w:r>
    </w:p>
    <w:p>
      <w:pPr>
        <w:spacing w:after="0" w:line="67"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 and the terms of such over-subscription privilege;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right we may have in connection with such subscription rights offering; and</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exercise, settlement and other procedures and limitations relating to the transfer and exercise of such subscription rights.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93"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Dilutive Effects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93" w:right="47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WARRANTS</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1" w:lineRule="exact"/>
        <w:rPr>
          <w:rFonts w:ascii="Times New Roman" w:cs="Times New Roman" w:eastAsia="Times New Roman" w:hAnsi="Times New Roman"/>
          <w:sz w:val="18"/>
          <w:szCs w:val="18"/>
          <w:color w:val="auto"/>
        </w:rPr>
      </w:pPr>
    </w:p>
    <w:p>
      <w:pPr>
        <w:jc w:val="both"/>
        <w:ind w:left="960" w:hanging="532"/>
        <w:spacing w:after="0" w:line="266" w:lineRule="auto"/>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93" w:right="459" w:bottom="1440" w:gutter="0" w:footer="0" w:header="0"/>
        </w:sectPr>
      </w:pPr>
    </w:p>
    <w:bookmarkStart w:id="127" w:name="page128"/>
    <w:bookmarkEnd w:id="127"/>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60"/>
          </w:cols>
          <w:pgMar w:left="440" w:top="297" w:right="499"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DEBT SECURITIES</w:t>
      </w:r>
    </w:p>
    <w:p>
      <w:pPr>
        <w:spacing w:after="0" w:line="22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Certain of our debt securities have been issued under an indenture dated January 22, 2018 between us and Wells Fargo Bank, National Association. We also intend on issuing debt securities under an indenture to be entered into between us and U.S. Bank Trust Company, National Association.</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the indenture,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6" w:lineRule="exact"/>
        <w:rPr>
          <w:sz w:val="20"/>
          <w:szCs w:val="20"/>
          <w:color w:val="auto"/>
        </w:rPr>
      </w:pPr>
    </w:p>
    <w:p>
      <w:pPr>
        <w:ind w:right="280" w:firstLine="440"/>
        <w:spacing w:after="0" w:line="281" w:lineRule="auto"/>
        <w:rPr>
          <w:sz w:val="20"/>
          <w:szCs w:val="20"/>
          <w:color w:val="auto"/>
        </w:rPr>
      </w:pPr>
      <w:r>
        <w:rPr>
          <w:rFonts w:ascii="Times New Roman" w:cs="Times New Roman" w:eastAsia="Times New Roman" w:hAnsi="Times New Roman"/>
          <w:sz w:val="17"/>
          <w:szCs w:val="17"/>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64"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which will accompany this prospectus, will describe the particular series of debt securities being offered, including, among other things:</w:t>
      </w:r>
    </w:p>
    <w:p>
      <w:pPr>
        <w:spacing w:after="0" w:line="67" w:lineRule="exact"/>
        <w:rPr>
          <w:sz w:val="20"/>
          <w:szCs w:val="20"/>
          <w:color w:val="auto"/>
        </w:rPr>
      </w:pPr>
    </w:p>
    <w:p>
      <w:pPr>
        <w:ind w:left="960" w:hanging="532"/>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interest may be paid by issuing additional securities of the same series in lieu of cash (and the terms upon which any such interest may be paid by issuing additional securities);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in the City of New York, of payment, transfer, conversion and/or exchange of the debt securities;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93" w:right="459" w:bottom="1440" w:gutter="0" w:footer="0" w:header="0"/>
        </w:sectPr>
      </w:pPr>
    </w:p>
    <w:bookmarkStart w:id="129" w:name="page130"/>
    <w:bookmarkEnd w:id="129"/>
    <w:p>
      <w:pPr>
        <w:ind w:left="960" w:hanging="532"/>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denominations in which the offered debt securities will be issued (if other than $1,000 and any integral multiple thereof);</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is issuable in certificated form;</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960" w:right="480" w:hanging="532"/>
        <w:spacing w:after="0" w:line="282" w:lineRule="auto"/>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U.S. federal income tax considerations relating to original issue discount;</w:t>
      </w:r>
    </w:p>
    <w:p>
      <w:pPr>
        <w:spacing w:after="0" w:line="67"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any security interest;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3Q 2023 Quarterly Report.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76"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97" w:right="459" w:bottom="1440" w:gutter="0" w:footer="0" w:header="0"/>
        </w:sectPr>
      </w:pPr>
    </w:p>
    <w:bookmarkStart w:id="130" w:name="page131"/>
    <w:bookmarkEnd w:id="13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or we are acquired by another entity.</w:t>
      </w:r>
    </w:p>
    <w:p>
      <w:pPr>
        <w:spacing w:after="0" w:line="162"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on Global Securities</w:t>
      </w:r>
    </w:p>
    <w:p>
      <w:pPr>
        <w:spacing w:after="0" w:line="121" w:lineRule="exact"/>
        <w:rPr>
          <w:sz w:val="20"/>
          <w:szCs w:val="20"/>
          <w:color w:val="auto"/>
        </w:rPr>
      </w:pPr>
    </w:p>
    <w:p>
      <w:pPr>
        <w:jc w:val="both"/>
        <w:ind w:right="400" w:firstLine="440"/>
        <w:spacing w:after="0" w:line="289" w:lineRule="auto"/>
        <w:rPr>
          <w:sz w:val="20"/>
          <w:szCs w:val="20"/>
          <w:color w:val="auto"/>
        </w:rPr>
      </w:pPr>
      <w:r>
        <w:rPr>
          <w:rFonts w:ascii="Times New Roman" w:cs="Times New Roman" w:eastAsia="Times New Roman" w:hAnsi="Times New Roman"/>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440" w:top="297"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Payments on Certificated Securities</w:t>
      </w:r>
    </w:p>
    <w:p>
      <w:pPr>
        <w:spacing w:after="0" w:line="121"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0"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When Offices Are Closed</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3"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they will receive payments on their debt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 (unless the prospectus supplement relating to such debt securities states otherwise):</w:t>
      </w:r>
    </w:p>
    <w:p>
      <w:pPr>
        <w:spacing w:after="0" w:line="67" w:lineRule="exact"/>
        <w:rPr>
          <w:sz w:val="20"/>
          <w:szCs w:val="20"/>
          <w:color w:val="auto"/>
        </w:rPr>
      </w:pPr>
    </w:p>
    <w:p>
      <w:pPr>
        <w:ind w:left="960" w:right="340" w:hanging="532"/>
        <w:spacing w:after="0" w:line="282"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 including upon any redemption date or required repurchase date.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when due, and such default is not cured within 30 days.</w:t>
      </w:r>
    </w:p>
    <w:p>
      <w:pPr>
        <w:spacing w:after="0" w:line="130"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 and do not cure this default within five days.</w:t>
      </w:r>
    </w:p>
    <w:p>
      <w:pPr>
        <w:spacing w:after="0" w:line="6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(if a Responsible Officer has actual knowledge of such default) or holders of at least 25% of the principal amount of debt securities of the series.</w:t>
      </w:r>
    </w:p>
    <w:p>
      <w:pPr>
        <w:spacing w:after="0" w:line="81"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 remain undischarged or unstayed for a period of 90 days.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0"/>
          </w:cols>
          <w:pgMar w:left="440" w:top="293" w:right="479" w:bottom="1440" w:gutter="0" w:footer="0" w:header="0"/>
        </w:sectPr>
      </w:pPr>
    </w:p>
    <w:bookmarkStart w:id="132" w:name="page133"/>
    <w:bookmarkEnd w:id="132"/>
    <w:p>
      <w:pPr>
        <w:ind w:left="960" w:hanging="532"/>
        <w:spacing w:after="0" w:line="254"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 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93"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determines in good faith that the withholding of notice is in the interests of the 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the trustee (if a Responsible Officer has actual knowledge of such Event of Default)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960" w:hanging="532"/>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your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97" w:right="459" w:bottom="1440" w:gutter="0" w:footer="0" w:header="0"/>
        </w:sectPr>
      </w:pPr>
    </w:p>
    <w:bookmarkStart w:id="133" w:name="page134"/>
    <w:bookmarkEnd w:id="133"/>
    <w:p>
      <w:pPr>
        <w:ind w:left="960" w:right="60" w:hanging="532"/>
        <w:spacing w:after="0" w:line="282"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holders of a majority in principal amount of the debt securities must not have given the trustee a direction inconsistent with the above notice during that 60 day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60" w:hanging="532"/>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principal, any premium or interest;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w:t>
      </w:r>
    </w:p>
    <w:p>
      <w:pPr>
        <w:spacing w:after="0" w:line="32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5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1" w:lineRule="exact"/>
        <w:rPr>
          <w:sz w:val="20"/>
          <w:szCs w:val="20"/>
          <w:color w:val="auto"/>
        </w:rPr>
      </w:pPr>
    </w:p>
    <w:p>
      <w:pPr>
        <w:ind w:left="960" w:right="80" w:hanging="532"/>
        <w:spacing w:after="0" w:line="282"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960" w:right="280" w:hanging="532"/>
        <w:spacing w:after="0" w:line="282"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no Default or Event of Default shall have happened and be continuing.</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35" w:lineRule="exact"/>
        <w:rPr>
          <w:sz w:val="20"/>
          <w:szCs w:val="20"/>
          <w:color w:val="auto"/>
        </w:rPr>
      </w:pPr>
    </w:p>
    <w:p>
      <w:pPr>
        <w:ind w:left="960" w:hanging="532"/>
        <w:spacing w:after="0" w:line="266"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960" w:right="60" w:hanging="532"/>
        <w:spacing w:after="0" w:line="258"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60"/>
          </w:cols>
          <w:pgMar w:left="440" w:top="297" w:right="4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Modification or Waiver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Your Approval</w:t>
      </w:r>
    </w:p>
    <w:p>
      <w:pPr>
        <w:spacing w:after="0" w:line="121"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67" w:lineRule="exact"/>
        <w:rPr>
          <w:sz w:val="20"/>
          <w:szCs w:val="20"/>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(except as otherwise described in the prospectus or prospectus supplement) or currency of payment on a debt security;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debt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960" w:hanging="532"/>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93"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Further Details Concerning Voting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60" w:right="100" w:hanging="532"/>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30" w:lineRule="exact"/>
        <w:rPr>
          <w:rFonts w:ascii="Times New Roman" w:cs="Times New Roman" w:eastAsia="Times New Roman" w:hAnsi="Times New Roman"/>
          <w:sz w:val="18"/>
          <w:szCs w:val="18"/>
          <w:color w:val="auto"/>
        </w:rPr>
      </w:pPr>
    </w:p>
    <w:p>
      <w:pPr>
        <w:ind w:left="960" w:right="140" w:hanging="532"/>
        <w:spacing w:after="0" w:line="266"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89" w:lineRule="exact"/>
        <w:rPr>
          <w:sz w:val="20"/>
          <w:szCs w:val="20"/>
          <w:color w:val="auto"/>
        </w:rPr>
      </w:pPr>
    </w:p>
    <w:p>
      <w:pPr>
        <w:ind w:left="960" w:right="160" w:hanging="532"/>
        <w:spacing w:after="0" w:line="266"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jc w:val="both"/>
        <w:ind w:left="960" w:right="20" w:hanging="532"/>
        <w:spacing w:after="0" w:line="266"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1"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covenant defeasance have been complied with.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93" w:right="459" w:bottom="1440" w:gutter="0" w:footer="0" w:header="0"/>
        </w:sectPr>
      </w:pPr>
    </w:p>
    <w:bookmarkStart w:id="136" w:name="page137"/>
    <w:bookmarkEnd w:id="136"/>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67" w:lineRule="exact"/>
        <w:rPr>
          <w:sz w:val="20"/>
          <w:szCs w:val="20"/>
          <w:color w:val="auto"/>
        </w:rPr>
      </w:pPr>
    </w:p>
    <w:p>
      <w:pPr>
        <w:ind w:left="960" w:right="160" w:hanging="532"/>
        <w:spacing w:after="0" w:line="266"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8" w:lineRule="exact"/>
        <w:rPr>
          <w:rFonts w:ascii="Times New Roman" w:cs="Times New Roman" w:eastAsia="Times New Roman" w:hAnsi="Times New Roman"/>
          <w:sz w:val="18"/>
          <w:szCs w:val="18"/>
          <w:color w:val="auto"/>
        </w:rPr>
      </w:pPr>
    </w:p>
    <w:p>
      <w:pPr>
        <w:ind w:left="960" w:right="660" w:hanging="532"/>
        <w:spacing w:after="0" w:line="282"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defeasance have been complied with.</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If any certificated securities of a particular series are redeemable and we redeem less than all the debt securities of that series, we may block the transfer or exchange of those debt securities during the period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97" w:right="459" w:bottom="1440" w:gutter="0" w:footer="0" w:header="0"/>
        </w:sectPr>
      </w:pPr>
    </w:p>
    <w:bookmarkStart w:id="137" w:name="page138"/>
    <w:bookmarkEnd w:id="137"/>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60" w:right="360" w:hanging="532"/>
        <w:spacing w:after="0" w:line="261" w:lineRule="auto"/>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97"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Secured Indebtedness and Ranking</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Each prospectus supplement relating to an offering of debt securities will identify the financial institution to serve as trustee of such debt securities under the applicable indenture. This document and the related documents do not provide a comprehensive description of the rights, benefits, protections, immunities, indemnities, and privileges of the trustee. Rather, the applicable indenture sets forth the trustee’s rights, benefits, protections, immunities, indemnities, and privileges. The trustee assumes (and shall have) no responsibility or liability for the accuracy, correctness, or completeness of the information (including such information concerning us or our affiliates or any other party) contained in this document or the related documents or for any failure by us or any other party to disclose events that may have occurred and may affect the significance or accuracy of such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Debt Securities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87"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93" w:right="459" w:bottom="1440" w:gutter="0" w:footer="0" w:header="0"/>
        </w:sectPr>
      </w:pPr>
    </w:p>
    <w:bookmarkStart w:id="139" w:name="page140"/>
    <w:bookmarkEnd w:id="139"/>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7"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6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92"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87"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debt securities will be made to Cede &amp; Co., or such other nominee as may be requested by an authorized representative of DTC. DTC’s practice is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97" w:right="459" w:bottom="1440" w:gutter="0" w:footer="0" w:header="0"/>
        </w:sectPr>
      </w:pPr>
    </w:p>
    <w:bookmarkStart w:id="140" w:name="page141"/>
    <w:bookmarkEnd w:id="140"/>
    <w:p>
      <w:pPr>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7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CUSTODIAN, TRANSFER AND DIVIDEND PAYING AGENT AND REGISTRAR</w:t>
      </w:r>
    </w:p>
    <w:p>
      <w:pPr>
        <w:spacing w:after="0" w:line="229" w:lineRule="exact"/>
        <w:rPr>
          <w:sz w:val="20"/>
          <w:szCs w:val="20"/>
          <w:color w:val="auto"/>
        </w:rPr>
      </w:pPr>
    </w:p>
    <w:p>
      <w:pPr>
        <w:jc w:val="both"/>
        <w:ind w:right="460" w:firstLine="440"/>
        <w:spacing w:after="0" w:line="261"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Equiniti Trust Company, LLC serves as our transfer agent, distribution paying agent and registrar. The principal business address of State Street Bank and Trust Company is 1 Lincoln Street, Boston, Massachusetts 02111. The principal business address of Equiniti Trust Company, LLC is 6201 15th Avenue, Brooklyn, NY 11219.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3"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7"/>
          <w:szCs w:val="17"/>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also pay brokerage commissions incurred in connection with purchases pursuant to the Company 10b5-1 Plan.</w:t>
      </w:r>
    </w:p>
    <w:p>
      <w:pPr>
        <w:spacing w:after="0" w:line="225" w:lineRule="exact"/>
        <w:rPr>
          <w:sz w:val="20"/>
          <w:szCs w:val="20"/>
          <w:color w:val="auto"/>
        </w:rPr>
      </w:pPr>
    </w:p>
    <w:p>
      <w:pPr>
        <w:jc w:val="center"/>
        <w:ind w:right="260"/>
        <w:spacing w:after="0" w:line="454" w:lineRule="auto"/>
        <w:rPr>
          <w:sz w:val="20"/>
          <w:szCs w:val="20"/>
          <w:color w:val="auto"/>
        </w:rPr>
      </w:pPr>
      <w:r>
        <w:rPr>
          <w:rFonts w:ascii="Times New Roman" w:cs="Times New Roman" w:eastAsia="Times New Roman" w:hAnsi="Times New Roman"/>
          <w:sz w:val="18"/>
          <w:szCs w:val="18"/>
          <w:color w:val="auto"/>
        </w:rPr>
        <w:t>The aggregate amount of brokerage commissions paid by us during the three most recent completed fiscal years is less than $0.4 million. 93</w:t>
      </w:r>
    </w:p>
    <w:p>
      <w:pPr>
        <w:sectPr>
          <w:pgSz w:w="11900" w:h="16838" w:orient="portrait"/>
          <w:cols w:equalWidth="0" w:num="1">
            <w:col w:w="11000"/>
          </w:cols>
          <w:pgMar w:left="440" w:top="297" w:right="45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PLAN OF DISTRIBUTION</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We may sell the securities through underwriters or dealers, directly to one or more purchasers, including existing stockholders in a rights offering, through agents designated from time to time by us, in “at the market offerings” within the meaning of Rule 415(a)(4) of the Securities Act, to our thought a market maker or into an existing trading market, on an exchange or otherwise, in forward contracts of similar arrangements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94"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9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0"/>
          </w:cols>
          <w:pgMar w:left="440" w:top="293" w:right="479" w:bottom="1440" w:gutter="0" w:footer="0" w:header="0"/>
        </w:sectPr>
      </w:pPr>
    </w:p>
    <w:bookmarkStart w:id="142" w:name="page143"/>
    <w:bookmarkEnd w:id="142"/>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securities offered hereby will be passed upon for us by Simpson Thacher &amp; Bartlett LLP, Washington, D.C. Certain legal matters in connection with the offering will be passed upon for the underwriters, if any, by the counsel named in the prospectus supplement.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440" w:top="297" w:right="47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EXPERTS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Sixth Street Specialty Lending, Inc. (and subsidiaries) as of December 31, 2022 and 2021, and for each of the years in the three-year period ended December 31, 2022 and the Senior Securities table covering the last ten fiscal years ended December 31, 2022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respectively, and upon the authority of said firm as experts in accounting and auditing.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93" w:right="459" w:bottom="1440" w:gutter="0" w:footer="0" w:header="0"/>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AVAILABLE INFORMATION</w:t>
      </w:r>
    </w:p>
    <w:p>
      <w:pPr>
        <w:spacing w:after="0" w:line="229"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file with or submit to the SEC periodic and current reports, proxy statements and other information meeting the informational requirements of the Exchange Act.</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maintain a website at https://sixthstreetspecialtylending.com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41st Floor, New York, NY 10106, Attention: TSLX Investor Relations, or by emailing us at IRTSLX@sixthstreet.com.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Voting Policies and Procedures</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You may obtain information about how the Adviser voted proxies, free of charge, by making a written request for proxy voting information to: Sixth Street Specialty Lending Advisers, 888 7th Avenue, 41st Floor, New York, NY 10106, Attention: TSLX Investor Relations, or by emailing us at IRTSLX@sixthstreet.com. The SEC also maintains a website at http://www.sec.gov that contains such information.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right="26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93" w:lineRule="exact"/>
        <w:rPr>
          <w:sz w:val="20"/>
          <w:szCs w:val="20"/>
          <w:color w:val="auto"/>
        </w:rPr>
      </w:pPr>
    </w:p>
    <w:p>
      <w:pPr>
        <w:jc w:val="both"/>
        <w:ind w:left="960" w:right="200" w:hanging="532"/>
        <w:spacing w:after="0" w:line="266" w:lineRule="auto"/>
        <w:tabs>
          <w:tab w:leader="none" w:pos="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2022, filed with the SEC on February 16, 2023, including the information specifically incorporated by reference into the Form 10-K from our </w:t>
      </w:r>
      <w:hyperlink r:id="rId178">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relating to our 2023 Annual Meeting of Stockholders, filed with the SEC on April 13, 2023;</w:t>
      </w:r>
    </w:p>
    <w:p>
      <w:pPr>
        <w:spacing w:after="0" w:line="81"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9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three months ended March 31, 2023, filed with the SEC on </w:t>
      </w:r>
      <w:hyperlink r:id="rId58">
        <w:r>
          <w:rPr>
            <w:rFonts w:ascii="Times New Roman" w:cs="Times New Roman" w:eastAsia="Times New Roman" w:hAnsi="Times New Roman"/>
            <w:sz w:val="18"/>
            <w:szCs w:val="18"/>
            <w:u w:val="single" w:color="auto"/>
            <w:color w:val="0000EE"/>
          </w:rPr>
          <w:t>May 8, 2023</w:t>
        </w:r>
      </w:hyperlink>
      <w:r>
        <w:rPr>
          <w:rFonts w:ascii="Times New Roman" w:cs="Times New Roman" w:eastAsia="Times New Roman" w:hAnsi="Times New Roman"/>
          <w:sz w:val="18"/>
          <w:szCs w:val="18"/>
          <w:color w:val="auto"/>
        </w:rPr>
        <w:t xml:space="preserve">, for the three months ended June 30, 2023, filed with the SEC on </w:t>
      </w:r>
      <w:hyperlink r:id="rId59">
        <w:r>
          <w:rPr>
            <w:rFonts w:ascii="Times New Roman" w:cs="Times New Roman" w:eastAsia="Times New Roman" w:hAnsi="Times New Roman"/>
            <w:sz w:val="18"/>
            <w:szCs w:val="18"/>
            <w:u w:val="single" w:color="auto"/>
            <w:color w:val="0000EE"/>
          </w:rPr>
          <w:t>August 3, 2023</w:t>
        </w:r>
      </w:hyperlink>
      <w:r>
        <w:rPr>
          <w:rFonts w:ascii="Times New Roman" w:cs="Times New Roman" w:eastAsia="Times New Roman" w:hAnsi="Times New Roman"/>
          <w:sz w:val="18"/>
          <w:szCs w:val="18"/>
          <w:color w:val="auto"/>
        </w:rPr>
        <w:t xml:space="preserve">, and for the three months ended September 30, 2023, filed with the SEC on </w:t>
      </w:r>
      <w:hyperlink r:id="rId60">
        <w:r>
          <w:rPr>
            <w:rFonts w:ascii="Times New Roman" w:cs="Times New Roman" w:eastAsia="Times New Roman" w:hAnsi="Times New Roman"/>
            <w:sz w:val="18"/>
            <w:szCs w:val="18"/>
            <w:u w:val="single" w:color="auto"/>
            <w:color w:val="0000EE"/>
          </w:rPr>
          <w:t>November 2, 2023</w:t>
        </w:r>
      </w:hyperlink>
      <w:r>
        <w:rPr>
          <w:rFonts w:ascii="Times New Roman" w:cs="Times New Roman" w:eastAsia="Times New Roman" w:hAnsi="Times New Roman"/>
          <w:sz w:val="18"/>
          <w:szCs w:val="18"/>
          <w:color w:val="000000"/>
        </w:rPr>
        <w:t>;</w:t>
      </w:r>
    </w:p>
    <w:p>
      <w:pPr>
        <w:spacing w:after="0" w:line="10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0"/>
          </w:cols>
          <w:pgMar w:left="440" w:top="293" w:right="479" w:bottom="1440" w:gutter="0" w:footer="0" w:header="0"/>
        </w:sectPr>
      </w:pPr>
    </w:p>
    <w:bookmarkStart w:id="145" w:name="page146"/>
    <w:bookmarkEnd w:id="145"/>
    <w:p>
      <w:pPr>
        <w:ind w:left="960" w:right="460" w:hanging="532"/>
        <w:spacing w:after="0" w:line="282" w:lineRule="auto"/>
        <w:tabs>
          <w:tab w:leader="none" w:pos="960" w:val="left"/>
        </w:tabs>
        <w:numPr>
          <w:ilvl w:val="0"/>
          <w:numId w:val="9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Our Current Reports on Form 8-K, filed with the SEC on </w:t>
      </w:r>
      <w:hyperlink r:id="rId61">
        <w:r>
          <w:rPr>
            <w:rFonts w:ascii="Times New Roman" w:cs="Times New Roman" w:eastAsia="Times New Roman" w:hAnsi="Times New Roman"/>
            <w:sz w:val="18"/>
            <w:szCs w:val="18"/>
            <w:u w:val="single" w:color="auto"/>
            <w:color w:val="0000EE"/>
          </w:rPr>
          <w:t>May 15, 2023</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May 26, 2023</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June 12, 2023</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June 13, 2023</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July 14, 2023</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July 17,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7">
        <w:r>
          <w:rPr>
            <w:rFonts w:ascii="Times New Roman" w:cs="Times New Roman" w:eastAsia="Times New Roman" w:hAnsi="Times New Roman"/>
            <w:sz w:val="18"/>
            <w:szCs w:val="18"/>
            <w:u w:val="single" w:color="auto"/>
            <w:color w:val="0000EE"/>
          </w:rPr>
          <w:t xml:space="preserve">August 10,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8">
        <w:r>
          <w:rPr>
            <w:rFonts w:ascii="Times New Roman" w:cs="Times New Roman" w:eastAsia="Times New Roman" w:hAnsi="Times New Roman"/>
            <w:sz w:val="18"/>
            <w:szCs w:val="18"/>
            <w:u w:val="single" w:color="auto"/>
            <w:color w:val="0000EE"/>
          </w:rPr>
          <w:t>August 14,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960" w:right="60" w:hanging="532"/>
        <w:spacing w:after="0" w:line="266" w:lineRule="auto"/>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18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001-36364), as filed with the SEC on March 19, 2014, including any amendment or report filed for the purpose of updating such description prior to the termination of the offering of the common stock registered hereby.</w:t>
      </w:r>
    </w:p>
    <w:p>
      <w:pPr>
        <w:spacing w:after="0" w:line="176" w:lineRule="exact"/>
        <w:rPr>
          <w:rFonts w:ascii="Times New Roman" w:cs="Times New Roman" w:eastAsia="Times New Roman" w:hAnsi="Times New Roman"/>
          <w:sz w:val="18"/>
          <w:szCs w:val="18"/>
          <w:color w:val="0000EE"/>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7" w:lineRule="exact"/>
        <w:rPr>
          <w:rFonts w:ascii="Times New Roman" w:cs="Times New Roman" w:eastAsia="Times New Roman" w:hAnsi="Times New Roman"/>
          <w:sz w:val="18"/>
          <w:szCs w:val="18"/>
          <w:color w:val="0000EE"/>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76"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888 7th Avenue, 41st Floor</w:t>
      </w:r>
    </w:p>
    <w:p>
      <w:pPr>
        <w:spacing w:after="0" w:line="31"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NY 10106</w:t>
      </w:r>
    </w:p>
    <w:p>
      <w:pPr>
        <w:spacing w:after="0" w:line="27"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TSLX Investor Relations</w:t>
      </w:r>
    </w:p>
    <w:p>
      <w:pPr>
        <w:spacing w:after="0" w:line="23"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IRTSLX@sixthstreet.com.</w:t>
      </w:r>
    </w:p>
    <w:p>
      <w:pPr>
        <w:spacing w:after="0" w:line="220" w:lineRule="exact"/>
        <w:rPr>
          <w:rFonts w:ascii="Times New Roman" w:cs="Times New Roman" w:eastAsia="Times New Roman" w:hAnsi="Times New Roman"/>
          <w:sz w:val="18"/>
          <w:szCs w:val="18"/>
          <w:color w:val="0000EE"/>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Times New Roman" w:cs="Times New Roman" w:eastAsia="Times New Roman" w:hAnsi="Times New Roman"/>
          <w:sz w:val="18"/>
          <w:szCs w:val="18"/>
          <w:color w:val="0000EE"/>
        </w:rPr>
      </w:pPr>
    </w:p>
    <w:p>
      <w:pPr>
        <w:spacing w:after="0" w:line="280" w:lineRule="exact"/>
        <w:rPr>
          <w:rFonts w:ascii="Times New Roman" w:cs="Times New Roman" w:eastAsia="Times New Roman" w:hAnsi="Times New Roman"/>
          <w:sz w:val="18"/>
          <w:szCs w:val="18"/>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80"/>
          </w:cols>
          <w:pgMar w:left="440" w:top="297" w:right="479" w:bottom="1440" w:gutter="0" w:footer="0" w:header="0"/>
        </w:sectPr>
      </w:pPr>
    </w:p>
    <w:bookmarkStart w:id="146" w:name="page147"/>
    <w:bookmarkEnd w:id="146"/>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t>$350,000,000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344170</wp:posOffset>
            </wp:positionV>
            <wp:extent cx="1440180" cy="4800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6.125%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418465</wp:posOffset>
            </wp:positionV>
            <wp:extent cx="1474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243840</wp:posOffset>
            </wp:positionV>
            <wp:extent cx="1474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ectPr>
          <w:pgSz w:w="11900" w:h="16838" w:orient="portrait"/>
          <w:cols w:equalWidth="0" w:num="1">
            <w:col w:w="11020"/>
          </w:cols>
          <w:pgMar w:left="440" w:top="844" w:right="439" w:bottom="1440" w:gutter="0" w:footer="0" w:header="0"/>
        </w:sectPr>
      </w:pP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BofA Securities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J.P. Morgan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SMBC Nikko</w:t>
      </w:r>
    </w:p>
    <w:p>
      <w:pPr>
        <w:spacing w:after="0" w:line="51" w:lineRule="exact"/>
        <w:rPr>
          <w:sz w:val="20"/>
          <w:szCs w:val="20"/>
          <w:color w:val="auto"/>
        </w:rPr>
      </w:pPr>
    </w:p>
    <w:p>
      <w:pPr>
        <w:sectPr>
          <w:pgSz w:w="11900" w:h="16838" w:orient="portrait"/>
          <w:cols w:equalWidth="0" w:num="4">
            <w:col w:w="2380" w:space="720"/>
            <w:col w:w="3900" w:space="720"/>
            <w:col w:w="1220" w:space="720"/>
            <w:col w:w="1360"/>
          </w:cols>
          <w:pgMar w:left="440" w:top="844" w:right="43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21"/>
          <w:szCs w:val="21"/>
          <w:b w:val="1"/>
          <w:bCs w:val="1"/>
          <w:color w:val="auto"/>
        </w:rPr>
        <w:t>Morgan Stanley</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Citigroup</w:t>
      </w:r>
    </w:p>
    <w:p>
      <w:pPr>
        <w:spacing w:after="0" w:line="20" w:lineRule="exact"/>
        <w:rPr>
          <w:sz w:val="20"/>
          <w:szCs w:val="20"/>
          <w:color w:val="auto"/>
        </w:rPr>
      </w:pPr>
      <w:r>
        <w:rPr>
          <w:sz w:val="20"/>
          <w:szCs w:val="20"/>
          <w:color w:val="auto"/>
        </w:rPr>
        <w:br w:type="column"/>
      </w:r>
    </w:p>
    <w:p>
      <w:pPr>
        <w:jc w:val="center"/>
        <w:ind w:right="720"/>
        <w:spacing w:after="0"/>
        <w:rPr>
          <w:sz w:val="20"/>
          <w:szCs w:val="20"/>
          <w:color w:val="auto"/>
        </w:rPr>
      </w:pPr>
      <w:r>
        <w:rPr>
          <w:rFonts w:ascii="Times New Roman" w:cs="Times New Roman" w:eastAsia="Times New Roman" w:hAnsi="Times New Roman"/>
          <w:sz w:val="21"/>
          <w:szCs w:val="21"/>
          <w:b w:val="1"/>
          <w:bCs w:val="1"/>
          <w:color w:val="auto"/>
        </w:rPr>
        <w:t>RBC Capital Markets</w:t>
      </w:r>
    </w:p>
    <w:p>
      <w:pPr>
        <w:spacing w:after="0" w:line="4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22"/>
          <w:szCs w:val="22"/>
          <w:b w:val="1"/>
          <w:bCs w:val="1"/>
          <w:color w:val="auto"/>
        </w:rPr>
        <w:t>Truist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HSBC</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Mizuho</w:t>
      </w:r>
    </w:p>
    <w:p>
      <w:pPr>
        <w:spacing w:after="0" w:line="20" w:lineRule="exact"/>
        <w:rPr>
          <w:sz w:val="20"/>
          <w:szCs w:val="20"/>
          <w:color w:val="auto"/>
        </w:rPr>
      </w:pPr>
      <w:r>
        <w:rPr>
          <w:sz w:val="20"/>
          <w:szCs w:val="20"/>
          <w:color w:val="auto"/>
        </w:rPr>
        <w:br w:type="column"/>
      </w:r>
    </w:p>
    <w:p>
      <w:pPr>
        <w:jc w:val="right"/>
        <w:ind w:right="400"/>
        <w:spacing w:after="0" w:line="300" w:lineRule="auto"/>
        <w:rPr>
          <w:sz w:val="20"/>
          <w:szCs w:val="20"/>
          <w:color w:val="auto"/>
        </w:rPr>
      </w:pPr>
      <w:r>
        <w:rPr>
          <w:rFonts w:ascii="Times New Roman" w:cs="Times New Roman" w:eastAsia="Times New Roman" w:hAnsi="Times New Roman"/>
          <w:sz w:val="22"/>
          <w:szCs w:val="22"/>
          <w:b w:val="1"/>
          <w:bCs w:val="1"/>
          <w:color w:val="auto"/>
        </w:rPr>
        <w:t>Wells Fargo Securities MUFG</w:t>
      </w:r>
    </w:p>
    <w:p>
      <w:pPr>
        <w:spacing w:after="0" w:line="2" w:lineRule="exact"/>
        <w:rPr>
          <w:sz w:val="20"/>
          <w:szCs w:val="20"/>
          <w:color w:val="auto"/>
        </w:rPr>
      </w:pPr>
    </w:p>
    <w:p>
      <w:pPr>
        <w:sectPr>
          <w:pgSz w:w="11900" w:h="16838" w:orient="portrait"/>
          <w:cols w:equalWidth="0" w:num="5">
            <w:col w:w="2620" w:space="720"/>
            <w:col w:w="2760" w:space="720"/>
            <w:col w:w="580" w:space="240"/>
            <w:col w:w="700" w:space="160"/>
            <w:col w:w="2520"/>
          </w:cols>
          <w:pgMar w:left="440" w:top="844"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21"/>
          <w:szCs w:val="21"/>
          <w:i w:val="1"/>
          <w:iCs w:val="1"/>
          <w:color w:val="auto"/>
        </w:rPr>
        <w:t>Co-Managers</w:t>
      </w:r>
    </w:p>
    <w:p>
      <w:pPr>
        <w:sectPr>
          <w:pgSz w:w="11900" w:h="16838" w:orient="portrait"/>
          <w:cols w:equalWidth="0" w:num="1">
            <w:col w:w="11020"/>
          </w:cols>
          <w:pgMar w:left="440" w:top="844" w:right="439" w:bottom="1440" w:gutter="0" w:footer="0" w:header="0"/>
          <w:type w:val="continuous"/>
        </w:sectPr>
      </w:pPr>
    </w:p>
    <w:p>
      <w:pPr>
        <w:spacing w:after="0" w:line="1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Keefe, Bruyette &amp; Woods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Oppenheimer &amp; Co.</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ICBC Standard Bank</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Raymond James</w:t>
      </w:r>
    </w:p>
    <w:p>
      <w:pPr>
        <w:spacing w:after="0" w:line="43" w:lineRule="exact"/>
        <w:rPr>
          <w:sz w:val="20"/>
          <w:szCs w:val="20"/>
          <w:color w:val="auto"/>
        </w:rPr>
      </w:pPr>
    </w:p>
    <w:p>
      <w:pPr>
        <w:sectPr>
          <w:pgSz w:w="11900" w:h="16838" w:orient="portrait"/>
          <w:cols w:equalWidth="0" w:num="4">
            <w:col w:w="3120" w:space="720"/>
            <w:col w:w="2260" w:space="720"/>
            <w:col w:w="1960" w:space="720"/>
            <w:col w:w="1520"/>
          </w:cols>
          <w:pgMar w:left="440" w:top="844" w:right="43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4"/>
          <w:szCs w:val="14"/>
          <w:i w:val="1"/>
          <w:iCs w:val="1"/>
          <w:color w:val="auto"/>
        </w:rPr>
        <w:t>A Stifel Company</w:t>
      </w:r>
    </w:p>
    <w:p>
      <w:pPr>
        <w:sectPr>
          <w:pgSz w:w="11900" w:h="16838" w:orient="portrait"/>
          <w:cols w:equalWidth="0" w:num="1">
            <w:col w:w="11020"/>
          </w:cols>
          <w:pgMar w:left="440" w:top="844" w:right="439" w:bottom="1440" w:gutter="0" w:footer="0" w:header="0"/>
          <w:type w:val="continuous"/>
        </w:sectPr>
      </w:pP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B. Riley Securities</w:t>
      </w:r>
    </w:p>
    <w:p>
      <w:pPr>
        <w:spacing w:after="0" w:line="20" w:lineRule="exact"/>
        <w:rPr>
          <w:sz w:val="20"/>
          <w:szCs w:val="20"/>
          <w:color w:val="auto"/>
        </w:rPr>
      </w:pPr>
      <w:r>
        <w:rPr>
          <w:sz w:val="20"/>
          <w:szCs w:val="20"/>
          <w:color w:val="auto"/>
        </w:rPr>
        <w:br w:type="column"/>
      </w:r>
    </w:p>
    <w:p>
      <w:pPr>
        <w:jc w:val="center"/>
        <w:ind w:right="7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Citizens Capital Markets</w:t>
      </w:r>
      <w:r>
        <w:rPr>
          <w:sz w:val="20"/>
          <w:szCs w:val="20"/>
          <w:color w:val="auto"/>
        </w:rPr>
        <w:tab/>
      </w:r>
      <w:r>
        <w:rPr>
          <w:rFonts w:ascii="Times New Roman" w:cs="Times New Roman" w:eastAsia="Times New Roman" w:hAnsi="Times New Roman"/>
          <w:sz w:val="17"/>
          <w:szCs w:val="17"/>
          <w:b w:val="1"/>
          <w:bCs w:val="1"/>
          <w:color w:val="auto"/>
        </w:rPr>
        <w:t>Hovde Group, LLC</w:t>
      </w:r>
    </w:p>
    <w:p>
      <w:pPr>
        <w:spacing w:after="0" w:line="6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R. Seelaus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414020</wp:posOffset>
            </wp:positionV>
            <wp:extent cx="1474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Ladenburg Thalmann</w:t>
      </w:r>
    </w:p>
    <w:p>
      <w:pPr>
        <w:spacing w:after="0" w:line="481" w:lineRule="exact"/>
        <w:rPr>
          <w:sz w:val="20"/>
          <w:szCs w:val="20"/>
          <w:color w:val="auto"/>
        </w:rPr>
      </w:pPr>
    </w:p>
    <w:p>
      <w:pPr>
        <w:sectPr>
          <w:pgSz w:w="11900" w:h="16838" w:orient="portrait"/>
          <w:cols w:equalWidth="0" w:num="3">
            <w:col w:w="2300" w:space="720"/>
            <w:col w:w="5580" w:space="720"/>
            <w:col w:w="1700"/>
          </w:cols>
          <w:pgMar w:left="440" w:top="84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January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464185</wp:posOffset>
            </wp:positionV>
            <wp:extent cx="6995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532765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844" w:right="439" w:bottom="1440" w:gutter="0" w:footer="0" w:header="0"/>
          <w:type w:val="continuous"/>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024"/>
        <w:spacing w:after="0"/>
        <w:rPr>
          <w:sz w:val="20"/>
          <w:szCs w:val="20"/>
          <w:color w:val="auto"/>
        </w:rPr>
      </w:pPr>
      <w:r>
        <w:rPr>
          <w:rFonts w:ascii="Times New Roman" w:cs="Times New Roman" w:eastAsia="Times New Roman" w:hAnsi="Times New Roman"/>
          <w:sz w:val="18"/>
          <w:szCs w:val="18"/>
          <w:b w:val="1"/>
          <w:bCs w:val="1"/>
          <w:color w:val="auto"/>
        </w:rPr>
        <w:t>Form 424B2</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37"/>
        </w:trPr>
        <w:tc>
          <w:tcPr>
            <w:tcW w:w="960" w:type="dxa"/>
            <w:vAlign w:val="bottom"/>
            <w:tcBorders>
              <w:top w:val="single" w:sz="8" w:color="auto"/>
              <w:left w:val="single" w:sz="8" w:color="auto"/>
              <w:right w:val="single" w:sz="8" w:color="auto"/>
            </w:tcBorders>
          </w:tcPr>
          <w:p>
            <w:pPr>
              <w:spacing w:after="0"/>
              <w:rPr>
                <w:sz w:val="11"/>
                <w:szCs w:val="11"/>
                <w:color w:val="auto"/>
              </w:rPr>
            </w:pPr>
          </w:p>
        </w:tc>
        <w:tc>
          <w:tcPr>
            <w:tcW w:w="620" w:type="dxa"/>
            <w:vAlign w:val="bottom"/>
            <w:tcBorders>
              <w:top w:val="single" w:sz="8" w:color="auto"/>
              <w:right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0" w:type="dxa"/>
            <w:vAlign w:val="bottom"/>
            <w:tcBorders>
              <w:top w:val="single" w:sz="8" w:color="auto"/>
              <w:right w:val="single" w:sz="8" w:color="auto"/>
            </w:tcBorders>
          </w:tcPr>
          <w:p>
            <w:pPr>
              <w:spacing w:after="0"/>
              <w:rPr>
                <w:sz w:val="11"/>
                <w:szCs w:val="11"/>
                <w:color w:val="auto"/>
              </w:rPr>
            </w:pPr>
          </w:p>
        </w:tc>
        <w:tc>
          <w:tcPr>
            <w:tcW w:w="10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Fee</w:t>
            </w:r>
          </w:p>
        </w:tc>
        <w:tc>
          <w:tcPr>
            <w:tcW w:w="118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jc w:val="center"/>
              <w:ind w:left="5"/>
              <w:spacing w:after="0" w:line="137" w:lineRule="exact"/>
              <w:rPr>
                <w:sz w:val="20"/>
                <w:szCs w:val="20"/>
                <w:color w:val="auto"/>
              </w:rPr>
            </w:pPr>
            <w:r>
              <w:rPr>
                <w:rFonts w:ascii="Times New Roman" w:cs="Times New Roman" w:eastAsia="Times New Roman" w:hAnsi="Times New Roman"/>
                <w:sz w:val="14"/>
                <w:szCs w:val="14"/>
                <w:b w:val="1"/>
                <w:bCs w:val="1"/>
                <w:color w:val="auto"/>
              </w:rPr>
              <w:t>Proposed</w:t>
            </w:r>
          </w:p>
        </w:tc>
        <w:tc>
          <w:tcPr>
            <w:tcW w:w="1200" w:type="dxa"/>
            <w:vAlign w:val="bottom"/>
            <w:tcBorders>
              <w:top w:val="single" w:sz="8" w:color="auto"/>
              <w:right w:val="single" w:sz="8" w:color="auto"/>
            </w:tcBorders>
          </w:tcPr>
          <w:p>
            <w:pPr>
              <w:spacing w:after="0"/>
              <w:rPr>
                <w:sz w:val="11"/>
                <w:szCs w:val="11"/>
                <w:color w:val="auto"/>
              </w:rPr>
            </w:pPr>
          </w:p>
        </w:tc>
        <w:tc>
          <w:tcPr>
            <w:tcW w:w="118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Borders>
              <w:right w:val="single" w:sz="8" w:color="auto"/>
            </w:tcBorders>
            <w:vMerge w:val="restart"/>
          </w:tcPr>
          <w:p>
            <w:pPr>
              <w:jc w:val="center"/>
              <w:ind w:right="681"/>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00" w:type="dxa"/>
            <w:vAlign w:val="bottom"/>
            <w:tcBorders>
              <w:right w:val="single" w:sz="8" w:color="auto"/>
            </w:tcBorders>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1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20" w:type="dxa"/>
            <w:vAlign w:val="bottom"/>
          </w:tcPr>
          <w:p>
            <w:pPr>
              <w:spacing w:after="0"/>
              <w:rPr>
                <w:sz w:val="12"/>
                <w:szCs w:val="12"/>
                <w:color w:val="auto"/>
              </w:rPr>
            </w:pPr>
          </w:p>
        </w:tc>
        <w:tc>
          <w:tcPr>
            <w:tcW w:w="200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0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Borders>
              <w:right w:val="single" w:sz="8" w:color="auto"/>
            </w:tcBorders>
          </w:tcPr>
          <w:p>
            <w:pPr>
              <w:jc w:val="center"/>
              <w:ind w:right="681"/>
              <w:spacing w:after="0" w:line="149" w:lineRule="exact"/>
              <w:rPr>
                <w:sz w:val="20"/>
                <w:szCs w:val="20"/>
                <w:color w:val="auto"/>
              </w:rPr>
            </w:pPr>
            <w:r>
              <w:rPr>
                <w:rFonts w:ascii="Times New Roman" w:cs="Times New Roman" w:eastAsia="Times New Roman" w:hAnsi="Times New Roman"/>
                <w:sz w:val="14"/>
                <w:szCs w:val="14"/>
                <w:b w:val="1"/>
                <w:bCs w:val="1"/>
                <w:color w:val="auto"/>
              </w:rPr>
              <w:t>Class</w:t>
            </w: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18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180" w:type="dxa"/>
            <w:vAlign w:val="bottom"/>
            <w:tcBorders>
              <w:right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20" w:type="dxa"/>
            <w:vAlign w:val="bottom"/>
            <w:tcBorders>
              <w:right w:val="single" w:sz="8" w:color="auto"/>
            </w:tcBorders>
          </w:tcPr>
          <w:p>
            <w:pPr>
              <w:jc w:val="right"/>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Type</w:t>
            </w:r>
          </w:p>
        </w:tc>
        <w:tc>
          <w:tcPr>
            <w:tcW w:w="820" w:type="dxa"/>
            <w:vAlign w:val="bottom"/>
            <w:tcBorders>
              <w:bottom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jc w:val="center"/>
              <w:ind w:right="68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1020" w:type="dxa"/>
            <w:vAlign w:val="bottom"/>
            <w:tcBorders>
              <w:bottom w:val="single" w:sz="8" w:color="auto"/>
              <w:right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Fee(1)</w:t>
            </w:r>
          </w:p>
        </w:tc>
        <w:tc>
          <w:tcPr>
            <w:tcW w:w="0" w:type="dxa"/>
            <w:vAlign w:val="bottom"/>
          </w:tcPr>
          <w:p>
            <w:pPr>
              <w:spacing w:after="0"/>
              <w:rPr>
                <w:sz w:val="1"/>
                <w:szCs w:val="1"/>
                <w:color w:val="auto"/>
              </w:rPr>
            </w:pPr>
          </w:p>
        </w:tc>
      </w:tr>
      <w:tr>
        <w:trPr>
          <w:trHeight w:val="191"/>
        </w:trPr>
        <w:tc>
          <w:tcPr>
            <w:tcW w:w="9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Fees to</w:t>
            </w:r>
          </w:p>
        </w:tc>
        <w:tc>
          <w:tcPr>
            <w:tcW w:w="62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2000" w:type="dxa"/>
            <w:vAlign w:val="bottom"/>
            <w:tcBorders>
              <w:right w:val="single" w:sz="8" w:color="auto"/>
            </w:tcBorders>
          </w:tcPr>
          <w:p>
            <w:pPr>
              <w:jc w:val="center"/>
              <w:ind w:right="741"/>
              <w:spacing w:after="0" w:line="191" w:lineRule="exact"/>
              <w:rPr>
                <w:sz w:val="20"/>
                <w:szCs w:val="20"/>
                <w:color w:val="auto"/>
              </w:rPr>
            </w:pPr>
            <w:r>
              <w:rPr>
                <w:rFonts w:ascii="Times New Roman" w:cs="Times New Roman" w:eastAsia="Times New Roman" w:hAnsi="Times New Roman"/>
                <w:sz w:val="18"/>
                <w:szCs w:val="18"/>
                <w:color w:val="auto"/>
                <w:w w:val="99"/>
              </w:rPr>
              <w:t>6.125% Notes</w:t>
            </w:r>
          </w:p>
        </w:tc>
        <w:tc>
          <w:tcPr>
            <w:tcW w:w="10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 Paid</w:t>
            </w:r>
          </w:p>
        </w:tc>
        <w:tc>
          <w:tcPr>
            <w:tcW w:w="620" w:type="dxa"/>
            <w:vAlign w:val="bottom"/>
            <w:tcBorders>
              <w:bottom w:val="single" w:sz="8" w:color="auto"/>
              <w:right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Debt</w:t>
            </w:r>
          </w:p>
        </w:tc>
        <w:tc>
          <w:tcPr>
            <w:tcW w:w="82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jc w:val="center"/>
              <w:ind w:right="741"/>
              <w:spacing w:after="0"/>
              <w:rPr>
                <w:sz w:val="20"/>
                <w:szCs w:val="20"/>
                <w:color w:val="auto"/>
              </w:rPr>
            </w:pPr>
            <w:r>
              <w:rPr>
                <w:rFonts w:ascii="Times New Roman" w:cs="Times New Roman" w:eastAsia="Times New Roman" w:hAnsi="Times New Roman"/>
                <w:sz w:val="18"/>
                <w:szCs w:val="18"/>
                <w:color w:val="auto"/>
                <w:w w:val="99"/>
              </w:rPr>
              <w:t>due 2029</w:t>
            </w:r>
          </w:p>
        </w:tc>
        <w:tc>
          <w:tcPr>
            <w:tcW w:w="1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Rule 457(o)</w:t>
            </w:r>
          </w:p>
        </w:tc>
        <w:tc>
          <w:tcPr>
            <w:tcW w:w="1180" w:type="dxa"/>
            <w:vAlign w:val="bottom"/>
            <w:tcBorders>
              <w:bottom w:val="single" w:sz="8" w:color="auto"/>
              <w:right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$350,000,000</w:t>
            </w:r>
          </w:p>
        </w:tc>
        <w:tc>
          <w:tcPr>
            <w:tcW w:w="860" w:type="dxa"/>
            <w:vAlign w:val="bottom"/>
            <w:tcBorders>
              <w:bottom w:val="single" w:sz="8" w:color="auto"/>
              <w:right w:val="single" w:sz="8" w:color="auto"/>
            </w:tcBorders>
          </w:tcPr>
          <w:p>
            <w:pPr>
              <w:jc w:val="right"/>
              <w:ind w:right="25"/>
              <w:spacing w:after="0"/>
              <w:rPr>
                <w:sz w:val="20"/>
                <w:szCs w:val="20"/>
                <w:color w:val="auto"/>
              </w:rPr>
            </w:pPr>
            <w:r>
              <w:rPr>
                <w:rFonts w:ascii="Times New Roman" w:cs="Times New Roman" w:eastAsia="Times New Roman" w:hAnsi="Times New Roman"/>
                <w:sz w:val="18"/>
                <w:szCs w:val="18"/>
                <w:color w:val="auto"/>
              </w:rPr>
              <w:t>99.036%</w:t>
            </w:r>
          </w:p>
        </w:tc>
        <w:tc>
          <w:tcPr>
            <w:tcW w:w="120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$346,626,000</w:t>
            </w:r>
          </w:p>
        </w:tc>
        <w:tc>
          <w:tcPr>
            <w:tcW w:w="11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$0.00014760</w:t>
            </w:r>
          </w:p>
        </w:tc>
        <w:tc>
          <w:tcPr>
            <w:tcW w:w="10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$51,162.00</w:t>
            </w:r>
          </w:p>
        </w:tc>
        <w:tc>
          <w:tcPr>
            <w:tcW w:w="0" w:type="dxa"/>
            <w:vAlign w:val="bottom"/>
          </w:tcPr>
          <w:p>
            <w:pPr>
              <w:spacing w:after="0"/>
              <w:rPr>
                <w:sz w:val="1"/>
                <w:szCs w:val="1"/>
                <w:color w:val="auto"/>
              </w:rPr>
            </w:pPr>
          </w:p>
        </w:tc>
      </w:tr>
      <w:tr>
        <w:trPr>
          <w:trHeight w:val="191"/>
        </w:trPr>
        <w:tc>
          <w:tcPr>
            <w:tcW w:w="9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Carry</w:t>
            </w:r>
          </w:p>
        </w:tc>
        <w:tc>
          <w:tcPr>
            <w:tcW w:w="62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Forward</w:t>
            </w:r>
          </w:p>
        </w:tc>
        <w:tc>
          <w:tcPr>
            <w:tcW w:w="6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6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34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0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$346,626,000</w:t>
            </w:r>
          </w:p>
        </w:tc>
        <w:tc>
          <w:tcPr>
            <w:tcW w:w="11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$51,162.00</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34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10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20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20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$51,162.00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60" w:hanging="424"/>
        <w:spacing w:after="0" w:line="282" w:lineRule="auto"/>
        <w:tabs>
          <w:tab w:leader="none" w:pos="42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457(o), based on the proposed maximum aggregate offering price, and Rule 457(r) under the Securities Act of 1933, as amended (the “Securities Act”).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decimal"/>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1)"/>
      <w:numFmt w:val="decimal"/>
      <w:start w:val="1"/>
    </w:lvl>
  </w:abstractNum>
  <w:abstractNum w:abstractNumId="9">
    <w:nsid w:val="75C6C33A"/>
    <w:multiLevelType w:val="hybridMultilevel"/>
    <w:lvl w:ilvl="0">
      <w:lvlJc w:val="left"/>
      <w:lvlText w:val="(%1)"/>
      <w:numFmt w:val="decimal"/>
      <w:start w:val="1"/>
    </w:lvl>
  </w:abstractNum>
  <w:abstractNum w:abstractNumId="10">
    <w:nsid w:val="12E685FB"/>
    <w:multiLevelType w:val="hybridMultilevel"/>
    <w:lvl w:ilvl="0">
      <w:lvlJc w:val="left"/>
      <w:lvlText w:val="(%1)"/>
      <w:numFmt w:val="decimal"/>
      <w:start w:val="1"/>
    </w:lvl>
  </w:abstractNum>
  <w:abstractNum w:abstractNumId="11">
    <w:nsid w:val="70C6A529"/>
    <w:multiLevelType w:val="hybridMultilevel"/>
    <w:lvl w:ilvl="0">
      <w:lvlJc w:val="left"/>
      <w:lvlText w:val="(%1)"/>
      <w:numFmt w:val="decimal"/>
      <w:start w:val="3"/>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1)"/>
      <w:numFmt w:val="decimal"/>
      <w:start w:val="1"/>
    </w:lvl>
  </w:abstractNum>
  <w:abstractNum w:abstractNumId="16">
    <w:nsid w:val="649BB77C"/>
    <w:multiLevelType w:val="hybridMultilevel"/>
    <w:lvl w:ilvl="0">
      <w:lvlJc w:val="left"/>
      <w:lvlText w:val="(%1)"/>
      <w:numFmt w:val="lowerRoman"/>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1)"/>
      <w:numFmt w:val="lowerLetter"/>
      <w:start w:val="2"/>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1)"/>
      <w:numFmt w:val="decimal"/>
      <w:start w:val="1"/>
    </w:lvl>
  </w:abstractNum>
  <w:abstractNum w:abstractNumId="39">
    <w:nsid w:val="1F48EAA1"/>
    <w:multiLevelType w:val="hybridMultilevel"/>
    <w:lvl w:ilvl="0">
      <w:lvlJc w:val="left"/>
      <w:lvlText w:val="(%1)"/>
      <w:numFmt w:val="decimal"/>
      <w:start w:val="6"/>
    </w:lvl>
  </w:abstractNum>
  <w:abstractNum w:abstractNumId="40">
    <w:nsid w:val="1381823A"/>
    <w:multiLevelType w:val="hybridMultilevel"/>
    <w:lvl w:ilvl="0">
      <w:lvlJc w:val="left"/>
      <w:lvlText w:val="(%1)"/>
      <w:numFmt w:val="lowerRoman"/>
      <w:start w:val="2"/>
    </w:lvl>
  </w:abstractNum>
  <w:abstractNum w:abstractNumId="41">
    <w:nsid w:val="5DB70AE5"/>
    <w:multiLevelType w:val="hybridMultilevel"/>
    <w:lvl w:ilvl="0">
      <w:lvlJc w:val="left"/>
      <w:lvlText w:val="(%1)"/>
      <w:numFmt w:val="decimal"/>
      <w:start w:val="7"/>
    </w:lvl>
  </w:abstractNum>
  <w:abstractNum w:abstractNumId="42">
    <w:nsid w:val="100F8FCA"/>
    <w:multiLevelType w:val="hybridMultilevel"/>
    <w:lvl w:ilvl="0">
      <w:lvlJc w:val="left"/>
      <w:lvlText w:val="(%1)"/>
      <w:numFmt w:val="decimal"/>
      <w:start w:val="8"/>
    </w:lvl>
  </w:abstractNum>
  <w:abstractNum w:abstractNumId="43">
    <w:nsid w:val="6590700B"/>
    <w:multiLevelType w:val="hybridMultilevel"/>
    <w:lvl w:ilvl="0">
      <w:lvlJc w:val="left"/>
      <w:lvlText w:val="(%1)"/>
      <w:numFmt w:val="decimal"/>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1)"/>
      <w:numFmt w:val="decimal"/>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1)"/>
      <w:numFmt w:val="decimal"/>
      <w:start w:val="1"/>
    </w:lvl>
  </w:abstractNum>
  <w:abstractNum w:abstractNumId="49">
    <w:nsid w:val="42C296BD"/>
    <w:multiLevelType w:val="hybridMultilevel"/>
    <w:lvl w:ilvl="0">
      <w:lvlJc w:val="left"/>
      <w:lvlText w:val="(%1)"/>
      <w:numFmt w:val="decimal"/>
      <w:start w:val="1"/>
    </w:lvl>
  </w:abstractNum>
  <w:abstractNum w:abstractNumId="50">
    <w:nsid w:val="168E121F"/>
    <w:multiLevelType w:val="hybridMultilevel"/>
    <w:lvl w:ilvl="0">
      <w:lvlJc w:val="left"/>
      <w:lvlText w:val="(%1)"/>
      <w:numFmt w:val="decimal"/>
      <w:start w:val="5"/>
    </w:lvl>
  </w:abstractNum>
  <w:abstractNum w:abstractNumId="51">
    <w:nsid w:val="1EBA5D23"/>
    <w:multiLevelType w:val="hybridMultilevel"/>
    <w:lvl w:ilvl="0">
      <w:lvlJc w:val="left"/>
      <w:lvlText w:val="(%1)"/>
      <w:numFmt w:val="lowerLetter"/>
      <w:start w:val="1"/>
    </w:lvl>
  </w:abstractNum>
  <w:abstractNum w:abstractNumId="52">
    <w:nsid w:val="661E3F1E"/>
    <w:multiLevelType w:val="hybridMultilevel"/>
    <w:lvl w:ilvl="0">
      <w:lvlJc w:val="left"/>
      <w:lvlText w:val="(%1)"/>
      <w:numFmt w:val="decimal"/>
      <w:start w:val="7"/>
    </w:lvl>
  </w:abstractNum>
  <w:abstractNum w:abstractNumId="53">
    <w:nsid w:val="5DC79EA8"/>
    <w:multiLevelType w:val="hybridMultilevel"/>
    <w:lvl w:ilvl="0">
      <w:lvlJc w:val="left"/>
      <w:lvlText w:val="(%1)"/>
      <w:numFmt w:val="decimal"/>
      <w:start w:val="15"/>
    </w:lvl>
  </w:abstractNum>
  <w:abstractNum w:abstractNumId="54">
    <w:nsid w:val="540A471C"/>
    <w:multiLevelType w:val="hybridMultilevel"/>
    <w:lvl w:ilvl="0">
      <w:lvlJc w:val="left"/>
      <w:lvlText w:val="(%1)"/>
      <w:numFmt w:val="decimal"/>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lvl w:ilvl="1">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1)"/>
      <w:numFmt w:val="lowerRoman"/>
      <w:start w:val="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
      <w:numFmt w:val="bullet"/>
      <w:start w:val="1"/>
    </w:lvl>
  </w:abstractNum>
  <w:abstractNum w:abstractNumId="75">
    <w:nsid w:val="6EB5BD4"/>
    <w:multiLevelType w:val="hybridMultilevel"/>
    <w:lvl w:ilvl="0">
      <w:lvlJc w:val="left"/>
      <w:lvlText w:val="•"/>
      <w:numFmt w:val="bullet"/>
      <w:start w:val="1"/>
    </w:lvl>
  </w:abstractNum>
  <w:abstractNum w:abstractNumId="76">
    <w:nsid w:val="6F6DD9AC"/>
    <w:multiLevelType w:val="hybridMultilevel"/>
    <w:lvl w:ilvl="0">
      <w:lvlJc w:val="left"/>
      <w:lvlText w:val="•"/>
      <w:numFmt w:val="bullet"/>
      <w:start w:val="1"/>
    </w:lvl>
  </w:abstractNum>
  <w:abstractNum w:abstractNumId="77">
    <w:nsid w:val="94211F2"/>
    <w:multiLevelType w:val="hybridMultilevel"/>
    <w:lvl w:ilvl="0">
      <w:lvlJc w:val="left"/>
      <w:lvlText w:val="•"/>
      <w:numFmt w:val="bullet"/>
      <w:start w:val="1"/>
    </w:lvl>
  </w:abstractNum>
  <w:abstractNum w:abstractNumId="78">
    <w:nsid w:val="885E1B"/>
    <w:multiLevelType w:val="hybridMultilevel"/>
    <w:lvl w:ilvl="0">
      <w:lvlJc w:val="left"/>
      <w:lvlText w:val="•"/>
      <w:numFmt w:val="bullet"/>
      <w:start w:val="1"/>
    </w:lvl>
  </w:abstractNum>
  <w:abstractNum w:abstractNumId="79">
    <w:nsid w:val="76272110"/>
    <w:multiLevelType w:val="hybridMultilevel"/>
    <w:lvl w:ilvl="0">
      <w:lvlJc w:val="left"/>
      <w:lvlText w:val="•"/>
      <w:numFmt w:val="bullet"/>
      <w:start w:val="1"/>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
      <w:numFmt w:val="bullet"/>
      <w:start w:val="1"/>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
      <w:numFmt w:val="bullet"/>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
      <w:numFmt w:val="bullet"/>
      <w:start w:val="1"/>
    </w:lvl>
  </w:abstractNum>
  <w:abstractNum w:abstractNumId="86">
    <w:nsid w:val="2DF6D648"/>
    <w:multiLevelType w:val="hybridMultilevel"/>
    <w:lvl w:ilvl="0">
      <w:lvlJc w:val="left"/>
      <w:lvlText w:val="•"/>
      <w:numFmt w:val="bullet"/>
      <w:start w:val="1"/>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
      <w:numFmt w:val="bullet"/>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
      <w:numFmt w:val="bullet"/>
      <w:start w:val="1"/>
    </w:lvl>
  </w:abstractNum>
  <w:abstractNum w:abstractNumId="91">
    <w:nsid w:val="CC1016F"/>
    <w:multiLevelType w:val="hybridMultilevel"/>
    <w:lvl w:ilvl="0">
      <w:lvlJc w:val="left"/>
      <w:lvlText w:val="•"/>
      <w:numFmt w:val="bullet"/>
      <w:start w:val="1"/>
    </w:lvl>
  </w:abstractNum>
  <w:abstractNum w:abstractNumId="92">
    <w:nsid w:val="43F18422"/>
    <w:multiLevelType w:val="hybridMultilevel"/>
    <w:lvl w:ilvl="0">
      <w:lvlJc w:val="left"/>
      <w:lvlText w:val="•"/>
      <w:numFmt w:val="bullet"/>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jpe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9"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jpe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57" Type="http://schemas.openxmlformats.org/officeDocument/2006/relationships/hyperlink" Target="http://www.sec.gov/ix?doc=/Archives/edgar/data/1508655/000095017023003042/tslx-20221231.htm" TargetMode="External"/><Relationship Id="rId58" Type="http://schemas.openxmlformats.org/officeDocument/2006/relationships/hyperlink" Target="http://www.sec.gov/ix?doc=/Archives/edgar/data/1508655/000095017023018777/tslx-20230331.htm" TargetMode="External"/><Relationship Id="rId59" Type="http://schemas.openxmlformats.org/officeDocument/2006/relationships/hyperlink" Target="http://www.sec.gov/ix?doc=/Archives/edgar/data/1508655/000095017023038066/tslx-20230630.htm" TargetMode="External"/><Relationship Id="rId60" Type="http://schemas.openxmlformats.org/officeDocument/2006/relationships/hyperlink" Target="http://www.sec.gov/ix?doc=/Archives/edgar/data/1508655/000095017023058321/tslx-20230930.htm" TargetMode="External"/><Relationship Id="rId61" Type="http://schemas.openxmlformats.org/officeDocument/2006/relationships/hyperlink" Target="http://www.sec.gov/ix?doc=/Archives/edgar/data/1508655/000119312523144982/d509627d8k.htm" TargetMode="External"/><Relationship Id="rId62" Type="http://schemas.openxmlformats.org/officeDocument/2006/relationships/hyperlink" Target="http://www.sec.gov/ix?doc=/Archives/edgar/data/1508655/000119312523155431/d495066d8k.htm" TargetMode="External"/><Relationship Id="rId63" Type="http://schemas.openxmlformats.org/officeDocument/2006/relationships/hyperlink" Target="http://www.sec.gov/ix?doc=/Archives/edgar/data/1508655/000119312523165276/d509708d8k.htm" TargetMode="External"/><Relationship Id="rId64" Type="http://schemas.openxmlformats.org/officeDocument/2006/relationships/hyperlink" Target="http://www.sec.gov/ix?doc=/Archives/edgar/data/1508655/000119312523165451/d509555d8k.htm" TargetMode="External"/><Relationship Id="rId65" Type="http://schemas.openxmlformats.org/officeDocument/2006/relationships/hyperlink" Target="http://www.sec.gov/ix?doc=/Archives/edgar/data/1508655/000119312523187256/d513136d8k.htm" TargetMode="External"/><Relationship Id="rId66" Type="http://schemas.openxmlformats.org/officeDocument/2006/relationships/hyperlink" Target="http://www.sec.gov/ix?doc=/Archives/edgar/data/1508655/000119312523188221/d534568d8ka.htm" TargetMode="External"/><Relationship Id="rId67" Type="http://schemas.openxmlformats.org/officeDocument/2006/relationships/hyperlink" Target="http://www.sec.gov/ix?doc=/Archives/edgar/data/1508655/000119312523209093/d513738d8k.htm" TargetMode="External"/><Relationship Id="rId68" Type="http://schemas.openxmlformats.org/officeDocument/2006/relationships/hyperlink" Target="http://www.sec.gov/ix?doc=/Archives/edgar/data/1508655/000119312523212327/d480136d8k.htm" TargetMode="External"/><Relationship Id="rId69" Type="http://schemas.openxmlformats.org/officeDocument/2006/relationships/hyperlink" Target="http://www.sec.gov/Archives/edgar/data/1508655/000119312523100512/d498091ddef14a.htm" TargetMode="External"/><Relationship Id="rId178" Type="http://schemas.openxmlformats.org/officeDocument/2006/relationships/hyperlink" Target="http://www.sec.gov/Archives/edgar/data/1508655/000119312523100535/d393322ddef14a.htm" TargetMode="External"/><Relationship Id="rId180" Type="http://schemas.openxmlformats.org/officeDocument/2006/relationships/hyperlink" Target="http://www.sec.gov/Archives/edgar/data/1508655/000119312514106230/d688211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2024-01-10T15:20:10Z</dcterms:created>
  <dcterms:modified xsi:type="dcterms:W3CDTF">2024-01-10T15:20:10Z</dcterms:modified>
</cp:coreProperties>
</file>