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6"/>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976"/>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17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2546985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76"/>
        <w:spacing w:after="0"/>
        <w:rPr>
          <w:sz w:val="20"/>
          <w:szCs w:val="20"/>
          <w:color w:val="auto"/>
        </w:rPr>
      </w:pPr>
      <w:r>
        <w:rPr>
          <w:rFonts w:ascii="Arial" w:cs="Arial" w:eastAsia="Arial" w:hAnsi="Arial"/>
          <w:sz w:val="32"/>
          <w:szCs w:val="32"/>
          <w:b w:val="1"/>
          <w:bCs w:val="1"/>
          <w:color w:val="auto"/>
        </w:rPr>
        <w:t>SCHEDULE 13G</w:t>
      </w:r>
    </w:p>
    <w:p>
      <w:pPr>
        <w:spacing w:after="0" w:line="339" w:lineRule="exact"/>
        <w:rPr>
          <w:sz w:val="24"/>
          <w:szCs w:val="24"/>
          <w:color w:val="auto"/>
        </w:rPr>
      </w:pPr>
    </w:p>
    <w:p>
      <w:pPr>
        <w:jc w:val="center"/>
        <w:ind w:right="-976"/>
        <w:spacing w:after="0"/>
        <w:rPr>
          <w:sz w:val="20"/>
          <w:szCs w:val="20"/>
          <w:color w:val="auto"/>
        </w:rPr>
      </w:pPr>
      <w:r>
        <w:rPr>
          <w:rFonts w:ascii="Arial" w:cs="Arial" w:eastAsia="Arial" w:hAnsi="Arial"/>
          <w:sz w:val="25"/>
          <w:szCs w:val="25"/>
          <w:b w:val="1"/>
          <w:bCs w:val="1"/>
          <w:color w:val="auto"/>
        </w:rPr>
        <w:t>Under the Securities Exchange Act of 1934</w:t>
      </w:r>
    </w:p>
    <w:p>
      <w:pPr>
        <w:spacing w:after="0" w:line="205" w:lineRule="exact"/>
        <w:rPr>
          <w:sz w:val="24"/>
          <w:szCs w:val="24"/>
          <w:color w:val="auto"/>
        </w:rPr>
      </w:pPr>
    </w:p>
    <w:p>
      <w:pPr>
        <w:jc w:val="center"/>
        <w:ind w:right="-976"/>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-136525</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976"/>
        <w:spacing w:after="0"/>
        <w:rPr>
          <w:sz w:val="20"/>
          <w:szCs w:val="20"/>
          <w:color w:val="auto"/>
        </w:rPr>
      </w:pPr>
      <w:r>
        <w:rPr>
          <w:rFonts w:ascii="Arial" w:cs="Arial" w:eastAsia="Arial" w:hAnsi="Arial"/>
          <w:sz w:val="18"/>
          <w:szCs w:val="18"/>
          <w:color w:val="auto"/>
        </w:rPr>
        <w:t>(Name of Issuer)</w:t>
      </w:r>
    </w:p>
    <w:p>
      <w:pPr>
        <w:spacing w:after="0" w:line="95" w:lineRule="exact"/>
        <w:rPr>
          <w:sz w:val="24"/>
          <w:szCs w:val="24"/>
          <w:color w:val="auto"/>
        </w:rPr>
      </w:pPr>
    </w:p>
    <w:p>
      <w:pPr>
        <w:jc w:val="center"/>
        <w:ind w:right="-976"/>
        <w:spacing w:after="0"/>
        <w:rPr>
          <w:sz w:val="20"/>
          <w:szCs w:val="20"/>
          <w:color w:val="auto"/>
        </w:rPr>
      </w:pPr>
      <w:r>
        <w:rPr>
          <w:rFonts w:ascii="Arial" w:cs="Arial" w:eastAsia="Arial" w:hAnsi="Arial"/>
          <w:sz w:val="22"/>
          <w:szCs w:val="22"/>
          <w:b w:val="1"/>
          <w:bCs w:val="1"/>
          <w:color w:val="auto"/>
        </w:rPr>
        <w:t>Common Stock, $0.01 par value</w:t>
      </w:r>
    </w:p>
    <w:p>
      <w:pPr>
        <w:spacing w:after="0" w:line="30" w:lineRule="exact"/>
        <w:rPr>
          <w:sz w:val="24"/>
          <w:szCs w:val="24"/>
          <w:color w:val="auto"/>
        </w:rPr>
      </w:pPr>
    </w:p>
    <w:p>
      <w:pPr>
        <w:jc w:val="center"/>
        <w:ind w:right="-976"/>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-136525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976"/>
        <w:spacing w:after="0"/>
        <w:rPr>
          <w:sz w:val="20"/>
          <w:szCs w:val="20"/>
          <w:color w:val="auto"/>
        </w:rPr>
      </w:pPr>
      <w:r>
        <w:rPr>
          <w:rFonts w:ascii="Arial" w:cs="Arial" w:eastAsia="Arial" w:hAnsi="Arial"/>
          <w:sz w:val="22"/>
          <w:szCs w:val="22"/>
          <w:b w:val="1"/>
          <w:bCs w:val="1"/>
          <w:color w:val="auto"/>
        </w:rPr>
        <w:t>N/A</w:t>
      </w:r>
    </w:p>
    <w:p>
      <w:pPr>
        <w:spacing w:after="0" w:line="30" w:lineRule="exact"/>
        <w:rPr>
          <w:sz w:val="24"/>
          <w:szCs w:val="24"/>
          <w:color w:val="auto"/>
        </w:rPr>
      </w:pPr>
    </w:p>
    <w:p>
      <w:pPr>
        <w:ind w:left="4856"/>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-136525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ind w:right="-976"/>
        <w:spacing w:after="0"/>
        <w:rPr>
          <w:sz w:val="20"/>
          <w:szCs w:val="20"/>
          <w:color w:val="auto"/>
        </w:rPr>
      </w:pPr>
      <w:r>
        <w:rPr>
          <w:rFonts w:ascii="Arial" w:cs="Arial" w:eastAsia="Arial" w:hAnsi="Arial"/>
          <w:sz w:val="22"/>
          <w:szCs w:val="22"/>
          <w:b w:val="1"/>
          <w:bCs w:val="1"/>
          <w:color w:val="auto"/>
        </w:rPr>
        <w:t>August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2204085</wp:posOffset>
            </wp:positionH>
            <wp:positionV relativeFrom="paragraph">
              <wp:posOffset>2540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3476"/>
        <w:spacing w:after="0"/>
        <w:rPr>
          <w:sz w:val="20"/>
          <w:szCs w:val="20"/>
          <w:color w:val="auto"/>
        </w:rPr>
      </w:pPr>
      <w:r>
        <w:rPr>
          <w:rFonts w:ascii="Arial" w:cs="Arial" w:eastAsia="Arial" w:hAnsi="Arial"/>
          <w:sz w:val="18"/>
          <w:szCs w:val="18"/>
          <w:color w:val="auto"/>
        </w:rPr>
        <w:t>(Date of Event which Requires Filing of this Statement)</w:t>
      </w:r>
    </w:p>
    <w:p>
      <w:pPr>
        <w:spacing w:after="0" w:line="101" w:lineRule="exact"/>
        <w:rPr>
          <w:sz w:val="24"/>
          <w:szCs w:val="24"/>
          <w:color w:val="auto"/>
        </w:rPr>
      </w:pPr>
    </w:p>
    <w:p>
      <w:pPr>
        <w:ind w:left="16"/>
        <w:spacing w:after="0"/>
        <w:rPr>
          <w:sz w:val="20"/>
          <w:szCs w:val="20"/>
          <w:color w:val="auto"/>
        </w:rPr>
      </w:pPr>
      <w:r>
        <w:rPr>
          <w:rFonts w:ascii="Arial" w:cs="Arial" w:eastAsia="Arial" w:hAnsi="Arial"/>
          <w:sz w:val="18"/>
          <w:szCs w:val="18"/>
          <w:color w:val="auto"/>
        </w:rPr>
        <w:t>Check the appropriate box to designate the rule pursuant to which this Schedule if filed:</w:t>
      </w:r>
    </w:p>
    <w:p>
      <w:pPr>
        <w:spacing w:after="0" w:line="117" w:lineRule="exact"/>
        <w:rPr>
          <w:sz w:val="24"/>
          <w:szCs w:val="24"/>
          <w:color w:val="auto"/>
        </w:rPr>
      </w:pPr>
    </w:p>
    <w:p>
      <w:pPr>
        <w:ind w:left="436" w:hanging="436"/>
        <w:spacing w:after="0"/>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jc w:val="both"/>
        <w:ind w:left="-4" w:right="8539" w:firstLine="4"/>
        <w:spacing w:after="0" w:line="500" w:lineRule="auto"/>
        <w:tabs>
          <w:tab w:leader="none" w:pos="44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-136525</wp:posOffset>
            </wp:positionH>
            <wp:positionV relativeFrom="paragraph">
              <wp:posOffset>2540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172085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522"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Morgan Stanley</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12,539 shares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8"/>
              </w:rPr>
              <w:t>HC, CO</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100" w:firstLine="8"/>
        <w:spacing w:after="0" w:line="273" w:lineRule="auto"/>
        <w:tabs>
          <w:tab w:leader="none" w:pos="13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Although MSSB TPG Specialty Lending Onshore Feeder Fund (the “Trust”) beneficially owns 12,539 shares of the common stock of the Issuer and would otherwise be entitled to vote such shares, the Trust has contractually agreed to pass such voting rights through to the Trust’s underlying investors (each a “Unitholder” and collectively, the “Unitholders”)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Morgan Stanley Smith Barney Holdings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12,539 shares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60" w:firstLine="8"/>
        <w:spacing w:after="0" w:line="297" w:lineRule="auto"/>
        <w:tabs>
          <w:tab w:leader="none" w:pos="1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Although the Trust beneficially owns 12,539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Morgan Stanley GWM Feeder Strategies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12,539 shares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*Although the Trust beneficially owns 12,539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N/A</w:t>
            </w:r>
          </w:p>
        </w:tc>
        <w:tc>
          <w:tcPr>
            <w:tcW w:w="8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MSSB TPG Specialty Lending Onshore Feeder Fund</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8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08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00" w:type="dxa"/>
            <w:vAlign w:val="bottom"/>
            <w:tcBorders>
              <w:right w:val="single" w:sz="8" w:color="auto"/>
            </w:tcBorders>
          </w:tcPr>
          <w:p>
            <w:pPr>
              <w:spacing w:after="0"/>
              <w:rPr>
                <w:sz w:val="23"/>
                <w:szCs w:val="23"/>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440" w:type="dxa"/>
            <w:vAlign w:val="bottom"/>
            <w:vMerge w:val="continue"/>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00" w:type="dxa"/>
            <w:vAlign w:val="bottom"/>
            <w:tcBorders>
              <w:right w:val="single" w:sz="8" w:color="auto"/>
            </w:tcBorders>
          </w:tcPr>
          <w:p>
            <w:pPr>
              <w:spacing w:after="0"/>
              <w:rPr>
                <w:sz w:val="24"/>
                <w:szCs w:val="24"/>
                <w:color w:val="auto"/>
              </w:rPr>
            </w:pPr>
          </w:p>
        </w:tc>
        <w:tc>
          <w:tcPr>
            <w:tcW w:w="95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12,539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12,539 shares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60" w:firstLine="8"/>
        <w:spacing w:after="0" w:line="297" w:lineRule="auto"/>
        <w:tabs>
          <w:tab w:leader="none" w:pos="13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Although the Trust beneficially owns 12,539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TPG Specialty Lending,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Fort Worth, TX 76102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This Schedule 13G is jointly filed by: (i) Morgan Stanley; (ii) Morgan Stanley Smith Barney Holdings LLC; (iii) Morgan Stanley GWM Feeder Strategies LLC; and (iv) MSSB TPG Specialty Lending Onshore Feeder Fund (all together, the “Reporting Persons”), with respect to shares of common stock (the “Shares”) of the Issuer beneficially owned by MSSB TPG Specialty Lending Onshore Feeder Fund. Morgan Stanley GWM Feeder Strategies LLC is the managing owner of MSSB TPG Specialty Lending Onshore Feeder Fund, and is a wholly-owned subsidiary of Morgan Stanley Smith Barney Holdings LLC. Morgan Stanley Smith Barney Holdings LLC is indirectly majority-owned by Morgan Stanley.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1"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principal business address of each of MSSB TPG Specialty Lending Onshore Feeder Fund and Morgan Stanley GWM Feeder Strategies LLC is 522 Fifth Avenue, 13th floor, New York, NY 10036. The principal business address of each of Morgan Stanley Smith Barney Holdings LLC and Morgan Stanley is 1585 Broadway New York, NY 10036.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state of organization of each of MSSB TPG Specialty Lending Onshore Feeder Fund, Morgan Stanley GWM Feeder Strategies LLC, Morgan Stanley Smith Barney Holdings LLC and Morgan Stanley is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 as of August 1, 2011*.</w:t>
      </w:r>
    </w:p>
    <w:p>
      <w:pPr>
        <w:spacing w:after="0" w:line="12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3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12,539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3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60" w:right="7320" w:hanging="447"/>
        <w:spacing w:after="0" w:line="418"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6" w:name="page7"/>
    <w:bookmarkEnd w:id="6"/>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12,539 shares**</w:t>
      </w:r>
    </w:p>
    <w:p>
      <w:pPr>
        <w:spacing w:after="0" w:line="130" w:lineRule="exact"/>
        <w:rPr>
          <w:rFonts w:ascii="Arial" w:cs="Arial" w:eastAsia="Arial" w:hAnsi="Arial"/>
          <w:sz w:val="18"/>
          <w:szCs w:val="18"/>
          <w:color w:val="auto"/>
        </w:rPr>
      </w:pPr>
    </w:p>
    <w:p>
      <w:pPr>
        <w:ind w:left="1120" w:right="6660" w:hanging="437"/>
        <w:spacing w:after="0" w:line="391"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w:t>
      </w:r>
    </w:p>
    <w:p>
      <w:pPr>
        <w:ind w:left="1120" w:hanging="437"/>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30"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12,539 shares**</w:t>
      </w:r>
    </w:p>
    <w:p>
      <w:pPr>
        <w:spacing w:after="0" w:line="387" w:lineRule="exact"/>
        <w:rPr>
          <w:rFonts w:ascii="Arial" w:cs="Arial" w:eastAsia="Arial" w:hAnsi="Arial"/>
          <w:sz w:val="18"/>
          <w:szCs w:val="18"/>
          <w:color w:val="auto"/>
        </w:rPr>
      </w:pPr>
    </w:p>
    <w:p>
      <w:pPr>
        <w:ind w:left="460" w:right="160" w:hanging="459"/>
        <w:spacing w:after="0" w:line="30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5"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12,539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-1471295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by the Parent Holding Company.</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 of the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firstLine="233"/>
        <w:spacing w:after="0" w:line="264" w:lineRule="auto"/>
        <w:tabs>
          <w:tab w:leader="none" w:pos="47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99.1  Joint Filing Agreement, dated the date hereof, between the Reporting Persons.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99.2  Item 7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Date: August 11, 2011</w:t>
            </w: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w w:val="97"/>
              </w:rPr>
              <w:t>MSSB TPG SPECIALTY LENDING ONSHORE FEEDER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FUND</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w w:val="99"/>
              </w:rPr>
              <w:t>By: MORGAN STANLEY GWM FEEDER STRATEGIES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LLC</w:t>
            </w:r>
          </w:p>
        </w:tc>
        <w:tc>
          <w:tcPr>
            <w:tcW w:w="3880" w:type="dxa"/>
            <w:vAlign w:val="bottom"/>
            <w:vMerge w:val="restart"/>
          </w:tcPr>
          <w:p>
            <w:pPr>
              <w:spacing w:after="0"/>
              <w:rPr>
                <w:sz w:val="20"/>
                <w:szCs w:val="20"/>
                <w:color w:val="auto"/>
              </w:rPr>
            </w:pPr>
            <w:r>
              <w:rPr>
                <w:rFonts w:ascii="Arial" w:cs="Arial" w:eastAsia="Arial" w:hAnsi="Arial"/>
                <w:sz w:val="18"/>
                <w:szCs w:val="18"/>
                <w:color w:val="auto"/>
              </w:rPr>
              <w:t>Its Managing Owner</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Sweeney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John Sweeney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 GWM FEEDER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STRATEGIES LLC</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Sweeney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John Sweeney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 SMITH BARNEY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HOLDINGS LLC</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Anne Cooney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Huffman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Christina Huffman</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bl>
    <w:p>
      <w:pPr>
        <w:sectPr>
          <w:pgSz w:w="11900" w:h="16838" w:orient="portrait"/>
          <w:cols w:equalWidth="0" w:num="1">
            <w:col w:w="11060"/>
          </w:cols>
          <w:pgMar w:left="460" w:top="958" w:right="3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agree that the foregoing statement on Schedule 13G, dated August 11, 2011, with respect to the shares of TPG Specialty Lending, Inc.’s Common Stock is, and any amendments thereto executed by each of the undersigned shall be, filed on behalf of each of the undersigned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executed this Agreement as of the 11th day of August, 2011.</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Date: August 11, 2011</w:t>
            </w: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w w:val="97"/>
              </w:rPr>
              <w:t>MSSB TPG SPECIALTY LENDING ONSHORE FEEDER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FUND</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w w:val="99"/>
              </w:rPr>
              <w:t>By: MORGAN STANLEY GWM FEEDER STRATEGIES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LLC</w:t>
            </w:r>
          </w:p>
        </w:tc>
        <w:tc>
          <w:tcPr>
            <w:tcW w:w="3880" w:type="dxa"/>
            <w:vAlign w:val="bottom"/>
            <w:vMerge w:val="restart"/>
          </w:tcPr>
          <w:p>
            <w:pPr>
              <w:spacing w:after="0"/>
              <w:rPr>
                <w:sz w:val="20"/>
                <w:szCs w:val="20"/>
                <w:color w:val="auto"/>
              </w:rPr>
            </w:pPr>
            <w:r>
              <w:rPr>
                <w:rFonts w:ascii="Arial" w:cs="Arial" w:eastAsia="Arial" w:hAnsi="Arial"/>
                <w:sz w:val="18"/>
                <w:szCs w:val="18"/>
                <w:color w:val="auto"/>
              </w:rPr>
              <w:t>Its Managing Owner</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Sweeney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John Sweeney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 GWM FEEDER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STRATEGIES LLC</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Sweeney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John Sweeney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 SMITH BARNEY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HOLDINGS LLC</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Anne Cooney</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6200" w:type="dxa"/>
            <w:vAlign w:val="bottom"/>
            <w:gridSpan w:val="2"/>
          </w:tcPr>
          <w:p>
            <w:pPr>
              <w:ind w:left="1720"/>
              <w:spacing w:after="0"/>
              <w:rPr>
                <w:sz w:val="20"/>
                <w:szCs w:val="20"/>
                <w:color w:val="auto"/>
              </w:rPr>
            </w:pPr>
            <w:r>
              <w:rPr>
                <w:rFonts w:ascii="Arial" w:cs="Arial" w:eastAsia="Arial" w:hAnsi="Arial"/>
                <w:sz w:val="18"/>
                <w:szCs w:val="18"/>
                <w:color w:val="auto"/>
              </w:rPr>
              <w:t>MORGAN STANLEY</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Huffman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Christina Huffman</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32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INFORMATION</w:t>
      </w:r>
    </w:p>
    <w:p>
      <w:pPr>
        <w:spacing w:after="0" w:line="121" w:lineRule="exact"/>
        <w:rPr>
          <w:sz w:val="20"/>
          <w:szCs w:val="20"/>
          <w:color w:val="auto"/>
        </w:rPr>
      </w:pPr>
    </w:p>
    <w:p>
      <w:pPr>
        <w:jc w:val="both"/>
        <w:ind w:right="240" w:firstLine="447"/>
        <w:spacing w:after="0" w:line="264" w:lineRule="auto"/>
        <w:rPr>
          <w:sz w:val="20"/>
          <w:szCs w:val="20"/>
          <w:color w:val="auto"/>
        </w:rPr>
      </w:pPr>
      <w:r>
        <w:rPr>
          <w:rFonts w:ascii="Arial" w:cs="Arial" w:eastAsia="Arial" w:hAnsi="Arial"/>
          <w:sz w:val="18"/>
          <w:szCs w:val="18"/>
          <w:color w:val="auto"/>
        </w:rPr>
        <w:t>The securities being reported on by Morgan Stanley as a parent holding company are owned, or may be deemed to be beneficially owned, by MSSB TPG Specialty Lending Onshore Feeder Fund (the “Trust”). Morgan Stanley is the indirect majority owner of Morgan Stanley GWM Feeder Strategies, the managing owner of the Trust.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lvl w:ilvl="1">
      <w:lvlJc w:val="left"/>
      <w:lvlText w:val="(%2)"/>
      <w:numFmt w:val="lowerRoman"/>
      <w:start w:val="1"/>
    </w:lvl>
  </w:abstractNum>
  <w:abstractNum w:abstractNumId="6">
    <w:nsid w:val="7545E146"/>
    <w:multiLevelType w:val="hybridMultilevel"/>
    <w:lvl w:ilvl="0">
      <w:lvlJc w:val="left"/>
      <w:lvlText w:val="*"/>
      <w:numFmt w:val="bullet"/>
      <w:start w:val="1"/>
    </w:lvl>
    <w:lvl w:ilvl="1">
      <w:lvlJc w:val="left"/>
      <w:lvlText w:val="(%2)"/>
      <w:numFmt w:val="lowerRoman"/>
      <w:start w:val="2"/>
    </w:lvl>
  </w:abstractNum>
  <w:abstractNum w:abstractNumId="7">
    <w:nsid w:val="515F007C"/>
    <w:multiLevelType w:val="hybridMultilevel"/>
    <w:lvl w:ilvl="0">
      <w:lvlJc w:val="left"/>
      <w:lvlText w:val="**"/>
      <w:numFmt w:val="bullet"/>
      <w:start w:val="1"/>
    </w:lvl>
    <w:lvl w:ilvl="1">
      <w:lvlJc w:val="left"/>
      <w:lvlText w:val="%2"/>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2019-12-11T08:19:44Z</dcterms:created>
  <dcterms:modified xsi:type="dcterms:W3CDTF">2019-12-11T08:19:44Z</dcterms:modified>
</cp:coreProperties>
</file>