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89015" cy="20840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089015" cy="20840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left="1680"/>
        <w:spacing w:after="0"/>
        <w:rPr>
          <w:sz w:val="20"/>
          <w:szCs w:val="20"/>
          <w:color w:val="auto"/>
        </w:rPr>
      </w:pPr>
      <w:r>
        <w:rPr>
          <w:rFonts w:ascii="Arial" w:cs="Arial" w:eastAsia="Arial" w:hAnsi="Arial"/>
          <w:sz w:val="13"/>
          <w:szCs w:val="13"/>
          <w:color w:val="auto"/>
        </w:rPr>
        <w:t>Writer’s Direct Dial: +1 (212) 225-2286</w:t>
      </w:r>
    </w:p>
    <w:p>
      <w:pPr>
        <w:ind w:left="1920"/>
        <w:spacing w:after="0" w:line="218" w:lineRule="auto"/>
        <w:rPr>
          <w:sz w:val="20"/>
          <w:szCs w:val="20"/>
          <w:color w:val="auto"/>
        </w:rPr>
      </w:pPr>
      <w:r>
        <w:rPr>
          <w:rFonts w:ascii="Arial" w:cs="Arial" w:eastAsia="Arial" w:hAnsi="Arial"/>
          <w:sz w:val="13"/>
          <w:szCs w:val="13"/>
          <w:color w:val="auto"/>
        </w:rPr>
        <w:t>E-Mail: afleisher@cgsh.com</w:t>
      </w:r>
    </w:p>
    <w:p>
      <w:pPr>
        <w:ind w:left="8380"/>
        <w:spacing w:after="0"/>
        <w:rPr>
          <w:sz w:val="20"/>
          <w:szCs w:val="20"/>
          <w:color w:val="auto"/>
        </w:rPr>
      </w:pPr>
      <w:r>
        <w:rPr>
          <w:rFonts w:ascii="Arial" w:cs="Arial" w:eastAsia="Arial" w:hAnsi="Arial"/>
          <w:sz w:val="22"/>
          <w:szCs w:val="22"/>
          <w:color w:val="auto"/>
        </w:rPr>
        <w:t>July 7, 2015</w:t>
      </w:r>
    </w:p>
    <w:p>
      <w:pPr>
        <w:spacing w:after="0" w:line="182"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VIA EDGAR CORRESPONDENCE</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Jay Williamson</w:t>
      </w:r>
    </w:p>
    <w:p>
      <w:pPr>
        <w:spacing w:after="0" w:line="238" w:lineRule="auto"/>
        <w:rPr>
          <w:sz w:val="20"/>
          <w:szCs w:val="20"/>
          <w:color w:val="auto"/>
        </w:rPr>
      </w:pPr>
      <w:r>
        <w:rPr>
          <w:rFonts w:ascii="Arial" w:cs="Arial" w:eastAsia="Arial" w:hAnsi="Arial"/>
          <w:sz w:val="22"/>
          <w:szCs w:val="22"/>
          <w:color w:val="auto"/>
        </w:rPr>
        <w:t>Division of Investment Management</w:t>
      </w:r>
    </w:p>
    <w:p>
      <w:pPr>
        <w:spacing w:after="0" w:line="230" w:lineRule="auto"/>
        <w:rPr>
          <w:sz w:val="20"/>
          <w:szCs w:val="20"/>
          <w:color w:val="auto"/>
        </w:rPr>
      </w:pPr>
      <w:r>
        <w:rPr>
          <w:rFonts w:ascii="Arial" w:cs="Arial" w:eastAsia="Arial" w:hAnsi="Arial"/>
          <w:sz w:val="22"/>
          <w:szCs w:val="22"/>
          <w:color w:val="auto"/>
        </w:rPr>
        <w:t>Securities and Exchange Commission</w:t>
      </w:r>
    </w:p>
    <w:p>
      <w:pPr>
        <w:spacing w:after="0" w:line="231" w:lineRule="auto"/>
        <w:rPr>
          <w:sz w:val="20"/>
          <w:szCs w:val="20"/>
          <w:color w:val="auto"/>
        </w:rPr>
      </w:pPr>
      <w:r>
        <w:rPr>
          <w:rFonts w:ascii="Arial" w:cs="Arial" w:eastAsia="Arial" w:hAnsi="Arial"/>
          <w:sz w:val="22"/>
          <w:szCs w:val="22"/>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20549-7553</w:t>
      </w:r>
    </w:p>
    <w:p>
      <w:pPr>
        <w:spacing w:after="0" w:line="209" w:lineRule="exact"/>
        <w:rPr>
          <w:sz w:val="24"/>
          <w:szCs w:val="24"/>
          <w:color w:val="auto"/>
        </w:rPr>
      </w:pPr>
    </w:p>
    <w:p>
      <w:pPr>
        <w:ind w:left="580"/>
        <w:spacing w:after="0"/>
        <w:tabs>
          <w:tab w:leader="none" w:pos="1120" w:val="left"/>
        </w:tabs>
        <w:rPr>
          <w:sz w:val="20"/>
          <w:szCs w:val="20"/>
          <w:color w:val="auto"/>
        </w:rPr>
      </w:pPr>
      <w:r>
        <w:rPr>
          <w:rFonts w:ascii="Arial" w:cs="Arial" w:eastAsia="Arial" w:hAnsi="Arial"/>
          <w:sz w:val="22"/>
          <w:szCs w:val="22"/>
          <w:b w:val="1"/>
          <w:bCs w:val="1"/>
          <w:color w:val="auto"/>
        </w:rPr>
        <w:t>Re:</w:t>
        <w:tab/>
        <w:t>TPG Specialty Lending, Inc.</w:t>
      </w:r>
    </w:p>
    <w:p>
      <w:pPr>
        <w:spacing w:after="0" w:line="4" w:lineRule="exact"/>
        <w:rPr>
          <w:sz w:val="24"/>
          <w:szCs w:val="24"/>
          <w:color w:val="auto"/>
        </w:rPr>
      </w:pPr>
    </w:p>
    <w:p>
      <w:pPr>
        <w:ind w:left="1140"/>
        <w:spacing w:after="0"/>
        <w:rPr>
          <w:sz w:val="20"/>
          <w:szCs w:val="20"/>
          <w:color w:val="auto"/>
        </w:rPr>
      </w:pPr>
      <w:r>
        <w:rPr>
          <w:rFonts w:ascii="Arial" w:cs="Arial" w:eastAsia="Arial" w:hAnsi="Arial"/>
          <w:sz w:val="22"/>
          <w:szCs w:val="22"/>
          <w:b w:val="1"/>
          <w:bCs w:val="1"/>
          <w:color w:val="auto"/>
        </w:rPr>
        <w:t>Amendment No. 2 to Registration Statement on Form N-2</w:t>
      </w:r>
    </w:p>
    <w:p>
      <w:pPr>
        <w:ind w:left="1140"/>
        <w:spacing w:after="0" w:line="230" w:lineRule="auto"/>
        <w:rPr>
          <w:sz w:val="20"/>
          <w:szCs w:val="20"/>
          <w:color w:val="auto"/>
        </w:rPr>
      </w:pPr>
      <w:r>
        <w:rPr>
          <w:rFonts w:ascii="Arial" w:cs="Arial" w:eastAsia="Arial" w:hAnsi="Arial"/>
          <w:sz w:val="22"/>
          <w:szCs w:val="22"/>
          <w:b w:val="1"/>
          <w:bCs w:val="1"/>
          <w:color w:val="auto"/>
        </w:rPr>
        <w:t>Filed June 15, 2015</w:t>
      </w:r>
    </w:p>
    <w:p>
      <w:pPr>
        <w:spacing w:after="0" w:line="1" w:lineRule="exact"/>
        <w:rPr>
          <w:sz w:val="24"/>
          <w:szCs w:val="24"/>
          <w:color w:val="auto"/>
        </w:rPr>
      </w:pPr>
    </w:p>
    <w:p>
      <w:pPr>
        <w:ind w:left="1140"/>
        <w:spacing w:after="0"/>
        <w:rPr>
          <w:sz w:val="20"/>
          <w:szCs w:val="20"/>
          <w:color w:val="auto"/>
        </w:rPr>
      </w:pPr>
      <w:r>
        <w:rPr>
          <w:rFonts w:ascii="Arial" w:cs="Arial" w:eastAsia="Arial" w:hAnsi="Arial"/>
          <w:sz w:val="22"/>
          <w:szCs w:val="22"/>
          <w:b w:val="1"/>
          <w:bCs w:val="1"/>
          <w:color w:val="auto"/>
        </w:rPr>
        <w:t>File No. 333-203450</w:t>
      </w:r>
    </w:p>
    <w:p>
      <w:pPr>
        <w:spacing w:after="0" w:line="188" w:lineRule="exact"/>
        <w:rPr>
          <w:sz w:val="24"/>
          <w:szCs w:val="24"/>
          <w:color w:val="auto"/>
        </w:rPr>
      </w:pPr>
    </w:p>
    <w:p>
      <w:pPr>
        <w:ind w:left="580"/>
        <w:spacing w:after="0"/>
        <w:rPr>
          <w:sz w:val="20"/>
          <w:szCs w:val="20"/>
          <w:color w:val="auto"/>
        </w:rPr>
      </w:pPr>
      <w:r>
        <w:rPr>
          <w:rFonts w:ascii="Arial" w:cs="Arial" w:eastAsia="Arial" w:hAnsi="Arial"/>
          <w:sz w:val="22"/>
          <w:szCs w:val="22"/>
          <w:color w:val="auto"/>
        </w:rPr>
        <w:t>Dear Mr. Williamson:</w:t>
      </w:r>
    </w:p>
    <w:p>
      <w:pPr>
        <w:spacing w:after="0" w:line="206" w:lineRule="exact"/>
        <w:rPr>
          <w:sz w:val="24"/>
          <w:szCs w:val="24"/>
          <w:color w:val="auto"/>
        </w:rPr>
      </w:pPr>
    </w:p>
    <w:p>
      <w:pPr>
        <w:ind w:right="160" w:firstLine="571"/>
        <w:spacing w:after="0" w:line="238" w:lineRule="auto"/>
        <w:rPr>
          <w:sz w:val="20"/>
          <w:szCs w:val="20"/>
          <w:color w:val="auto"/>
        </w:rPr>
      </w:pPr>
      <w:r>
        <w:rPr>
          <w:rFonts w:ascii="Arial" w:cs="Arial" w:eastAsia="Arial" w:hAnsi="Arial"/>
          <w:sz w:val="22"/>
          <w:szCs w:val="22"/>
          <w:color w:val="auto"/>
        </w:rPr>
        <w:t>On behalf of TPG Specialty Lending, Inc. (the “</w:t>
      </w:r>
      <w:r>
        <w:rPr>
          <w:rFonts w:ascii="Arial" w:cs="Arial" w:eastAsia="Arial" w:hAnsi="Arial"/>
          <w:sz w:val="22"/>
          <w:szCs w:val="22"/>
          <w:u w:val="single" w:color="auto"/>
          <w:color w:val="auto"/>
        </w:rPr>
        <w:t>Company</w:t>
      </w:r>
      <w:r>
        <w:rPr>
          <w:rFonts w:ascii="Arial" w:cs="Arial" w:eastAsia="Arial" w:hAnsi="Arial"/>
          <w:sz w:val="22"/>
          <w:szCs w:val="22"/>
          <w:color w:val="auto"/>
        </w:rPr>
        <w:t>”), set forth below is the response to the comment of the staff (the “</w:t>
      </w:r>
      <w:r>
        <w:rPr>
          <w:rFonts w:ascii="Arial" w:cs="Arial" w:eastAsia="Arial" w:hAnsi="Arial"/>
          <w:sz w:val="22"/>
          <w:szCs w:val="22"/>
          <w:u w:val="single" w:color="auto"/>
          <w:color w:val="auto"/>
        </w:rPr>
        <w:t>Staff</w:t>
      </w:r>
      <w:r>
        <w:rPr>
          <w:rFonts w:ascii="Arial" w:cs="Arial" w:eastAsia="Arial" w:hAnsi="Arial"/>
          <w:sz w:val="22"/>
          <w:szCs w:val="22"/>
          <w:color w:val="auto"/>
        </w:rPr>
        <w:t>”) of the Securities and Exchange Commission that we received in a telephone conversation with the Staff on June 30, 2015 with respect to Amendment No. 2 to the above referenced Registration Statement on Form N-2 filed on June 15, 2015 (the “</w:t>
      </w:r>
      <w:r>
        <w:rPr>
          <w:rFonts w:ascii="Arial" w:cs="Arial" w:eastAsia="Arial" w:hAnsi="Arial"/>
          <w:sz w:val="22"/>
          <w:szCs w:val="22"/>
          <w:u w:val="single" w:color="auto"/>
          <w:color w:val="auto"/>
        </w:rPr>
        <w:t>Registration Statement</w:t>
      </w:r>
      <w:r>
        <w:rPr>
          <w:rFonts w:ascii="Arial" w:cs="Arial" w:eastAsia="Arial" w:hAnsi="Arial"/>
          <w:sz w:val="22"/>
          <w:szCs w:val="22"/>
          <w:color w:val="auto"/>
        </w:rPr>
        <w:t>”).</w:t>
      </w:r>
    </w:p>
    <w:p>
      <w:pPr>
        <w:spacing w:after="0" w:line="185" w:lineRule="exact"/>
        <w:rPr>
          <w:sz w:val="24"/>
          <w:szCs w:val="24"/>
          <w:color w:val="auto"/>
        </w:rPr>
      </w:pPr>
    </w:p>
    <w:p>
      <w:pPr>
        <w:jc w:val="both"/>
        <w:ind w:right="580" w:firstLine="571"/>
        <w:spacing w:after="0" w:line="297" w:lineRule="auto"/>
        <w:rPr>
          <w:sz w:val="20"/>
          <w:szCs w:val="20"/>
          <w:color w:val="auto"/>
        </w:rPr>
      </w:pPr>
      <w:r>
        <w:rPr>
          <w:rFonts w:ascii="Arial" w:cs="Arial" w:eastAsia="Arial" w:hAnsi="Arial"/>
          <w:sz w:val="19"/>
          <w:szCs w:val="19"/>
          <w:color w:val="auto"/>
        </w:rPr>
        <w:t>As requested by the Staff, if unfunded commitments were treated as senior securities for the purpose of calculating the Company’s asset coverage ratio, the Company confirms to the Staff that its asset coverage ratio would have been 262.0% and 288.2% as of March 31, 2015 and December 31, 2014, respectively, as set forth below in the pro forma column.</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8160" w:type="dxa"/>
            <w:vAlign w:val="bottom"/>
            <w:gridSpan w:val="3"/>
          </w:tcPr>
          <w:p>
            <w:pPr>
              <w:ind w:left="580"/>
              <w:spacing w:after="0"/>
              <w:rPr>
                <w:sz w:val="20"/>
                <w:szCs w:val="20"/>
                <w:color w:val="auto"/>
              </w:rPr>
            </w:pPr>
            <w:r>
              <w:rPr>
                <w:rFonts w:ascii="Arial" w:cs="Arial" w:eastAsia="Arial" w:hAnsi="Arial"/>
                <w:sz w:val="22"/>
                <w:szCs w:val="22"/>
                <w:color w:val="auto"/>
              </w:rPr>
              <w:t>As of March 31, 2015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07"/>
        </w:trPr>
        <w:tc>
          <w:tcPr>
            <w:tcW w:w="58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5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ind w:left="280"/>
              <w:spacing w:after="0"/>
              <w:rPr>
                <w:sz w:val="20"/>
                <w:szCs w:val="20"/>
                <w:color w:val="auto"/>
              </w:rPr>
            </w:pPr>
            <w:r>
              <w:rPr>
                <w:rFonts w:ascii="Arial" w:cs="Arial" w:eastAsia="Arial" w:hAnsi="Arial"/>
                <w:sz w:val="22"/>
                <w:szCs w:val="22"/>
                <w:color w:val="auto"/>
              </w:rPr>
              <w:t>Actual</w:t>
            </w:r>
          </w:p>
        </w:tc>
        <w:tc>
          <w:tcPr>
            <w:tcW w:w="10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Arial" w:cs="Arial" w:eastAsia="Arial" w:hAnsi="Arial"/>
                <w:sz w:val="22"/>
                <w:szCs w:val="22"/>
                <w:color w:val="auto"/>
              </w:rPr>
              <w:t>Pro Forma*</w:t>
            </w:r>
          </w:p>
        </w:tc>
      </w:tr>
      <w:tr>
        <w:trPr>
          <w:trHeight w:val="237"/>
        </w:trPr>
        <w:tc>
          <w:tcPr>
            <w:tcW w:w="8160" w:type="dxa"/>
            <w:vAlign w:val="bottom"/>
            <w:tcBorders>
              <w:top w:val="single" w:sz="8" w:color="CCEEFF"/>
            </w:tcBorders>
            <w:gridSpan w:val="3"/>
            <w:shd w:val="clear" w:color="auto" w:fill="CCEEFF"/>
          </w:tcPr>
          <w:p>
            <w:pPr>
              <w:spacing w:after="0" w:line="237" w:lineRule="exact"/>
              <w:rPr>
                <w:sz w:val="20"/>
                <w:szCs w:val="20"/>
                <w:color w:val="auto"/>
              </w:rPr>
            </w:pPr>
            <w:r>
              <w:rPr>
                <w:rFonts w:ascii="Arial" w:cs="Arial" w:eastAsia="Arial" w:hAnsi="Arial"/>
                <w:sz w:val="22"/>
                <w:szCs w:val="22"/>
                <w:color w:val="auto"/>
              </w:rPr>
              <w:t>Total Assets (less total liabilities other than Senior Securities)</w:t>
            </w:r>
          </w:p>
        </w:tc>
        <w:tc>
          <w:tcPr>
            <w:tcW w:w="12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w w:val="81"/>
              </w:rPr>
              <w:t>$</w:t>
            </w:r>
          </w:p>
        </w:tc>
        <w:tc>
          <w:tcPr>
            <w:tcW w:w="124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w w:val="86"/>
              </w:rPr>
              <w:t>1,326,752,161</w:t>
            </w:r>
          </w:p>
        </w:tc>
        <w:tc>
          <w:tcPr>
            <w:tcW w:w="4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26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w w:val="88"/>
              </w:rPr>
              <w:t>1,361,102,161</w:t>
            </w:r>
          </w:p>
        </w:tc>
        <w:tc>
          <w:tcPr>
            <w:tcW w:w="100" w:type="dxa"/>
            <w:vAlign w:val="bottom"/>
            <w:tcBorders>
              <w:top w:val="single" w:sz="8" w:color="CCEEFF"/>
            </w:tcBorders>
            <w:shd w:val="clear" w:color="auto" w:fill="CCEEFF"/>
          </w:tcPr>
          <w:p>
            <w:pPr>
              <w:spacing w:after="0"/>
              <w:rPr>
                <w:sz w:val="20"/>
                <w:szCs w:val="20"/>
                <w:color w:val="auto"/>
              </w:rPr>
            </w:pPr>
          </w:p>
        </w:tc>
      </w:tr>
      <w:tr>
        <w:trPr>
          <w:trHeight w:val="243"/>
        </w:trPr>
        <w:tc>
          <w:tcPr>
            <w:tcW w:w="8160" w:type="dxa"/>
            <w:vAlign w:val="bottom"/>
            <w:gridSpan w:val="3"/>
          </w:tcPr>
          <w:p>
            <w:pPr>
              <w:spacing w:after="0" w:line="243" w:lineRule="exact"/>
              <w:rPr>
                <w:sz w:val="20"/>
                <w:szCs w:val="20"/>
                <w:color w:val="auto"/>
              </w:rPr>
            </w:pPr>
            <w:r>
              <w:rPr>
                <w:rFonts w:ascii="Arial" w:cs="Arial" w:eastAsia="Arial" w:hAnsi="Arial"/>
                <w:sz w:val="22"/>
                <w:szCs w:val="22"/>
                <w:color w:val="auto"/>
              </w:rPr>
              <w:t>Senior Securities</w:t>
            </w:r>
          </w:p>
        </w:tc>
        <w:tc>
          <w:tcPr>
            <w:tcW w:w="12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68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w w:val="99"/>
              </w:rPr>
              <w:t>485,222,427</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3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519,572,427</w:t>
            </w:r>
          </w:p>
        </w:tc>
      </w:tr>
      <w:tr>
        <w:trPr>
          <w:trHeight w:val="243"/>
        </w:trPr>
        <w:tc>
          <w:tcPr>
            <w:tcW w:w="8160" w:type="dxa"/>
            <w:vAlign w:val="bottom"/>
            <w:gridSpan w:val="3"/>
            <w:shd w:val="clear" w:color="auto" w:fill="CCEEFF"/>
          </w:tcPr>
          <w:p>
            <w:pPr>
              <w:spacing w:after="0" w:line="243" w:lineRule="exact"/>
              <w:rPr>
                <w:sz w:val="20"/>
                <w:szCs w:val="20"/>
                <w:color w:val="auto"/>
              </w:rPr>
            </w:pPr>
            <w:r>
              <w:rPr>
                <w:rFonts w:ascii="Arial" w:cs="Arial" w:eastAsia="Arial" w:hAnsi="Arial"/>
                <w:sz w:val="22"/>
                <w:szCs w:val="22"/>
                <w:color w:val="auto"/>
              </w:rPr>
              <w:t>Asset Coverage Ratio</w:t>
            </w:r>
          </w:p>
        </w:tc>
        <w:tc>
          <w:tcPr>
            <w:tcW w:w="1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440"/>
              <w:spacing w:after="0" w:line="243" w:lineRule="exact"/>
              <w:rPr>
                <w:sz w:val="20"/>
                <w:szCs w:val="20"/>
                <w:color w:val="auto"/>
              </w:rPr>
            </w:pPr>
            <w:r>
              <w:rPr>
                <w:rFonts w:ascii="Arial" w:cs="Arial" w:eastAsia="Arial" w:hAnsi="Arial"/>
                <w:sz w:val="22"/>
                <w:szCs w:val="22"/>
                <w:color w:val="auto"/>
              </w:rPr>
              <w:t>273.4%</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262.0%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436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48" w:lineRule="exact"/>
        <w:rPr>
          <w:sz w:val="24"/>
          <w:szCs w:val="24"/>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Unfunded commitments as of March 31, 2015 were $34,350,000.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836930</wp:posOffset>
            </wp:positionH>
            <wp:positionV relativeFrom="paragraph">
              <wp:posOffset>161925</wp:posOffset>
            </wp:positionV>
            <wp:extent cx="5582920"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2920" cy="18859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8" w:lineRule="auto"/>
        <w:rPr>
          <w:sz w:val="20"/>
          <w:szCs w:val="20"/>
          <w:color w:val="auto"/>
        </w:rPr>
      </w:pPr>
      <w:r>
        <w:rPr>
          <w:rFonts w:ascii="Arial" w:cs="Arial" w:eastAsia="Arial" w:hAnsi="Arial"/>
          <w:sz w:val="22"/>
          <w:szCs w:val="22"/>
          <w:color w:val="auto"/>
        </w:rPr>
        <w:t>Securities and Exchange Commission</w:t>
      </w:r>
    </w:p>
    <w:p>
      <w:pPr>
        <w:spacing w:after="0"/>
        <w:rPr>
          <w:sz w:val="20"/>
          <w:szCs w:val="20"/>
          <w:color w:val="auto"/>
        </w:rPr>
      </w:pPr>
      <w:r>
        <w:rPr>
          <w:rFonts w:ascii="Arial" w:cs="Arial" w:eastAsia="Arial" w:hAnsi="Arial"/>
          <w:sz w:val="22"/>
          <w:szCs w:val="22"/>
          <w:color w:val="auto"/>
        </w:rPr>
        <w:t>Page 2</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860" w:type="dxa"/>
            <w:vAlign w:val="bottom"/>
            <w:gridSpan w:val="3"/>
          </w:tcPr>
          <w:p>
            <w:pPr>
              <w:ind w:left="580"/>
              <w:spacing w:after="0"/>
              <w:rPr>
                <w:sz w:val="20"/>
                <w:szCs w:val="20"/>
                <w:color w:val="auto"/>
              </w:rPr>
            </w:pPr>
            <w:r>
              <w:rPr>
                <w:rFonts w:ascii="Arial" w:cs="Arial" w:eastAsia="Arial" w:hAnsi="Arial"/>
                <w:sz w:val="22"/>
                <w:szCs w:val="22"/>
                <w:color w:val="auto"/>
              </w:rPr>
              <w:t>As of December 31, 2014</w:t>
            </w: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507"/>
        </w:trPr>
        <w:tc>
          <w:tcPr>
            <w:tcW w:w="58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5060" w:type="dxa"/>
            <w:vAlign w:val="bottom"/>
          </w:tcPr>
          <w:p>
            <w:pPr>
              <w:spacing w:after="0"/>
              <w:rPr>
                <w:sz w:val="24"/>
                <w:szCs w:val="24"/>
                <w:color w:val="auto"/>
              </w:rPr>
            </w:pPr>
          </w:p>
        </w:tc>
        <w:tc>
          <w:tcPr>
            <w:tcW w:w="1820" w:type="dxa"/>
            <w:vAlign w:val="bottom"/>
            <w:gridSpan w:val="2"/>
          </w:tcPr>
          <w:p>
            <w:pPr>
              <w:ind w:left="520"/>
              <w:spacing w:after="0"/>
              <w:rPr>
                <w:sz w:val="20"/>
                <w:szCs w:val="20"/>
                <w:color w:val="auto"/>
              </w:rPr>
            </w:pPr>
            <w:r>
              <w:rPr>
                <w:rFonts w:ascii="Arial" w:cs="Arial" w:eastAsia="Arial" w:hAnsi="Arial"/>
                <w:sz w:val="22"/>
                <w:szCs w:val="22"/>
                <w:color w:val="auto"/>
              </w:rPr>
              <w:t>Actual</w:t>
            </w:r>
          </w:p>
        </w:tc>
        <w:tc>
          <w:tcPr>
            <w:tcW w:w="1740" w:type="dxa"/>
            <w:vAlign w:val="bottom"/>
            <w:gridSpan w:val="2"/>
          </w:tcPr>
          <w:p>
            <w:pPr>
              <w:ind w:left="240"/>
              <w:spacing w:after="0"/>
              <w:rPr>
                <w:sz w:val="20"/>
                <w:szCs w:val="20"/>
                <w:color w:val="auto"/>
              </w:rPr>
            </w:pPr>
            <w:r>
              <w:rPr>
                <w:rFonts w:ascii="Arial" w:cs="Arial" w:eastAsia="Arial" w:hAnsi="Arial"/>
                <w:sz w:val="22"/>
                <w:szCs w:val="22"/>
                <w:color w:val="auto"/>
              </w:rPr>
              <w:t>Pro Forma**</w:t>
            </w:r>
          </w:p>
        </w:tc>
      </w:tr>
      <w:tr>
        <w:trPr>
          <w:trHeight w:val="237"/>
        </w:trPr>
        <w:tc>
          <w:tcPr>
            <w:tcW w:w="7860" w:type="dxa"/>
            <w:vAlign w:val="bottom"/>
            <w:tcBorders>
              <w:top w:val="single" w:sz="8" w:color="CCEEFF"/>
            </w:tcBorders>
            <w:gridSpan w:val="3"/>
            <w:shd w:val="clear" w:color="auto" w:fill="CCEEFF"/>
          </w:tcPr>
          <w:p>
            <w:pPr>
              <w:spacing w:after="0" w:line="237" w:lineRule="exact"/>
              <w:rPr>
                <w:sz w:val="20"/>
                <w:szCs w:val="20"/>
                <w:color w:val="auto"/>
              </w:rPr>
            </w:pPr>
            <w:r>
              <w:rPr>
                <w:rFonts w:ascii="Arial" w:cs="Arial" w:eastAsia="Arial" w:hAnsi="Arial"/>
                <w:sz w:val="22"/>
                <w:szCs w:val="22"/>
                <w:color w:val="auto"/>
              </w:rPr>
              <w:t>Total Assets (less total liabilities other than Senior Securities)</w:t>
            </w:r>
          </w:p>
        </w:tc>
        <w:tc>
          <w:tcPr>
            <w:tcW w:w="160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w w:val="99"/>
              </w:rPr>
              <w:t>$ 1,231,269,482</w:t>
            </w:r>
          </w:p>
        </w:tc>
        <w:tc>
          <w:tcPr>
            <w:tcW w:w="220" w:type="dxa"/>
            <w:vAlign w:val="bottom"/>
            <w:tcBorders>
              <w:top w:val="single" w:sz="8" w:color="CCEEFF"/>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$ 1,279,327,482</w:t>
            </w:r>
          </w:p>
        </w:tc>
        <w:tc>
          <w:tcPr>
            <w:tcW w:w="120" w:type="dxa"/>
            <w:vAlign w:val="bottom"/>
            <w:tcBorders>
              <w:top w:val="single" w:sz="8" w:color="CCEEFF"/>
            </w:tcBorders>
            <w:shd w:val="clear" w:color="auto" w:fill="CCEEFF"/>
          </w:tcPr>
          <w:p>
            <w:pPr>
              <w:spacing w:after="0"/>
              <w:rPr>
                <w:sz w:val="20"/>
                <w:szCs w:val="20"/>
                <w:color w:val="auto"/>
              </w:rPr>
            </w:pPr>
          </w:p>
        </w:tc>
      </w:tr>
      <w:tr>
        <w:trPr>
          <w:trHeight w:val="243"/>
        </w:trPr>
        <w:tc>
          <w:tcPr>
            <w:tcW w:w="7860" w:type="dxa"/>
            <w:vAlign w:val="bottom"/>
            <w:gridSpan w:val="3"/>
          </w:tcPr>
          <w:p>
            <w:pPr>
              <w:spacing w:after="0" w:line="243" w:lineRule="exact"/>
              <w:rPr>
                <w:sz w:val="20"/>
                <w:szCs w:val="20"/>
                <w:color w:val="auto"/>
              </w:rPr>
            </w:pPr>
            <w:r>
              <w:rPr>
                <w:rFonts w:ascii="Arial" w:cs="Arial" w:eastAsia="Arial" w:hAnsi="Arial"/>
                <w:sz w:val="22"/>
                <w:szCs w:val="22"/>
                <w:color w:val="auto"/>
              </w:rPr>
              <w:t>Senior Securities</w:t>
            </w:r>
          </w:p>
        </w:tc>
        <w:tc>
          <w:tcPr>
            <w:tcW w:w="1600" w:type="dxa"/>
            <w:vAlign w:val="bottom"/>
          </w:tcPr>
          <w:p>
            <w:pPr>
              <w:jc w:val="right"/>
              <w:spacing w:after="0" w:line="243" w:lineRule="exact"/>
              <w:rPr>
                <w:sz w:val="20"/>
                <w:szCs w:val="20"/>
                <w:color w:val="auto"/>
              </w:rPr>
            </w:pPr>
            <w:r>
              <w:rPr>
                <w:rFonts w:ascii="Arial" w:cs="Arial" w:eastAsia="Arial" w:hAnsi="Arial"/>
                <w:sz w:val="22"/>
                <w:szCs w:val="22"/>
                <w:color w:val="auto"/>
              </w:rPr>
              <w:t>$ 395,863,914</w:t>
            </w:r>
          </w:p>
        </w:tc>
        <w:tc>
          <w:tcPr>
            <w:tcW w:w="220" w:type="dxa"/>
            <w:vAlign w:val="bottom"/>
          </w:tcPr>
          <w:p>
            <w:pPr>
              <w:spacing w:after="0"/>
              <w:rPr>
                <w:sz w:val="21"/>
                <w:szCs w:val="21"/>
                <w:color w:val="auto"/>
              </w:rPr>
            </w:pP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$ 443,921,914</w:t>
            </w:r>
          </w:p>
        </w:tc>
        <w:tc>
          <w:tcPr>
            <w:tcW w:w="120" w:type="dxa"/>
            <w:vAlign w:val="bottom"/>
          </w:tcPr>
          <w:p>
            <w:pPr>
              <w:spacing w:after="0"/>
              <w:rPr>
                <w:sz w:val="21"/>
                <w:szCs w:val="21"/>
                <w:color w:val="auto"/>
              </w:rPr>
            </w:pPr>
          </w:p>
        </w:tc>
      </w:tr>
      <w:tr>
        <w:trPr>
          <w:trHeight w:val="243"/>
        </w:trPr>
        <w:tc>
          <w:tcPr>
            <w:tcW w:w="7860" w:type="dxa"/>
            <w:vAlign w:val="bottom"/>
            <w:gridSpan w:val="3"/>
            <w:shd w:val="clear" w:color="auto" w:fill="CCEEFF"/>
          </w:tcPr>
          <w:p>
            <w:pPr>
              <w:spacing w:after="0" w:line="243" w:lineRule="exact"/>
              <w:rPr>
                <w:sz w:val="20"/>
                <w:szCs w:val="20"/>
                <w:color w:val="auto"/>
              </w:rPr>
            </w:pPr>
            <w:r>
              <w:rPr>
                <w:rFonts w:ascii="Arial" w:cs="Arial" w:eastAsia="Arial" w:hAnsi="Arial"/>
                <w:sz w:val="22"/>
                <w:szCs w:val="22"/>
                <w:color w:val="auto"/>
              </w:rPr>
              <w:t>Asset Coverage Ratio</w:t>
            </w:r>
          </w:p>
        </w:tc>
        <w:tc>
          <w:tcPr>
            <w:tcW w:w="16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311.0%</w:t>
            </w: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288.2%</w:t>
            </w:r>
          </w:p>
        </w:tc>
        <w:tc>
          <w:tcPr>
            <w:tcW w:w="12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436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48" w:lineRule="exact"/>
        <w:rPr>
          <w:sz w:val="20"/>
          <w:szCs w:val="20"/>
          <w:color w:val="auto"/>
        </w:rPr>
      </w:pPr>
    </w:p>
    <w:p>
      <w:pPr>
        <w:ind w:left="660" w:hanging="652"/>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Unfunded commitments as of December 31, 2014 were $48,058,000.</w:t>
      </w:r>
    </w:p>
    <w:p>
      <w:pPr>
        <w:spacing w:after="0" w:line="206" w:lineRule="exact"/>
        <w:rPr>
          <w:sz w:val="20"/>
          <w:szCs w:val="20"/>
          <w:color w:val="auto"/>
        </w:rPr>
      </w:pPr>
    </w:p>
    <w:p>
      <w:pPr>
        <w:ind w:right="20" w:firstLine="571"/>
        <w:spacing w:after="0" w:line="247" w:lineRule="auto"/>
        <w:rPr>
          <w:sz w:val="20"/>
          <w:szCs w:val="20"/>
          <w:color w:val="auto"/>
        </w:rPr>
      </w:pPr>
      <w:r>
        <w:rPr>
          <w:rFonts w:ascii="Arial" w:cs="Arial" w:eastAsia="Arial" w:hAnsi="Arial"/>
          <w:sz w:val="21"/>
          <w:szCs w:val="21"/>
          <w:color w:val="auto"/>
        </w:rPr>
        <w:t>The Company respectfully advises the Staff that its unfunded commitments are obligations to make additional investments in certain of its portfolio companies through the funding of either undrawn portions of senior secured revolving credit facilities or delayed draw term loans to such portfolio companies. When calculating a pro forma asset coverage ratio that treats the value of the Company’s unfunded commitments as senior securities in the denominator of the ratio, as shown above, the Company believes that the total amount of unfunded commitments should also be added to the value of the Company’s total assets in the numerator of the pro forma ratio because any funding by the Company of its unfunded commitments will result in a corresponding increase in the value of the Company’s investments.</w:t>
      </w:r>
    </w:p>
    <w:p>
      <w:pPr>
        <w:spacing w:after="0" w:line="178" w:lineRule="exact"/>
        <w:rPr>
          <w:sz w:val="20"/>
          <w:szCs w:val="20"/>
          <w:color w:val="auto"/>
        </w:rPr>
      </w:pPr>
    </w:p>
    <w:p>
      <w:pPr>
        <w:jc w:val="both"/>
        <w:ind w:right="360" w:firstLine="571"/>
        <w:spacing w:after="0" w:line="297" w:lineRule="auto"/>
        <w:rPr>
          <w:sz w:val="20"/>
          <w:szCs w:val="20"/>
          <w:color w:val="auto"/>
        </w:rPr>
      </w:pPr>
      <w:r>
        <w:rPr>
          <w:rFonts w:ascii="Arial" w:cs="Arial" w:eastAsia="Arial" w:hAnsi="Arial"/>
          <w:sz w:val="19"/>
          <w:szCs w:val="19"/>
          <w:color w:val="auto"/>
        </w:rPr>
        <w:t>As it noted to the Staff in its comment response letter dated May 28, 2015, the Company carefully considers its unfunded commitments for the purpose of planning its ongoing operating leverage. Further, the Company maintains sufficient borrowing capacity within its 200% asset coverage limitation to cover any outstanding unfunded commitments it is required to fund.</w:t>
      </w:r>
    </w:p>
    <w:p>
      <w:pPr>
        <w:spacing w:after="0" w:line="134" w:lineRule="exact"/>
        <w:rPr>
          <w:sz w:val="20"/>
          <w:szCs w:val="20"/>
          <w:color w:val="auto"/>
        </w:rPr>
      </w:pPr>
    </w:p>
    <w:p>
      <w:pPr>
        <w:ind w:left="4480"/>
        <w:spacing w:after="0"/>
        <w:tabs>
          <w:tab w:leader="none" w:pos="5040" w:val="left"/>
          <w:tab w:leader="none" w:pos="5640" w:val="left"/>
          <w:tab w:leader="none" w:pos="6240" w:val="left"/>
          <w:tab w:leader="none" w:pos="682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right="80" w:firstLine="571"/>
        <w:spacing w:after="0"/>
        <w:rPr>
          <w:sz w:val="20"/>
          <w:szCs w:val="20"/>
          <w:color w:val="auto"/>
        </w:rPr>
      </w:pPr>
      <w:r>
        <w:rPr>
          <w:rFonts w:ascii="Arial" w:cs="Arial" w:eastAsia="Arial" w:hAnsi="Arial"/>
          <w:sz w:val="22"/>
          <w:szCs w:val="22"/>
          <w:color w:val="auto"/>
        </w:rPr>
        <w:t>We hope that these responses adequately address the Staff’s comment. If the Staff has any questions concerning this letter or requires further information, please do not hesitate to contact Adam Fleisher at (212) 225-2286 or Helena Grannis at (212) 225-2376.</w:t>
      </w:r>
    </w:p>
    <w:p>
      <w:pPr>
        <w:spacing w:after="0" w:line="186"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Very truly yours,</w:t>
      </w:r>
    </w:p>
    <w:p>
      <w:pPr>
        <w:ind w:left="6060"/>
        <w:spacing w:after="0" w:line="238" w:lineRule="auto"/>
        <w:rPr>
          <w:sz w:val="20"/>
          <w:szCs w:val="20"/>
          <w:color w:val="auto"/>
        </w:rPr>
      </w:pPr>
      <w:r>
        <w:rPr>
          <w:rFonts w:ascii="Arial" w:cs="Arial" w:eastAsia="Arial" w:hAnsi="Arial"/>
          <w:sz w:val="22"/>
          <w:szCs w:val="22"/>
          <w:color w:val="auto"/>
        </w:rPr>
        <w:t>/s/ Adam E. Fleisher</w:t>
      </w:r>
    </w:p>
    <w:p>
      <w:pPr>
        <w:ind w:left="6060"/>
        <w:spacing w:after="0"/>
        <w:rPr>
          <w:sz w:val="20"/>
          <w:szCs w:val="20"/>
          <w:color w:val="auto"/>
        </w:rPr>
      </w:pPr>
      <w:r>
        <w:rPr>
          <w:rFonts w:ascii="Arial" w:cs="Arial" w:eastAsia="Arial" w:hAnsi="Arial"/>
          <w:sz w:val="22"/>
          <w:szCs w:val="22"/>
          <w:color w:val="auto"/>
        </w:rPr>
        <w:t>Adam E. Fleisher</w:t>
      </w:r>
    </w:p>
    <w:p>
      <w:pPr>
        <w:spacing w:after="0" w:line="215" w:lineRule="exact"/>
        <w:rPr>
          <w:sz w:val="20"/>
          <w:szCs w:val="20"/>
          <w:color w:val="auto"/>
        </w:rPr>
      </w:pPr>
    </w:p>
    <w:p>
      <w:pPr>
        <w:ind w:left="580" w:hanging="572"/>
        <w:spacing w:after="0"/>
        <w:tabs>
          <w:tab w:leader="none" w:pos="580" w:val="left"/>
        </w:tabs>
        <w:numPr>
          <w:ilvl w:val="0"/>
          <w:numId w:val="3"/>
        </w:numPr>
        <w:rPr>
          <w:rFonts w:ascii="Arial" w:cs="Arial" w:eastAsia="Arial" w:hAnsi="Arial"/>
          <w:sz w:val="22"/>
          <w:szCs w:val="22"/>
          <w:color w:val="auto"/>
        </w:rPr>
      </w:pPr>
      <w:r>
        <w:rPr>
          <w:rFonts w:ascii="Arial" w:cs="Arial" w:eastAsia="Arial" w:hAnsi="Arial"/>
          <w:sz w:val="22"/>
          <w:szCs w:val="22"/>
          <w:color w:val="auto"/>
        </w:rPr>
        <w:t>Vincent J. DiStefano</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22"/>
          <w:szCs w:val="22"/>
          <w:color w:val="auto"/>
        </w:rPr>
        <w:t>Securities and Exchange Commission</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David Stiepleman</w:t>
      </w:r>
    </w:p>
    <w:p>
      <w:pPr>
        <w:ind w:left="580"/>
        <w:spacing w:after="0" w:line="238" w:lineRule="auto"/>
        <w:rPr>
          <w:sz w:val="20"/>
          <w:szCs w:val="20"/>
          <w:color w:val="auto"/>
        </w:rPr>
      </w:pPr>
      <w:r>
        <w:rPr>
          <w:rFonts w:ascii="Arial" w:cs="Arial" w:eastAsia="Arial" w:hAnsi="Arial"/>
          <w:sz w:val="22"/>
          <w:szCs w:val="22"/>
          <w:color w:val="auto"/>
        </w:rPr>
        <w:t>Jennifer Mello</w:t>
      </w:r>
    </w:p>
    <w:p>
      <w:pPr>
        <w:ind w:left="840"/>
        <w:spacing w:after="0"/>
        <w:rPr>
          <w:sz w:val="20"/>
          <w:szCs w:val="20"/>
          <w:color w:val="auto"/>
        </w:rPr>
      </w:pPr>
      <w:r>
        <w:rPr>
          <w:rFonts w:ascii="Arial" w:cs="Arial" w:eastAsia="Arial" w:hAnsi="Arial"/>
          <w:sz w:val="22"/>
          <w:szCs w:val="22"/>
          <w:color w:val="auto"/>
        </w:rPr>
        <w:t>TPG Specialty Lending, Inc.</w:t>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22"/>
          <w:szCs w:val="22"/>
          <w:color w:val="auto"/>
        </w:rPr>
        <w:t>Michael A. Gerstenzang</w:t>
      </w:r>
    </w:p>
    <w:p>
      <w:pPr>
        <w:ind w:left="580"/>
        <w:spacing w:after="0" w:line="238" w:lineRule="auto"/>
        <w:rPr>
          <w:sz w:val="20"/>
          <w:szCs w:val="20"/>
          <w:color w:val="auto"/>
        </w:rPr>
      </w:pPr>
      <w:r>
        <w:rPr>
          <w:rFonts w:ascii="Arial" w:cs="Arial" w:eastAsia="Arial" w:hAnsi="Arial"/>
          <w:sz w:val="22"/>
          <w:szCs w:val="22"/>
          <w:color w:val="auto"/>
        </w:rPr>
        <w:t>Helena K. Grannis</w:t>
      </w:r>
    </w:p>
    <w:p>
      <w:pPr>
        <w:ind w:left="840"/>
        <w:spacing w:after="0"/>
        <w:rPr>
          <w:sz w:val="20"/>
          <w:szCs w:val="20"/>
          <w:color w:val="auto"/>
        </w:rPr>
      </w:pPr>
      <w:r>
        <w:rPr>
          <w:rFonts w:ascii="Arial" w:cs="Arial" w:eastAsia="Arial" w:hAnsi="Arial"/>
          <w:sz w:val="22"/>
          <w:szCs w:val="22"/>
          <w:color w:val="auto"/>
        </w:rPr>
        <w:t>Cleary Gottlieb Steen &amp; Hamilton LLP</w:t>
      </w:r>
    </w:p>
    <w:sectPr>
      <w:pgSz w:w="11900" w:h="16838" w:orient="portrait"/>
      <w:cols w:equalWidth="0" w:num="1">
        <w:col w:w="11420"/>
      </w:cols>
      <w:pgMar w:left="240" w:top="2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2019-12-08T23:45:19Z</dcterms:created>
  <dcterms:modified xsi:type="dcterms:W3CDTF">2019-12-08T23:45:19Z</dcterms:modified>
</cp:coreProperties>
</file>