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shd w:fill="FFFFFF" w:val="clear"/>
        </w:rPr>
      </w:pPr>
      <w:bookmarkStart w:id="0" w:name="d824800d8k.htm"/>
      <w:bookmarkStart w:id="1" w:name="ksd824800d8k"/>
      <w:bookmarkEnd w:id="0"/>
      <w:bookmarkEnd w:id="1"/>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TextBody"/>
        <w:bidi w:val="0"/>
        <w:spacing w:before="80" w:after="0"/>
        <w:jc w:val="center"/>
        <w:rPr>
          <w:rFonts w:ascii="Times New Roman" w:hAnsi="Times New Roman"/>
          <w:b/>
          <w:sz w:val="36"/>
          <w:shd w:fill="FFFFFF" w:val="clear"/>
        </w:rPr>
      </w:pPr>
      <w:r>
        <w:rPr>
          <w:rFonts w:ascii="Times New Roman" w:hAnsi="Times New Roman"/>
          <w:b/>
          <w:sz w:val="36"/>
          <w:shd w:fill="FFFFFF" w:val="clear"/>
        </w:rPr>
        <w:t xml:space="preserve">UNITED STATES </w:t>
      </w:r>
    </w:p>
    <w:p>
      <w:pPr>
        <w:pStyle w:val="TextBody"/>
        <w:bidi w:val="0"/>
        <w:spacing w:before="0" w:after="0"/>
        <w:jc w:val="center"/>
        <w:rPr>
          <w:rFonts w:ascii="Times New Roman" w:hAnsi="Times New Roman"/>
          <w:b/>
          <w:sz w:val="36"/>
          <w:shd w:fill="FFFFFF" w:val="clear"/>
        </w:rPr>
      </w:pPr>
      <w:r>
        <w:rPr>
          <w:rFonts w:ascii="Times New Roman" w:hAnsi="Times New Roman"/>
          <w:b/>
          <w:sz w:val="36"/>
          <w:shd w:fill="FFFFFF" w:val="clear"/>
        </w:rPr>
        <w:t xml:space="preserve">SECURITIES AND EXCHANGE COMMISSION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00" w:after="0"/>
        <w:jc w:val="center"/>
        <w:rPr>
          <w:rFonts w:ascii="Times New Roman" w:hAnsi="Times New Roman"/>
          <w:b/>
          <w:sz w:val="36"/>
          <w:shd w:fill="FFFFFF" w:val="clear"/>
        </w:rPr>
      </w:pPr>
      <w:r>
        <w:rPr>
          <w:rFonts w:ascii="Times New Roman" w:hAnsi="Times New Roman"/>
          <w:b/>
          <w:sz w:val="36"/>
          <w:shd w:fill="FFFFFF" w:val="clear"/>
        </w:rPr>
        <w:t xml:space="preserve">FORM </w:t>
      </w:r>
    </w:p>
    <w:p>
      <w:pPr>
        <w:pStyle w:val="TextBody"/>
        <w:bidi w:val="0"/>
        <w:spacing w:before="200" w:after="0"/>
        <w:jc w:val="center"/>
        <w:rPr>
          <w:rFonts w:ascii="Times New Roman" w:hAnsi="Times New Roman"/>
          <w:b/>
          <w:sz w:val="36"/>
          <w:shd w:fill="FFFFFF" w:val="clear"/>
        </w:rPr>
      </w:pPr>
      <w:r>
        <w:rPr>
          <w:rFonts w:ascii="Times New Roman" w:hAnsi="Times New Roman"/>
          <w:b/>
          <w:sz w:val="36"/>
          <w:shd w:fill="FFFFFF" w:val="clear"/>
        </w:rPr>
        <w:t>8-K</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00" w:after="0"/>
        <w:jc w:val="center"/>
        <w:rPr>
          <w:rFonts w:ascii="Times New Roman" w:hAnsi="Times New Roman"/>
          <w:b/>
          <w:sz w:val="24"/>
          <w:shd w:fill="FFFFFF" w:val="clear"/>
        </w:rPr>
      </w:pPr>
      <w:r>
        <w:rPr>
          <w:rFonts w:ascii="Times New Roman" w:hAnsi="Times New Roman"/>
          <w:b/>
          <w:sz w:val="24"/>
          <w:shd w:fill="FFFFFF" w:val="clear"/>
        </w:rPr>
        <w:t xml:space="preserve">CURRENT REPORT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Pursuant to Section 13 or 15(d)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of the Securities Exchange Act of 1934 </w:t>
      </w:r>
    </w:p>
    <w:p>
      <w:pPr>
        <w:pStyle w:val="TextBody"/>
        <w:bidi w:val="0"/>
        <w:spacing w:before="200" w:after="0"/>
        <w:jc w:val="center"/>
        <w:rPr>
          <w:rFonts w:ascii="Times New Roman" w:hAnsi="Times New Roman"/>
          <w:b/>
          <w:sz w:val="24"/>
          <w:shd w:fill="FFFFFF" w:val="clear"/>
        </w:rPr>
      </w:pPr>
      <w:r>
        <w:rPr>
          <w:rFonts w:ascii="Times New Roman" w:hAnsi="Times New Roman"/>
          <w:b/>
          <w:sz w:val="24"/>
          <w:shd w:fill="FFFFFF" w:val="clear"/>
        </w:rPr>
        <w:t xml:space="preserve">Date of Report (Date of earliest event reported): </w:t>
      </w:r>
    </w:p>
    <w:p>
      <w:pPr>
        <w:pStyle w:val="TextBody"/>
        <w:bidi w:val="0"/>
        <w:spacing w:before="200" w:after="0"/>
        <w:jc w:val="center"/>
        <w:rPr>
          <w:rFonts w:ascii="Times New Roman" w:hAnsi="Times New Roman"/>
          <w:b/>
          <w:sz w:val="24"/>
          <w:shd w:fill="FFFFFF" w:val="clear"/>
        </w:rPr>
      </w:pPr>
      <w:r>
        <w:rPr>
          <w:rFonts w:ascii="Times New Roman" w:hAnsi="Times New Roman"/>
          <w:b/>
          <w:sz w:val="24"/>
          <w:shd w:fill="FFFFFF" w:val="clear"/>
        </w:rPr>
        <w:t>April 24, 2024</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00" w:after="0"/>
        <w:jc w:val="center"/>
        <w:rPr>
          <w:rFonts w:ascii="Times New Roman" w:hAnsi="Times New Roman"/>
          <w:b/>
          <w:sz w:val="48"/>
          <w:shd w:fill="FFFFFF" w:val="clear"/>
        </w:rPr>
      </w:pPr>
      <w:r>
        <w:rPr>
          <w:rFonts w:ascii="Times New Roman" w:hAnsi="Times New Roman"/>
          <w:b/>
          <w:sz w:val="48"/>
          <w:shd w:fill="FFFFFF" w:val="clear"/>
        </w:rPr>
        <w:t>Sixth Street Specialty Lending, Inc.</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(Exact name of registrant as specified in charter)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0" w:after="0"/>
        <w:jc w:val="left"/>
        <w:rPr>
          <w:shd w:fill="FFFFFF" w:val="clear"/>
        </w:rPr>
      </w:pPr>
      <w:r>
        <w:rPr>
          <w:shd w:fill="FFFFFF" w:val="clea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001-36364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27-3380000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shd w:fill="FFFFFF" w:val="clear"/>
        </w:rPr>
      </w:pPr>
      <w:r>
        <w:rPr>
          <w:shd w:fill="FFFFFF" w:val="clear"/>
        </w:rPr>
        <w:t> </w:t>
      </w:r>
    </w:p>
    <w:tbl>
      <w:tblPr>
        <w:tblW w:w="5140" w:type="dxa"/>
        <w:jc w:val="left"/>
        <w:tblInd w:w="0" w:type="dxa"/>
        <w:tblLayout w:type="fixed"/>
        <w:tblCellMar>
          <w:top w:w="0" w:type="dxa"/>
          <w:left w:w="0" w:type="dxa"/>
          <w:bottom w:w="0" w:type="dxa"/>
          <w:right w:w="0" w:type="dxa"/>
        </w:tblCellMar>
      </w:tblPr>
      <w:tblGrid>
        <w:gridCol w:w="4070"/>
        <w:gridCol w:w="60"/>
        <w:gridCol w:w="101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b/>
                <w:spacing w:val="0"/>
              </w:rPr>
            </w:pPr>
            <w:r>
              <w:rPr>
                <w:b/>
                <w:spacing w:val="0"/>
              </w:rPr>
              <w:t>2100 McKinney Avenue</w:t>
            </w:r>
          </w:p>
          <w:p>
            <w:pPr>
              <w:pStyle w:val="TableContents"/>
              <w:bidi w:val="0"/>
              <w:spacing w:before="0" w:after="0"/>
              <w:jc w:val="center"/>
              <w:rPr>
                <w:b/>
                <w:spacing w:val="0"/>
              </w:rPr>
            </w:pPr>
            <w:r>
              <w:rPr>
                <w:b/>
                <w:spacing w:val="0"/>
              </w:rPr>
              <w:t xml:space="preserve">, </w:t>
            </w:r>
          </w:p>
          <w:p>
            <w:pPr>
              <w:pStyle w:val="TableContents"/>
              <w:bidi w:val="0"/>
              <w:spacing w:before="0" w:after="0"/>
              <w:jc w:val="center"/>
              <w:rPr>
                <w:b/>
                <w:spacing w:val="0"/>
              </w:rPr>
            </w:pPr>
            <w:r>
              <w:rPr>
                <w:b/>
                <w:spacing w:val="0"/>
              </w:rPr>
              <w:t>Suite 1500</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b/>
                <w:spacing w:val="0"/>
              </w:rPr>
            </w:pPr>
            <w:r>
              <w:rPr>
                <w:b/>
                <w:spacing w:val="0"/>
              </w:rPr>
              <w:t>Dallas</w:t>
            </w:r>
          </w:p>
          <w:p>
            <w:pPr>
              <w:pStyle w:val="TableContents"/>
              <w:bidi w:val="0"/>
              <w:spacing w:before="0" w:after="0"/>
              <w:jc w:val="center"/>
              <w:rPr>
                <w:b/>
                <w:spacing w:val="0"/>
              </w:rPr>
            </w:pPr>
            <w:r>
              <w:rPr>
                <w:b/>
                <w:spacing w:val="0"/>
              </w:rPr>
              <w:t xml:space="preserve">, </w:t>
            </w:r>
          </w:p>
          <w:p>
            <w:pPr>
              <w:pStyle w:val="TableContents"/>
              <w:bidi w:val="0"/>
              <w:spacing w:before="0" w:after="0"/>
              <w:jc w:val="center"/>
              <w:rPr>
                <w:b/>
                <w:spacing w:val="0"/>
              </w:rPr>
            </w:pPr>
            <w:r>
              <w:rPr>
                <w:b/>
                <w:spacing w:val="0"/>
              </w:rPr>
              <w:t>TX</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center"/>
              <w:rPr>
                <w:b/>
                <w:spacing w:val="0"/>
              </w:rPr>
            </w:pPr>
            <w:r>
              <w:rPr>
                <w:b/>
                <w:spacing w:val="0"/>
              </w:rPr>
              <w:t>75201</w:t>
            </w:r>
          </w:p>
        </w:tc>
      </w:tr>
      <w:tr>
        <w:trPr/>
        <w:tc>
          <w:tcPr>
            <w:tcW w:w="4070"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00" w:after="0"/>
        <w:jc w:val="center"/>
        <w:rPr>
          <w:rFonts w:ascii="Times New Roman" w:hAnsi="Times New Roman"/>
          <w:b/>
          <w:sz w:val="20"/>
          <w:shd w:fill="FFFFFF" w:val="clear"/>
        </w:rPr>
      </w:pPr>
      <w:r>
        <w:rPr>
          <w:rFonts w:ascii="Times New Roman" w:hAnsi="Times New Roman"/>
          <w:b/>
          <w:sz w:val="20"/>
          <w:shd w:fill="FFFFFF" w:val="clear"/>
        </w:rPr>
        <w:t>Registrant’s telephone number, including area code: (</w:t>
      </w:r>
    </w:p>
    <w:p>
      <w:pPr>
        <w:pStyle w:val="TextBody"/>
        <w:bidi w:val="0"/>
        <w:spacing w:before="200" w:after="0"/>
        <w:jc w:val="center"/>
        <w:rPr>
          <w:rFonts w:ascii="Times New Roman" w:hAnsi="Times New Roman"/>
          <w:b/>
          <w:sz w:val="20"/>
          <w:shd w:fill="FFFFFF" w:val="clear"/>
        </w:rPr>
      </w:pPr>
      <w:r>
        <w:rPr>
          <w:rFonts w:ascii="Times New Roman" w:hAnsi="Times New Roman"/>
          <w:b/>
          <w:sz w:val="20"/>
          <w:shd w:fill="FFFFFF" w:val="clear"/>
        </w:rPr>
        <w:t>469</w:t>
      </w:r>
    </w:p>
    <w:p>
      <w:pPr>
        <w:pStyle w:val="TextBody"/>
        <w:bidi w:val="0"/>
        <w:spacing w:before="200" w:after="0"/>
        <w:jc w:val="center"/>
        <w:rPr>
          <w:rFonts w:ascii="Times New Roman" w:hAnsi="Times New Roman"/>
          <w:b/>
          <w:sz w:val="20"/>
          <w:shd w:fill="FFFFFF" w:val="clear"/>
        </w:rPr>
      </w:pPr>
      <w:r>
        <w:rPr>
          <w:rFonts w:ascii="Times New Roman" w:hAnsi="Times New Roman"/>
          <w:b/>
          <w:sz w:val="20"/>
          <w:shd w:fill="FFFFFF" w:val="clear"/>
        </w:rPr>
        <w:t xml:space="preserve">) </w:t>
      </w:r>
    </w:p>
    <w:p>
      <w:pPr>
        <w:pStyle w:val="TextBody"/>
        <w:bidi w:val="0"/>
        <w:spacing w:before="200" w:after="0"/>
        <w:jc w:val="center"/>
        <w:rPr>
          <w:rFonts w:ascii="Times New Roman" w:hAnsi="Times New Roman"/>
          <w:b/>
          <w:spacing w:val="0"/>
          <w:sz w:val="20"/>
          <w:shd w:fill="FFFFFF" w:val="clear"/>
        </w:rPr>
      </w:pPr>
      <w:r>
        <w:rPr>
          <w:rFonts w:ascii="Times New Roman" w:hAnsi="Times New Roman"/>
          <w:b/>
          <w:spacing w:val="0"/>
          <w:sz w:val="20"/>
          <w:shd w:fill="FFFFFF" w:val="clear"/>
        </w:rPr>
        <w:t>621-3001</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00" w:after="0"/>
        <w:jc w:val="left"/>
        <w:rPr>
          <w:rFonts w:ascii="Times New Roman" w:hAnsi="Times New Roman"/>
          <w:sz w:val="20"/>
          <w:shd w:fill="FFFFFF" w:val="clear"/>
        </w:rPr>
      </w:pPr>
      <w:r>
        <w:rPr>
          <w:rFonts w:ascii="Times New Roman" w:hAnsi="Times New Roman"/>
          <w:sz w:val="20"/>
          <w:shd w:fill="FFFFFF" w:val="clear"/>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before="0" w:after="0"/>
        <w:jc w:val="left"/>
        <w:rPr>
          <w:shd w:fill="FFFFFF" w:val="clear"/>
        </w:rPr>
      </w:pPr>
      <w:r>
        <w:rPr>
          <w:shd w:fill="FFFFFF" w:val="clea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shd w:fill="FFFFFF" w:val="clear"/>
        </w:rPr>
      </w:pPr>
      <w:r>
        <w:rPr>
          <w:shd w:fill="FFFFFF" w:val="clear"/>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shd w:fill="FFFFFF" w:val="clear"/>
        </w:rPr>
      </w:pPr>
      <w:r>
        <w:rPr>
          <w:shd w:fill="FFFFFF" w:val="clear"/>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shd w:fill="FFFFFF" w:val="clear"/>
        </w:rPr>
      </w:pPr>
      <w:r>
        <w:rPr>
          <w:shd w:fill="FFFFFF" w:val="clear"/>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00" w:after="0"/>
        <w:jc w:val="left"/>
        <w:rPr>
          <w:rFonts w:ascii="Times New Roman" w:hAnsi="Times New Roman"/>
          <w:sz w:val="20"/>
          <w:shd w:fill="FFFFFF" w:val="clear"/>
        </w:rPr>
      </w:pPr>
      <w:r>
        <w:rPr>
          <w:rFonts w:ascii="Times New Roman" w:hAnsi="Times New Roman"/>
          <w:sz w:val="20"/>
          <w:shd w:fill="FFFFFF" w:val="clear"/>
        </w:rPr>
        <w:t xml:space="preserve">Securities registered pursuant to Section 12(b) of the Act: </w:t>
      </w:r>
    </w:p>
    <w:p>
      <w:pPr>
        <w:pStyle w:val="TextBody"/>
        <w:bidi w:val="0"/>
        <w:spacing w:before="0" w:after="0"/>
        <w:jc w:val="left"/>
        <w:rPr>
          <w:shd w:fill="FFFFFF" w:val="clear"/>
        </w:rPr>
      </w:pPr>
      <w:r>
        <w:rPr>
          <w:shd w:fill="FFFFFF" w:val="clear"/>
        </w:rPr>
        <w:t> </w:t>
      </w:r>
    </w:p>
    <w:tbl>
      <w:tblPr>
        <w:tblW w:w="7980" w:type="dxa"/>
        <w:jc w:val="left"/>
        <w:tblInd w:w="0" w:type="dxa"/>
        <w:tblLayout w:type="fixed"/>
        <w:tblCellMar>
          <w:top w:w="0" w:type="dxa"/>
          <w:left w:w="0" w:type="dxa"/>
          <w:bottom w:w="0" w:type="dxa"/>
          <w:right w:w="0" w:type="dxa"/>
        </w:tblCellMar>
      </w:tblPr>
      <w:tblGrid>
        <w:gridCol w:w="4025"/>
        <w:gridCol w:w="60"/>
        <w:gridCol w:w="740"/>
        <w:gridCol w:w="60"/>
        <w:gridCol w:w="309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TSLX</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0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00" w:after="0"/>
        <w:jc w:val="left"/>
        <w:rPr>
          <w:rFonts w:ascii="Times New Roman" w:hAnsi="Times New Roman"/>
          <w:sz w:val="20"/>
          <w:shd w:fill="FFFFFF" w:val="clear"/>
        </w:rPr>
      </w:pPr>
      <w:r>
        <w:rPr>
          <w:rFonts w:ascii="Times New Roman" w:hAnsi="Times New Roman"/>
          <w:sz w:val="20"/>
          <w:shd w:fill="FFFFFF" w:val="clear"/>
        </w:rPr>
        <w:t xml:space="preserve">Emerging growth company ☐ </w:t>
      </w:r>
    </w:p>
    <w:p>
      <w:pPr>
        <w:pStyle w:val="TextBody"/>
        <w:bidi w:val="0"/>
        <w:spacing w:before="200" w:after="0"/>
        <w:jc w:val="left"/>
        <w:rPr>
          <w:rFonts w:ascii="Times New Roman" w:hAnsi="Times New Roman"/>
          <w:sz w:val="20"/>
          <w:shd w:fill="FFFFFF" w:val="clear"/>
        </w:rPr>
      </w:pPr>
      <w:r>
        <w:rPr>
          <w:rFonts w:ascii="Times New Roman" w:hAnsi="Times New Roman"/>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Item 1.01 – Entry into a Material Definitive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On April 24, 2024, Sixth Street Specialty Lending, Inc. (the “Company”) entered into a fifteenth amendment to the Company’s second amended and restated senior secured revolving credit facility, dated February 27, 2014 (as amended, the “Revolving Credit Facility”), which, among other changes, (a) increases the aggregate commitments under the Revolving Credit Facility from $1.685 billion as of March 31, 2024 to $1.70 billion and (b) extends the termination of the revolving period 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1.505</w:t>
      </w:r>
    </w:p>
    <w:p>
      <w:pPr>
        <w:pStyle w:val="TextBody"/>
        <w:bidi w:val="0"/>
        <w:spacing w:before="120" w:after="0"/>
        <w:jc w:val="left"/>
        <w:rPr>
          <w:shd w:fill="FFFFFF" w:val="clear"/>
        </w:rPr>
      </w:pPr>
      <w:r>
        <w:rPr>
          <w:shd w:fill="FFFFFF" w:val="clear"/>
        </w:rPr>
        <w:t> </w:t>
      </w:r>
      <w:r>
        <w:rPr>
          <w:rFonts w:ascii="Times New Roman" w:hAnsi="Times New Roman"/>
          <w:sz w:val="20"/>
          <w:shd w:fill="FFFFFF" w:val="clear"/>
        </w:rPr>
        <w:t xml:space="preserve">billion of commitments to April 24, 2028 and the stated maturity date to April 24, 2029. The foregoing description is only a summary of certain of the provisions of the Revolving Credit Facility and is qualified in its entirety by the underlying agreement, which will be filed as an exhibit to the Company’s next Quarterly Report on Form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10-Q.</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Item 2.03 – Creation of a Direct Financial Obligation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information set forth under Item 1.01 above is incorporated by reference into this Item 2.03.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SIGNATURES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shd w:fill="FFFFFF" w:val="clear"/>
        </w:rPr>
      </w:pPr>
      <w:r>
        <w:rPr>
          <w:shd w:fill="FFFFFF" w:val="clear"/>
        </w:rPr>
        <w:t> </w:t>
      </w:r>
    </w:p>
    <w:tbl>
      <w:tblPr>
        <w:tblW w:w="5926" w:type="dxa"/>
        <w:jc w:val="left"/>
        <w:tblInd w:w="0" w:type="dxa"/>
        <w:tblLayout w:type="fixed"/>
        <w:tblCellMar>
          <w:top w:w="0" w:type="dxa"/>
          <w:left w:w="0" w:type="dxa"/>
          <w:bottom w:w="0" w:type="dxa"/>
          <w:right w:w="0" w:type="dxa"/>
        </w:tblCellMar>
      </w:tblPr>
      <w:tblGrid>
        <w:gridCol w:w="2000"/>
        <w:gridCol w:w="60"/>
        <w:gridCol w:w="23"/>
        <w:gridCol w:w="60"/>
        <w:gridCol w:w="521"/>
        <w:gridCol w:w="85"/>
        <w:gridCol w:w="3177"/>
      </w:tblGrid>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3177"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83"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SIXTH STREET SPECIALTY LENDING, INC.</w:t>
            </w:r>
          </w:p>
          <w:p>
            <w:pPr>
              <w:pStyle w:val="TableContents"/>
              <w:bidi w:val="0"/>
              <w:spacing w:before="0" w:after="20"/>
              <w:jc w:val="left"/>
              <w:rPr>
                <w:rFonts w:ascii="Times New Roman" w:hAnsi="Times New Roman"/>
                <w:sz w:val="20"/>
              </w:rPr>
            </w:pPr>
            <w:r>
              <w:rPr>
                <w:rFonts w:ascii="Times New Roman" w:hAnsi="Times New Roman"/>
                <w:sz w:val="20"/>
              </w:rPr>
              <w:t>(Registrant)</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81" w:type="dxa"/>
            <w:gridSpan w:val="2"/>
            <w:tcBorders/>
            <w:vAlign w:val="center"/>
          </w:tcPr>
          <w:p>
            <w:pPr>
              <w:pStyle w:val="TableContents"/>
              <w:bidi w:val="0"/>
              <w:spacing w:before="0" w:after="283"/>
              <w:jc w:val="left"/>
              <w:rPr>
                <w:sz w:val="4"/>
                <w:szCs w:val="4"/>
              </w:rPr>
            </w:pPr>
            <w:r>
              <w:rPr>
                <w:sz w:val="4"/>
                <w:szCs w:val="4"/>
              </w:rPr>
            </w:r>
          </w:p>
        </w:tc>
        <w:tc>
          <w:tcPr>
            <w:tcW w:w="3262"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Date: April 26,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By:</w:t>
            </w:r>
          </w:p>
        </w:tc>
        <w:tc>
          <w:tcPr>
            <w:tcW w:w="85" w:type="dxa"/>
            <w:tcBorders/>
            <w:vAlign w:val="center"/>
          </w:tcPr>
          <w:p>
            <w:pPr>
              <w:pStyle w:val="TableContents"/>
              <w:bidi w:val="0"/>
              <w:spacing w:before="0" w:after="283"/>
              <w:jc w:val="left"/>
              <w:rPr/>
            </w:pPr>
            <w:r>
              <w:rPr/>
              <w:t> </w:t>
            </w:r>
          </w:p>
        </w:tc>
        <w:tc>
          <w:tcPr>
            <w:tcW w:w="3177"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Ian Simmonds</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3177" w:type="dxa"/>
            <w:tcBorders/>
            <w:vAlign w:val="center"/>
          </w:tcPr>
          <w:p>
            <w:pPr>
              <w:pStyle w:val="TableContents"/>
              <w:bidi w:val="0"/>
              <w:spacing w:before="0" w:after="283"/>
              <w:jc w:val="left"/>
              <w:rPr/>
            </w:pPr>
            <w:r>
              <w:rPr/>
              <w:t>Ian Simmonds</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3177"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518</Words>
  <Characters>2807</Characters>
  <CharactersWithSpaces>3330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