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524" w:type="dxa"/>
        <w:tblCellMar>
          <w:top w:w="0" w:type="dxa"/>
          <w:left w:w="0" w:type="dxa"/>
          <w:bottom w:w="0" w:type="dxa"/>
          <w:right w:w="0" w:type="dxa"/>
        </w:tblCellMar>
      </w:tblPr>
      <w:tr>
        <w:trPr>
          <w:trHeight w:val="212"/>
        </w:trPr>
        <w:tc>
          <w:tcPr>
            <w:tcW w:w="3680" w:type="dxa"/>
            <w:vAlign w:val="bottom"/>
          </w:tcPr>
          <w:p>
            <w:pPr>
              <w:jc w:val="center"/>
              <w:ind w:right="899"/>
              <w:spacing w:after="0"/>
              <w:rPr>
                <w:sz w:val="20"/>
                <w:szCs w:val="20"/>
                <w:color w:val="auto"/>
              </w:rPr>
            </w:pPr>
            <w:r>
              <w:rPr>
                <w:rFonts w:ascii="Arial" w:cs="Arial" w:eastAsia="Arial" w:hAnsi="Arial"/>
                <w:sz w:val="18"/>
                <w:szCs w:val="18"/>
                <w:b w:val="1"/>
                <w:bCs w:val="1"/>
                <w:color w:val="auto"/>
                <w:w w:val="93"/>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001-36364</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80" w:type="dxa"/>
            <w:vAlign w:val="bottom"/>
          </w:tcPr>
          <w:p>
            <w:pPr>
              <w:jc w:val="center"/>
              <w:ind w:right="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60" w:type="dxa"/>
            <w:vAlign w:val="bottom"/>
          </w:tcPr>
          <w:p>
            <w:pPr>
              <w:ind w:left="102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80" w:type="dxa"/>
            <w:vAlign w:val="bottom"/>
          </w:tcPr>
          <w:p>
            <w:pPr>
              <w:jc w:val="center"/>
              <w:ind w:right="899"/>
              <w:spacing w:after="0"/>
              <w:rPr>
                <w:sz w:val="20"/>
                <w:szCs w:val="20"/>
                <w:color w:val="auto"/>
              </w:rPr>
            </w:pPr>
            <w:r>
              <w:rPr>
                <w:rFonts w:ascii="Arial" w:cs="Arial" w:eastAsia="Arial" w:hAnsi="Arial"/>
                <w:sz w:val="14"/>
                <w:szCs w:val="14"/>
                <w:b w:val="1"/>
                <w:bCs w:val="1"/>
                <w:color w:val="auto"/>
                <w:w w:val="94"/>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680" w:type="dxa"/>
            <w:vAlign w:val="bottom"/>
          </w:tcPr>
          <w:p>
            <w:pPr>
              <w:jc w:val="center"/>
              <w:ind w:right="899"/>
              <w:spacing w:after="0"/>
              <w:rPr>
                <w:sz w:val="20"/>
                <w:szCs w:val="20"/>
                <w:color w:val="auto"/>
              </w:rPr>
            </w:pPr>
            <w:r>
              <w:rPr>
                <w:rFonts w:ascii="Arial" w:cs="Arial" w:eastAsia="Arial" w:hAnsi="Arial"/>
                <w:sz w:val="18"/>
                <w:szCs w:val="18"/>
                <w:b w:val="1"/>
                <w:bCs w:val="1"/>
                <w:color w:val="auto"/>
                <w:w w:val="90"/>
              </w:rPr>
              <w:t>2100 McKinney Avenue, Suite 1500</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680" w:type="dxa"/>
            <w:vAlign w:val="bottom"/>
          </w:tcPr>
          <w:p>
            <w:pPr>
              <w:jc w:val="center"/>
              <w:ind w:right="899"/>
              <w:spacing w:after="0"/>
              <w:rPr>
                <w:sz w:val="20"/>
                <w:szCs w:val="20"/>
                <w:color w:val="auto"/>
              </w:rPr>
            </w:pPr>
            <w:r>
              <w:rPr>
                <w:rFonts w:ascii="Arial" w:cs="Arial" w:eastAsia="Arial" w:hAnsi="Arial"/>
                <w:sz w:val="18"/>
                <w:szCs w:val="18"/>
                <w:b w:val="1"/>
                <w:bCs w:val="1"/>
                <w:color w:val="auto"/>
                <w:w w:val="95"/>
              </w:rPr>
              <w:t>Dallas, TX</w:t>
            </w:r>
          </w:p>
        </w:tc>
        <w:tc>
          <w:tcPr>
            <w:tcW w:w="3160" w:type="dxa"/>
            <w:vAlign w:val="bottom"/>
          </w:tcPr>
          <w:p>
            <w:pPr>
              <w:spacing w:after="0"/>
              <w:rPr>
                <w:sz w:val="19"/>
                <w:szCs w:val="19"/>
                <w:color w:val="auto"/>
              </w:rPr>
            </w:pPr>
          </w:p>
        </w:tc>
        <w:tc>
          <w:tcPr>
            <w:tcW w:w="2460" w:type="dxa"/>
            <w:vAlign w:val="bottom"/>
          </w:tcPr>
          <w:p>
            <w:pPr>
              <w:jc w:val="right"/>
              <w:ind w:right="22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80" w:type="dxa"/>
            <w:vAlign w:val="bottom"/>
          </w:tcPr>
          <w:p>
            <w:pPr>
              <w:jc w:val="center"/>
              <w:ind w:right="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341"/>
              <w:spacing w:after="0"/>
              <w:rPr>
                <w:sz w:val="20"/>
                <w:szCs w:val="20"/>
                <w:color w:val="auto"/>
              </w:rPr>
            </w:pPr>
            <w:r>
              <w:rPr>
                <w:rFonts w:ascii="Arial" w:cs="Arial" w:eastAsia="Arial" w:hAnsi="Arial"/>
                <w:sz w:val="14"/>
                <w:szCs w:val="14"/>
                <w:b w:val="1"/>
                <w:bCs w:val="1"/>
                <w:color w:val="auto"/>
                <w:w w:val="91"/>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TSLX</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 – Other Events</w:t>
      </w:r>
    </w:p>
    <w:p>
      <w:pPr>
        <w:spacing w:after="0" w:line="121" w:lineRule="exact"/>
        <w:rPr>
          <w:sz w:val="20"/>
          <w:szCs w:val="20"/>
          <w:color w:val="auto"/>
        </w:rPr>
      </w:pPr>
    </w:p>
    <w:p>
      <w:pPr>
        <w:ind w:left="4" w:right="300"/>
        <w:spacing w:after="0" w:line="301" w:lineRule="auto"/>
        <w:rPr>
          <w:sz w:val="20"/>
          <w:szCs w:val="20"/>
          <w:color w:val="auto"/>
        </w:rPr>
      </w:pPr>
      <w:r>
        <w:rPr>
          <w:rFonts w:ascii="Arial" w:cs="Arial" w:eastAsia="Arial" w:hAnsi="Arial"/>
          <w:sz w:val="16"/>
          <w:szCs w:val="16"/>
          <w:color w:val="auto"/>
        </w:rPr>
        <w:t>On June 12, 2023 Sixth Street Specialty Lending, Inc. (the “Company”) issued 675,000 shares (the “Shares”) of the Company’s common stock, par value $0.01 per share (“Common Stock”), pursuant to the underwriters’ exercise in full of the option to purchase additional shares granted to the underwriters in connection with the Company’s previously announced public offering of 4,500,000 shares of Common Stock, which closed May 15, 2023. Net proceeds to the Company from the issuance of the Shares were approximately $11.6 million (after deducting estimated offering expenses).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3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63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36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4"/>
              </w:rPr>
              <w:t>Opinion of Cleary Gottlieb Steen &amp; Hamilton LLP</w:t>
            </w:r>
          </w:p>
        </w:tc>
        <w:tc>
          <w:tcPr>
            <w:tcW w:w="6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0000EE"/>
              </w:rPr>
              <w:t>Consent of Cleary Gottlieb Steen &amp; Hamilton LLP (included as part of Exhibit 5.1)</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60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513"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35"/>
          <w:szCs w:val="35"/>
          <w:color w:val="auto"/>
          <w:vertAlign w:val="subscript"/>
        </w:rPr>
        <w:t>Date: June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17780</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440" w:top="513"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171450</wp:posOffset>
            </wp:positionV>
            <wp:extent cx="6077585" cy="1954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758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400"/>
        <w:spacing w:after="0"/>
        <w:rPr>
          <w:sz w:val="20"/>
          <w:szCs w:val="20"/>
          <w:color w:val="auto"/>
        </w:rPr>
      </w:pPr>
      <w:r>
        <w:rPr>
          <w:rFonts w:ascii="Arial" w:cs="Arial" w:eastAsia="Arial" w:hAnsi="Arial"/>
          <w:sz w:val="18"/>
          <w:szCs w:val="18"/>
          <w:color w:val="auto"/>
        </w:rPr>
        <w:t>Writer’s Direct Dial: +1 212 225 2376</w:t>
      </w:r>
    </w:p>
    <w:p>
      <w:pPr>
        <w:spacing w:after="0" w:line="23" w:lineRule="exact"/>
        <w:rPr>
          <w:sz w:val="20"/>
          <w:szCs w:val="20"/>
          <w:color w:val="auto"/>
        </w:rPr>
      </w:pPr>
    </w:p>
    <w:p>
      <w:pPr>
        <w:jc w:val="center"/>
        <w:ind w:right="5400"/>
        <w:spacing w:after="0"/>
        <w:rPr>
          <w:sz w:val="20"/>
          <w:szCs w:val="20"/>
          <w:color w:val="auto"/>
        </w:rPr>
      </w:pPr>
      <w:r>
        <w:rPr>
          <w:rFonts w:ascii="Arial" w:cs="Arial" w:eastAsia="Arial" w:hAnsi="Arial"/>
          <w:sz w:val="18"/>
          <w:szCs w:val="18"/>
          <w:color w:val="auto"/>
        </w:rPr>
        <w:t>E-Mail: hgrannis@cgsh.com</w:t>
      </w:r>
    </w:p>
    <w:p>
      <w:pPr>
        <w:spacing w:after="0" w:line="224"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June 12,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We have acted as counsel to Sixth Street Specialty Lending,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offering pursuant to a registration statement on Form N-2 (333-269222) of 675,000 of the Company’s shares of common stock, par value $0.01 per share (the “</w:t>
      </w:r>
      <w:r>
        <w:rPr>
          <w:rFonts w:ascii="Arial" w:cs="Arial" w:eastAsia="Arial" w:hAnsi="Arial"/>
          <w:sz w:val="17"/>
          <w:szCs w:val="17"/>
          <w:u w:val="single" w:color="auto"/>
          <w:color w:val="auto"/>
        </w:rPr>
        <w:t>Securities</w:t>
      </w:r>
      <w:r>
        <w:rPr>
          <w:rFonts w:ascii="Arial" w:cs="Arial" w:eastAsia="Arial" w:hAnsi="Arial"/>
          <w:sz w:val="17"/>
          <w:szCs w:val="17"/>
          <w:color w:val="auto"/>
        </w:rPr>
        <w:t>”). Such registration statement, dated January 13, 2023, as amended as of its most recent effective date (May 10, 2023), insofar as it relates to the Securities (as determined for purposes of Rule 430B(f)(2)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including the documents incorporated by reference therein, is herein called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related prospectus dated January 13, 2023, included in the Registration Statement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is herein called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the preliminary prospectus supplement dated May 10, 2023, as filed with the Commission pursuant to Rule 424(b)(2) under the Securities Act, is herein called the “</w:t>
      </w:r>
      <w:r>
        <w:rPr>
          <w:rFonts w:ascii="Arial" w:cs="Arial" w:eastAsia="Arial" w:hAnsi="Arial"/>
          <w:sz w:val="17"/>
          <w:szCs w:val="17"/>
          <w:u w:val="single" w:color="auto"/>
          <w:color w:val="auto"/>
        </w:rPr>
        <w:t>Preliminary Prospectus Supplement</w:t>
      </w:r>
      <w:r>
        <w:rPr>
          <w:rFonts w:ascii="Arial" w:cs="Arial" w:eastAsia="Arial" w:hAnsi="Arial"/>
          <w:sz w:val="17"/>
          <w:szCs w:val="17"/>
          <w:color w:val="auto"/>
        </w:rPr>
        <w:t>;” and the related prospectus supplement dated May 10, 2023, as filed with the Commission pursuant to Rule 424(b)(2) under the Securities Act, is herein called the “</w:t>
      </w:r>
      <w:r>
        <w:rPr>
          <w:rFonts w:ascii="Arial" w:cs="Arial" w:eastAsia="Arial" w:hAnsi="Arial"/>
          <w:sz w:val="17"/>
          <w:szCs w:val="17"/>
          <w:u w:val="single" w:color="auto"/>
          <w:color w:val="auto"/>
        </w:rPr>
        <w:t>Final Prospectus Supplement</w:t>
      </w:r>
      <w:r>
        <w:rPr>
          <w:rFonts w:ascii="Arial" w:cs="Arial" w:eastAsia="Arial" w:hAnsi="Arial"/>
          <w:sz w:val="17"/>
          <w:szCs w:val="17"/>
          <w:color w:val="auto"/>
        </w:rPr>
        <w:t>.” The Base Prospectus and the Preliminary Prospectus Supplement together are herein called the “</w:t>
      </w:r>
      <w:r>
        <w:rPr>
          <w:rFonts w:ascii="Arial" w:cs="Arial" w:eastAsia="Arial" w:hAnsi="Arial"/>
          <w:sz w:val="17"/>
          <w:szCs w:val="17"/>
          <w:u w:val="single" w:color="auto"/>
          <w:color w:val="auto"/>
        </w:rPr>
        <w:t>Pricing Prospectus</w:t>
      </w:r>
      <w:r>
        <w:rPr>
          <w:rFonts w:ascii="Arial" w:cs="Arial" w:eastAsia="Arial" w:hAnsi="Arial"/>
          <w:sz w:val="17"/>
          <w:szCs w:val="17"/>
          <w:color w:val="auto"/>
        </w:rPr>
        <w:t>,” and the Base Prospectus and the Final Prospectus Supplement together are herein called the “</w:t>
      </w:r>
      <w:r>
        <w:rPr>
          <w:rFonts w:ascii="Arial" w:cs="Arial" w:eastAsia="Arial" w:hAnsi="Arial"/>
          <w:sz w:val="17"/>
          <w:szCs w:val="17"/>
          <w:u w:val="single" w:color="auto"/>
          <w:color w:val="auto"/>
        </w:rPr>
        <w:t>Final Prospectus</w:t>
      </w:r>
      <w:r>
        <w:rPr>
          <w:rFonts w:ascii="Arial" w:cs="Arial" w:eastAsia="Arial" w:hAnsi="Arial"/>
          <w:sz w:val="17"/>
          <w:szCs w:val="17"/>
          <w:color w:val="auto"/>
        </w:rPr>
        <w: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1420" w:right="360" w:hanging="433"/>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May 10, 2023 among the Company, Sixth Street Specialty Lending Advisers, LLC, a Delaware limited liability company registered as an investment adviser, and the several underwriters named in Schedule 1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82550</wp:posOffset>
            </wp:positionV>
            <wp:extent cx="417449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74490" cy="26606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Sixth Street Specialty Lending, Inc., p. 2</w:t>
      </w:r>
    </w:p>
    <w:p>
      <w:pPr>
        <w:spacing w:after="0" w:line="158" w:lineRule="exact"/>
        <w:rPr>
          <w:sz w:val="20"/>
          <w:szCs w:val="20"/>
          <w:color w:val="auto"/>
        </w:rPr>
      </w:pPr>
    </w:p>
    <w:p>
      <w:pPr>
        <w:ind w:left="1424" w:hanging="433"/>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Prospectus;</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Final Prospectus;</w:t>
      </w:r>
    </w:p>
    <w:p>
      <w:pPr>
        <w:spacing w:after="0" w:line="130" w:lineRule="exact"/>
        <w:rPr>
          <w:rFonts w:ascii="Arial" w:cs="Arial" w:eastAsia="Arial" w:hAnsi="Arial"/>
          <w:sz w:val="18"/>
          <w:szCs w:val="18"/>
          <w:color w:val="auto"/>
        </w:rPr>
      </w:pPr>
    </w:p>
    <w:p>
      <w:pPr>
        <w:ind w:left="1424" w:right="300" w:hanging="433"/>
        <w:spacing w:after="0" w:line="277" w:lineRule="auto"/>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certificate of American Stock Transfer &amp; Trust Company, LLC, as registrar and transfer agent for the Securities, certifying due issuance and registration of the Securities;</w:t>
      </w:r>
    </w:p>
    <w:p>
      <w:pPr>
        <w:spacing w:after="0" w:line="75" w:lineRule="exact"/>
        <w:rPr>
          <w:rFonts w:ascii="Arial" w:cs="Arial" w:eastAsia="Arial" w:hAnsi="Arial"/>
          <w:sz w:val="18"/>
          <w:szCs w:val="18"/>
          <w:color w:val="auto"/>
        </w:rPr>
      </w:pPr>
    </w:p>
    <w:p>
      <w:pPr>
        <w:ind w:left="1424" w:right="140" w:hanging="433"/>
        <w:spacing w:after="0" w:line="277" w:lineRule="auto"/>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copies of the Company’s Restated Certificate of Incorporation, certified by the Secretary of State of the State of Delaware, and the Company’s Amended and Restated Bylaws, certified by the Secretary of the Company.</w:t>
      </w:r>
    </w:p>
    <w:p>
      <w:pPr>
        <w:spacing w:after="0" w:line="170" w:lineRule="exact"/>
        <w:rPr>
          <w:sz w:val="20"/>
          <w:szCs w:val="20"/>
          <w:color w:val="auto"/>
        </w:rPr>
      </w:pPr>
    </w:p>
    <w:p>
      <w:pPr>
        <w:ind w:left="4" w:right="20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left="4" w:right="300" w:firstLine="991"/>
        <w:spacing w:after="0" w:line="263"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4"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Insofar as the foregoing opinion relates to the validity, binding effect or enforceability of any agreement or obligation of the Company,</w:t>
      </w:r>
    </w:p>
    <w:p>
      <w:pPr>
        <w:spacing w:after="0" w:line="35" w:lineRule="exact"/>
        <w:rPr>
          <w:sz w:val="20"/>
          <w:szCs w:val="20"/>
          <w:color w:val="auto"/>
        </w:rPr>
      </w:pPr>
    </w:p>
    <w:p>
      <w:pPr>
        <w:ind w:left="4" w:right="20" w:hanging="4"/>
        <w:spacing w:after="0" w:line="253"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foregoing opinion is limited to the General Corporation Law of the State of Delaware.</w:t>
      </w:r>
    </w:p>
    <w:p>
      <w:pPr>
        <w:spacing w:after="0" w:line="225"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We hereby consent to the use of our name in the Final Prospectus under the headings “Legal Matters” as counsel for the Company that has passed on the validity of the Securities, and to the filing of this opinion letter as Exhibit 5.1 to the Company’s Current Report on Form 8-K dated</w:t>
      </w:r>
    </w:p>
    <w:p>
      <w:pPr>
        <w:ind w:left="4" w:right="140"/>
        <w:spacing w:after="0" w:line="260" w:lineRule="auto"/>
        <w:rPr>
          <w:sz w:val="20"/>
          <w:szCs w:val="20"/>
          <w:color w:val="auto"/>
        </w:rPr>
      </w:pPr>
      <w:r>
        <w:rPr>
          <w:rFonts w:ascii="Arial" w:cs="Arial" w:eastAsia="Arial" w:hAnsi="Arial"/>
          <w:sz w:val="18"/>
          <w:szCs w:val="18"/>
          <w:color w:val="auto"/>
        </w:rPr>
        <w:t>June 12, 2023. In giving this consent, we do not thereby admit that we are within the category of persons whose consent is required under Section 7 of the Securities Act or the rules and regulations of the Commission thereunder.</w:t>
      </w:r>
    </w:p>
    <w:p>
      <w:pPr>
        <w:sectPr>
          <w:pgSz w:w="11900" w:h="16838" w:orient="portrait"/>
          <w:cols w:equalWidth="0" w:num="1">
            <w:col w:w="10964"/>
          </w:cols>
          <w:pgMar w:left="436" w:top="490"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Sixth Street Specialty Lending, Inc., p. 3</w:t>
      </w:r>
    </w:p>
    <w:p>
      <w:pPr>
        <w:spacing w:after="0" w:line="158"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Helena K. Grannis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Helena K. Grannis, a Partner</w:t>
      </w:r>
    </w:p>
    <w:sectPr>
      <w:pgSz w:w="11900" w:h="16838" w:orient="portrait"/>
      <w:cols w:equalWidth="0" w:num="1">
        <w:col w:w="10920"/>
      </w:cols>
      <w:pgMar w:left="440" w:top="49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2023-06-12T15:13:05Z</dcterms:created>
  <dcterms:modified xsi:type="dcterms:W3CDTF">2023-06-12T15:13:05Z</dcterms:modified>
</cp:coreProperties>
</file>