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1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Pr>
          <w:p>
            <w:pPr>
              <w:ind w:left="260"/>
              <w:spacing w:after="0"/>
              <w:rPr>
                <w:sz w:val="20"/>
                <w:szCs w:val="20"/>
                <w:color w:val="auto"/>
              </w:rPr>
            </w:pPr>
            <w:r>
              <w:rPr>
                <w:rFonts w:ascii="Arial" w:cs="Arial" w:eastAsia="Arial" w:hAnsi="Arial"/>
                <w:sz w:val="18"/>
                <w:szCs w:val="18"/>
                <w:b w:val="1"/>
                <w:bCs w:val="1"/>
                <w:color w:val="auto"/>
              </w:rPr>
              <w:t>001-36364</w:t>
            </w:r>
          </w:p>
        </w:tc>
        <w:tc>
          <w:tcPr>
            <w:tcW w:w="20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12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2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of Incorporation)</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100" w:type="dxa"/>
            <w:vAlign w:val="bottom"/>
            <w:gridSpan w:val="2"/>
          </w:tcPr>
          <w:p>
            <w:pPr>
              <w:jc w:val="center"/>
              <w:ind w:right="482"/>
              <w:spacing w:after="0"/>
              <w:rPr>
                <w:sz w:val="20"/>
                <w:szCs w:val="20"/>
                <w:color w:val="auto"/>
              </w:rPr>
            </w:pPr>
            <w:r>
              <w:rPr>
                <w:rFonts w:ascii="Arial" w:cs="Arial" w:eastAsia="Arial" w:hAnsi="Arial"/>
                <w:sz w:val="18"/>
                <w:szCs w:val="18"/>
                <w:b w:val="1"/>
                <w:bCs w:val="1"/>
                <w:color w:val="auto"/>
                <w:w w:val="89"/>
              </w:rPr>
              <w:t>301 Commerce Street, Suite 3300</w:t>
            </w:r>
          </w:p>
        </w:tc>
        <w:tc>
          <w:tcPr>
            <w:tcW w:w="2040" w:type="dxa"/>
            <w:vAlign w:val="bottom"/>
          </w:tcPr>
          <w:p>
            <w:pPr>
              <w:spacing w:after="0"/>
              <w:rPr>
                <w:sz w:val="24"/>
                <w:szCs w:val="24"/>
                <w:color w:val="auto"/>
              </w:rPr>
            </w:pPr>
          </w:p>
        </w:tc>
      </w:tr>
      <w:tr>
        <w:trPr>
          <w:trHeight w:val="225"/>
        </w:trPr>
        <w:tc>
          <w:tcPr>
            <w:tcW w:w="3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7"/>
              </w:rPr>
              <w:t>Fort Worth, TX</w:t>
            </w:r>
          </w:p>
        </w:tc>
        <w:tc>
          <w:tcPr>
            <w:tcW w:w="1980" w:type="dxa"/>
            <w:vAlign w:val="bottom"/>
          </w:tcPr>
          <w:p>
            <w:pPr>
              <w:spacing w:after="0"/>
              <w:rPr>
                <w:sz w:val="19"/>
                <w:szCs w:val="19"/>
                <w:color w:val="auto"/>
              </w:rPr>
            </w:pPr>
          </w:p>
        </w:tc>
        <w:tc>
          <w:tcPr>
            <w:tcW w:w="20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5100" w:type="dxa"/>
            <w:vAlign w:val="bottom"/>
            <w:gridSpan w:val="2"/>
          </w:tcPr>
          <w:p>
            <w:pPr>
              <w:jc w:val="center"/>
              <w:ind w:right="48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4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February 22, 2017, the registrant issued a press release announcing its financial results for the quarter and year ended December 31, 2016. The text of the press release is included as Exhibit 99.1 to this Form 8-K.</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February 22, 2017, the registrant issued a press release, included herewith as Exhibit 99.1, announcing the declaration of a first fiscal quarter 2017 dividend of $0.39 per share, payable on or about April 28, 2017 to stockholders of record as of March 31, 2017.</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22, 2017</w:t>
      </w:r>
    </w:p>
    <w:p>
      <w:pPr>
        <w:sectPr>
          <w:pgSz w:w="11900" w:h="16838" w:orient="portrait"/>
          <w:cols w:equalWidth="0" w:num="1">
            <w:col w:w="11320"/>
          </w:cols>
          <w:pgMar w:left="240" w:top="270"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TPG Specialty Lending, Inc. Announces Quarter and Fiscal Year Ended December 31, 2016 Financial Results; Board Declares Quarterly Dividend of $0.39 Per Share for the First Fiscal Quarter of 2017 and Renewal of $50 Million Stock Repurchase Plan</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NEW YORK—(BUSINESS WIRE)—February 22, 2017— TPG Specialty Lending, Inc. (NYSE: TSLX, or the “Company”) today reported net investment income of $28.1 million, or $0.47 per share, for the quarter ended December 31, 2016. Net asset value per share was $15.95 at December 31, 2016 as compared to $15.78 at September 30, 2016. The Company’s Board of Directors previously declared a fourth quarter dividend of $0.39 per share, payable to stockholders of record as of December 31, 2016 that was paid on January 31, 2017.</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March 31, 2017, payable on or about April 28, 2017.</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Board of Directors also approved an extension to its stock repurchase plan (“Company 10b5-1 Plan”) to acquire up to $50 million in the aggregate of TSLX’s common stock at prices just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August 31, 2017, or such time as the approved $50 million repurchase amount has been fully utilized, subject to certain conditions. Under the Company 10b5-1 Plan, no shares were repurchased during the three months ended December 31, 2016, and 86,081 shares were repurchased during the fiscal year ended December 31,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(amounts in millions,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20" w:type="dxa"/>
            <w:vAlign w:val="bottom"/>
            <w:gridSpan w:val="3"/>
          </w:tcPr>
          <w:p>
            <w:pPr>
              <w:jc w:val="center"/>
              <w:ind w:right="72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720" w:type="dxa"/>
            <w:vAlign w:val="bottom"/>
            <w:gridSpan w:val="2"/>
            <w:vMerge w:val="restart"/>
          </w:tcPr>
          <w:p>
            <w:pPr>
              <w:jc w:val="right"/>
              <w:ind w:right="101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12"/>
              <w:spacing w:after="0" w:line="119" w:lineRule="exact"/>
              <w:rPr>
                <w:sz w:val="20"/>
                <w:szCs w:val="20"/>
                <w:color w:val="auto"/>
              </w:rPr>
            </w:pPr>
            <w:r>
              <w:rPr>
                <w:rFonts w:ascii="Arial" w:cs="Arial" w:eastAsia="Arial" w:hAnsi="Arial"/>
                <w:sz w:val="13"/>
                <w:szCs w:val="13"/>
                <w:b w:val="1"/>
                <w:bCs w:val="1"/>
                <w:color w:val="auto"/>
              </w:rPr>
              <w:t>(unaudited)</w:t>
            </w:r>
          </w:p>
        </w:tc>
        <w:tc>
          <w:tcPr>
            <w:tcW w:w="720" w:type="dxa"/>
            <w:vAlign w:val="bottom"/>
          </w:tcPr>
          <w:p>
            <w:pPr>
              <w:spacing w:after="0"/>
              <w:rPr>
                <w:sz w:val="10"/>
                <w:szCs w:val="10"/>
                <w:color w:val="auto"/>
              </w:rPr>
            </w:pPr>
          </w:p>
        </w:tc>
        <w:tc>
          <w:tcPr>
            <w:tcW w:w="19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2016</w:t>
            </w:r>
          </w:p>
        </w:tc>
        <w:tc>
          <w:tcPr>
            <w:tcW w:w="1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1,657.4</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1,643.6</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1,675.5</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1,665.2</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15.95</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15.78</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49.7</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53.9</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32.7</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36.9</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0.51</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8"/>
              </w:rPr>
              <w:t>Net Realized and Unrealized Gains (and Losses) Per Share</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10"/>
              <w:spacing w:after="0"/>
              <w:rPr>
                <w:sz w:val="20"/>
                <w:szCs w:val="20"/>
                <w:color w:val="auto"/>
              </w:rPr>
            </w:pPr>
            <w:r>
              <w:rPr>
                <w:rFonts w:ascii="Arial" w:cs="Arial" w:eastAsia="Arial" w:hAnsi="Arial"/>
                <w:sz w:val="18"/>
                <w:szCs w:val="18"/>
                <w:color w:val="auto"/>
              </w:rPr>
              <w:t>0.08</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0.11</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0.62</w:t>
            </w:r>
          </w:p>
        </w:tc>
        <w:tc>
          <w:tcPr>
            <w:tcW w:w="7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10"/>
        </w:trPr>
        <w:tc>
          <w:tcPr>
            <w:tcW w:w="4720" w:type="dxa"/>
            <w:vAlign w:val="bottom"/>
            <w:gridSpan w:val="2"/>
          </w:tcPr>
          <w:p>
            <w:pPr>
              <w:spacing w:after="0"/>
              <w:rPr>
                <w:sz w:val="20"/>
                <w:szCs w:val="20"/>
                <w:color w:val="auto"/>
              </w:rPr>
            </w:pPr>
            <w:r>
              <w:rPr>
                <w:rFonts w:ascii="Arial" w:cs="Arial" w:eastAsia="Arial" w:hAnsi="Arial"/>
                <w:sz w:val="18"/>
                <w:szCs w:val="18"/>
                <w:color w:val="auto"/>
              </w:rPr>
              <w:t>Weighted Average Yield of Debt and Income Producing</w:t>
            </w: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Securities at Fair Value</w:t>
            </w:r>
          </w:p>
        </w:tc>
        <w:tc>
          <w:tcPr>
            <w:tcW w:w="840" w:type="dxa"/>
            <w:vAlign w:val="bottom"/>
          </w:tcPr>
          <w:p>
            <w:pPr>
              <w:spacing w:after="0"/>
              <w:rPr>
                <w:sz w:val="20"/>
                <w:szCs w:val="20"/>
                <w:color w:val="auto"/>
              </w:rPr>
            </w:pP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 Producing</w:t>
            </w:r>
          </w:p>
        </w:tc>
        <w:tc>
          <w:tcPr>
            <w:tcW w:w="8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at Amortized Cost</w:t>
            </w:r>
          </w:p>
        </w:tc>
        <w:tc>
          <w:tcPr>
            <w:tcW w:w="84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7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10"/>
        </w:trPr>
        <w:tc>
          <w:tcPr>
            <w:tcW w:w="472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w:t>
            </w: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Rates</w:t>
            </w:r>
          </w:p>
        </w:tc>
        <w:tc>
          <w:tcPr>
            <w:tcW w:w="84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98%</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r>
              <w:rPr>
                <w:rFonts w:ascii="Arial" w:cs="Arial" w:eastAsia="Arial" w:hAnsi="Arial"/>
                <w:sz w:val="15"/>
                <w:szCs w:val="15"/>
                <w:color w:val="auto"/>
              </w:rPr>
              <w:t>(1)</w:t>
            </w:r>
          </w:p>
        </w:tc>
        <w:tc>
          <w:tcPr>
            <w:tcW w:w="7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w:t>
            </w: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Includes one fixed rate investment for which the Company entered into an interest rate swap agreement to swap to a floating rate.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February 23, 2017.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48533494</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February 23 through March 9 via a webcast link located on the Investor Resources section of the Company’s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48533494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months ended December 31, 2016, gross originations totaled $79.2 million. This compares to $318.1 million for the three months ended September 30, 2016 and $399.3 million for the three months ended December 31, 2015. For the twelve months ended December 31, 2016, gross originations totaled $761.5 million. This compares to gross originations of $964.2 million for the year ended December 31, 2015.</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three months ended December 31, 2016, the Company made new investment commitments and fundings of $54.3 million, $50.0 million in one new portfolio company and $4.3 million in two existing portfolio companies. For this period, the Company had $56.8 million aggregate principal amount in exits and repayments, resulting in a net portfolio decrease of $2.5 million aggregate principal amount.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December 31, 2015, the Company made new investment commitments and fundings of $283.8 million, $272.9 million in six new portfolio companies and $10.9 million in three existing portfolio companies. For this period, the Company had $154.5 million aggregate principal amount in exits and repayments, resulting in a net portfolio increase of $129.3 million aggregate principal amount.</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year ended December 31, 2016, the Company made new investment commitments of $562.7 million, including $492.7 million in 14 new portfolio companies and $70.0 million in 9 existing portfolio companies. For this period, the Company had $416.5 million aggregate principal amount in exits and repayments, resulting in a net portfolio increase of $103.6 million aggregate principal amount.</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year ended December 31, 2015, the Company made new investment commitments of $718.7 million, including $631.6 million in 20 new portfolio companies and $87.1 million in 14 existing portfolio companies. For this period, the Company had $385.2 million aggregate principal amount in exits and repayments, resulting in a net portfolio increase of $278.8 million aggregate principal amount.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2016 and September 30, 2016, the Company had investments in 52 portfolio companies with an aggregate fair value of $1,657.4 million and $1,643.6 million,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2016, the portfolio consisted of 96.5% first-lien debt investments, 1.2% second-lien debt investments, 0.6% mezzanine and unsecured debt investments, and 1.7% equity and other investments. As of September 30, 2016, the portfolio consisted of 94.4% first-lien debt investments, 3.2% second-lien debt investments, 0.9% mezzanine and unsecured debt investments and 1.5% equity and other investments.</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2016, approximately 98.4% of our debt investments based on fair value were floating rate in nature (when including investment specific hedges), with 94.8% of these debt investments subject to interest rate floors. The Company’s credit facility bears interest at floating rates, and the Company, in connection with the issuance of its 2019 and 2022 Convertible Senior Notes, which bear interest at fixed rates, entered into fixed-to-floating interest rate swaps in order to continue to align the interest rates of the Company’s liabilities with its investment portfolio.</w:t>
      </w:r>
    </w:p>
    <w:p>
      <w:pPr>
        <w:spacing w:after="0" w:line="171"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As of December 31, 2016 and September 30, 2016, the weighted average total yield of debt and income producing securities at fair value was 10.4% and 10.3%, respectively, and the weighted average total yield of debt and income producing securities at amortized cost was 10.4% and 10.3%,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100.0% of debt investments were meeting all payment and covenant requirements, with no investments on non-accrual status.</w:t>
      </w:r>
    </w:p>
    <w:p>
      <w:pPr>
        <w:spacing w:after="0" w:line="244" w:lineRule="exact"/>
        <w:rPr>
          <w:sz w:val="20"/>
          <w:szCs w:val="20"/>
          <w:color w:val="auto"/>
        </w:rPr>
      </w:pPr>
    </w:p>
    <w:p>
      <w:pPr>
        <w:ind w:right="152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December 31, 2016 compared to the Three Months Ended December 31, 2015 </w:t>
      </w:r>
      <w:r>
        <w:rPr>
          <w:rFonts w:ascii="Arial" w:cs="Arial" w:eastAsia="Arial" w:hAnsi="Arial"/>
          <w:sz w:val="18"/>
          <w:szCs w:val="18"/>
          <w:b w:val="1"/>
          <w:bCs w:val="1"/>
          <w:i w:val="1"/>
          <w:iCs w:val="1"/>
          <w:color w:val="auto"/>
        </w:rPr>
        <w:t>Investment Income</w:t>
      </w:r>
    </w:p>
    <w:p>
      <w:pPr>
        <w:ind w:right="60"/>
        <w:spacing w:after="0" w:line="277" w:lineRule="auto"/>
        <w:rPr>
          <w:sz w:val="20"/>
          <w:szCs w:val="20"/>
          <w:color w:val="auto"/>
        </w:rPr>
      </w:pPr>
      <w:r>
        <w:rPr>
          <w:rFonts w:ascii="Arial" w:cs="Arial" w:eastAsia="Arial" w:hAnsi="Arial"/>
          <w:sz w:val="18"/>
          <w:szCs w:val="18"/>
          <w:color w:val="auto"/>
        </w:rPr>
        <w:t>For the three months ended December 31, 2016 and 2015, investment income totaled $49.7 million and $43.6 million, respectively. Interest from investments increased primarily as a result of an increase in the average size of our investment portfolio and an increase in other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expenses totaled $21.0 million and $19.7 million for the three months ended December 31, 2016 and 2015, respectively. The increase in net expenses was due to higher interest expense related to an increase in the weighted average debt outstanding, higher interest rates, and higher management and incentive fees, partially offset by lower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of December 31, 2016, the Company had $4.9 million in cash and cash equivalents, total debt of $691.7 million, and approximately $477 million of undrawn capacity on its revolving credit facility, subject to borrowing base and other limitations, inclusive of the impact of the Company’s February 2017 offering of $115 million principal amount of 2022 Convertible Senior Notes. The Company’s weighted average interest rate on debt outstanding was 2.8% and 2.7% for the three months ended December 31, 2016 and September 30,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both Fitch Ratings and Standard and Poor’s.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(amortized cost of</w:t>
            </w:r>
          </w:p>
        </w:tc>
        <w:tc>
          <w:tcPr>
            <w:tcW w:w="2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$1,567,673 and $1,443,017, respectively)</w:t>
            </w:r>
          </w:p>
        </w:tc>
        <w:tc>
          <w:tcPr>
            <w:tcW w:w="300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1,591,544</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340"/>
              <w:spacing w:after="0" w:line="201" w:lineRule="exact"/>
              <w:rPr>
                <w:sz w:val="20"/>
                <w:szCs w:val="20"/>
                <w:color w:val="auto"/>
              </w:rPr>
            </w:pPr>
            <w:r>
              <w:rPr>
                <w:rFonts w:ascii="Arial" w:cs="Arial" w:eastAsia="Arial" w:hAnsi="Arial"/>
                <w:sz w:val="18"/>
                <w:szCs w:val="18"/>
                <w:color w:val="auto"/>
                <w:w w:val="98"/>
              </w:rPr>
              <w:t>Controlled, affiliated investments (amortized cost of $100,014 and</w:t>
            </w: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$86,659, respectively)</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65,859</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investments at fair value (amortized cost of $1,667,687 and</w:t>
            </w:r>
          </w:p>
        </w:tc>
        <w:tc>
          <w:tcPr>
            <w:tcW w:w="27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$1,529,676, respectively)</w:t>
            </w:r>
          </w:p>
        </w:tc>
        <w:tc>
          <w:tcPr>
            <w:tcW w:w="2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1,657,403</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4,866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9,678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Debt (net of deferred financing costs of $11,019 and $10,365, respectively)</w:t>
            </w:r>
          </w:p>
        </w:tc>
        <w:tc>
          <w:tcPr>
            <w:tcW w:w="300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680,709</w:t>
            </w:r>
          </w:p>
        </w:tc>
        <w:tc>
          <w:tcPr>
            <w:tcW w:w="60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6,269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5,889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23,289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liabilities</w:t>
            </w:r>
          </w:p>
        </w:tc>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723,320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Preferred stock, $0.01 par value; 100,000,000 shares authorized; no</w:t>
            </w: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40" w:type="dxa"/>
            <w:vAlign w:val="bottom"/>
            <w:gridSpan w:val="2"/>
          </w:tcPr>
          <w:p>
            <w:pPr>
              <w:spacing w:after="0"/>
              <w:rPr>
                <w:sz w:val="20"/>
                <w:szCs w:val="20"/>
                <w:color w:val="auto"/>
              </w:rPr>
            </w:pPr>
            <w:r>
              <w:rPr>
                <w:rFonts w:ascii="Arial" w:cs="Arial" w:eastAsia="Arial" w:hAnsi="Arial"/>
                <w:sz w:val="18"/>
                <w:szCs w:val="18"/>
                <w:color w:val="auto"/>
              </w:rPr>
              <w:t>shares issued and outstanding</w:t>
            </w:r>
          </w:p>
        </w:tc>
        <w:tc>
          <w:tcPr>
            <w:tcW w:w="2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400,000,000 shares authorized,</w:t>
            </w:r>
          </w:p>
        </w:tc>
        <w:tc>
          <w:tcPr>
            <w:tcW w:w="2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59,805,285 and 54,166,959 shares issued, respectively; and 59,716,205</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and 54,163,960 shares outstanding, respectively</w:t>
            </w:r>
          </w:p>
        </w:tc>
        <w:tc>
          <w:tcPr>
            <w:tcW w:w="2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898,868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50,142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952,212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300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740" w:type="dxa"/>
            <w:vAlign w:val="bottom"/>
            <w:vMerge w:val="restart"/>
          </w:tcPr>
          <w:p>
            <w:pPr>
              <w:jc w:val="right"/>
              <w:ind w:right="2430"/>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167,819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157,964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1,727</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12,690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investment income from non-controlled,</w:t>
            </w:r>
          </w:p>
        </w:tc>
        <w:tc>
          <w:tcPr>
            <w:tcW w:w="8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non-affiliated investments</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182,231</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166,537</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investment income from controlled,</w:t>
            </w:r>
          </w:p>
        </w:tc>
        <w:tc>
          <w:tcPr>
            <w:tcW w:w="8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affiliated investments</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10,179</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6,878</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192,410</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173,415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23,108</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22,010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24,253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Incentive fees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22,703</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20,180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8,166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Directors’ fees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4,382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83,282</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waived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82,852</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76,617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109,558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96,798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95,298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44,676</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(17,008)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(10,994)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Foreign currency forward contracts</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change in unrealized gains (losses)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29,802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1,851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Total realized losses</w:t>
            </w:r>
          </w:p>
        </w:tc>
        <w:tc>
          <w:tcPr>
            <w:tcW w:w="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Unrealized and Realized Gains (Losses)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29,674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137,007</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w w:val="92"/>
              </w:rPr>
              <w:t>Weighted average shares of common stock outstanding—basic and diluted</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58,591,380</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54,006,322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50,509,692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year ended December 31, 2016, 2015 and 2014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761.5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964.2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1,120.1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198.8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562.7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718.7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518.0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581.3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520.1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664.0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316.2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416.5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385.2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w w:val="96"/>
              </w:rPr>
              <w:t>Average new investment commitment amount in new portfolio companies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Weighted average term for new investment commitments in new portfolio</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 xml:space="preserve">Percentage of new debt investment commitments at floating rates </w:t>
            </w:r>
            <w:r>
              <w:rPr>
                <w:rFonts w:ascii="Arial" w:cs="Arial" w:eastAsia="Arial" w:hAnsi="Arial"/>
                <w:sz w:val="15"/>
                <w:szCs w:val="15"/>
                <w:b w:val="1"/>
                <w:bCs w:val="1"/>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for which the Company entered into an interest rate swap agreement to swap to a floating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$18 billion of assets under management as of December 31, 2016, and the broader TPG platform, a global private investment firm with approximately $74 billion of assets under management as of September 30, 2016. For more information, visit the Company’s website at www.tpgspecialtylending.com.</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2019-12-07T14:27:36Z</dcterms:created>
  <dcterms:modified xsi:type="dcterms:W3CDTF">2019-12-07T14:27:36Z</dcterms:modified>
</cp:coreProperties>
</file>