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Waxman Alan</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TPG Specialty Lending,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TSLX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10/15/2014</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23"/>
        <w:spacing w:after="0"/>
        <w:rPr>
          <w:sz w:val="20"/>
          <w:szCs w:val="20"/>
          <w:color w:val="auto"/>
        </w:rPr>
      </w:pPr>
      <w:r>
        <w:rPr>
          <w:rFonts w:ascii="Times New Roman" w:cs="Times New Roman" w:eastAsia="Times New Roman" w:hAnsi="Times New Roman"/>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tbl>
      <w:tblPr>
        <w:tblLayout w:type="fixed"/>
        <w:tblInd w:w="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7"/>
          </w:tcPr>
          <w:p>
            <w:pPr>
              <w:ind w:left="160"/>
              <w:spacing w:after="0" w:line="152"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52"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76102</w:t>
            </w: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ind w:left="3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color w:val="auto"/>
              </w:rPr>
              <w:t>Person</w:t>
            </w: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67"/>
        </w:trPr>
        <w:tc>
          <w:tcPr>
            <w:tcW w:w="20" w:type="dxa"/>
            <w:vAlign w:val="bottom"/>
            <w:tcBorders>
              <w:top w:val="single" w:sz="8" w:color="808080"/>
            </w:tcBorders>
          </w:tcPr>
          <w:p>
            <w:pPr>
              <w:spacing w:after="0"/>
              <w:rPr>
                <w:sz w:val="23"/>
                <w:szCs w:val="23"/>
                <w:color w:val="auto"/>
              </w:rPr>
            </w:pPr>
          </w:p>
        </w:tc>
        <w:tc>
          <w:tcPr>
            <w:tcW w:w="100" w:type="dxa"/>
            <w:vAlign w:val="bottom"/>
            <w:tcBorders>
              <w:top w:val="single" w:sz="8" w:color="2C2C2C"/>
            </w:tcBorders>
          </w:tcPr>
          <w:p>
            <w:pPr>
              <w:spacing w:after="0"/>
              <w:rPr>
                <w:sz w:val="23"/>
                <w:szCs w:val="23"/>
                <w:color w:val="auto"/>
              </w:rPr>
            </w:pPr>
          </w:p>
        </w:tc>
        <w:tc>
          <w:tcPr>
            <w:tcW w:w="640" w:type="dxa"/>
            <w:vAlign w:val="bottom"/>
            <w:tcBorders>
              <w:top w:val="single" w:sz="8" w:color="2C2C2C"/>
            </w:tcBorders>
          </w:tcPr>
          <w:p>
            <w:pPr>
              <w:spacing w:after="0"/>
              <w:rPr>
                <w:sz w:val="23"/>
                <w:szCs w:val="23"/>
                <w:color w:val="auto"/>
              </w:rPr>
            </w:pPr>
          </w:p>
        </w:tc>
        <w:tc>
          <w:tcPr>
            <w:tcW w:w="880" w:type="dxa"/>
            <w:vAlign w:val="bottom"/>
            <w:tcBorders>
              <w:top w:val="single" w:sz="8" w:color="2C2C2C"/>
            </w:tcBorders>
          </w:tcPr>
          <w:p>
            <w:pPr>
              <w:spacing w:after="0"/>
              <w:rPr>
                <w:sz w:val="23"/>
                <w:szCs w:val="23"/>
                <w:color w:val="auto"/>
              </w:rPr>
            </w:pPr>
          </w:p>
        </w:tc>
        <w:tc>
          <w:tcPr>
            <w:tcW w:w="7880" w:type="dxa"/>
            <w:vAlign w:val="bottom"/>
            <w:tcBorders>
              <w:top w:val="single" w:sz="8" w:color="2C2C2C"/>
            </w:tcBorders>
            <w:gridSpan w:val="15"/>
          </w:tcPr>
          <w:p>
            <w:pPr>
              <w:jc w:val="center"/>
              <w:ind w:left="18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20" w:type="dxa"/>
            <w:vAlign w:val="bottom"/>
            <w:tcBorders>
              <w:top w:val="single" w:sz="8" w:color="2C2C2C"/>
            </w:tcBorders>
          </w:tcPr>
          <w:p>
            <w:pPr>
              <w:spacing w:after="0"/>
              <w:rPr>
                <w:sz w:val="23"/>
                <w:szCs w:val="23"/>
                <w:color w:val="auto"/>
              </w:rPr>
            </w:pPr>
          </w:p>
        </w:tc>
        <w:tc>
          <w:tcPr>
            <w:tcW w:w="540" w:type="dxa"/>
            <w:vAlign w:val="bottom"/>
            <w:tcBorders>
              <w:top w:val="single" w:sz="8" w:color="2C2C2C"/>
            </w:tcBorders>
          </w:tcPr>
          <w:p>
            <w:pPr>
              <w:spacing w:after="0"/>
              <w:rPr>
                <w:sz w:val="23"/>
                <w:szCs w:val="23"/>
                <w:color w:val="auto"/>
              </w:rPr>
            </w:pPr>
          </w:p>
        </w:tc>
        <w:tc>
          <w:tcPr>
            <w:tcW w:w="260" w:type="dxa"/>
            <w:vAlign w:val="bottom"/>
            <w:tcBorders>
              <w:top w:val="single" w:sz="8" w:color="2C2C2C"/>
            </w:tcBorders>
          </w:tcPr>
          <w:p>
            <w:pPr>
              <w:spacing w:after="0"/>
              <w:rPr>
                <w:sz w:val="23"/>
                <w:szCs w:val="23"/>
                <w:color w:val="auto"/>
              </w:rPr>
            </w:pPr>
          </w:p>
        </w:tc>
        <w:tc>
          <w:tcPr>
            <w:tcW w:w="760" w:type="dxa"/>
            <w:vAlign w:val="bottom"/>
            <w:tcBorders>
              <w:top w:val="single" w:sz="8" w:color="2C2C2C"/>
            </w:tcBorders>
          </w:tcPr>
          <w:p>
            <w:pPr>
              <w:spacing w:after="0"/>
              <w:rPr>
                <w:sz w:val="23"/>
                <w:szCs w:val="23"/>
                <w:color w:val="auto"/>
              </w:rPr>
            </w:pPr>
          </w:p>
        </w:tc>
        <w:tc>
          <w:tcPr>
            <w:tcW w:w="20" w:type="dxa"/>
            <w:vAlign w:val="bottom"/>
            <w:tcBorders>
              <w:top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40" w:type="dxa"/>
            <w:vAlign w:val="bottom"/>
            <w:tcBorders>
              <w:bottom w:val="single" w:sz="8" w:color="2C2C2C"/>
            </w:tcBorders>
            <w:gridSpan w:val="4"/>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8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1"/>
                <w:szCs w:val="11"/>
                <w:color w:val="auto"/>
              </w:rPr>
            </w:pP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020" w:type="dxa"/>
            <w:vAlign w:val="bottom"/>
          </w:tcPr>
          <w:p>
            <w:pPr>
              <w:spacing w:after="0"/>
              <w:rPr>
                <w:sz w:val="18"/>
                <w:szCs w:val="18"/>
                <w:color w:val="auto"/>
              </w:rPr>
            </w:pPr>
          </w:p>
        </w:tc>
        <w:tc>
          <w:tcPr>
            <w:tcW w:w="1600" w:type="dxa"/>
            <w:vAlign w:val="bottom"/>
            <w:gridSpan w:val="3"/>
            <w:vMerge w:val="restart"/>
          </w:tcPr>
          <w:p>
            <w:pPr>
              <w:ind w:left="600"/>
              <w:spacing w:after="0"/>
              <w:rPr>
                <w:sz w:val="20"/>
                <w:szCs w:val="20"/>
                <w:color w:val="auto"/>
              </w:rPr>
            </w:pPr>
            <w:r>
              <w:rPr>
                <w:rFonts w:ascii="Times New Roman" w:cs="Times New Roman" w:eastAsia="Times New Roman" w:hAnsi="Times New Roman"/>
                <w:sz w:val="18"/>
                <w:szCs w:val="18"/>
                <w:color w:val="0000FF"/>
              </w:rPr>
              <w:t>10/15/2014</w:t>
            </w: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27"/>
                <w:szCs w:val="27"/>
                <w:color w:val="0000FF"/>
                <w:vertAlign w:val="subscript"/>
              </w:rPr>
              <w:t>P</w:t>
            </w:r>
            <w:r>
              <w:rPr>
                <w:rFonts w:ascii="Times New Roman" w:cs="Times New Roman" w:eastAsia="Times New Roman" w:hAnsi="Times New Roman"/>
                <w:sz w:val="11"/>
                <w:szCs w:val="11"/>
                <w:color w:val="008000"/>
              </w:rPr>
              <w:t>(1)</w:t>
            </w: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0000FF"/>
              </w:rPr>
              <w:t>14.94</w:t>
            </w:r>
          </w:p>
        </w:tc>
        <w:tc>
          <w:tcPr>
            <w:tcW w:w="52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0000FF"/>
              </w:rPr>
              <w:t>A</w:t>
            </w:r>
          </w:p>
        </w:tc>
        <w:tc>
          <w:tcPr>
            <w:tcW w:w="66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w:t>
            </w:r>
            <w:r>
              <w:rPr>
                <w:rFonts w:ascii="Times New Roman" w:cs="Times New Roman" w:eastAsia="Times New Roman" w:hAnsi="Times New Roman"/>
                <w:sz w:val="18"/>
                <w:szCs w:val="18"/>
                <w:color w:val="0000FF"/>
                <w:w w:val="88"/>
              </w:rPr>
              <w:t>15.66</w:t>
            </w:r>
            <w:r>
              <w:rPr>
                <w:rFonts w:ascii="Times New Roman" w:cs="Times New Roman" w:eastAsia="Times New Roman" w:hAnsi="Times New Roman"/>
                <w:sz w:val="22"/>
                <w:szCs w:val="22"/>
                <w:color w:val="008000"/>
                <w:w w:val="88"/>
                <w:vertAlign w:val="superscript"/>
              </w:rPr>
              <w:t>(2)</w:t>
            </w:r>
          </w:p>
        </w:tc>
        <w:tc>
          <w:tcPr>
            <w:tcW w:w="13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8"/>
                <w:szCs w:val="18"/>
                <w:color w:val="0000FF"/>
              </w:rPr>
              <w:t>139,097.73</w:t>
            </w:r>
          </w:p>
        </w:tc>
        <w:tc>
          <w:tcPr>
            <w:tcW w:w="320" w:type="dxa"/>
            <w:vAlign w:val="bottom"/>
          </w:tcPr>
          <w:p>
            <w:pPr>
              <w:spacing w:after="0"/>
              <w:rPr>
                <w:sz w:val="18"/>
                <w:szCs w:val="18"/>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0000FF"/>
              </w:rPr>
              <w:t>I</w:t>
            </w: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Explanation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102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8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of</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18"/>
                <w:szCs w:val="18"/>
                <w:color w:val="0000FF"/>
              </w:rPr>
              <w:t>Responses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derivative</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Following</w:t>
            </w:r>
          </w:p>
        </w:tc>
        <w:tc>
          <w:tcPr>
            <w:tcW w:w="32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Date</w:t>
            </w:r>
          </w:p>
        </w:tc>
        <w:tc>
          <w:tcPr>
            <w:tcW w:w="7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5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purchases reported in this Form 4 were effected pursuant to a Rule 10b5-1 trading plan adopted by TSL Advisers, LLC ("TSL Advisers"), dated as of March 11, 2014.</w:t>
      </w:r>
    </w:p>
    <w:p>
      <w:pPr>
        <w:spacing w:after="0" w:line="41" w:lineRule="exact"/>
        <w:rPr>
          <w:rFonts w:ascii="Times New Roman" w:cs="Times New Roman" w:eastAsia="Times New Roman" w:hAnsi="Times New Roman"/>
          <w:sz w:val="14"/>
          <w:szCs w:val="14"/>
          <w:color w:val="008000"/>
        </w:rPr>
      </w:pPr>
    </w:p>
    <w:p>
      <w:pPr>
        <w:ind w:left="40" w:right="16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price reported in Column 4 is a weighted average price. These shares were purchased in multiple transactions at prices ranging from $15.65 to $15.69, inclusive. The reporting person undertakes to provide to the Issuer, any security holder of the Issuer, or the staff of the Securities and Exchange Commission, upon request, full information regarding the number of shares sold at each separate price within the range set forth herein.</w:t>
      </w:r>
    </w:p>
    <w:p>
      <w:pPr>
        <w:spacing w:after="0" w:line="28" w:lineRule="exact"/>
        <w:rPr>
          <w:rFonts w:ascii="Times New Roman" w:cs="Times New Roman" w:eastAsia="Times New Roman" w:hAnsi="Times New Roman"/>
          <w:sz w:val="14"/>
          <w:szCs w:val="14"/>
          <w:color w:val="008000"/>
        </w:rPr>
      </w:pPr>
    </w:p>
    <w:p>
      <w:pPr>
        <w:jc w:val="both"/>
        <w:ind w:left="40" w:right="140" w:firstLine="9"/>
        <w:spacing w:after="0" w:line="234"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TSL Advisers directly holds 2,799,817 shares of Common Stock of the Issuer (the "TSL Shares"), including 139,097.73 shares of Common Stock of the Issuer indirectly beneficially owned by Mr. Waxman (through his limited partnership interest in TSL Equity Partners, L.P., which is a member of TSL Advisers). In addition, Mr. Waxman is a member of the board of managers of TSL Advisers and therefore may be deemed to beneficially own all of the TSL Shares. Mr. Waxman disclaims beneficial ownership of the TSL Shares except to the extent of his pecuniary interest therein.</w:t>
      </w:r>
    </w:p>
    <w:p>
      <w:pPr>
        <w:spacing w:after="0" w:line="21"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60" w:firstLine="9"/>
        <w:spacing w:after="0" w:line="241" w:lineRule="auto"/>
        <w:tabs>
          <w:tab w:leader="none" w:pos="175" w:val="left"/>
        </w:tabs>
        <w:numPr>
          <w:ilvl w:val="0"/>
          <w:numId w:val="3"/>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Ronald Cami is signing on behalf of Mr. Waxman pursuant to the authorization and designation letter dated March 10, 2014, which was previously filed with the Securities and Exchange Commission as an exhibit to a Schedule 13D filed by Mr. Waxman on March 13, 2014 (SEC File No. 005-86304).</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/s/ Ronald Cami, on behalf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0000FF"/>
                <w:w w:val="95"/>
              </w:rPr>
              <w:t>10/17/2014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Alan Waxman (4)</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2"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2019-12-16T08:31:26Z</dcterms:created>
  <dcterms:modified xsi:type="dcterms:W3CDTF">2019-12-16T08:31:26Z</dcterms:modified>
</cp:coreProperties>
</file>